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B5D31" w14:textId="57234558" w:rsidR="00D22CC8" w:rsidRPr="00B85B74" w:rsidRDefault="007F7B26" w:rsidP="00BA61E3">
      <w:pPr>
        <w:pStyle w:val="CDIPublicationstring"/>
      </w:pPr>
      <w:r w:rsidRPr="00B85B74">
        <w:rPr>
          <w:noProof/>
        </w:rPr>
        <w:drawing>
          <wp:anchor distT="0" distB="0" distL="114300" distR="114300" simplePos="0" relativeHeight="251658240" behindDoc="1" locked="1" layoutInCell="1" allowOverlap="1" wp14:anchorId="39094F23" wp14:editId="5AF9B6C7">
            <wp:simplePos x="0" y="0"/>
            <wp:positionH relativeFrom="page">
              <wp:align>left</wp:align>
            </wp:positionH>
            <wp:positionV relativeFrom="page">
              <wp:align>top</wp:align>
            </wp:positionV>
            <wp:extent cx="7559675" cy="10690860"/>
            <wp:effectExtent l="0" t="0" r="3175" b="0"/>
            <wp:wrapNone/>
            <wp:doc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511823" name="Picture 1" descr="Dark blue shape displaying the logo of Communicable Diseases Intelligence with a celebration graphic for Volume 50. White and light blue shapes feature a lockup of the logo of the Australian Centre for Disease Control alongside the Commonwealth Coat of Arms."/>
                    <pic:cNvPicPr/>
                  </pic:nvPicPr>
                  <pic:blipFill>
                    <a:blip r:embed="rId9">
                      <a:extLst>
                        <a:ext uri="{28A0092B-C50C-407E-A947-70E740481C1C}">
                          <a14:useLocalDpi xmlns:a14="http://schemas.microsoft.com/office/drawing/2010/main" val="0"/>
                        </a:ext>
                      </a:extLst>
                    </a:blip>
                    <a:stretch>
                      <a:fillRect/>
                    </a:stretch>
                  </pic:blipFill>
                  <pic:spPr>
                    <a:xfrm>
                      <a:off x="0" y="0"/>
                      <a:ext cx="7559998" cy="10690952"/>
                    </a:xfrm>
                    <a:prstGeom prst="rect">
                      <a:avLst/>
                    </a:prstGeom>
                  </pic:spPr>
                </pic:pic>
              </a:graphicData>
            </a:graphic>
            <wp14:sizeRelH relativeFrom="margin">
              <wp14:pctWidth>0</wp14:pctWidth>
            </wp14:sizeRelH>
            <wp14:sizeRelV relativeFrom="margin">
              <wp14:pctHeight>0</wp14:pctHeight>
            </wp14:sizeRelV>
          </wp:anchor>
        </w:drawing>
      </w:r>
      <w:fldSimple w:instr=" DOCPROPERTY  Year  \* MERGEFORMAT ">
        <w:r w:rsidR="00BA61E3">
          <w:t>2026</w:t>
        </w:r>
      </w:fldSimple>
      <w:r w:rsidR="00D22CC8" w:rsidRPr="00B85B74">
        <w:t xml:space="preserve"> • Volume </w:t>
      </w:r>
      <w:fldSimple w:instr=" DOCPROPERTY  Vol  \* MERGEFORMAT ">
        <w:r w:rsidR="00BA61E3">
          <w:t>50</w:t>
        </w:r>
      </w:fldSimple>
      <w:r w:rsidR="00700338">
        <w:t xml:space="preserve"> </w:t>
      </w:r>
      <w:r w:rsidR="00700338" w:rsidRPr="00E15CF6">
        <w:t xml:space="preserve">• </w:t>
      </w:r>
      <w:hyperlink r:id="rId10" w:history="1">
        <w:r w:rsidR="00700338" w:rsidRPr="00E15CF6">
          <w:t>cdc.gov.au/cdi</w:t>
        </w:r>
      </w:hyperlink>
      <w:r w:rsidR="00D22CC8" w:rsidRPr="00B85B74">
        <w:t xml:space="preserve"> •</w:t>
      </w:r>
      <w:r w:rsidR="00700338">
        <w:t xml:space="preserve"> </w:t>
      </w:r>
      <w:r w:rsidR="00700338" w:rsidRPr="00B85B74">
        <w:t xml:space="preserve">Epub </w:t>
      </w:r>
      <w:r w:rsidR="00700338" w:rsidRPr="00D32A59">
        <w:t>date</w:t>
      </w:r>
      <w:r w:rsidR="00700338" w:rsidRPr="00B85B74">
        <w:t xml:space="preserve">: </w:t>
      </w:r>
      <w:fldSimple w:instr=" DOCPROPERTY  ePubDate  \* MERGEFORMAT ">
        <w:r w:rsidR="00BA61E3">
          <w:t>26.05.2026</w:t>
        </w:r>
      </w:fldSimple>
      <w:r w:rsidR="00700338">
        <w:t xml:space="preserve"> </w:t>
      </w:r>
      <w:r w:rsidR="00700338" w:rsidRPr="00B85B74">
        <w:t xml:space="preserve">• </w:t>
      </w:r>
      <w:fldSimple w:instr=" DOCPROPERTY  DOI  \* MERGEFORMAT ">
        <w:r w:rsidR="00BA61E3">
          <w:t>doi.org/10.33321/cdi.2026.50.034</w:t>
        </w:r>
      </w:fldSimple>
    </w:p>
    <w:p w14:paraId="08446E25" w14:textId="77777777" w:rsidR="00BA61E3" w:rsidRDefault="00BA61E3" w:rsidP="00BA61E3">
      <w:pPr>
        <w:pStyle w:val="Title"/>
      </w:pPr>
      <w:r>
        <w:t>ATAGI Targeted Review 2024: Immunisation strategies for prevention and control of respiratory syncytial virus disease in Australia</w:t>
      </w:r>
    </w:p>
    <w:p w14:paraId="259EC676" w14:textId="0137AC4B" w:rsidR="00013B65" w:rsidRDefault="00BA61E3" w:rsidP="00BB3320">
      <w:pPr>
        <w:pStyle w:val="Subtitle"/>
      </w:pPr>
      <w:r w:rsidRPr="00BA61E3">
        <w:t>Chisato Imai-Boulter, Jean Li-Kim-Moy, Jocelynne McRae, Clayton Chiu, Sanjay Jayasinghe, Kristine Macartney, Katherine Gibney, Karen Bellamy, Kristy Cooper, Katie Flanagan, Michelle Giles, Julia Marshall, Nicholas</w:t>
      </w:r>
      <w:r>
        <w:t> </w:t>
      </w:r>
      <w:r w:rsidRPr="00BA61E3">
        <w:t xml:space="preserve">Silberstein, Benjamin Teh, Rosalind Webby, Nigel W Crawford on behalf of the Australian Technical Advisory Group on Immunisation (ATAGI) </w:t>
      </w:r>
      <w:r w:rsidR="00013B65">
        <w:br w:type="page"/>
      </w:r>
    </w:p>
    <w:p w14:paraId="57305B0E" w14:textId="77777777" w:rsidR="00B52457" w:rsidRPr="0089025E" w:rsidRDefault="00B52457" w:rsidP="00087CC4">
      <w:pPr>
        <w:pStyle w:val="CDICopyright"/>
      </w:pPr>
      <w:bookmarkStart w:id="0" w:name="_Hlk185172676"/>
      <w:r w:rsidRPr="0089025E">
        <w:lastRenderedPageBreak/>
        <w:t xml:space="preserve">© </w:t>
      </w:r>
      <w:fldSimple w:instr=" DOCPROPERTY  Year  \* MERGEFORMAT ">
        <w:r w:rsidR="00BA61E3">
          <w:t>2026</w:t>
        </w:r>
      </w:fldSimple>
      <w:r w:rsidRPr="0089025E">
        <w:t xml:space="preserve"> Commonwealth of Australia as represented by the </w:t>
      </w:r>
      <w:r w:rsidR="00C722FD">
        <w:t>Australian Centre for Disease Control</w:t>
      </w:r>
    </w:p>
    <w:p w14:paraId="75221F25" w14:textId="77777777" w:rsidR="00B52457" w:rsidRPr="0089025E" w:rsidRDefault="00B52457" w:rsidP="00087CC4">
      <w:pPr>
        <w:pStyle w:val="CDICopyright"/>
      </w:pPr>
      <w:r w:rsidRPr="0089025E">
        <w:t>ISSN: 2209-6051 Online</w:t>
      </w:r>
    </w:p>
    <w:p w14:paraId="3911C055" w14:textId="77777777" w:rsidR="00B52457" w:rsidRDefault="00B52457" w:rsidP="00087CC4">
      <w:pPr>
        <w:pStyle w:val="CDICopyright"/>
      </w:pPr>
      <w:r w:rsidRPr="0089025E">
        <w:t>This journal is indexed by Index Medicus and Medline.</w:t>
      </w:r>
    </w:p>
    <w:p w14:paraId="790C5A50" w14:textId="77777777" w:rsidR="00B52457" w:rsidRPr="007F2B27" w:rsidRDefault="00B52457" w:rsidP="00CC3648">
      <w:pPr>
        <w:pStyle w:val="CDICopyrightHeading"/>
      </w:pPr>
      <w:r w:rsidRPr="007F2B27">
        <w:t>Creative Commons Licence</w:t>
      </w:r>
    </w:p>
    <w:p w14:paraId="69F19C4E" w14:textId="77777777" w:rsidR="00B52457" w:rsidRPr="0089025E" w:rsidRDefault="00B52457" w:rsidP="007F2B27">
      <w:pPr>
        <w:pStyle w:val="CDICopyright"/>
      </w:pPr>
      <w:r w:rsidRPr="0089025E">
        <w:t xml:space="preserve">This publication is licensed under a Creative Commons </w:t>
      </w:r>
      <w:hyperlink r:id="rId11" w:history="1">
        <w:r w:rsidRPr="0022524E">
          <w:rPr>
            <w:rStyle w:val="Hyperlink"/>
          </w:rPr>
          <w:t>Attribution-NonCommercial-NoDerivatives 4.0 International Licence</w:t>
        </w:r>
      </w:hyperlink>
      <w:r w:rsidRPr="0089025E">
        <w:t xml:space="preserve"> (Licence). You</w:t>
      </w:r>
      <w:r w:rsidR="0022524E">
        <w:t xml:space="preserve"> </w:t>
      </w:r>
      <w:r w:rsidRPr="0089025E">
        <w:t>must read and understand the Licence before using any material from this publication.</w:t>
      </w:r>
    </w:p>
    <w:bookmarkEnd w:id="0"/>
    <w:p w14:paraId="7506563E" w14:textId="77777777" w:rsidR="00B52457" w:rsidRPr="007F2B27" w:rsidRDefault="00B52457" w:rsidP="00CC3648">
      <w:pPr>
        <w:pStyle w:val="CDICopyrightHeading"/>
      </w:pPr>
      <w:r w:rsidRPr="007F2B27">
        <w:t>Restrictions</w:t>
      </w:r>
    </w:p>
    <w:p w14:paraId="0F2776AC" w14:textId="77777777" w:rsidR="00B52457" w:rsidRPr="0089025E" w:rsidRDefault="00B52457" w:rsidP="007F2B27">
      <w:pPr>
        <w:pStyle w:val="CDICopyright"/>
      </w:pPr>
      <w:r w:rsidRPr="0089025E">
        <w:t xml:space="preserve">The Licence does not cover, and there is no permission given for, use of any of the following material found in this publication (if </w:t>
      </w:r>
      <w:r w:rsidRPr="00B52457">
        <w:t>any</w:t>
      </w:r>
      <w:r w:rsidRPr="0089025E">
        <w:t xml:space="preserve">): </w:t>
      </w:r>
    </w:p>
    <w:p w14:paraId="7800588E" w14:textId="77777777" w:rsidR="00B52457" w:rsidRPr="00E9313B" w:rsidRDefault="00B52457" w:rsidP="00E9313B">
      <w:pPr>
        <w:pStyle w:val="CDICopyrightBullets"/>
      </w:pPr>
      <w:r w:rsidRPr="006C7D54">
        <w:t xml:space="preserve">the </w:t>
      </w:r>
      <w:r w:rsidRPr="00E9313B">
        <w:t>Commonwealth Coat of Arms (by way of information, the terms under which the Coat of Arms may be used can be found on the Department of Prime Minister and Cabinet website</w:t>
      </w:r>
      <w:r w:rsidR="00C722FD">
        <w:t>)</w:t>
      </w:r>
      <w:r w:rsidRPr="00E9313B">
        <w:t>;</w:t>
      </w:r>
    </w:p>
    <w:p w14:paraId="40524901" w14:textId="77777777" w:rsidR="00B52457" w:rsidRPr="003C23C9" w:rsidRDefault="0022524E" w:rsidP="00E9313B">
      <w:pPr>
        <w:pStyle w:val="CDICopyrightBullets"/>
      </w:pPr>
      <w:r w:rsidRPr="0022524E">
        <w:t>any logos (including the Australian Centre for Disease Control’s logo) and trademarks</w:t>
      </w:r>
      <w:r w:rsidR="00B52457" w:rsidRPr="003C23C9">
        <w:t>;</w:t>
      </w:r>
    </w:p>
    <w:p w14:paraId="2FC78A4C" w14:textId="77777777" w:rsidR="00B52457" w:rsidRPr="00E9313B" w:rsidRDefault="00B52457" w:rsidP="00E9313B">
      <w:pPr>
        <w:pStyle w:val="CDICopyrightBullets"/>
      </w:pPr>
      <w:r w:rsidRPr="00E9313B">
        <w:t xml:space="preserve">any photographs and images; </w:t>
      </w:r>
    </w:p>
    <w:p w14:paraId="151164C5" w14:textId="77777777" w:rsidR="00B52457" w:rsidRPr="00E9313B" w:rsidRDefault="00B52457" w:rsidP="00E9313B">
      <w:pPr>
        <w:pStyle w:val="CDICopyrightBullets"/>
      </w:pPr>
      <w:r w:rsidRPr="00E9313B">
        <w:t>any signatures; and</w:t>
      </w:r>
    </w:p>
    <w:p w14:paraId="5753A744" w14:textId="77777777" w:rsidR="00B52457" w:rsidRPr="003C23C9" w:rsidRDefault="00B52457" w:rsidP="00E9313B">
      <w:pPr>
        <w:pStyle w:val="CDICopyrightBullets"/>
      </w:pPr>
      <w:r w:rsidRPr="00E9313B">
        <w:t>any</w:t>
      </w:r>
      <w:r w:rsidRPr="003C23C9">
        <w:t xml:space="preserve"> material belonging to third parties.</w:t>
      </w:r>
    </w:p>
    <w:p w14:paraId="3F44C367" w14:textId="77777777" w:rsidR="00B52457" w:rsidRPr="00CC3648" w:rsidRDefault="00B52457" w:rsidP="00CC3648">
      <w:pPr>
        <w:pStyle w:val="CDICopyrightHeading"/>
      </w:pPr>
      <w:r w:rsidRPr="00CC3648">
        <w:t>Disclaimer</w:t>
      </w:r>
    </w:p>
    <w:p w14:paraId="4C092F3E" w14:textId="77777777" w:rsidR="00B52457" w:rsidRPr="0089025E" w:rsidRDefault="00B52457" w:rsidP="007F2B27">
      <w:pPr>
        <w:pStyle w:val="CDICopyright"/>
      </w:pPr>
      <w:r w:rsidRPr="0089025E">
        <w:t xml:space="preserve">Opinions expressed in </w:t>
      </w:r>
      <w:r w:rsidRPr="00682E53">
        <w:rPr>
          <w:i/>
          <w:iCs/>
        </w:rPr>
        <w:t>Communicable Diseases Intelligence</w:t>
      </w:r>
      <w:r>
        <w:t xml:space="preserve"> </w:t>
      </w:r>
      <w:r w:rsidRPr="0089025E">
        <w:t xml:space="preserve">are those of the authors and not necessarily those of </w:t>
      </w:r>
      <w:r w:rsidR="0022524E" w:rsidRPr="0022524E">
        <w:t>the Australian Government</w:t>
      </w:r>
      <w:r w:rsidR="00C722FD">
        <w:t xml:space="preserve"> or </w:t>
      </w:r>
      <w:r w:rsidR="0022524E" w:rsidRPr="0022524E">
        <w:t>the Australian Centre for Disease Control</w:t>
      </w:r>
      <w:r w:rsidRPr="0089025E">
        <w:t>. Data may be subject to revision.</w:t>
      </w:r>
    </w:p>
    <w:p w14:paraId="17663BC9" w14:textId="77777777" w:rsidR="00B52457" w:rsidRPr="007F2B27" w:rsidRDefault="00B52457" w:rsidP="00CC3648">
      <w:pPr>
        <w:pStyle w:val="CDICopyrightHeading"/>
      </w:pPr>
      <w:r w:rsidRPr="007F2B27">
        <w:t>Enquiries</w:t>
      </w:r>
    </w:p>
    <w:p w14:paraId="481054D4" w14:textId="77777777" w:rsidR="00B52457" w:rsidRPr="00863F8D" w:rsidRDefault="00B52457" w:rsidP="007F2B27">
      <w:pPr>
        <w:pStyle w:val="CDICopyright"/>
      </w:pPr>
      <w:r w:rsidRPr="00863F8D">
        <w:t xml:space="preserve">Enquiries </w:t>
      </w:r>
      <w:r w:rsidRPr="00B52457">
        <w:t>regarding</w:t>
      </w:r>
      <w:r w:rsidRPr="00863F8D">
        <w:t xml:space="preserve"> any other use of this publication should be addressed to the </w:t>
      </w:r>
      <w:hyperlink r:id="rId12" w:history="1">
        <w:r w:rsidR="007B537E" w:rsidRPr="00E9313B">
          <w:rPr>
            <w:rStyle w:val="Hyperlink"/>
          </w:rPr>
          <w:t>CDI Editor</w:t>
        </w:r>
      </w:hyperlink>
      <w:r w:rsidR="00E9313B">
        <w:t>.</w:t>
      </w:r>
    </w:p>
    <w:p w14:paraId="35931572" w14:textId="77777777" w:rsidR="00B52457" w:rsidRPr="00A65DFA" w:rsidRDefault="00B52457" w:rsidP="00B52457">
      <w:pPr>
        <w:pStyle w:val="CDIAbout"/>
      </w:pPr>
      <w:bookmarkStart w:id="1" w:name="_Toc190257376"/>
      <w:r>
        <w:t xml:space="preserve">About </w:t>
      </w:r>
      <w:bookmarkEnd w:id="1"/>
      <w:r w:rsidR="0022524E">
        <w:t>CDI</w:t>
      </w:r>
    </w:p>
    <w:p w14:paraId="66AA7461" w14:textId="77777777" w:rsidR="00B52457" w:rsidRDefault="009572C6" w:rsidP="0022524E">
      <w:pPr>
        <w:pStyle w:val="CDIAbouttextLess"/>
      </w:pPr>
      <w:r w:rsidRPr="009572C6">
        <w:rPr>
          <w:i/>
          <w:iCs/>
        </w:rPr>
        <w:t xml:space="preserve">Communicable Diseases Intelligence </w:t>
      </w:r>
      <w:r w:rsidRPr="009572C6">
        <w:t>(CDI) is a peer-reviewed scientific journal published by the Australian Centre for Disease Control.</w:t>
      </w:r>
    </w:p>
    <w:p w14:paraId="343F8F65" w14:textId="77777777" w:rsidR="009572C6" w:rsidRDefault="009572C6" w:rsidP="00C722FD">
      <w:pPr>
        <w:pStyle w:val="CDIAbouttextLess"/>
        <w:spacing w:before="120"/>
      </w:pPr>
      <w:r w:rsidRPr="009572C6">
        <w:t>The journal aims to disseminate information on the epidemiology, surveillance, prevention and control of communicable diseases of relevance to Australia and the near region.</w:t>
      </w:r>
    </w:p>
    <w:p w14:paraId="056CED96" w14:textId="77777777" w:rsidR="00B52457" w:rsidRPr="00D8087F" w:rsidRDefault="00B52457" w:rsidP="00D8087F">
      <w:pPr>
        <w:pStyle w:val="CDIAbouttext"/>
      </w:pPr>
      <w:r w:rsidRPr="00D8087F">
        <w:rPr>
          <w:b/>
          <w:bCs/>
        </w:rPr>
        <w:t>Editor</w:t>
      </w:r>
      <w:r w:rsidRPr="00D8087F">
        <w:t xml:space="preserve">: </w:t>
      </w:r>
      <w:r w:rsidR="00A53F60">
        <w:t xml:space="preserve">Dr </w:t>
      </w:r>
      <w:r w:rsidR="00AC69D8">
        <w:t>Elise Firman</w:t>
      </w:r>
      <w:r w:rsidRPr="00D8087F">
        <w:t xml:space="preserve"> </w:t>
      </w:r>
      <w:r w:rsidRPr="00B87589">
        <w:t>•</w:t>
      </w:r>
      <w:r w:rsidRPr="00D8087F">
        <w:t xml:space="preserve"> </w:t>
      </w:r>
      <w:r w:rsidRPr="00D8087F">
        <w:rPr>
          <w:b/>
          <w:bCs/>
        </w:rPr>
        <w:t>Deputy Editor</w:t>
      </w:r>
      <w:r w:rsidRPr="00D8087F">
        <w:t xml:space="preserve">: Simon Petrie </w:t>
      </w:r>
      <w:r w:rsidRPr="00B87589">
        <w:t>•</w:t>
      </w:r>
      <w:r w:rsidRPr="00D8087F">
        <w:t xml:space="preserve"> </w:t>
      </w:r>
      <w:r w:rsidRPr="00D8087F">
        <w:rPr>
          <w:b/>
          <w:bCs/>
        </w:rPr>
        <w:t>Design and Production</w:t>
      </w:r>
      <w:r w:rsidRPr="00D8087F">
        <w:t>: Lisa Thompson</w:t>
      </w:r>
    </w:p>
    <w:p w14:paraId="3EE34971" w14:textId="77777777" w:rsidR="00B52457" w:rsidRPr="00D8087F" w:rsidRDefault="00B52457" w:rsidP="00D8087F">
      <w:pPr>
        <w:pStyle w:val="CDIAbouttext"/>
      </w:pPr>
      <w:hyperlink r:id="rId13" w:history="1">
        <w:r w:rsidRPr="00C97898">
          <w:rPr>
            <w:rStyle w:val="Hyperlink"/>
            <w:b/>
            <w:bCs/>
          </w:rPr>
          <w:t>Editorial Advisory Board</w:t>
        </w:r>
      </w:hyperlink>
      <w:r w:rsidRPr="00D8087F">
        <w:t>: David Durrheim, Mark Ferson, Clare Huppatz, John Kaldor, Martyn Kirk and Meru Sheel</w:t>
      </w:r>
    </w:p>
    <w:p w14:paraId="30854580" w14:textId="77777777" w:rsidR="00B52457" w:rsidRPr="00B87589" w:rsidRDefault="00B52457" w:rsidP="00B87589">
      <w:pPr>
        <w:pStyle w:val="CDIAbouttext"/>
        <w:rPr>
          <w:b/>
          <w:bCs/>
        </w:rPr>
      </w:pPr>
      <w:r w:rsidRPr="00B87589">
        <w:rPr>
          <w:b/>
          <w:bCs/>
        </w:rPr>
        <w:t xml:space="preserve">Submit an </w:t>
      </w:r>
      <w:proofErr w:type="gramStart"/>
      <w:r w:rsidRPr="00B87589">
        <w:rPr>
          <w:b/>
          <w:bCs/>
        </w:rPr>
        <w:t>Article</w:t>
      </w:r>
      <w:proofErr w:type="gramEnd"/>
    </w:p>
    <w:p w14:paraId="03C803FD" w14:textId="77777777" w:rsidR="00B52457" w:rsidRPr="0089025E" w:rsidRDefault="009572C6" w:rsidP="00CC3648">
      <w:pPr>
        <w:pStyle w:val="CDIAbouttextLess"/>
      </w:pPr>
      <w:hyperlink r:id="rId14" w:history="1">
        <w:r w:rsidRPr="009572C6">
          <w:rPr>
            <w:rStyle w:val="Hyperlink"/>
          </w:rPr>
          <w:t>Guidelines for authors</w:t>
        </w:r>
      </w:hyperlink>
      <w:r w:rsidRPr="009572C6">
        <w:t xml:space="preserve"> and details on how to submit your publication is available on our website, or by email to the</w:t>
      </w:r>
      <w:r>
        <w:br/>
      </w:r>
      <w:hyperlink r:id="rId15" w:history="1">
        <w:r w:rsidR="00FD7AA0" w:rsidRPr="00E9313B">
          <w:rPr>
            <w:rStyle w:val="Hyperlink"/>
          </w:rPr>
          <w:t>CDI Editor</w:t>
        </w:r>
      </w:hyperlink>
      <w:r w:rsidR="00FD7AA0">
        <w:t>.</w:t>
      </w:r>
    </w:p>
    <w:p w14:paraId="2B4DB523" w14:textId="77777777" w:rsidR="00B52457" w:rsidRPr="00B87589" w:rsidRDefault="00B52457" w:rsidP="00B87589">
      <w:pPr>
        <w:pStyle w:val="CDIAbouttext"/>
        <w:rPr>
          <w:b/>
          <w:bCs/>
        </w:rPr>
      </w:pPr>
      <w:r w:rsidRPr="00B87589">
        <w:rPr>
          <w:b/>
          <w:bCs/>
        </w:rPr>
        <w:t>Contact us</w:t>
      </w:r>
    </w:p>
    <w:p w14:paraId="5F2ACA58" w14:textId="77777777" w:rsidR="00B52457" w:rsidRPr="00087CC4" w:rsidRDefault="00B52457" w:rsidP="00360B3A">
      <w:pPr>
        <w:pStyle w:val="CDIAbouttextLess"/>
      </w:pPr>
      <w:r w:rsidRPr="009572C6">
        <w:t>Communicable Diseases Intelligence</w:t>
      </w:r>
      <w:r w:rsidRPr="00087CC4">
        <w:t xml:space="preserve"> (CDI)</w:t>
      </w:r>
    </w:p>
    <w:p w14:paraId="07A16884" w14:textId="77777777" w:rsidR="00B52457" w:rsidRPr="00087CC4" w:rsidRDefault="009572C6" w:rsidP="00360B3A">
      <w:pPr>
        <w:pStyle w:val="CDIAbouttextLess"/>
      </w:pPr>
      <w:r>
        <w:t>Australian Centre for Disease Control</w:t>
      </w:r>
    </w:p>
    <w:p w14:paraId="56333B8F" w14:textId="77777777" w:rsidR="00B52457" w:rsidRPr="0089025E" w:rsidRDefault="00B52457" w:rsidP="00360B3A">
      <w:pPr>
        <w:pStyle w:val="CDIAbouttextLess"/>
      </w:pPr>
      <w:r w:rsidRPr="00087CC4">
        <w:t xml:space="preserve">GPO Box </w:t>
      </w:r>
      <w:r w:rsidR="0010368E">
        <w:t>79</w:t>
      </w:r>
      <w:r w:rsidRPr="00087CC4">
        <w:t>8, CANBERRA</w:t>
      </w:r>
      <w:r w:rsidRPr="0089025E">
        <w:t xml:space="preserve"> ACT 2601</w:t>
      </w:r>
    </w:p>
    <w:p w14:paraId="0680D237" w14:textId="77777777" w:rsidR="00B52457" w:rsidRDefault="00B52457" w:rsidP="00360B3A">
      <w:pPr>
        <w:pStyle w:val="CDIAbouttextLess"/>
      </w:pPr>
      <w:r w:rsidRPr="0089025E">
        <w:t xml:space="preserve">Website: </w:t>
      </w:r>
      <w:hyperlink r:id="rId16" w:history="1">
        <w:r w:rsidR="00C735E0">
          <w:rPr>
            <w:rStyle w:val="Hyperlink"/>
          </w:rPr>
          <w:t>cdc.gov.au/cdi</w:t>
        </w:r>
      </w:hyperlink>
    </w:p>
    <w:p w14:paraId="170D45B9" w14:textId="77777777" w:rsidR="00B52457" w:rsidRPr="0089025E" w:rsidRDefault="00B52457" w:rsidP="00360B3A">
      <w:pPr>
        <w:pStyle w:val="CDIAbouttextLess"/>
      </w:pPr>
      <w:r w:rsidRPr="0089025E">
        <w:t xml:space="preserve">Email: </w:t>
      </w:r>
      <w:hyperlink r:id="rId17" w:history="1">
        <w:r w:rsidR="002368EA">
          <w:rPr>
            <w:rStyle w:val="Hyperlink"/>
          </w:rPr>
          <w:t>cdi.editor@cdc.gov.au</w:t>
        </w:r>
      </w:hyperlink>
    </w:p>
    <w:p w14:paraId="73389775" w14:textId="77777777" w:rsidR="00536DD8" w:rsidRDefault="00536DD8" w:rsidP="00A24E95">
      <w:pPr>
        <w:pStyle w:val="Heading1"/>
      </w:pPr>
      <w:bookmarkStart w:id="2" w:name="_Toc195609225"/>
      <w:bookmarkStart w:id="3" w:name="_Toc196293548"/>
      <w:bookmarkStart w:id="4" w:name="_Toc196818669"/>
      <w:bookmarkStart w:id="5" w:name="_Toc200548890"/>
      <w:bookmarkStart w:id="6" w:name="_Toc229657239"/>
      <w:bookmarkStart w:id="7" w:name="_Toc195530496"/>
      <w:r>
        <w:t>Contents</w:t>
      </w:r>
      <w:bookmarkEnd w:id="2"/>
      <w:bookmarkEnd w:id="3"/>
      <w:bookmarkEnd w:id="4"/>
      <w:bookmarkEnd w:id="5"/>
      <w:bookmarkEnd w:id="6"/>
    </w:p>
    <w:p w14:paraId="5F8E898A" w14:textId="37FE37B4" w:rsidR="003670AD" w:rsidRPr="007B617C" w:rsidRDefault="005A4E9D" w:rsidP="003670AD">
      <w:pPr>
        <w:pStyle w:val="TOC1"/>
        <w:spacing w:before="360"/>
        <w:rPr>
          <w:noProof/>
        </w:rPr>
      </w:pPr>
      <w:r>
        <w:fldChar w:fldCharType="begin"/>
      </w:r>
      <w:r>
        <w:instrText xml:space="preserve"> TOC \o "1-1" \h \z \t "Heading 2,2,Heading 2 - no space before,2,Heading 2 - less space before,2,Heading 2 - new page,2" </w:instrText>
      </w:r>
      <w:r>
        <w:fldChar w:fldCharType="separate"/>
      </w:r>
      <w:hyperlink w:anchor="_Toc229657240" w:history="1">
        <w:r w:rsidR="003670AD" w:rsidRPr="00A21B44">
          <w:rPr>
            <w:rStyle w:val="Hyperlink"/>
            <w:noProof/>
          </w:rPr>
          <w:t>Abstract</w:t>
        </w:r>
        <w:r w:rsidR="003670AD">
          <w:rPr>
            <w:noProof/>
            <w:webHidden/>
          </w:rPr>
          <w:tab/>
        </w:r>
        <w:r w:rsidR="003670AD">
          <w:rPr>
            <w:noProof/>
            <w:webHidden/>
          </w:rPr>
          <w:fldChar w:fldCharType="begin"/>
        </w:r>
        <w:r w:rsidR="003670AD">
          <w:rPr>
            <w:noProof/>
            <w:webHidden/>
          </w:rPr>
          <w:instrText xml:space="preserve"> PAGEREF _Toc229657240 \h </w:instrText>
        </w:r>
        <w:r w:rsidR="003670AD">
          <w:rPr>
            <w:noProof/>
            <w:webHidden/>
          </w:rPr>
        </w:r>
        <w:r w:rsidR="003670AD">
          <w:rPr>
            <w:noProof/>
            <w:webHidden/>
          </w:rPr>
          <w:fldChar w:fldCharType="separate"/>
        </w:r>
        <w:r w:rsidR="0011050E">
          <w:rPr>
            <w:noProof/>
            <w:webHidden/>
          </w:rPr>
          <w:t>4</w:t>
        </w:r>
        <w:r w:rsidR="003670AD">
          <w:rPr>
            <w:noProof/>
            <w:webHidden/>
          </w:rPr>
          <w:fldChar w:fldCharType="end"/>
        </w:r>
      </w:hyperlink>
    </w:p>
    <w:p w14:paraId="7A3F6445" w14:textId="0F5B8763" w:rsidR="003670AD" w:rsidRPr="007B617C" w:rsidRDefault="003670AD">
      <w:pPr>
        <w:pStyle w:val="TOC1"/>
        <w:rPr>
          <w:noProof/>
        </w:rPr>
      </w:pPr>
      <w:hyperlink w:anchor="_Toc229657241" w:history="1">
        <w:r w:rsidRPr="00A21B44">
          <w:rPr>
            <w:rStyle w:val="Hyperlink"/>
            <w:noProof/>
          </w:rPr>
          <w:t>Introduction</w:t>
        </w:r>
        <w:r>
          <w:rPr>
            <w:noProof/>
            <w:webHidden/>
          </w:rPr>
          <w:tab/>
        </w:r>
        <w:r>
          <w:rPr>
            <w:noProof/>
            <w:webHidden/>
          </w:rPr>
          <w:fldChar w:fldCharType="begin"/>
        </w:r>
        <w:r>
          <w:rPr>
            <w:noProof/>
            <w:webHidden/>
          </w:rPr>
          <w:instrText xml:space="preserve"> PAGEREF _Toc229657241 \h </w:instrText>
        </w:r>
        <w:r>
          <w:rPr>
            <w:noProof/>
            <w:webHidden/>
          </w:rPr>
        </w:r>
        <w:r>
          <w:rPr>
            <w:noProof/>
            <w:webHidden/>
          </w:rPr>
          <w:fldChar w:fldCharType="separate"/>
        </w:r>
        <w:r w:rsidR="0011050E">
          <w:rPr>
            <w:noProof/>
            <w:webHidden/>
          </w:rPr>
          <w:t>5</w:t>
        </w:r>
        <w:r>
          <w:rPr>
            <w:noProof/>
            <w:webHidden/>
          </w:rPr>
          <w:fldChar w:fldCharType="end"/>
        </w:r>
      </w:hyperlink>
    </w:p>
    <w:p w14:paraId="6CF6B5E8" w14:textId="64334DC6" w:rsidR="003670AD" w:rsidRPr="007B617C" w:rsidRDefault="003670AD">
      <w:pPr>
        <w:pStyle w:val="TOC1"/>
        <w:rPr>
          <w:noProof/>
        </w:rPr>
      </w:pPr>
      <w:hyperlink w:anchor="_Toc229657242" w:history="1">
        <w:r w:rsidRPr="00A21B44">
          <w:rPr>
            <w:rStyle w:val="Hyperlink"/>
            <w:noProof/>
            <w:lang w:val="en-GB"/>
          </w:rPr>
          <w:t>RSV epidemiology in Australia</w:t>
        </w:r>
        <w:r>
          <w:rPr>
            <w:noProof/>
            <w:webHidden/>
          </w:rPr>
          <w:tab/>
        </w:r>
        <w:r>
          <w:rPr>
            <w:noProof/>
            <w:webHidden/>
          </w:rPr>
          <w:fldChar w:fldCharType="begin"/>
        </w:r>
        <w:r>
          <w:rPr>
            <w:noProof/>
            <w:webHidden/>
          </w:rPr>
          <w:instrText xml:space="preserve"> PAGEREF _Toc229657242 \h </w:instrText>
        </w:r>
        <w:r>
          <w:rPr>
            <w:noProof/>
            <w:webHidden/>
          </w:rPr>
        </w:r>
        <w:r>
          <w:rPr>
            <w:noProof/>
            <w:webHidden/>
          </w:rPr>
          <w:fldChar w:fldCharType="separate"/>
        </w:r>
        <w:r w:rsidR="0011050E">
          <w:rPr>
            <w:noProof/>
            <w:webHidden/>
          </w:rPr>
          <w:t>6</w:t>
        </w:r>
        <w:r>
          <w:rPr>
            <w:noProof/>
            <w:webHidden/>
          </w:rPr>
          <w:fldChar w:fldCharType="end"/>
        </w:r>
      </w:hyperlink>
    </w:p>
    <w:p w14:paraId="4FAD7573" w14:textId="4B667B9D" w:rsidR="003670AD" w:rsidRPr="007B617C" w:rsidRDefault="003670AD" w:rsidP="007B617C">
      <w:pPr>
        <w:pStyle w:val="TOC2"/>
        <w:rPr>
          <w:noProof/>
        </w:rPr>
      </w:pPr>
      <w:hyperlink w:anchor="_Toc229657243" w:history="1">
        <w:r w:rsidRPr="00A21B44">
          <w:rPr>
            <w:rStyle w:val="Hyperlink"/>
            <w:noProof/>
            <w:lang w:val="en-GB"/>
          </w:rPr>
          <w:t>Overview of RSV epidemiology in Australia</w:t>
        </w:r>
        <w:r>
          <w:rPr>
            <w:noProof/>
            <w:webHidden/>
          </w:rPr>
          <w:tab/>
        </w:r>
        <w:r>
          <w:rPr>
            <w:noProof/>
            <w:webHidden/>
          </w:rPr>
          <w:fldChar w:fldCharType="begin"/>
        </w:r>
        <w:r>
          <w:rPr>
            <w:noProof/>
            <w:webHidden/>
          </w:rPr>
          <w:instrText xml:space="preserve"> PAGEREF _Toc229657243 \h </w:instrText>
        </w:r>
        <w:r>
          <w:rPr>
            <w:noProof/>
            <w:webHidden/>
          </w:rPr>
        </w:r>
        <w:r>
          <w:rPr>
            <w:noProof/>
            <w:webHidden/>
          </w:rPr>
          <w:fldChar w:fldCharType="separate"/>
        </w:r>
        <w:r w:rsidR="0011050E">
          <w:rPr>
            <w:noProof/>
            <w:webHidden/>
          </w:rPr>
          <w:t>6</w:t>
        </w:r>
        <w:r>
          <w:rPr>
            <w:noProof/>
            <w:webHidden/>
          </w:rPr>
          <w:fldChar w:fldCharType="end"/>
        </w:r>
      </w:hyperlink>
    </w:p>
    <w:p w14:paraId="4C7F9378" w14:textId="7F41122A" w:rsidR="003670AD" w:rsidRPr="007B617C" w:rsidRDefault="003670AD" w:rsidP="007B617C">
      <w:pPr>
        <w:pStyle w:val="TOC2"/>
        <w:rPr>
          <w:noProof/>
        </w:rPr>
      </w:pPr>
      <w:hyperlink w:anchor="_Toc229657244" w:history="1">
        <w:r w:rsidRPr="00A21B44">
          <w:rPr>
            <w:rStyle w:val="Hyperlink"/>
            <w:noProof/>
          </w:rPr>
          <w:t>Infants</w:t>
        </w:r>
        <w:r>
          <w:rPr>
            <w:noProof/>
            <w:webHidden/>
          </w:rPr>
          <w:tab/>
        </w:r>
        <w:r>
          <w:rPr>
            <w:noProof/>
            <w:webHidden/>
          </w:rPr>
          <w:fldChar w:fldCharType="begin"/>
        </w:r>
        <w:r>
          <w:rPr>
            <w:noProof/>
            <w:webHidden/>
          </w:rPr>
          <w:instrText xml:space="preserve"> PAGEREF _Toc229657244 \h </w:instrText>
        </w:r>
        <w:r>
          <w:rPr>
            <w:noProof/>
            <w:webHidden/>
          </w:rPr>
        </w:r>
        <w:r>
          <w:rPr>
            <w:noProof/>
            <w:webHidden/>
          </w:rPr>
          <w:fldChar w:fldCharType="separate"/>
        </w:r>
        <w:r w:rsidR="0011050E">
          <w:rPr>
            <w:noProof/>
            <w:webHidden/>
          </w:rPr>
          <w:t>9</w:t>
        </w:r>
        <w:r>
          <w:rPr>
            <w:noProof/>
            <w:webHidden/>
          </w:rPr>
          <w:fldChar w:fldCharType="end"/>
        </w:r>
      </w:hyperlink>
    </w:p>
    <w:p w14:paraId="55494280" w14:textId="2F4AF122" w:rsidR="003670AD" w:rsidRPr="007B617C" w:rsidRDefault="003670AD" w:rsidP="007B617C">
      <w:pPr>
        <w:pStyle w:val="TOC2"/>
        <w:rPr>
          <w:noProof/>
        </w:rPr>
      </w:pPr>
      <w:hyperlink w:anchor="_Toc229657245" w:history="1">
        <w:r w:rsidRPr="00A21B44">
          <w:rPr>
            <w:rStyle w:val="Hyperlink"/>
            <w:noProof/>
            <w:lang w:val="en-GB"/>
          </w:rPr>
          <w:t>Older adults</w:t>
        </w:r>
        <w:r>
          <w:rPr>
            <w:noProof/>
            <w:webHidden/>
          </w:rPr>
          <w:tab/>
        </w:r>
        <w:r>
          <w:rPr>
            <w:noProof/>
            <w:webHidden/>
          </w:rPr>
          <w:fldChar w:fldCharType="begin"/>
        </w:r>
        <w:r>
          <w:rPr>
            <w:noProof/>
            <w:webHidden/>
          </w:rPr>
          <w:instrText xml:space="preserve"> PAGEREF _Toc229657245 \h </w:instrText>
        </w:r>
        <w:r>
          <w:rPr>
            <w:noProof/>
            <w:webHidden/>
          </w:rPr>
        </w:r>
        <w:r>
          <w:rPr>
            <w:noProof/>
            <w:webHidden/>
          </w:rPr>
          <w:fldChar w:fldCharType="separate"/>
        </w:r>
        <w:r w:rsidR="0011050E">
          <w:rPr>
            <w:noProof/>
            <w:webHidden/>
          </w:rPr>
          <w:t>9</w:t>
        </w:r>
        <w:r>
          <w:rPr>
            <w:noProof/>
            <w:webHidden/>
          </w:rPr>
          <w:fldChar w:fldCharType="end"/>
        </w:r>
      </w:hyperlink>
    </w:p>
    <w:p w14:paraId="76891585" w14:textId="5FA54855" w:rsidR="003670AD" w:rsidRPr="007B617C" w:rsidRDefault="003670AD" w:rsidP="007B617C">
      <w:pPr>
        <w:pStyle w:val="TOC2"/>
        <w:rPr>
          <w:noProof/>
        </w:rPr>
      </w:pPr>
      <w:hyperlink w:anchor="_Toc229657246" w:history="1">
        <w:r w:rsidRPr="00A21B44">
          <w:rPr>
            <w:rStyle w:val="Hyperlink"/>
            <w:noProof/>
            <w:lang w:val="en-GB"/>
          </w:rPr>
          <w:t>Priority population: Aboriginal and Torres Strait Islander peoples</w:t>
        </w:r>
        <w:r>
          <w:rPr>
            <w:noProof/>
            <w:webHidden/>
          </w:rPr>
          <w:tab/>
        </w:r>
        <w:r>
          <w:rPr>
            <w:noProof/>
            <w:webHidden/>
          </w:rPr>
          <w:fldChar w:fldCharType="begin"/>
        </w:r>
        <w:r>
          <w:rPr>
            <w:noProof/>
            <w:webHidden/>
          </w:rPr>
          <w:instrText xml:space="preserve"> PAGEREF _Toc229657246 \h </w:instrText>
        </w:r>
        <w:r>
          <w:rPr>
            <w:noProof/>
            <w:webHidden/>
          </w:rPr>
        </w:r>
        <w:r>
          <w:rPr>
            <w:noProof/>
            <w:webHidden/>
          </w:rPr>
          <w:fldChar w:fldCharType="separate"/>
        </w:r>
        <w:r w:rsidR="0011050E">
          <w:rPr>
            <w:noProof/>
            <w:webHidden/>
          </w:rPr>
          <w:t>10</w:t>
        </w:r>
        <w:r>
          <w:rPr>
            <w:noProof/>
            <w:webHidden/>
          </w:rPr>
          <w:fldChar w:fldCharType="end"/>
        </w:r>
      </w:hyperlink>
    </w:p>
    <w:p w14:paraId="040B742D" w14:textId="19D0060C" w:rsidR="003670AD" w:rsidRPr="007B617C" w:rsidRDefault="003670AD" w:rsidP="007B617C">
      <w:pPr>
        <w:pStyle w:val="TOC2"/>
        <w:rPr>
          <w:noProof/>
        </w:rPr>
      </w:pPr>
      <w:hyperlink w:anchor="_Toc229657247" w:history="1">
        <w:r w:rsidRPr="00A21B44">
          <w:rPr>
            <w:rStyle w:val="Hyperlink"/>
            <w:noProof/>
            <w:lang w:val="en-GB"/>
          </w:rPr>
          <w:t>Priority population: Adults with medical conditions that increase risk of severe RSV disease</w:t>
        </w:r>
        <w:r>
          <w:rPr>
            <w:noProof/>
            <w:webHidden/>
          </w:rPr>
          <w:tab/>
        </w:r>
        <w:r>
          <w:rPr>
            <w:noProof/>
            <w:webHidden/>
          </w:rPr>
          <w:fldChar w:fldCharType="begin"/>
        </w:r>
        <w:r>
          <w:rPr>
            <w:noProof/>
            <w:webHidden/>
          </w:rPr>
          <w:instrText xml:space="preserve"> PAGEREF _Toc229657247 \h </w:instrText>
        </w:r>
        <w:r>
          <w:rPr>
            <w:noProof/>
            <w:webHidden/>
          </w:rPr>
        </w:r>
        <w:r>
          <w:rPr>
            <w:noProof/>
            <w:webHidden/>
          </w:rPr>
          <w:fldChar w:fldCharType="separate"/>
        </w:r>
        <w:r w:rsidR="0011050E">
          <w:rPr>
            <w:noProof/>
            <w:webHidden/>
          </w:rPr>
          <w:t>10</w:t>
        </w:r>
        <w:r>
          <w:rPr>
            <w:noProof/>
            <w:webHidden/>
          </w:rPr>
          <w:fldChar w:fldCharType="end"/>
        </w:r>
      </w:hyperlink>
    </w:p>
    <w:p w14:paraId="46748258" w14:textId="6D0D0E5F" w:rsidR="003670AD" w:rsidRPr="007B617C" w:rsidRDefault="003670AD">
      <w:pPr>
        <w:pStyle w:val="TOC1"/>
        <w:rPr>
          <w:noProof/>
        </w:rPr>
      </w:pPr>
      <w:hyperlink w:anchor="_Toc229657248" w:history="1">
        <w:r w:rsidRPr="00A21B44">
          <w:rPr>
            <w:rStyle w:val="Hyperlink"/>
            <w:noProof/>
          </w:rPr>
          <w:t>RSV vaccines and monoclonal antibodies</w:t>
        </w:r>
        <w:r>
          <w:rPr>
            <w:noProof/>
            <w:webHidden/>
          </w:rPr>
          <w:tab/>
        </w:r>
        <w:r>
          <w:rPr>
            <w:noProof/>
            <w:webHidden/>
          </w:rPr>
          <w:fldChar w:fldCharType="begin"/>
        </w:r>
        <w:r>
          <w:rPr>
            <w:noProof/>
            <w:webHidden/>
          </w:rPr>
          <w:instrText xml:space="preserve"> PAGEREF _Toc229657248 \h </w:instrText>
        </w:r>
        <w:r>
          <w:rPr>
            <w:noProof/>
            <w:webHidden/>
          </w:rPr>
        </w:r>
        <w:r>
          <w:rPr>
            <w:noProof/>
            <w:webHidden/>
          </w:rPr>
          <w:fldChar w:fldCharType="separate"/>
        </w:r>
        <w:r w:rsidR="0011050E">
          <w:rPr>
            <w:noProof/>
            <w:webHidden/>
          </w:rPr>
          <w:t>12</w:t>
        </w:r>
        <w:r>
          <w:rPr>
            <w:noProof/>
            <w:webHidden/>
          </w:rPr>
          <w:fldChar w:fldCharType="end"/>
        </w:r>
      </w:hyperlink>
    </w:p>
    <w:p w14:paraId="7EB932F2" w14:textId="3215590A" w:rsidR="003670AD" w:rsidRPr="007B617C" w:rsidRDefault="003670AD" w:rsidP="007B617C">
      <w:pPr>
        <w:pStyle w:val="TOC2"/>
        <w:rPr>
          <w:noProof/>
        </w:rPr>
      </w:pPr>
      <w:hyperlink w:anchor="_Toc229657249" w:history="1">
        <w:r w:rsidRPr="00A21B44">
          <w:rPr>
            <w:rStyle w:val="Hyperlink"/>
            <w:noProof/>
            <w:lang w:val="en-GB"/>
          </w:rPr>
          <w:t>Vaccine for pregnant persons for protection of infants</w:t>
        </w:r>
        <w:r>
          <w:rPr>
            <w:noProof/>
            <w:webHidden/>
          </w:rPr>
          <w:tab/>
        </w:r>
        <w:r>
          <w:rPr>
            <w:noProof/>
            <w:webHidden/>
          </w:rPr>
          <w:fldChar w:fldCharType="begin"/>
        </w:r>
        <w:r>
          <w:rPr>
            <w:noProof/>
            <w:webHidden/>
          </w:rPr>
          <w:instrText xml:space="preserve"> PAGEREF _Toc229657249 \h </w:instrText>
        </w:r>
        <w:r>
          <w:rPr>
            <w:noProof/>
            <w:webHidden/>
          </w:rPr>
        </w:r>
        <w:r>
          <w:rPr>
            <w:noProof/>
            <w:webHidden/>
          </w:rPr>
          <w:fldChar w:fldCharType="separate"/>
        </w:r>
        <w:r w:rsidR="0011050E">
          <w:rPr>
            <w:noProof/>
            <w:webHidden/>
          </w:rPr>
          <w:t>12</w:t>
        </w:r>
        <w:r>
          <w:rPr>
            <w:noProof/>
            <w:webHidden/>
          </w:rPr>
          <w:fldChar w:fldCharType="end"/>
        </w:r>
      </w:hyperlink>
    </w:p>
    <w:p w14:paraId="21E46AF9" w14:textId="0DC980B5" w:rsidR="003670AD" w:rsidRPr="007B617C" w:rsidRDefault="003670AD" w:rsidP="007B617C">
      <w:pPr>
        <w:pStyle w:val="TOC2"/>
        <w:rPr>
          <w:noProof/>
        </w:rPr>
      </w:pPr>
      <w:hyperlink w:anchor="_Toc229657250" w:history="1">
        <w:r w:rsidRPr="00A21B44">
          <w:rPr>
            <w:rStyle w:val="Hyperlink"/>
            <w:noProof/>
            <w:lang w:val="en-GB"/>
          </w:rPr>
          <w:t>Monoclonal antibodies for protection of infants</w:t>
        </w:r>
        <w:r>
          <w:rPr>
            <w:noProof/>
            <w:webHidden/>
          </w:rPr>
          <w:tab/>
        </w:r>
        <w:r>
          <w:rPr>
            <w:noProof/>
            <w:webHidden/>
          </w:rPr>
          <w:fldChar w:fldCharType="begin"/>
        </w:r>
        <w:r>
          <w:rPr>
            <w:noProof/>
            <w:webHidden/>
          </w:rPr>
          <w:instrText xml:space="preserve"> PAGEREF _Toc229657250 \h </w:instrText>
        </w:r>
        <w:r>
          <w:rPr>
            <w:noProof/>
            <w:webHidden/>
          </w:rPr>
        </w:r>
        <w:r>
          <w:rPr>
            <w:noProof/>
            <w:webHidden/>
          </w:rPr>
          <w:fldChar w:fldCharType="separate"/>
        </w:r>
        <w:r w:rsidR="0011050E">
          <w:rPr>
            <w:noProof/>
            <w:webHidden/>
          </w:rPr>
          <w:t>12</w:t>
        </w:r>
        <w:r>
          <w:rPr>
            <w:noProof/>
            <w:webHidden/>
          </w:rPr>
          <w:fldChar w:fldCharType="end"/>
        </w:r>
      </w:hyperlink>
    </w:p>
    <w:p w14:paraId="52E88C13" w14:textId="7BE7A9D2" w:rsidR="003670AD" w:rsidRPr="007B617C" w:rsidRDefault="003670AD" w:rsidP="007B617C">
      <w:pPr>
        <w:pStyle w:val="TOC2"/>
        <w:rPr>
          <w:noProof/>
        </w:rPr>
      </w:pPr>
      <w:hyperlink w:anchor="_Toc229657251" w:history="1">
        <w:r w:rsidRPr="00A21B44">
          <w:rPr>
            <w:rStyle w:val="Hyperlink"/>
            <w:noProof/>
            <w:lang w:val="en-GB"/>
          </w:rPr>
          <w:t>Vaccines for older adults</w:t>
        </w:r>
        <w:r>
          <w:rPr>
            <w:noProof/>
            <w:webHidden/>
          </w:rPr>
          <w:tab/>
        </w:r>
        <w:r>
          <w:rPr>
            <w:noProof/>
            <w:webHidden/>
          </w:rPr>
          <w:fldChar w:fldCharType="begin"/>
        </w:r>
        <w:r>
          <w:rPr>
            <w:noProof/>
            <w:webHidden/>
          </w:rPr>
          <w:instrText xml:space="preserve"> PAGEREF _Toc229657251 \h </w:instrText>
        </w:r>
        <w:r>
          <w:rPr>
            <w:noProof/>
            <w:webHidden/>
          </w:rPr>
        </w:r>
        <w:r>
          <w:rPr>
            <w:noProof/>
            <w:webHidden/>
          </w:rPr>
          <w:fldChar w:fldCharType="separate"/>
        </w:r>
        <w:r w:rsidR="0011050E">
          <w:rPr>
            <w:noProof/>
            <w:webHidden/>
          </w:rPr>
          <w:t>13</w:t>
        </w:r>
        <w:r>
          <w:rPr>
            <w:noProof/>
            <w:webHidden/>
          </w:rPr>
          <w:fldChar w:fldCharType="end"/>
        </w:r>
      </w:hyperlink>
    </w:p>
    <w:p w14:paraId="3E52A8E4" w14:textId="7CD9AFD8" w:rsidR="003670AD" w:rsidRPr="007B617C" w:rsidRDefault="003670AD" w:rsidP="007B617C">
      <w:pPr>
        <w:pStyle w:val="TOC2"/>
        <w:rPr>
          <w:noProof/>
        </w:rPr>
      </w:pPr>
      <w:hyperlink w:anchor="_Toc229657252" w:history="1">
        <w:r w:rsidRPr="00A21B44">
          <w:rPr>
            <w:rStyle w:val="Hyperlink"/>
            <w:noProof/>
          </w:rPr>
          <w:t>Efficacy</w:t>
        </w:r>
        <w:r>
          <w:rPr>
            <w:noProof/>
            <w:webHidden/>
          </w:rPr>
          <w:tab/>
        </w:r>
        <w:r>
          <w:rPr>
            <w:noProof/>
            <w:webHidden/>
          </w:rPr>
          <w:fldChar w:fldCharType="begin"/>
        </w:r>
        <w:r>
          <w:rPr>
            <w:noProof/>
            <w:webHidden/>
          </w:rPr>
          <w:instrText xml:space="preserve"> PAGEREF _Toc229657252 \h </w:instrText>
        </w:r>
        <w:r>
          <w:rPr>
            <w:noProof/>
            <w:webHidden/>
          </w:rPr>
        </w:r>
        <w:r>
          <w:rPr>
            <w:noProof/>
            <w:webHidden/>
          </w:rPr>
          <w:fldChar w:fldCharType="separate"/>
        </w:r>
        <w:r w:rsidR="0011050E">
          <w:rPr>
            <w:noProof/>
            <w:webHidden/>
          </w:rPr>
          <w:t>13</w:t>
        </w:r>
        <w:r>
          <w:rPr>
            <w:noProof/>
            <w:webHidden/>
          </w:rPr>
          <w:fldChar w:fldCharType="end"/>
        </w:r>
      </w:hyperlink>
    </w:p>
    <w:p w14:paraId="04261391" w14:textId="02A5285E" w:rsidR="003670AD" w:rsidRPr="007B617C" w:rsidRDefault="003670AD" w:rsidP="007B617C">
      <w:pPr>
        <w:pStyle w:val="TOC2"/>
        <w:rPr>
          <w:noProof/>
        </w:rPr>
      </w:pPr>
      <w:hyperlink w:anchor="_Toc229657253" w:history="1">
        <w:r w:rsidRPr="00A21B44">
          <w:rPr>
            <w:rStyle w:val="Hyperlink"/>
            <w:noProof/>
          </w:rPr>
          <w:t>Safety</w:t>
        </w:r>
        <w:r>
          <w:rPr>
            <w:noProof/>
            <w:webHidden/>
          </w:rPr>
          <w:tab/>
        </w:r>
        <w:r>
          <w:rPr>
            <w:noProof/>
            <w:webHidden/>
          </w:rPr>
          <w:fldChar w:fldCharType="begin"/>
        </w:r>
        <w:r>
          <w:rPr>
            <w:noProof/>
            <w:webHidden/>
          </w:rPr>
          <w:instrText xml:space="preserve"> PAGEREF _Toc229657253 \h </w:instrText>
        </w:r>
        <w:r>
          <w:rPr>
            <w:noProof/>
            <w:webHidden/>
          </w:rPr>
        </w:r>
        <w:r>
          <w:rPr>
            <w:noProof/>
            <w:webHidden/>
          </w:rPr>
          <w:fldChar w:fldCharType="separate"/>
        </w:r>
        <w:r w:rsidR="0011050E">
          <w:rPr>
            <w:noProof/>
            <w:webHidden/>
          </w:rPr>
          <w:t>16</w:t>
        </w:r>
        <w:r>
          <w:rPr>
            <w:noProof/>
            <w:webHidden/>
          </w:rPr>
          <w:fldChar w:fldCharType="end"/>
        </w:r>
      </w:hyperlink>
    </w:p>
    <w:p w14:paraId="43C941E5" w14:textId="45B9B205" w:rsidR="003670AD" w:rsidRPr="007B617C" w:rsidRDefault="003670AD">
      <w:pPr>
        <w:pStyle w:val="TOC1"/>
        <w:rPr>
          <w:noProof/>
        </w:rPr>
      </w:pPr>
      <w:hyperlink w:anchor="_Toc229657254" w:history="1">
        <w:r w:rsidRPr="00A21B44">
          <w:rPr>
            <w:rStyle w:val="Hyperlink"/>
            <w:noProof/>
          </w:rPr>
          <w:t>Current RSV immunisation programs and target populations in Australia and comparative</w:t>
        </w:r>
        <w:r w:rsidR="007B617C">
          <w:rPr>
            <w:rStyle w:val="Hyperlink"/>
            <w:noProof/>
          </w:rPr>
          <w:t> </w:t>
        </w:r>
        <w:r w:rsidRPr="00A21B44">
          <w:rPr>
            <w:rStyle w:val="Hyperlink"/>
            <w:noProof/>
          </w:rPr>
          <w:t>countries</w:t>
        </w:r>
        <w:r>
          <w:rPr>
            <w:noProof/>
            <w:webHidden/>
          </w:rPr>
          <w:tab/>
        </w:r>
        <w:r>
          <w:rPr>
            <w:noProof/>
            <w:webHidden/>
          </w:rPr>
          <w:fldChar w:fldCharType="begin"/>
        </w:r>
        <w:r>
          <w:rPr>
            <w:noProof/>
            <w:webHidden/>
          </w:rPr>
          <w:instrText xml:space="preserve"> PAGEREF _Toc229657254 \h </w:instrText>
        </w:r>
        <w:r>
          <w:rPr>
            <w:noProof/>
            <w:webHidden/>
          </w:rPr>
        </w:r>
        <w:r>
          <w:rPr>
            <w:noProof/>
            <w:webHidden/>
          </w:rPr>
          <w:fldChar w:fldCharType="separate"/>
        </w:r>
        <w:r w:rsidR="0011050E">
          <w:rPr>
            <w:noProof/>
            <w:webHidden/>
          </w:rPr>
          <w:t>17</w:t>
        </w:r>
        <w:r>
          <w:rPr>
            <w:noProof/>
            <w:webHidden/>
          </w:rPr>
          <w:fldChar w:fldCharType="end"/>
        </w:r>
      </w:hyperlink>
    </w:p>
    <w:p w14:paraId="1AF1CC14" w14:textId="1657347C" w:rsidR="003670AD" w:rsidRPr="007B617C" w:rsidRDefault="003670AD" w:rsidP="007B617C">
      <w:pPr>
        <w:pStyle w:val="TOC2"/>
        <w:rPr>
          <w:noProof/>
        </w:rPr>
      </w:pPr>
      <w:hyperlink w:anchor="_Toc229657255" w:history="1">
        <w:r w:rsidRPr="00A21B44">
          <w:rPr>
            <w:rStyle w:val="Hyperlink"/>
            <w:noProof/>
            <w:lang w:val="en-GB"/>
          </w:rPr>
          <w:t>Australia</w:t>
        </w:r>
        <w:r>
          <w:rPr>
            <w:noProof/>
            <w:webHidden/>
          </w:rPr>
          <w:tab/>
        </w:r>
        <w:r>
          <w:rPr>
            <w:noProof/>
            <w:webHidden/>
          </w:rPr>
          <w:fldChar w:fldCharType="begin"/>
        </w:r>
        <w:r>
          <w:rPr>
            <w:noProof/>
            <w:webHidden/>
          </w:rPr>
          <w:instrText xml:space="preserve"> PAGEREF _Toc229657255 \h </w:instrText>
        </w:r>
        <w:r>
          <w:rPr>
            <w:noProof/>
            <w:webHidden/>
          </w:rPr>
        </w:r>
        <w:r>
          <w:rPr>
            <w:noProof/>
            <w:webHidden/>
          </w:rPr>
          <w:fldChar w:fldCharType="separate"/>
        </w:r>
        <w:r w:rsidR="0011050E">
          <w:rPr>
            <w:noProof/>
            <w:webHidden/>
          </w:rPr>
          <w:t>17</w:t>
        </w:r>
        <w:r>
          <w:rPr>
            <w:noProof/>
            <w:webHidden/>
          </w:rPr>
          <w:fldChar w:fldCharType="end"/>
        </w:r>
      </w:hyperlink>
    </w:p>
    <w:p w14:paraId="492EE598" w14:textId="553A3D9F" w:rsidR="003670AD" w:rsidRPr="007B617C" w:rsidRDefault="003670AD" w:rsidP="007B617C">
      <w:pPr>
        <w:pStyle w:val="TOC2"/>
        <w:rPr>
          <w:noProof/>
        </w:rPr>
      </w:pPr>
      <w:hyperlink w:anchor="_Toc229657256" w:history="1">
        <w:r w:rsidRPr="00A21B44">
          <w:rPr>
            <w:rStyle w:val="Hyperlink"/>
            <w:noProof/>
            <w:lang w:val="en-GB"/>
          </w:rPr>
          <w:t>Current RSV immunisation recommendations in other countries</w:t>
        </w:r>
        <w:r>
          <w:rPr>
            <w:noProof/>
            <w:webHidden/>
          </w:rPr>
          <w:tab/>
        </w:r>
        <w:r>
          <w:rPr>
            <w:noProof/>
            <w:webHidden/>
          </w:rPr>
          <w:fldChar w:fldCharType="begin"/>
        </w:r>
        <w:r>
          <w:rPr>
            <w:noProof/>
            <w:webHidden/>
          </w:rPr>
          <w:instrText xml:space="preserve"> PAGEREF _Toc229657256 \h </w:instrText>
        </w:r>
        <w:r>
          <w:rPr>
            <w:noProof/>
            <w:webHidden/>
          </w:rPr>
        </w:r>
        <w:r>
          <w:rPr>
            <w:noProof/>
            <w:webHidden/>
          </w:rPr>
          <w:fldChar w:fldCharType="separate"/>
        </w:r>
        <w:r w:rsidR="0011050E">
          <w:rPr>
            <w:noProof/>
            <w:webHidden/>
          </w:rPr>
          <w:t>19</w:t>
        </w:r>
        <w:r>
          <w:rPr>
            <w:noProof/>
            <w:webHidden/>
          </w:rPr>
          <w:fldChar w:fldCharType="end"/>
        </w:r>
      </w:hyperlink>
    </w:p>
    <w:p w14:paraId="272AD941" w14:textId="58AAC3CD" w:rsidR="003670AD" w:rsidRPr="007B617C" w:rsidRDefault="003670AD">
      <w:pPr>
        <w:pStyle w:val="TOC1"/>
        <w:rPr>
          <w:noProof/>
        </w:rPr>
      </w:pPr>
      <w:hyperlink w:anchor="_Toc229657257" w:history="1">
        <w:r w:rsidRPr="00A21B44">
          <w:rPr>
            <w:rStyle w:val="Hyperlink"/>
            <w:noProof/>
          </w:rPr>
          <w:t>Anticipated issues and information gaps/needs</w:t>
        </w:r>
        <w:r>
          <w:rPr>
            <w:noProof/>
            <w:webHidden/>
          </w:rPr>
          <w:tab/>
        </w:r>
        <w:r>
          <w:rPr>
            <w:noProof/>
            <w:webHidden/>
          </w:rPr>
          <w:fldChar w:fldCharType="begin"/>
        </w:r>
        <w:r>
          <w:rPr>
            <w:noProof/>
            <w:webHidden/>
          </w:rPr>
          <w:instrText xml:space="preserve"> PAGEREF _Toc229657257 \h </w:instrText>
        </w:r>
        <w:r>
          <w:rPr>
            <w:noProof/>
            <w:webHidden/>
          </w:rPr>
        </w:r>
        <w:r>
          <w:rPr>
            <w:noProof/>
            <w:webHidden/>
          </w:rPr>
          <w:fldChar w:fldCharType="separate"/>
        </w:r>
        <w:r w:rsidR="0011050E">
          <w:rPr>
            <w:noProof/>
            <w:webHidden/>
          </w:rPr>
          <w:t>22</w:t>
        </w:r>
        <w:r>
          <w:rPr>
            <w:noProof/>
            <w:webHidden/>
          </w:rPr>
          <w:fldChar w:fldCharType="end"/>
        </w:r>
      </w:hyperlink>
    </w:p>
    <w:p w14:paraId="31DD4EB5" w14:textId="21DECE7E" w:rsidR="003670AD" w:rsidRPr="007B617C" w:rsidRDefault="003670AD" w:rsidP="007B617C">
      <w:pPr>
        <w:pStyle w:val="TOC2"/>
        <w:rPr>
          <w:noProof/>
        </w:rPr>
      </w:pPr>
      <w:hyperlink w:anchor="_Toc229657258" w:history="1">
        <w:r w:rsidRPr="00A21B44">
          <w:rPr>
            <w:rStyle w:val="Hyperlink"/>
            <w:noProof/>
            <w:lang w:val="en-GB"/>
          </w:rPr>
          <w:t>Need for robust data on the disease burden in older adults</w:t>
        </w:r>
        <w:r>
          <w:rPr>
            <w:noProof/>
            <w:webHidden/>
          </w:rPr>
          <w:tab/>
        </w:r>
        <w:r>
          <w:rPr>
            <w:noProof/>
            <w:webHidden/>
          </w:rPr>
          <w:fldChar w:fldCharType="begin"/>
        </w:r>
        <w:r>
          <w:rPr>
            <w:noProof/>
            <w:webHidden/>
          </w:rPr>
          <w:instrText xml:space="preserve"> PAGEREF _Toc229657258 \h </w:instrText>
        </w:r>
        <w:r>
          <w:rPr>
            <w:noProof/>
            <w:webHidden/>
          </w:rPr>
        </w:r>
        <w:r>
          <w:rPr>
            <w:noProof/>
            <w:webHidden/>
          </w:rPr>
          <w:fldChar w:fldCharType="separate"/>
        </w:r>
        <w:r w:rsidR="0011050E">
          <w:rPr>
            <w:noProof/>
            <w:webHidden/>
          </w:rPr>
          <w:t>22</w:t>
        </w:r>
        <w:r>
          <w:rPr>
            <w:noProof/>
            <w:webHidden/>
          </w:rPr>
          <w:fldChar w:fldCharType="end"/>
        </w:r>
      </w:hyperlink>
    </w:p>
    <w:p w14:paraId="12214328" w14:textId="6DFE048F" w:rsidR="003670AD" w:rsidRPr="007B617C" w:rsidRDefault="003670AD" w:rsidP="007B617C">
      <w:pPr>
        <w:pStyle w:val="TOC2"/>
        <w:rPr>
          <w:noProof/>
        </w:rPr>
      </w:pPr>
      <w:hyperlink w:anchor="_Toc229657259" w:history="1">
        <w:r w:rsidRPr="00A21B44">
          <w:rPr>
            <w:rStyle w:val="Hyperlink"/>
            <w:noProof/>
            <w:lang w:val="en-GB"/>
          </w:rPr>
          <w:t>Need for strengthened disease and safety surveillance and program monitoring</w:t>
        </w:r>
        <w:r>
          <w:rPr>
            <w:noProof/>
            <w:webHidden/>
          </w:rPr>
          <w:tab/>
        </w:r>
        <w:r>
          <w:rPr>
            <w:noProof/>
            <w:webHidden/>
          </w:rPr>
          <w:fldChar w:fldCharType="begin"/>
        </w:r>
        <w:r>
          <w:rPr>
            <w:noProof/>
            <w:webHidden/>
          </w:rPr>
          <w:instrText xml:space="preserve"> PAGEREF _Toc229657259 \h </w:instrText>
        </w:r>
        <w:r>
          <w:rPr>
            <w:noProof/>
            <w:webHidden/>
          </w:rPr>
        </w:r>
        <w:r>
          <w:rPr>
            <w:noProof/>
            <w:webHidden/>
          </w:rPr>
          <w:fldChar w:fldCharType="separate"/>
        </w:r>
        <w:r w:rsidR="0011050E">
          <w:rPr>
            <w:noProof/>
            <w:webHidden/>
          </w:rPr>
          <w:t>22</w:t>
        </w:r>
        <w:r>
          <w:rPr>
            <w:noProof/>
            <w:webHidden/>
          </w:rPr>
          <w:fldChar w:fldCharType="end"/>
        </w:r>
      </w:hyperlink>
    </w:p>
    <w:p w14:paraId="211A215C" w14:textId="6FAD7932" w:rsidR="003670AD" w:rsidRPr="007B617C" w:rsidRDefault="003670AD" w:rsidP="007B617C">
      <w:pPr>
        <w:pStyle w:val="TOC2"/>
        <w:rPr>
          <w:noProof/>
        </w:rPr>
      </w:pPr>
      <w:hyperlink w:anchor="_Toc229657260" w:history="1">
        <w:r w:rsidRPr="00A21B44">
          <w:rPr>
            <w:rStyle w:val="Hyperlink"/>
            <w:noProof/>
            <w:lang w:val="en-GB"/>
          </w:rPr>
          <w:t>Monitoring immunisation coverage</w:t>
        </w:r>
        <w:r>
          <w:rPr>
            <w:noProof/>
            <w:webHidden/>
          </w:rPr>
          <w:tab/>
        </w:r>
        <w:r>
          <w:rPr>
            <w:noProof/>
            <w:webHidden/>
          </w:rPr>
          <w:fldChar w:fldCharType="begin"/>
        </w:r>
        <w:r>
          <w:rPr>
            <w:noProof/>
            <w:webHidden/>
          </w:rPr>
          <w:instrText xml:space="preserve"> PAGEREF _Toc229657260 \h </w:instrText>
        </w:r>
        <w:r>
          <w:rPr>
            <w:noProof/>
            <w:webHidden/>
          </w:rPr>
        </w:r>
        <w:r>
          <w:rPr>
            <w:noProof/>
            <w:webHidden/>
          </w:rPr>
          <w:fldChar w:fldCharType="separate"/>
        </w:r>
        <w:r w:rsidR="0011050E">
          <w:rPr>
            <w:noProof/>
            <w:webHidden/>
          </w:rPr>
          <w:t>23</w:t>
        </w:r>
        <w:r>
          <w:rPr>
            <w:noProof/>
            <w:webHidden/>
          </w:rPr>
          <w:fldChar w:fldCharType="end"/>
        </w:r>
      </w:hyperlink>
    </w:p>
    <w:p w14:paraId="027E995F" w14:textId="017F74DE" w:rsidR="003670AD" w:rsidRPr="007B617C" w:rsidRDefault="003670AD" w:rsidP="007B617C">
      <w:pPr>
        <w:pStyle w:val="TOC2"/>
        <w:rPr>
          <w:noProof/>
        </w:rPr>
      </w:pPr>
      <w:hyperlink w:anchor="_Toc229657261" w:history="1">
        <w:r w:rsidRPr="00A21B44">
          <w:rPr>
            <w:rStyle w:val="Hyperlink"/>
            <w:noProof/>
            <w:lang w:val="en-GB"/>
          </w:rPr>
          <w:t>Other future considerations for RSV immunisation</w:t>
        </w:r>
        <w:r>
          <w:rPr>
            <w:noProof/>
            <w:webHidden/>
          </w:rPr>
          <w:tab/>
        </w:r>
        <w:r>
          <w:rPr>
            <w:noProof/>
            <w:webHidden/>
          </w:rPr>
          <w:fldChar w:fldCharType="begin"/>
        </w:r>
        <w:r>
          <w:rPr>
            <w:noProof/>
            <w:webHidden/>
          </w:rPr>
          <w:instrText xml:space="preserve"> PAGEREF _Toc229657261 \h </w:instrText>
        </w:r>
        <w:r>
          <w:rPr>
            <w:noProof/>
            <w:webHidden/>
          </w:rPr>
        </w:r>
        <w:r>
          <w:rPr>
            <w:noProof/>
            <w:webHidden/>
          </w:rPr>
          <w:fldChar w:fldCharType="separate"/>
        </w:r>
        <w:r w:rsidR="0011050E">
          <w:rPr>
            <w:noProof/>
            <w:webHidden/>
          </w:rPr>
          <w:t>23</w:t>
        </w:r>
        <w:r>
          <w:rPr>
            <w:noProof/>
            <w:webHidden/>
          </w:rPr>
          <w:fldChar w:fldCharType="end"/>
        </w:r>
      </w:hyperlink>
    </w:p>
    <w:p w14:paraId="4DCE87E9" w14:textId="1E4DD4AE" w:rsidR="003670AD" w:rsidRPr="007B617C" w:rsidRDefault="003670AD">
      <w:pPr>
        <w:pStyle w:val="TOC1"/>
        <w:rPr>
          <w:noProof/>
        </w:rPr>
      </w:pPr>
      <w:hyperlink w:anchor="_Toc229657262" w:history="1">
        <w:r w:rsidRPr="00A21B44">
          <w:rPr>
            <w:rStyle w:val="Hyperlink"/>
            <w:noProof/>
          </w:rPr>
          <w:t>Acknowledgments</w:t>
        </w:r>
        <w:r>
          <w:rPr>
            <w:noProof/>
            <w:webHidden/>
          </w:rPr>
          <w:tab/>
        </w:r>
        <w:r>
          <w:rPr>
            <w:noProof/>
            <w:webHidden/>
          </w:rPr>
          <w:fldChar w:fldCharType="begin"/>
        </w:r>
        <w:r>
          <w:rPr>
            <w:noProof/>
            <w:webHidden/>
          </w:rPr>
          <w:instrText xml:space="preserve"> PAGEREF _Toc229657262 \h </w:instrText>
        </w:r>
        <w:r>
          <w:rPr>
            <w:noProof/>
            <w:webHidden/>
          </w:rPr>
        </w:r>
        <w:r>
          <w:rPr>
            <w:noProof/>
            <w:webHidden/>
          </w:rPr>
          <w:fldChar w:fldCharType="separate"/>
        </w:r>
        <w:r w:rsidR="0011050E">
          <w:rPr>
            <w:noProof/>
            <w:webHidden/>
          </w:rPr>
          <w:t>24</w:t>
        </w:r>
        <w:r>
          <w:rPr>
            <w:noProof/>
            <w:webHidden/>
          </w:rPr>
          <w:fldChar w:fldCharType="end"/>
        </w:r>
      </w:hyperlink>
    </w:p>
    <w:p w14:paraId="0740CA8B" w14:textId="2A837288" w:rsidR="003670AD" w:rsidRPr="007B617C" w:rsidRDefault="003670AD">
      <w:pPr>
        <w:pStyle w:val="TOC1"/>
        <w:rPr>
          <w:noProof/>
        </w:rPr>
      </w:pPr>
      <w:hyperlink w:anchor="_Toc229657263" w:history="1">
        <w:r w:rsidRPr="00A21B44">
          <w:rPr>
            <w:rStyle w:val="Hyperlink"/>
            <w:noProof/>
          </w:rPr>
          <w:t>Author details</w:t>
        </w:r>
        <w:r>
          <w:rPr>
            <w:noProof/>
            <w:webHidden/>
          </w:rPr>
          <w:tab/>
        </w:r>
        <w:r>
          <w:rPr>
            <w:noProof/>
            <w:webHidden/>
          </w:rPr>
          <w:fldChar w:fldCharType="begin"/>
        </w:r>
        <w:r>
          <w:rPr>
            <w:noProof/>
            <w:webHidden/>
          </w:rPr>
          <w:instrText xml:space="preserve"> PAGEREF _Toc229657263 \h </w:instrText>
        </w:r>
        <w:r>
          <w:rPr>
            <w:noProof/>
            <w:webHidden/>
          </w:rPr>
        </w:r>
        <w:r>
          <w:rPr>
            <w:noProof/>
            <w:webHidden/>
          </w:rPr>
          <w:fldChar w:fldCharType="separate"/>
        </w:r>
        <w:r w:rsidR="0011050E">
          <w:rPr>
            <w:noProof/>
            <w:webHidden/>
          </w:rPr>
          <w:t>25</w:t>
        </w:r>
        <w:r>
          <w:rPr>
            <w:noProof/>
            <w:webHidden/>
          </w:rPr>
          <w:fldChar w:fldCharType="end"/>
        </w:r>
      </w:hyperlink>
    </w:p>
    <w:p w14:paraId="5BA6F941" w14:textId="5DAF95FC" w:rsidR="003670AD" w:rsidRPr="007B617C" w:rsidRDefault="003670AD">
      <w:pPr>
        <w:pStyle w:val="TOC1"/>
        <w:rPr>
          <w:noProof/>
        </w:rPr>
      </w:pPr>
      <w:hyperlink w:anchor="_Toc229657264" w:history="1">
        <w:r w:rsidRPr="00A21B44">
          <w:rPr>
            <w:rStyle w:val="Hyperlink"/>
            <w:noProof/>
          </w:rPr>
          <w:t>References</w:t>
        </w:r>
        <w:r>
          <w:rPr>
            <w:noProof/>
            <w:webHidden/>
          </w:rPr>
          <w:tab/>
        </w:r>
        <w:r>
          <w:rPr>
            <w:noProof/>
            <w:webHidden/>
          </w:rPr>
          <w:fldChar w:fldCharType="begin"/>
        </w:r>
        <w:r>
          <w:rPr>
            <w:noProof/>
            <w:webHidden/>
          </w:rPr>
          <w:instrText xml:space="preserve"> PAGEREF _Toc229657264 \h </w:instrText>
        </w:r>
        <w:r>
          <w:rPr>
            <w:noProof/>
            <w:webHidden/>
          </w:rPr>
        </w:r>
        <w:r>
          <w:rPr>
            <w:noProof/>
            <w:webHidden/>
          </w:rPr>
          <w:fldChar w:fldCharType="separate"/>
        </w:r>
        <w:r w:rsidR="0011050E">
          <w:rPr>
            <w:noProof/>
            <w:webHidden/>
          </w:rPr>
          <w:t>27</w:t>
        </w:r>
        <w:r>
          <w:rPr>
            <w:noProof/>
            <w:webHidden/>
          </w:rPr>
          <w:fldChar w:fldCharType="end"/>
        </w:r>
      </w:hyperlink>
    </w:p>
    <w:p w14:paraId="62F7F140" w14:textId="2FB52CBF" w:rsidR="00F216F0" w:rsidRPr="00F216F0" w:rsidRDefault="005A4E9D" w:rsidP="00F216F0">
      <w:r>
        <w:rPr>
          <w:rFonts w:eastAsiaTheme="minorHAnsi" w:cstheme="minorHAnsi"/>
          <w:szCs w:val="24"/>
          <w:lang w:eastAsia="en-US"/>
        </w:rPr>
        <w:fldChar w:fldCharType="end"/>
      </w:r>
    </w:p>
    <w:p w14:paraId="02DBEE67" w14:textId="77777777" w:rsidR="00F25C00" w:rsidRDefault="0098426C" w:rsidP="00A24E95">
      <w:pPr>
        <w:pStyle w:val="Heading1"/>
      </w:pPr>
      <w:bookmarkStart w:id="8" w:name="_Toc195530498"/>
      <w:bookmarkStart w:id="9" w:name="_Toc229657240"/>
      <w:bookmarkEnd w:id="7"/>
      <w:r>
        <w:t>Abstract</w:t>
      </w:r>
      <w:bookmarkEnd w:id="8"/>
      <w:bookmarkEnd w:id="9"/>
    </w:p>
    <w:p w14:paraId="268D2AC2" w14:textId="77777777" w:rsidR="00BA61E3" w:rsidRPr="00BA61E3" w:rsidRDefault="00BA61E3" w:rsidP="00BA61E3">
      <w:pPr>
        <w:pStyle w:val="Normal-Opening"/>
        <w:rPr>
          <w:lang w:val="en-GB"/>
        </w:rPr>
      </w:pPr>
      <w:r w:rsidRPr="00BA61E3">
        <w:rPr>
          <w:lang w:val="en-GB"/>
        </w:rPr>
        <w:t>Respiratory syncytial virus (RSV) causes lower respiratory tract infection and severe disease, particularly in infants, and is increasingly recognised as a cause of major morbidity and mortality in the elderly. Several new vaccines aim to address the disease burden at both extremes of the age spectrum. Immunisation using a long-acting monoclonal antibody is also available for infants and young children. In 2025, a comprehensive RSV maternal and infant protection program commenced with a nationally coordinated maternal RSV vaccination in pregnancy on the National Immunisation Program and long-acting monoclonal antibody for infants and children funded by states and territories.</w:t>
      </w:r>
    </w:p>
    <w:p w14:paraId="10AE2853" w14:textId="77777777" w:rsidR="00BA61E3" w:rsidRPr="00BA61E3" w:rsidRDefault="00BA61E3" w:rsidP="00BA61E3">
      <w:pPr>
        <w:pStyle w:val="Normal-morespaceafter"/>
        <w:rPr>
          <w:lang w:val="en-GB"/>
        </w:rPr>
      </w:pPr>
      <w:r w:rsidRPr="00BA61E3">
        <w:rPr>
          <w:lang w:val="en-GB"/>
        </w:rPr>
        <w:t xml:space="preserve">This targeted review outlines the Australian Technical Advisory Group on Immunisation’s considerations and the evidence informing policy decisions on an RSV prevention strategy for Australia. Review of the burden of RSV disease in Australia indicates specific populations which would derive the most benefit from effective immunisation, including the very young; the elderly; First Nations people; and those with underlying medical risk factors. However, some data gaps exist in our understanding of RSV disease, particularly non-hospitalised disease and disease in adult age groups. The available evidence points to promising efficacy, against severe RSV disease, of three RSV vaccines in older adults, as well as the single available vaccine for use in pregnancy for protecting infants in the first six months of life. A long-acting RSV-specific monoclonal antibody, nirsevimab, has been highly effective in young infants in early assessments; however, there is a need to accumulate more information as these products expand in use. For RSV vaccines, there is a need to monitor duration of protection and safety, to inform the need for repeat vaccine doses in older adults and in subsequent pregnancies. As RSV immunisation involves new vaccines and monoclonal antibodies, it is important that a robust program monitoring and evaluation plan is put in place, to optimise assessment of vaccine uptake, patient acceptance and the impact of the interventions on RSV disease, with appropriate safety monitoring to facilitate public confidence in the immunisation program. </w:t>
      </w:r>
    </w:p>
    <w:p w14:paraId="1A2BD34E" w14:textId="58BF0CA5" w:rsidR="00B73144" w:rsidRDefault="00B73144" w:rsidP="00E61A68">
      <w:pPr>
        <w:pStyle w:val="CDIBoxText"/>
        <w:rPr>
          <w:lang w:val="en-GB"/>
        </w:rPr>
      </w:pPr>
      <w:r w:rsidRPr="00E61A68">
        <w:t>Keywords</w:t>
      </w:r>
      <w:r w:rsidR="00BF1476">
        <w:t xml:space="preserve">: </w:t>
      </w:r>
      <w:r w:rsidR="00BA61E3" w:rsidRPr="00BA61E3">
        <w:t>respiratory syncytial virus (RSV); Australian Technical Advisory Group on Immunisation (ATAGI); National Immunisation Technical Advisory Group (NITAG); immunisation; Australia</w:t>
      </w:r>
    </w:p>
    <w:p w14:paraId="1E561381" w14:textId="77777777" w:rsidR="0037146D" w:rsidRDefault="00B73144" w:rsidP="00B73144">
      <w:pPr>
        <w:pStyle w:val="Heading1"/>
      </w:pPr>
      <w:bookmarkStart w:id="10" w:name="_Toc195530501"/>
      <w:bookmarkStart w:id="11" w:name="_Toc229657241"/>
      <w:r>
        <w:t>Introduction</w:t>
      </w:r>
      <w:bookmarkEnd w:id="10"/>
      <w:bookmarkEnd w:id="11"/>
    </w:p>
    <w:p w14:paraId="2477F002" w14:textId="77777777" w:rsidR="00BA61E3" w:rsidRPr="00BA61E3" w:rsidRDefault="00BA61E3" w:rsidP="00367D5A">
      <w:pPr>
        <w:pStyle w:val="Normal-Opening"/>
        <w:rPr>
          <w:lang w:val="en-GB"/>
        </w:rPr>
      </w:pPr>
      <w:r w:rsidRPr="00BA61E3">
        <w:rPr>
          <w:lang w:val="en-GB"/>
        </w:rPr>
        <w:t>Respiratory syncytial virus (RSV) is a leading cause of lower respiratory tract infections (LRTI) and hospitalisation in young children. More recently it is also recognised as a significant cause of illness among adults. RSV infection generally results in a mild self-limiting illness; however, in vulnerable populations, it can be severe. The populations at particularly increased risk of severe RSV disease and associated death include young infants, especially those born preterm; older adults; and individuals with certain underlying medical conditions, as listed in the Australian Immunisation Handbook.</w:t>
      </w:r>
      <w:r w:rsidRPr="00BA61E3">
        <w:rPr>
          <w:vertAlign w:val="superscript"/>
          <w:lang w:val="en-GB"/>
        </w:rPr>
        <w:t>1–3</w:t>
      </w:r>
      <w:r w:rsidRPr="00BA61E3">
        <w:rPr>
          <w:lang w:val="en-GB"/>
        </w:rPr>
        <w:t xml:space="preserve"> Despite RSV infections resulting in substantial morbidity and mortality for society, until very recently, palivizumab, an RSV monoclonal antibody preparation for passive immunisation of high-risk infants, was the only available pharmacological prevention strategy. Due to its cost and the need for monthly administration during the RSV season, the use of palivizumab has been limited to infants at the highest risk of severe RSV through state or hospital-funded programs in Australia.</w:t>
      </w:r>
      <w:r w:rsidRPr="00BA61E3">
        <w:rPr>
          <w:vertAlign w:val="superscript"/>
          <w:lang w:val="en-GB"/>
        </w:rPr>
        <w:t>4</w:t>
      </w:r>
      <w:r w:rsidRPr="00BA61E3">
        <w:rPr>
          <w:lang w:val="en-GB"/>
        </w:rPr>
        <w:t xml:space="preserve"> </w:t>
      </w:r>
    </w:p>
    <w:p w14:paraId="283F3287" w14:textId="77777777" w:rsidR="00BA61E3" w:rsidRPr="00BA61E3" w:rsidRDefault="00BA61E3" w:rsidP="00BA61E3">
      <w:pPr>
        <w:rPr>
          <w:lang w:val="en-GB"/>
        </w:rPr>
      </w:pPr>
      <w:r w:rsidRPr="00BA61E3">
        <w:rPr>
          <w:lang w:val="en-GB"/>
        </w:rPr>
        <w:t>Since late 2023, three new RSV vaccines have been registered for use in adults aged 60 years and older, with one of these vaccines (</w:t>
      </w:r>
      <w:proofErr w:type="spellStart"/>
      <w:r w:rsidRPr="00BA61E3">
        <w:rPr>
          <w:lang w:val="en-GB"/>
        </w:rPr>
        <w:t>Arexvy</w:t>
      </w:r>
      <w:proofErr w:type="spellEnd"/>
      <w:r w:rsidRPr="00BA61E3">
        <w:rPr>
          <w:lang w:val="en-GB"/>
        </w:rPr>
        <w:t xml:space="preserve">, GSK) also indicated for adults aged 50–59 years with conditions which increase the risk of severe disease, and another (Abrysvo, Pfizer) for vaccination during pregnancy to protect infants in the first six months of life. A </w:t>
      </w:r>
      <w:r w:rsidRPr="00BA61E3">
        <w:rPr>
          <w:i/>
          <w:iCs/>
          <w:lang w:val="en-GB"/>
        </w:rPr>
        <w:t>long-acting</w:t>
      </w:r>
      <w:r w:rsidRPr="00BA61E3">
        <w:rPr>
          <w:lang w:val="en-GB"/>
        </w:rPr>
        <w:t xml:space="preserve"> monoclonal antibody (nirsevimab [</w:t>
      </w:r>
      <w:proofErr w:type="spellStart"/>
      <w:r w:rsidRPr="00BA61E3">
        <w:rPr>
          <w:lang w:val="en-GB"/>
        </w:rPr>
        <w:t>Beyfortus</w:t>
      </w:r>
      <w:proofErr w:type="spellEnd"/>
      <w:r w:rsidRPr="00BA61E3">
        <w:rPr>
          <w:lang w:val="en-GB"/>
        </w:rPr>
        <w:t xml:space="preserve">], Sanofi) has also been registered to protect both infants and selected high-risk children in the second year of life via passive immunisation. Some states and territories (i.e. Queensland, New South Wales, the Australian Capital Territory, Tasmania, and Western Australia) commenced </w:t>
      </w:r>
      <w:proofErr w:type="gramStart"/>
      <w:r w:rsidRPr="00BA61E3">
        <w:rPr>
          <w:lang w:val="en-GB"/>
        </w:rPr>
        <w:t>jurisdictionally-funded</w:t>
      </w:r>
      <w:proofErr w:type="gramEnd"/>
      <w:r w:rsidRPr="00BA61E3">
        <w:rPr>
          <w:lang w:val="en-GB"/>
        </w:rPr>
        <w:t xml:space="preserve"> nirsevimab immunisation programs for the 2024 RSV season.</w:t>
      </w:r>
    </w:p>
    <w:p w14:paraId="1B82288E" w14:textId="77777777" w:rsidR="00BA61E3" w:rsidRPr="00BA61E3" w:rsidRDefault="00BA61E3" w:rsidP="00BA61E3">
      <w:pPr>
        <w:rPr>
          <w:lang w:val="en-GB"/>
        </w:rPr>
      </w:pPr>
      <w:r w:rsidRPr="00BA61E3">
        <w:rPr>
          <w:lang w:val="en-GB"/>
        </w:rPr>
        <w:t>The availability of these RSV immunisation products facilitates potential implementation of a broad and effective strategy for RSV prevention among vulnerable populations. Throughout 2023 and 2024, the Australian Technical Advisory Group on Immunisation (ATAGI) worked extensively to inform RSV prevention policy and program advice. In June 2024, ATAGI first published recommendations on the use of RSV immunisation products in the Australian Immunisation Handbook, following interim statements on one adult RSV vaccine and on nirsevimab, respectively, earlier in 2024.</w:t>
      </w:r>
      <w:r w:rsidRPr="00BA61E3">
        <w:rPr>
          <w:vertAlign w:val="superscript"/>
          <w:lang w:val="en-GB"/>
        </w:rPr>
        <w:t>3</w:t>
      </w:r>
      <w:r w:rsidRPr="00BA61E3">
        <w:rPr>
          <w:lang w:val="en-GB"/>
        </w:rPr>
        <w:t xml:space="preserve"> In 2025, the National RSV Maternal and Infant Protection Program (RSV-MIPP) commenced, providing a comprehensive approach to infant RSV prevention, and combining maternal vaccination using Abrysvo in pregnancy on the National Immunisation Program (NIP) and state- and territory-funded long-acting monoclonal antibody programs for infants and children. </w:t>
      </w:r>
    </w:p>
    <w:p w14:paraId="6737103B" w14:textId="76DFFC62" w:rsidR="00AC46DC" w:rsidRPr="00AC46DC" w:rsidRDefault="00BA61E3" w:rsidP="00AC46DC">
      <w:r w:rsidRPr="00BA61E3">
        <w:rPr>
          <w:lang w:val="en-GB"/>
        </w:rPr>
        <w:t xml:space="preserve">This ATAGI Targeted Review aims to summarise the evidence, underpinning the current ATAGI recommendations for relevant target Australian populations, on the need and the potential benefit of an RSV immunisation program. This review also highlights the current RSV immunisation recommendations internationally, </w:t>
      </w:r>
      <w:proofErr w:type="gramStart"/>
      <w:r w:rsidRPr="00BA61E3">
        <w:rPr>
          <w:lang w:val="en-GB"/>
        </w:rPr>
        <w:t>in particular in</w:t>
      </w:r>
      <w:proofErr w:type="gramEnd"/>
      <w:r w:rsidRPr="00BA61E3">
        <w:rPr>
          <w:lang w:val="en-GB"/>
        </w:rPr>
        <w:t xml:space="preserve"> the United States of America (USA) and the United Kingdom (UK) which have either already initiated or plan to implement population-based programs. The potential future directions of the Australian RSV immunisation program are also outlined in the review. This report reflects information available up to early July 2025.</w:t>
      </w:r>
    </w:p>
    <w:p w14:paraId="46769581" w14:textId="181AA99C" w:rsidR="00A24E95" w:rsidRDefault="00367D5A" w:rsidP="00B73144">
      <w:pPr>
        <w:pStyle w:val="Heading1"/>
        <w:rPr>
          <w:lang w:val="en-GB"/>
        </w:rPr>
      </w:pPr>
      <w:bookmarkStart w:id="12" w:name="_Toc229657242"/>
      <w:r>
        <w:rPr>
          <w:lang w:val="en-GB"/>
        </w:rPr>
        <w:t>RSV epidemiology in Australia</w:t>
      </w:r>
      <w:bookmarkEnd w:id="12"/>
    </w:p>
    <w:p w14:paraId="049A2A08" w14:textId="77777777" w:rsidR="00367D5A" w:rsidRPr="00367D5A" w:rsidRDefault="00367D5A" w:rsidP="00367D5A">
      <w:pPr>
        <w:pStyle w:val="Heading2"/>
        <w:rPr>
          <w:lang w:val="en-GB"/>
        </w:rPr>
      </w:pPr>
      <w:bookmarkStart w:id="13" w:name="_Toc229657243"/>
      <w:r w:rsidRPr="00367D5A">
        <w:rPr>
          <w:lang w:val="en-GB"/>
        </w:rPr>
        <w:t>Overview of RSV epidemiology in Australia</w:t>
      </w:r>
      <w:bookmarkEnd w:id="13"/>
    </w:p>
    <w:p w14:paraId="294B2935" w14:textId="0ECCB9AA" w:rsidR="00367D5A" w:rsidRDefault="00367D5A" w:rsidP="00367D5A">
      <w:pPr>
        <w:rPr>
          <w:vertAlign w:val="superscript"/>
          <w:lang w:val="en-GB"/>
        </w:rPr>
      </w:pPr>
      <w:r w:rsidRPr="00367D5A">
        <w:rPr>
          <w:lang w:val="en-GB"/>
        </w:rPr>
        <w:t>Table 1 summarises age-specific RSV hospitalisation rates in Australia derived from a range of population-based published and unpublished data sources. The annual rate of RSV-associated hospitalisations is highest in infants aged &lt; 3 months and declines thereafter with age, until the age of 50–65 years after which rates progressively increase.</w:t>
      </w:r>
      <w:r w:rsidRPr="00367D5A">
        <w:rPr>
          <w:vertAlign w:val="superscript"/>
          <w:lang w:val="en-GB"/>
        </w:rPr>
        <w:t>5-8</w:t>
      </w:r>
      <w:r w:rsidRPr="00367D5A">
        <w:rPr>
          <w:lang w:val="en-GB"/>
        </w:rPr>
        <w:t xml:space="preserve"> An analysis by the National Centre for Immunisation Research and Surveillance (NCIRS) using the Australian Institute of Health and Welfare National Hospital Morbidity Database (AIHW NHMD) records (Table 1) showed that in the period of 2016–2019, approximately 50% of the total RSV-coded hospitalisations (</w:t>
      </w:r>
      <w:r w:rsidRPr="00367D5A">
        <w:rPr>
          <w:i/>
          <w:iCs/>
          <w:lang w:val="en-GB"/>
        </w:rPr>
        <w:t>International Classification of Diseases</w:t>
      </w:r>
      <w:r w:rsidRPr="00367D5A">
        <w:rPr>
          <w:lang w:val="en-GB"/>
        </w:rPr>
        <w:t xml:space="preserve"> [ICD], </w:t>
      </w:r>
      <w:r w:rsidRPr="00367D5A">
        <w:rPr>
          <w:i/>
          <w:iCs/>
          <w:lang w:val="en-GB"/>
        </w:rPr>
        <w:t>tenth revision</w:t>
      </w:r>
      <w:r w:rsidRPr="00367D5A">
        <w:rPr>
          <w:lang w:val="en-GB"/>
        </w:rPr>
        <w:t xml:space="preserve">, </w:t>
      </w:r>
      <w:r w:rsidRPr="00367D5A">
        <w:rPr>
          <w:i/>
          <w:iCs/>
          <w:lang w:val="en-GB"/>
        </w:rPr>
        <w:t>Australian modification</w:t>
      </w:r>
      <w:r w:rsidRPr="00367D5A">
        <w:rPr>
          <w:lang w:val="en-GB"/>
        </w:rPr>
        <w:t xml:space="preserve"> codes for RSV pneumonia [J12.1], RSV bronchitis [J20.5], RSV bronchiolitis [J21.0], and RSV organisms [B97.4]) in Australia occurred in young children aged &lt; 24 months; the annual rate was highest in infants aged &lt;</w:t>
      </w:r>
      <w:r>
        <w:rPr>
          <w:lang w:val="en-GB"/>
        </w:rPr>
        <w:t> </w:t>
      </w:r>
      <w:r w:rsidRPr="00367D5A">
        <w:rPr>
          <w:lang w:val="en-GB"/>
        </w:rPr>
        <w:t>3</w:t>
      </w:r>
      <w:r>
        <w:rPr>
          <w:lang w:val="en-GB"/>
        </w:rPr>
        <w:t> </w:t>
      </w:r>
      <w:r w:rsidRPr="00367D5A">
        <w:rPr>
          <w:lang w:val="en-GB"/>
        </w:rPr>
        <w:t>months at 4,014 per 100,000 population. While the RSV-associated hospitalisation rate is highest in young infants, the annual in-hospital case fatality rate for RSV hospitalisations was highest in older adults. A similar pattern in RSV hospitalisation and mortality by age is reported in a global review of RSV disease burden.</w:t>
      </w:r>
      <w:r w:rsidRPr="00367D5A">
        <w:rPr>
          <w:vertAlign w:val="superscript"/>
          <w:lang w:val="en-GB"/>
        </w:rPr>
        <w:t>9</w:t>
      </w:r>
    </w:p>
    <w:p w14:paraId="73E5D283" w14:textId="77777777" w:rsidR="00367D5A" w:rsidRDefault="00367D5A" w:rsidP="00367D5A">
      <w:pPr>
        <w:rPr>
          <w:lang w:val="en-GB"/>
        </w:rPr>
        <w:sectPr w:rsidR="00367D5A" w:rsidSect="001E3ECB">
          <w:headerReference w:type="even" r:id="rId18"/>
          <w:footerReference w:type="even" r:id="rId19"/>
          <w:footerReference w:type="default" r:id="rId20"/>
          <w:headerReference w:type="first" r:id="rId21"/>
          <w:footerReference w:type="first" r:id="rId22"/>
          <w:footnotePr>
            <w:numFmt w:val="lowerRoman"/>
          </w:footnotePr>
          <w:pgSz w:w="11907" w:h="16840" w:code="9"/>
          <w:pgMar w:top="1134" w:right="1134" w:bottom="1134" w:left="1134" w:header="709" w:footer="567" w:gutter="0"/>
          <w:cols w:space="708"/>
          <w:docGrid w:linePitch="360"/>
        </w:sectPr>
      </w:pPr>
      <w:r w:rsidRPr="00367D5A">
        <w:rPr>
          <w:lang w:val="en-GB"/>
        </w:rPr>
        <w:t>Before the coronavirus disease 2019 (COVID-19) pandemic commenced in early 2020, RSV activity in most areas of Australia had a distinct annual epidemic pattern through autumn and winter that peaked in June–July. This seasonality was less pronounced in the Northern Territory.</w:t>
      </w:r>
      <w:r w:rsidRPr="00367D5A">
        <w:rPr>
          <w:vertAlign w:val="superscript"/>
          <w:lang w:val="en-GB"/>
        </w:rPr>
        <w:t>10</w:t>
      </w:r>
      <w:r w:rsidRPr="00367D5A">
        <w:rPr>
          <w:lang w:val="en-GB"/>
        </w:rPr>
        <w:t xml:space="preserve"> As observed in other countries, during the 2020–2021 COVID-19 pandemic years, RSV activity in Australia declined considerably, largely eliminating the normal seasonal pattern. While RSV became a notifiable condition across Australia under the National Notifiable Diseases Surveillance System (NNDSS) in 2021, variable implementation by states and territories has meant that the data are considered complete only from 2023 onwards. Nevertheless, available data from 2022–2023 national laboratory-confirmed RSV notifications suggest a return towards the pre-pandemic seasonality pattern following the relaxation of COVID-19 travel restrictions and non-pharmacological interventions. </w:t>
      </w:r>
    </w:p>
    <w:p w14:paraId="4378A7DA" w14:textId="77777777" w:rsidR="00367D5A" w:rsidRPr="00367D5A" w:rsidRDefault="00367D5A" w:rsidP="00367D5A">
      <w:pPr>
        <w:pStyle w:val="CDITable-Title"/>
        <w:spacing w:before="0"/>
        <w:rPr>
          <w:lang w:val="en-GB"/>
        </w:rPr>
      </w:pPr>
      <w:r w:rsidRPr="00367D5A">
        <w:rPr>
          <w:lang w:val="en-GB"/>
        </w:rPr>
        <w:t>Table 1: Summary of estimates of age-specific annual respiratory syncytial virus (RSV) hospitalisation rates in Australia from various studies</w:t>
      </w:r>
    </w:p>
    <w:tbl>
      <w:tblPr>
        <w:tblW w:w="0" w:type="auto"/>
        <w:tblLayout w:type="fixed"/>
        <w:tblCellMar>
          <w:left w:w="0" w:type="dxa"/>
          <w:right w:w="0" w:type="dxa"/>
        </w:tblCellMar>
        <w:tblLook w:val="0000" w:firstRow="0" w:lastRow="0" w:firstColumn="0" w:lastColumn="0" w:noHBand="0" w:noVBand="0"/>
        <w:tblCaption w:val="Table 1: Summary of estimates of age-specific annual respiratory syncytial virus (RSV) hospitalisation rates in Australia from various studies"/>
        <w:tblDescription w:val="Table 1 describes the age-specific annual RSV hospitalisation rates among Australian that were estimated by different studies."/>
      </w:tblPr>
      <w:tblGrid>
        <w:gridCol w:w="2494"/>
        <w:gridCol w:w="1645"/>
        <w:gridCol w:w="2041"/>
        <w:gridCol w:w="2040"/>
        <w:gridCol w:w="2041"/>
        <w:gridCol w:w="2041"/>
        <w:gridCol w:w="2041"/>
      </w:tblGrid>
      <w:tr w:rsidR="00367D5A" w:rsidRPr="00367D5A" w14:paraId="68417F85" w14:textId="77777777" w:rsidTr="00725C7E">
        <w:trPr>
          <w:trHeight w:val="60"/>
          <w:tblHeader/>
        </w:trPr>
        <w:tc>
          <w:tcPr>
            <w:tcW w:w="2494" w:type="dxa"/>
            <w:shd w:val="clear" w:color="auto" w:fill="1E4496" w:themeFill="text2"/>
            <w:tcMar>
              <w:top w:w="68" w:type="dxa"/>
              <w:left w:w="113" w:type="dxa"/>
              <w:bottom w:w="68" w:type="dxa"/>
              <w:right w:w="113" w:type="dxa"/>
            </w:tcMar>
            <w:vAlign w:val="bottom"/>
          </w:tcPr>
          <w:p w14:paraId="77107014" w14:textId="77777777" w:rsidR="00367D5A" w:rsidRPr="00367D5A" w:rsidRDefault="00367D5A" w:rsidP="00C8292E">
            <w:pPr>
              <w:pStyle w:val="CDITable-HeaderRowLeft"/>
            </w:pPr>
            <w:r w:rsidRPr="00367D5A">
              <w:t>Category</w:t>
            </w:r>
          </w:p>
        </w:tc>
        <w:tc>
          <w:tcPr>
            <w:tcW w:w="1645" w:type="dxa"/>
            <w:shd w:val="clear" w:color="auto" w:fill="1E4496" w:themeFill="text2"/>
            <w:tcMar>
              <w:top w:w="68" w:type="dxa"/>
              <w:left w:w="113" w:type="dxa"/>
              <w:bottom w:w="68" w:type="dxa"/>
              <w:right w:w="113" w:type="dxa"/>
            </w:tcMar>
            <w:vAlign w:val="bottom"/>
          </w:tcPr>
          <w:p w14:paraId="4CA8A62D" w14:textId="77777777" w:rsidR="00367D5A" w:rsidRPr="00367D5A" w:rsidRDefault="00367D5A" w:rsidP="00C8292E">
            <w:pPr>
              <w:pStyle w:val="CDITable-HeaderRowLeft"/>
            </w:pPr>
            <w:r w:rsidRPr="00367D5A">
              <w:t>Age group</w:t>
            </w:r>
          </w:p>
        </w:tc>
        <w:tc>
          <w:tcPr>
            <w:tcW w:w="10204" w:type="dxa"/>
            <w:gridSpan w:val="5"/>
            <w:shd w:val="clear" w:color="auto" w:fill="1E4496" w:themeFill="text2"/>
            <w:tcMar>
              <w:top w:w="68" w:type="dxa"/>
              <w:left w:w="113" w:type="dxa"/>
              <w:bottom w:w="68" w:type="dxa"/>
              <w:right w:w="113" w:type="dxa"/>
            </w:tcMar>
            <w:vAlign w:val="bottom"/>
          </w:tcPr>
          <w:p w14:paraId="7CFBF060" w14:textId="77777777" w:rsidR="00367D5A" w:rsidRPr="00367D5A" w:rsidRDefault="00367D5A" w:rsidP="00367D5A">
            <w:pPr>
              <w:pStyle w:val="CDITable-HeaderRowCentre"/>
            </w:pPr>
            <w:r w:rsidRPr="00367D5A">
              <w:t>Study scope/findings</w:t>
            </w:r>
          </w:p>
        </w:tc>
      </w:tr>
      <w:tr w:rsidR="00367D5A" w:rsidRPr="00367D5A" w14:paraId="20BE349E" w14:textId="77777777" w:rsidTr="00725C7E">
        <w:trPr>
          <w:trHeight w:val="60"/>
        </w:trPr>
        <w:tc>
          <w:tcPr>
            <w:tcW w:w="2494" w:type="dxa"/>
            <w:tcBorders>
              <w:bottom w:val="single" w:sz="6" w:space="0" w:color="1E4496" w:themeColor="text2"/>
            </w:tcBorders>
            <w:shd w:val="clear" w:color="auto" w:fill="DCF4FC" w:themeFill="background2" w:themeFillTint="33"/>
            <w:tcMar>
              <w:top w:w="68" w:type="dxa"/>
              <w:left w:w="113" w:type="dxa"/>
              <w:bottom w:w="68" w:type="dxa"/>
              <w:right w:w="113" w:type="dxa"/>
            </w:tcMar>
            <w:vAlign w:val="center"/>
          </w:tcPr>
          <w:p w14:paraId="33C5F9D8" w14:textId="77777777" w:rsidR="00367D5A" w:rsidRPr="00C8292E" w:rsidRDefault="00367D5A" w:rsidP="00367D5A">
            <w:pPr>
              <w:pStyle w:val="CDITable-RowLeft"/>
              <w:rPr>
                <w:b/>
                <w:bCs/>
                <w:lang w:val="en-GB"/>
              </w:rPr>
            </w:pPr>
            <w:r w:rsidRPr="00C8292E">
              <w:rPr>
                <w:b/>
                <w:bCs/>
                <w:lang w:val="en-GB"/>
              </w:rPr>
              <w:t>Study reference</w:t>
            </w:r>
          </w:p>
        </w:tc>
        <w:tc>
          <w:tcPr>
            <w:tcW w:w="1645" w:type="dxa"/>
            <w:tcBorders>
              <w:bottom w:val="single" w:sz="6" w:space="0" w:color="1E4496" w:themeColor="text2"/>
            </w:tcBorders>
            <w:tcMar>
              <w:top w:w="68" w:type="dxa"/>
              <w:left w:w="113" w:type="dxa"/>
              <w:bottom w:w="68" w:type="dxa"/>
              <w:right w:w="113" w:type="dxa"/>
            </w:tcMar>
            <w:vAlign w:val="center"/>
          </w:tcPr>
          <w:p w14:paraId="4D0E95DB" w14:textId="77777777" w:rsidR="00367D5A" w:rsidRPr="002C0D4F" w:rsidRDefault="00367D5A" w:rsidP="00367D5A">
            <w:pPr>
              <w:pStyle w:val="CDITable-RowLeft"/>
              <w:rPr>
                <w:b/>
                <w:bCs/>
                <w:lang w:val="en-GB"/>
              </w:rPr>
            </w:pPr>
            <w:r w:rsidRPr="002C0D4F">
              <w:rPr>
                <w:b/>
                <w:bCs/>
                <w:lang w:val="en-GB"/>
              </w:rPr>
              <w:t>—</w:t>
            </w:r>
          </w:p>
        </w:tc>
        <w:tc>
          <w:tcPr>
            <w:tcW w:w="2041" w:type="dxa"/>
            <w:tcBorders>
              <w:bottom w:val="single" w:sz="6" w:space="0" w:color="1E4496" w:themeColor="text2"/>
            </w:tcBorders>
            <w:tcMar>
              <w:top w:w="68" w:type="dxa"/>
              <w:left w:w="113" w:type="dxa"/>
              <w:bottom w:w="68" w:type="dxa"/>
              <w:right w:w="113" w:type="dxa"/>
            </w:tcMar>
            <w:vAlign w:val="center"/>
          </w:tcPr>
          <w:p w14:paraId="4397C9DA" w14:textId="14E38B0C" w:rsidR="00367D5A" w:rsidRPr="002C0D4F" w:rsidRDefault="00862150" w:rsidP="00367D5A">
            <w:pPr>
              <w:pStyle w:val="CDITable-RowCentre"/>
              <w:rPr>
                <w:b/>
                <w:bCs/>
                <w:lang w:val="en-GB"/>
              </w:rPr>
            </w:pPr>
            <w:r>
              <w:rPr>
                <w:b/>
                <w:bCs/>
                <w:lang w:val="en-GB"/>
              </w:rPr>
              <w:t>5</w:t>
            </w:r>
          </w:p>
        </w:tc>
        <w:tc>
          <w:tcPr>
            <w:tcW w:w="2040" w:type="dxa"/>
            <w:tcBorders>
              <w:bottom w:val="single" w:sz="6" w:space="0" w:color="1E4496" w:themeColor="text2"/>
            </w:tcBorders>
            <w:tcMar>
              <w:top w:w="68" w:type="dxa"/>
              <w:left w:w="113" w:type="dxa"/>
              <w:bottom w:w="68" w:type="dxa"/>
              <w:right w:w="113" w:type="dxa"/>
            </w:tcMar>
            <w:vAlign w:val="center"/>
          </w:tcPr>
          <w:p w14:paraId="31277B20" w14:textId="77777777" w:rsidR="00367D5A" w:rsidRPr="002C0D4F" w:rsidRDefault="00367D5A" w:rsidP="00367D5A">
            <w:pPr>
              <w:pStyle w:val="CDITable-RowCentre"/>
              <w:rPr>
                <w:b/>
                <w:bCs/>
                <w:lang w:val="en-GB"/>
              </w:rPr>
            </w:pPr>
            <w:r w:rsidRPr="002C0D4F">
              <w:rPr>
                <w:b/>
                <w:bCs/>
                <w:lang w:val="en-GB"/>
              </w:rPr>
              <w:t>6</w:t>
            </w:r>
          </w:p>
        </w:tc>
        <w:tc>
          <w:tcPr>
            <w:tcW w:w="2041" w:type="dxa"/>
            <w:tcBorders>
              <w:bottom w:val="single" w:sz="6" w:space="0" w:color="1E4496" w:themeColor="text2"/>
            </w:tcBorders>
            <w:tcMar>
              <w:top w:w="68" w:type="dxa"/>
              <w:left w:w="113" w:type="dxa"/>
              <w:bottom w:w="68" w:type="dxa"/>
              <w:right w:w="113" w:type="dxa"/>
            </w:tcMar>
            <w:vAlign w:val="center"/>
          </w:tcPr>
          <w:p w14:paraId="52AB46AD" w14:textId="77777777" w:rsidR="00367D5A" w:rsidRPr="002C0D4F" w:rsidRDefault="00367D5A" w:rsidP="00367D5A">
            <w:pPr>
              <w:pStyle w:val="CDITable-RowCentre"/>
              <w:rPr>
                <w:b/>
                <w:bCs/>
                <w:lang w:val="en-GB"/>
              </w:rPr>
            </w:pPr>
            <w:r w:rsidRPr="002C0D4F">
              <w:rPr>
                <w:b/>
                <w:bCs/>
                <w:lang w:val="en-GB"/>
              </w:rPr>
              <w:t>7</w:t>
            </w:r>
          </w:p>
        </w:tc>
        <w:tc>
          <w:tcPr>
            <w:tcW w:w="2041" w:type="dxa"/>
            <w:tcBorders>
              <w:bottom w:val="single" w:sz="6" w:space="0" w:color="1E4496" w:themeColor="text2"/>
            </w:tcBorders>
            <w:tcMar>
              <w:top w:w="68" w:type="dxa"/>
              <w:left w:w="113" w:type="dxa"/>
              <w:bottom w:w="68" w:type="dxa"/>
              <w:right w:w="113" w:type="dxa"/>
            </w:tcMar>
            <w:vAlign w:val="center"/>
          </w:tcPr>
          <w:p w14:paraId="0FC342B4" w14:textId="77777777" w:rsidR="00367D5A" w:rsidRPr="002C0D4F" w:rsidRDefault="00367D5A" w:rsidP="00367D5A">
            <w:pPr>
              <w:pStyle w:val="CDITable-RowCentre"/>
              <w:rPr>
                <w:b/>
                <w:bCs/>
                <w:lang w:val="en-GB"/>
              </w:rPr>
            </w:pPr>
            <w:r w:rsidRPr="002C0D4F">
              <w:rPr>
                <w:b/>
                <w:bCs/>
                <w:lang w:val="en-GB"/>
              </w:rPr>
              <w:t>8</w:t>
            </w:r>
          </w:p>
        </w:tc>
        <w:tc>
          <w:tcPr>
            <w:tcW w:w="2041" w:type="dxa"/>
            <w:tcBorders>
              <w:bottom w:val="single" w:sz="6" w:space="0" w:color="1E4496" w:themeColor="text2"/>
            </w:tcBorders>
            <w:tcMar>
              <w:top w:w="68" w:type="dxa"/>
              <w:left w:w="113" w:type="dxa"/>
              <w:bottom w:w="68" w:type="dxa"/>
              <w:right w:w="113" w:type="dxa"/>
            </w:tcMar>
            <w:vAlign w:val="center"/>
          </w:tcPr>
          <w:p w14:paraId="50E29D6D" w14:textId="77777777" w:rsidR="00367D5A" w:rsidRPr="002C0D4F" w:rsidRDefault="00367D5A" w:rsidP="00367D5A">
            <w:pPr>
              <w:pStyle w:val="CDITable-RowCentre"/>
              <w:rPr>
                <w:b/>
                <w:bCs/>
                <w:lang w:val="en-GB"/>
              </w:rPr>
            </w:pPr>
            <w:r w:rsidRPr="002C0D4F">
              <w:rPr>
                <w:b/>
                <w:bCs/>
                <w:lang w:val="en-GB"/>
              </w:rPr>
              <w:t>NCIRS 2024</w:t>
            </w:r>
            <w:r w:rsidRPr="002C0D4F">
              <w:rPr>
                <w:b/>
                <w:bCs/>
                <w:vertAlign w:val="superscript"/>
                <w:lang w:val="en-GB"/>
              </w:rPr>
              <w:t>a</w:t>
            </w:r>
          </w:p>
        </w:tc>
      </w:tr>
      <w:tr w:rsidR="00367D5A" w:rsidRPr="00367D5A" w14:paraId="59B8FB3F" w14:textId="77777777" w:rsidTr="00725C7E">
        <w:trPr>
          <w:trHeight w:val="60"/>
        </w:trPr>
        <w:tc>
          <w:tcPr>
            <w:tcW w:w="2494" w:type="dxa"/>
            <w:tcBorders>
              <w:top w:val="single" w:sz="6" w:space="0" w:color="1E4496" w:themeColor="text2"/>
              <w:bottom w:val="single" w:sz="6" w:space="0" w:color="1E4496" w:themeColor="text2"/>
            </w:tcBorders>
            <w:shd w:val="clear" w:color="auto" w:fill="DCF4FC" w:themeFill="background2" w:themeFillTint="33"/>
            <w:tcMar>
              <w:top w:w="68" w:type="dxa"/>
              <w:left w:w="113" w:type="dxa"/>
              <w:bottom w:w="68" w:type="dxa"/>
              <w:right w:w="113" w:type="dxa"/>
            </w:tcMar>
            <w:vAlign w:val="center"/>
          </w:tcPr>
          <w:p w14:paraId="3BF558F5" w14:textId="77777777" w:rsidR="00367D5A" w:rsidRPr="00C8292E" w:rsidRDefault="00367D5A" w:rsidP="00367D5A">
            <w:pPr>
              <w:pStyle w:val="CDITable-RowLeft"/>
              <w:rPr>
                <w:b/>
                <w:bCs/>
                <w:lang w:val="en-GB"/>
              </w:rPr>
            </w:pPr>
            <w:r w:rsidRPr="00C8292E">
              <w:rPr>
                <w:b/>
                <w:bCs/>
                <w:lang w:val="en-GB"/>
              </w:rPr>
              <w:t>Study site</w:t>
            </w: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4E627463" w14:textId="77777777" w:rsidR="00367D5A" w:rsidRPr="00367D5A" w:rsidRDefault="00367D5A" w:rsidP="00367D5A">
            <w:pPr>
              <w:pStyle w:val="CDITable-RowLeft"/>
              <w:rPr>
                <w:lang w:val="en-GB"/>
              </w:rPr>
            </w:pPr>
            <w:r w:rsidRPr="00367D5A">
              <w:rPr>
                <w:lang w:val="en-GB"/>
              </w:rPr>
              <w:t>—</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3217DB73" w14:textId="77777777" w:rsidR="00367D5A" w:rsidRPr="00367D5A" w:rsidRDefault="00367D5A" w:rsidP="00367D5A">
            <w:pPr>
              <w:pStyle w:val="CDITable-RowCentre"/>
              <w:rPr>
                <w:lang w:val="en-GB"/>
              </w:rPr>
            </w:pPr>
            <w:r w:rsidRPr="00367D5A">
              <w:rPr>
                <w:lang w:val="en-GB"/>
              </w:rPr>
              <w:t>Western Australia</w:t>
            </w:r>
          </w:p>
        </w:tc>
        <w:tc>
          <w:tcPr>
            <w:tcW w:w="2040"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584A8A51" w14:textId="77777777" w:rsidR="00367D5A" w:rsidRPr="00367D5A" w:rsidRDefault="00367D5A" w:rsidP="00367D5A">
            <w:pPr>
              <w:pStyle w:val="CDITable-RowCentre"/>
              <w:rPr>
                <w:lang w:val="en-GB"/>
              </w:rPr>
            </w:pPr>
            <w:r w:rsidRPr="00367D5A">
              <w:rPr>
                <w:lang w:val="en-GB"/>
              </w:rPr>
              <w:t>New South Wales</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3EA92077" w14:textId="77777777" w:rsidR="00367D5A" w:rsidRPr="00367D5A" w:rsidRDefault="00367D5A" w:rsidP="00367D5A">
            <w:pPr>
              <w:pStyle w:val="CDITable-RowCentre"/>
              <w:rPr>
                <w:lang w:val="en-GB"/>
              </w:rPr>
            </w:pPr>
            <w:r w:rsidRPr="00367D5A">
              <w:rPr>
                <w:lang w:val="en-GB"/>
              </w:rPr>
              <w:t>Australia</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794F434D" w14:textId="77777777" w:rsidR="00367D5A" w:rsidRPr="00367D5A" w:rsidRDefault="00367D5A" w:rsidP="00367D5A">
            <w:pPr>
              <w:pStyle w:val="CDITable-RowCentre"/>
              <w:rPr>
                <w:lang w:val="en-GB"/>
              </w:rPr>
            </w:pPr>
            <w:r w:rsidRPr="00367D5A">
              <w:rPr>
                <w:lang w:val="en-GB"/>
              </w:rPr>
              <w:t>Australia</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70D5EB83" w14:textId="77777777" w:rsidR="00367D5A" w:rsidRPr="00367D5A" w:rsidRDefault="00367D5A" w:rsidP="00367D5A">
            <w:pPr>
              <w:pStyle w:val="CDITable-RowCentre"/>
              <w:rPr>
                <w:lang w:val="en-GB"/>
              </w:rPr>
            </w:pPr>
            <w:r w:rsidRPr="00367D5A">
              <w:rPr>
                <w:lang w:val="en-GB"/>
              </w:rPr>
              <w:t>Australia</w:t>
            </w:r>
          </w:p>
        </w:tc>
      </w:tr>
      <w:tr w:rsidR="00367D5A" w:rsidRPr="00367D5A" w14:paraId="7E2115BC" w14:textId="77777777" w:rsidTr="00725C7E">
        <w:trPr>
          <w:trHeight w:val="60"/>
        </w:trPr>
        <w:tc>
          <w:tcPr>
            <w:tcW w:w="2494" w:type="dxa"/>
            <w:tcBorders>
              <w:top w:val="single" w:sz="6" w:space="0" w:color="1E4496" w:themeColor="text2"/>
              <w:bottom w:val="single" w:sz="6" w:space="0" w:color="1E4496" w:themeColor="text2"/>
            </w:tcBorders>
            <w:shd w:val="clear" w:color="auto" w:fill="DCF4FC" w:themeFill="background2" w:themeFillTint="33"/>
            <w:tcMar>
              <w:top w:w="68" w:type="dxa"/>
              <w:left w:w="113" w:type="dxa"/>
              <w:bottom w:w="68" w:type="dxa"/>
              <w:right w:w="113" w:type="dxa"/>
            </w:tcMar>
            <w:vAlign w:val="center"/>
          </w:tcPr>
          <w:p w14:paraId="288B8711" w14:textId="77777777" w:rsidR="00367D5A" w:rsidRPr="00C8292E" w:rsidRDefault="00367D5A" w:rsidP="00367D5A">
            <w:pPr>
              <w:pStyle w:val="CDITable-RowLeft"/>
              <w:rPr>
                <w:b/>
                <w:bCs/>
                <w:lang w:val="en-GB"/>
              </w:rPr>
            </w:pPr>
            <w:r w:rsidRPr="00C8292E">
              <w:rPr>
                <w:b/>
                <w:bCs/>
                <w:lang w:val="en-GB"/>
              </w:rPr>
              <w:t>Time period</w:t>
            </w: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0BC94F3A" w14:textId="77777777" w:rsidR="00367D5A" w:rsidRPr="00367D5A" w:rsidRDefault="00367D5A" w:rsidP="00367D5A">
            <w:pPr>
              <w:pStyle w:val="CDITable-RowLeft"/>
              <w:rPr>
                <w:lang w:val="en-GB"/>
              </w:rPr>
            </w:pPr>
            <w:r w:rsidRPr="00367D5A">
              <w:rPr>
                <w:lang w:val="en-GB"/>
              </w:rPr>
              <w:t>—</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44F11273" w14:textId="77777777" w:rsidR="00367D5A" w:rsidRPr="00367D5A" w:rsidRDefault="00367D5A" w:rsidP="00367D5A">
            <w:pPr>
              <w:pStyle w:val="CDITable-RowCentre"/>
              <w:rPr>
                <w:lang w:val="en-GB"/>
              </w:rPr>
            </w:pPr>
            <w:r w:rsidRPr="00367D5A">
              <w:rPr>
                <w:lang w:val="en-GB"/>
              </w:rPr>
              <w:t>2000–2012</w:t>
            </w:r>
          </w:p>
        </w:tc>
        <w:tc>
          <w:tcPr>
            <w:tcW w:w="2040"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6F5DB053" w14:textId="77777777" w:rsidR="00367D5A" w:rsidRPr="00367D5A" w:rsidRDefault="00367D5A" w:rsidP="00367D5A">
            <w:pPr>
              <w:pStyle w:val="CDITable-RowCentre"/>
              <w:rPr>
                <w:lang w:val="en-GB"/>
              </w:rPr>
            </w:pPr>
            <w:r w:rsidRPr="00367D5A">
              <w:rPr>
                <w:lang w:val="en-GB"/>
              </w:rPr>
              <w:t>2001–2010</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7842453A" w14:textId="77777777" w:rsidR="00367D5A" w:rsidRPr="00367D5A" w:rsidRDefault="00367D5A" w:rsidP="00367D5A">
            <w:pPr>
              <w:pStyle w:val="CDITable-RowCentre"/>
              <w:rPr>
                <w:lang w:val="en-GB"/>
              </w:rPr>
            </w:pPr>
            <w:r w:rsidRPr="00367D5A">
              <w:rPr>
                <w:lang w:val="en-GB"/>
              </w:rPr>
              <w:t>2009–2017</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2166C3A0" w14:textId="77777777" w:rsidR="00367D5A" w:rsidRPr="00367D5A" w:rsidRDefault="00367D5A" w:rsidP="00367D5A">
            <w:pPr>
              <w:pStyle w:val="CDITable-RowCentre"/>
              <w:rPr>
                <w:lang w:val="en-GB"/>
              </w:rPr>
            </w:pPr>
            <w:r w:rsidRPr="00367D5A">
              <w:rPr>
                <w:lang w:val="en-GB"/>
              </w:rPr>
              <w:t>2006–2015</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7E6B86D8" w14:textId="77777777" w:rsidR="00367D5A" w:rsidRPr="00367D5A" w:rsidRDefault="00367D5A" w:rsidP="00367D5A">
            <w:pPr>
              <w:pStyle w:val="CDITable-RowCentre"/>
              <w:rPr>
                <w:lang w:val="en-GB"/>
              </w:rPr>
            </w:pPr>
            <w:r w:rsidRPr="00367D5A">
              <w:rPr>
                <w:lang w:val="en-GB"/>
              </w:rPr>
              <w:t>2016–2019</w:t>
            </w:r>
          </w:p>
        </w:tc>
      </w:tr>
      <w:tr w:rsidR="00367D5A" w:rsidRPr="00367D5A" w14:paraId="600BC63E" w14:textId="77777777" w:rsidTr="00725C7E">
        <w:trPr>
          <w:trHeight w:val="60"/>
        </w:trPr>
        <w:tc>
          <w:tcPr>
            <w:tcW w:w="2494" w:type="dxa"/>
            <w:tcBorders>
              <w:top w:val="single" w:sz="6" w:space="0" w:color="1E4496" w:themeColor="text2"/>
              <w:bottom w:val="single" w:sz="6" w:space="0" w:color="1E4496" w:themeColor="text2"/>
            </w:tcBorders>
            <w:shd w:val="clear" w:color="auto" w:fill="DCF4FC" w:themeFill="background2" w:themeFillTint="33"/>
            <w:tcMar>
              <w:top w:w="68" w:type="dxa"/>
              <w:left w:w="113" w:type="dxa"/>
              <w:bottom w:w="68" w:type="dxa"/>
              <w:right w:w="113" w:type="dxa"/>
            </w:tcMar>
            <w:vAlign w:val="center"/>
          </w:tcPr>
          <w:p w14:paraId="564BC482" w14:textId="77777777" w:rsidR="00367D5A" w:rsidRPr="00C8292E" w:rsidRDefault="00367D5A" w:rsidP="00367D5A">
            <w:pPr>
              <w:pStyle w:val="CDITable-RowLeft"/>
              <w:rPr>
                <w:b/>
                <w:bCs/>
                <w:lang w:val="en-GB"/>
              </w:rPr>
            </w:pPr>
            <w:r w:rsidRPr="00C8292E">
              <w:rPr>
                <w:b/>
                <w:bCs/>
                <w:lang w:val="en-GB"/>
              </w:rPr>
              <w:t>Data</w:t>
            </w: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33BE88C4" w14:textId="77777777" w:rsidR="00367D5A" w:rsidRPr="00367D5A" w:rsidRDefault="00367D5A" w:rsidP="00367D5A">
            <w:pPr>
              <w:pStyle w:val="CDITable-RowLeft"/>
              <w:rPr>
                <w:lang w:val="en-GB"/>
              </w:rPr>
            </w:pPr>
            <w:r w:rsidRPr="00367D5A">
              <w:rPr>
                <w:lang w:val="en-GB"/>
              </w:rPr>
              <w:t>—</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2F91A35E" w14:textId="77777777" w:rsidR="00367D5A" w:rsidRPr="00367D5A" w:rsidRDefault="00367D5A" w:rsidP="00367D5A">
            <w:pPr>
              <w:pStyle w:val="CDITable-RowCentre"/>
              <w:rPr>
                <w:lang w:val="en-GB"/>
              </w:rPr>
            </w:pPr>
            <w:r w:rsidRPr="00367D5A">
              <w:rPr>
                <w:lang w:val="en-GB"/>
              </w:rPr>
              <w:t>Linked laboratory, perinatal and hospitalisation data</w:t>
            </w:r>
          </w:p>
        </w:tc>
        <w:tc>
          <w:tcPr>
            <w:tcW w:w="2040"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013510AA" w14:textId="19593B97" w:rsidR="00367D5A" w:rsidRPr="00367D5A" w:rsidRDefault="00367D5A" w:rsidP="00367D5A">
            <w:pPr>
              <w:pStyle w:val="CDITable-RowCentre"/>
              <w:rPr>
                <w:lang w:val="en-GB"/>
              </w:rPr>
            </w:pPr>
            <w:r w:rsidRPr="00367D5A">
              <w:rPr>
                <w:lang w:val="en-GB"/>
              </w:rPr>
              <w:t>Linked hospital, perinatal and NICU</w:t>
            </w:r>
            <w:r w:rsidR="002C0D4F">
              <w:rPr>
                <w:lang w:val="en-GB"/>
              </w:rPr>
              <w:t> </w:t>
            </w:r>
            <w:proofErr w:type="spellStart"/>
            <w:r w:rsidRPr="00367D5A">
              <w:rPr>
                <w:lang w:val="en-GB"/>
              </w:rPr>
              <w:t>data</w:t>
            </w:r>
            <w:r w:rsidRPr="00367D5A">
              <w:rPr>
                <w:vertAlign w:val="superscript"/>
                <w:lang w:val="en-GB"/>
              </w:rPr>
              <w:t>b</w:t>
            </w:r>
            <w:proofErr w:type="spellEnd"/>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6BCCF01E" w14:textId="77777777" w:rsidR="00367D5A" w:rsidRPr="00367D5A" w:rsidRDefault="00367D5A" w:rsidP="00367D5A">
            <w:pPr>
              <w:pStyle w:val="CDITable-RowCentre"/>
              <w:rPr>
                <w:lang w:val="en-GB"/>
              </w:rPr>
            </w:pPr>
            <w:r w:rsidRPr="00367D5A">
              <w:rPr>
                <w:lang w:val="en-GB"/>
              </w:rPr>
              <w:t>Hospitalisation data</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3024AF1A" w14:textId="77777777" w:rsidR="00367D5A" w:rsidRPr="00367D5A" w:rsidRDefault="00367D5A" w:rsidP="00367D5A">
            <w:pPr>
              <w:pStyle w:val="CDITable-RowCentre"/>
              <w:rPr>
                <w:lang w:val="en-GB"/>
              </w:rPr>
            </w:pPr>
            <w:r w:rsidRPr="00367D5A">
              <w:rPr>
                <w:lang w:val="en-GB"/>
              </w:rPr>
              <w:t>Hospitalisation data</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0A5E55BC" w14:textId="77777777" w:rsidR="00367D5A" w:rsidRPr="00367D5A" w:rsidRDefault="00367D5A" w:rsidP="00367D5A">
            <w:pPr>
              <w:pStyle w:val="CDITable-RowCentre"/>
              <w:rPr>
                <w:lang w:val="en-GB"/>
              </w:rPr>
            </w:pPr>
            <w:r w:rsidRPr="00367D5A">
              <w:rPr>
                <w:lang w:val="en-GB"/>
              </w:rPr>
              <w:t>Hospitalisation data</w:t>
            </w:r>
          </w:p>
        </w:tc>
      </w:tr>
      <w:tr w:rsidR="00367D5A" w:rsidRPr="00367D5A" w14:paraId="50A0A678" w14:textId="77777777" w:rsidTr="002C0D4F">
        <w:trPr>
          <w:trHeight w:val="60"/>
        </w:trPr>
        <w:tc>
          <w:tcPr>
            <w:tcW w:w="2494" w:type="dxa"/>
            <w:tcBorders>
              <w:top w:val="single" w:sz="6" w:space="0" w:color="1E4496" w:themeColor="text2"/>
              <w:bottom w:val="single" w:sz="6" w:space="0" w:color="1E4496" w:themeColor="text2"/>
            </w:tcBorders>
            <w:shd w:val="clear" w:color="auto" w:fill="DCF4FC" w:themeFill="background2" w:themeFillTint="33"/>
            <w:tcMar>
              <w:top w:w="68" w:type="dxa"/>
              <w:left w:w="113" w:type="dxa"/>
              <w:bottom w:w="68" w:type="dxa"/>
              <w:right w:w="113" w:type="dxa"/>
            </w:tcMar>
            <w:vAlign w:val="center"/>
          </w:tcPr>
          <w:p w14:paraId="3EC11429" w14:textId="77777777" w:rsidR="00367D5A" w:rsidRPr="00C8292E" w:rsidRDefault="00367D5A" w:rsidP="00367D5A">
            <w:pPr>
              <w:pStyle w:val="CDITable-RowLeft"/>
              <w:rPr>
                <w:b/>
                <w:bCs/>
                <w:lang w:val="en-GB"/>
              </w:rPr>
            </w:pPr>
            <w:r w:rsidRPr="00C8292E">
              <w:rPr>
                <w:b/>
                <w:bCs/>
                <w:lang w:val="en-GB"/>
              </w:rPr>
              <w:t xml:space="preserve">RSV case </w:t>
            </w:r>
            <w:proofErr w:type="spellStart"/>
            <w:r w:rsidRPr="00C8292E">
              <w:rPr>
                <w:b/>
                <w:bCs/>
                <w:lang w:val="en-GB"/>
              </w:rPr>
              <w:t>ascertainment</w:t>
            </w:r>
            <w:r w:rsidRPr="00C8292E">
              <w:rPr>
                <w:b/>
                <w:bCs/>
                <w:vertAlign w:val="superscript"/>
                <w:lang w:val="en-GB"/>
              </w:rPr>
              <w:t>c</w:t>
            </w:r>
            <w:proofErr w:type="spellEnd"/>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102F485B" w14:textId="77777777" w:rsidR="00367D5A" w:rsidRPr="00367D5A" w:rsidRDefault="00367D5A" w:rsidP="00367D5A">
            <w:pPr>
              <w:pStyle w:val="CDITable-RowLeft"/>
              <w:rPr>
                <w:lang w:val="en-GB"/>
              </w:rPr>
            </w:pPr>
            <w:r w:rsidRPr="00367D5A">
              <w:rPr>
                <w:lang w:val="en-GB"/>
              </w:rPr>
              <w:t>—</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00F78E46" w14:textId="77777777" w:rsidR="00367D5A" w:rsidRPr="00367D5A" w:rsidRDefault="00367D5A" w:rsidP="00367D5A">
            <w:pPr>
              <w:pStyle w:val="CDITable-RowCentre"/>
              <w:rPr>
                <w:lang w:val="en-GB"/>
              </w:rPr>
            </w:pPr>
            <w:r w:rsidRPr="00367D5A">
              <w:rPr>
                <w:lang w:val="en-GB"/>
              </w:rPr>
              <w:t>Laboratory-confirmed RSV infection</w:t>
            </w:r>
          </w:p>
        </w:tc>
        <w:tc>
          <w:tcPr>
            <w:tcW w:w="2040"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3419C449" w14:textId="77777777" w:rsidR="00367D5A" w:rsidRPr="00367D5A" w:rsidRDefault="00367D5A" w:rsidP="00367D5A">
            <w:pPr>
              <w:pStyle w:val="CDITable-RowCentre"/>
              <w:rPr>
                <w:lang w:val="en-GB"/>
              </w:rPr>
            </w:pPr>
            <w:r w:rsidRPr="00367D5A">
              <w:rPr>
                <w:lang w:val="en-GB"/>
              </w:rPr>
              <w:t>ICD code; primary diagnosis only</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5B8BE87B" w14:textId="77777777" w:rsidR="00367D5A" w:rsidRPr="00367D5A" w:rsidRDefault="00367D5A" w:rsidP="00367D5A">
            <w:pPr>
              <w:pStyle w:val="CDITable-RowCentre"/>
              <w:rPr>
                <w:lang w:val="en-GB"/>
              </w:rPr>
            </w:pPr>
            <w:r w:rsidRPr="00367D5A">
              <w:rPr>
                <w:lang w:val="en-GB"/>
              </w:rPr>
              <w:t>ICD code; primary diagnosis only</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2162925C" w14:textId="77777777" w:rsidR="00367D5A" w:rsidRPr="00367D5A" w:rsidRDefault="00367D5A" w:rsidP="00367D5A">
            <w:pPr>
              <w:pStyle w:val="CDITable-RowCentre"/>
              <w:rPr>
                <w:lang w:val="en-GB"/>
              </w:rPr>
            </w:pPr>
            <w:r w:rsidRPr="00367D5A">
              <w:rPr>
                <w:lang w:val="en-GB"/>
              </w:rPr>
              <w:t>ICD code; primary or other diagnosis</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5D95A325" w14:textId="77777777" w:rsidR="00367D5A" w:rsidRPr="00367D5A" w:rsidRDefault="00367D5A" w:rsidP="00367D5A">
            <w:pPr>
              <w:pStyle w:val="CDITable-RowCentre"/>
              <w:rPr>
                <w:lang w:val="en-GB"/>
              </w:rPr>
            </w:pPr>
            <w:r w:rsidRPr="00367D5A">
              <w:rPr>
                <w:lang w:val="en-GB"/>
              </w:rPr>
              <w:t>ICD code; primary or other diagnosis</w:t>
            </w:r>
          </w:p>
        </w:tc>
      </w:tr>
      <w:tr w:rsidR="002C0D4F" w:rsidRPr="00367D5A" w14:paraId="254EC228" w14:textId="77777777" w:rsidTr="002C0D4F">
        <w:trPr>
          <w:trHeight w:val="60"/>
        </w:trPr>
        <w:tc>
          <w:tcPr>
            <w:tcW w:w="2494" w:type="dxa"/>
            <w:tcBorders>
              <w:top w:val="single" w:sz="6" w:space="0" w:color="1E4496" w:themeColor="text2"/>
              <w:bottom w:val="single" w:sz="6" w:space="0" w:color="1E4496" w:themeColor="text2"/>
            </w:tcBorders>
            <w:shd w:val="clear" w:color="auto" w:fill="DCF4FC" w:themeFill="background2" w:themeFillTint="33"/>
            <w:tcMar>
              <w:top w:w="68" w:type="dxa"/>
              <w:left w:w="113" w:type="dxa"/>
              <w:bottom w:w="68" w:type="dxa"/>
              <w:right w:w="113" w:type="dxa"/>
            </w:tcMar>
            <w:vAlign w:val="center"/>
          </w:tcPr>
          <w:p w14:paraId="3E1F363D" w14:textId="77777777" w:rsidR="00367D5A" w:rsidRPr="00C8292E" w:rsidRDefault="00367D5A" w:rsidP="00367D5A">
            <w:pPr>
              <w:pStyle w:val="CDITable-RowLeft"/>
              <w:rPr>
                <w:b/>
                <w:bCs/>
                <w:lang w:val="en-GB"/>
              </w:rPr>
            </w:pPr>
            <w:r w:rsidRPr="00C8292E">
              <w:rPr>
                <w:b/>
                <w:bCs/>
                <w:lang w:val="en-GB"/>
              </w:rPr>
              <w:t>RSV outcome</w:t>
            </w: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4E70AA89" w14:textId="77777777" w:rsidR="00367D5A" w:rsidRPr="00367D5A" w:rsidRDefault="00367D5A" w:rsidP="00367D5A">
            <w:pPr>
              <w:pStyle w:val="CDITable-RowLeft"/>
              <w:rPr>
                <w:lang w:val="en-GB"/>
              </w:rPr>
            </w:pPr>
            <w:r w:rsidRPr="00367D5A">
              <w:rPr>
                <w:lang w:val="en-GB"/>
              </w:rPr>
              <w:t>—</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534B2495" w14:textId="77777777" w:rsidR="00367D5A" w:rsidRPr="00367D5A" w:rsidRDefault="00367D5A" w:rsidP="00367D5A">
            <w:pPr>
              <w:pStyle w:val="CDITable-RowCentre"/>
              <w:rPr>
                <w:lang w:val="en-GB"/>
              </w:rPr>
            </w:pPr>
            <w:r w:rsidRPr="00367D5A">
              <w:rPr>
                <w:lang w:val="en-GB"/>
              </w:rPr>
              <w:t>Predicted estimates of RSV hospitalisation</w:t>
            </w:r>
          </w:p>
        </w:tc>
        <w:tc>
          <w:tcPr>
            <w:tcW w:w="2040"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04C747AB" w14:textId="77777777" w:rsidR="00367D5A" w:rsidRPr="00367D5A" w:rsidRDefault="00367D5A" w:rsidP="00367D5A">
            <w:pPr>
              <w:pStyle w:val="CDITable-RowCentre"/>
              <w:rPr>
                <w:lang w:val="en-GB"/>
              </w:rPr>
            </w:pPr>
            <w:r w:rsidRPr="00367D5A">
              <w:rPr>
                <w:lang w:val="en-GB"/>
              </w:rPr>
              <w:t>RSV-coded hospitalisation</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6C150EEF" w14:textId="77777777" w:rsidR="00367D5A" w:rsidRPr="00367D5A" w:rsidRDefault="00367D5A" w:rsidP="00367D5A">
            <w:pPr>
              <w:pStyle w:val="CDITable-RowCentre"/>
              <w:rPr>
                <w:lang w:val="en-GB"/>
              </w:rPr>
            </w:pPr>
            <w:r w:rsidRPr="00367D5A">
              <w:rPr>
                <w:lang w:val="en-GB"/>
              </w:rPr>
              <w:t xml:space="preserve">Modelled RSV-attributable ARI </w:t>
            </w:r>
            <w:proofErr w:type="spellStart"/>
            <w:r w:rsidRPr="00367D5A">
              <w:rPr>
                <w:lang w:val="en-GB"/>
              </w:rPr>
              <w:t>hospitalisation</w:t>
            </w:r>
            <w:r w:rsidRPr="00367D5A">
              <w:rPr>
                <w:vertAlign w:val="superscript"/>
                <w:lang w:val="en-GB"/>
              </w:rPr>
              <w:t>d</w:t>
            </w:r>
            <w:proofErr w:type="spellEnd"/>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7EEAE048" w14:textId="77777777" w:rsidR="00367D5A" w:rsidRPr="00367D5A" w:rsidRDefault="00367D5A" w:rsidP="00367D5A">
            <w:pPr>
              <w:pStyle w:val="CDITable-RowCentre"/>
              <w:rPr>
                <w:lang w:val="en-GB"/>
              </w:rPr>
            </w:pPr>
            <w:r w:rsidRPr="00367D5A">
              <w:rPr>
                <w:lang w:val="en-GB"/>
              </w:rPr>
              <w:t>RSV-coded hospitalisation</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13AB14EF" w14:textId="77777777" w:rsidR="00367D5A" w:rsidRPr="00367D5A" w:rsidRDefault="00367D5A" w:rsidP="00367D5A">
            <w:pPr>
              <w:pStyle w:val="CDITable-RowCentre"/>
              <w:rPr>
                <w:lang w:val="en-GB"/>
              </w:rPr>
            </w:pPr>
            <w:r w:rsidRPr="00367D5A">
              <w:rPr>
                <w:lang w:val="en-GB"/>
              </w:rPr>
              <w:t>RSV-coded hospitalisation</w:t>
            </w:r>
          </w:p>
        </w:tc>
      </w:tr>
      <w:tr w:rsidR="00367D5A" w:rsidRPr="00367D5A" w14:paraId="059B196F" w14:textId="77777777" w:rsidTr="002C0D4F">
        <w:trPr>
          <w:trHeight w:val="60"/>
        </w:trPr>
        <w:tc>
          <w:tcPr>
            <w:tcW w:w="2494" w:type="dxa"/>
            <w:vMerge w:val="restart"/>
            <w:tcBorders>
              <w:top w:val="single" w:sz="6" w:space="0" w:color="1E4496" w:themeColor="text2"/>
              <w:bottom w:val="single" w:sz="6" w:space="0" w:color="1E4496" w:themeColor="text2"/>
            </w:tcBorders>
            <w:shd w:val="clear" w:color="auto" w:fill="DCF4FC" w:themeFill="background2" w:themeFillTint="33"/>
            <w:tcMar>
              <w:top w:w="68" w:type="dxa"/>
              <w:left w:w="113" w:type="dxa"/>
              <w:bottom w:w="68" w:type="dxa"/>
              <w:right w:w="113" w:type="dxa"/>
            </w:tcMar>
            <w:vAlign w:val="center"/>
          </w:tcPr>
          <w:p w14:paraId="597B4E3F" w14:textId="77777777" w:rsidR="00367D5A" w:rsidRPr="00C8292E" w:rsidRDefault="00367D5A" w:rsidP="00367D5A">
            <w:pPr>
              <w:pStyle w:val="CDITable-RowLeft"/>
              <w:rPr>
                <w:b/>
                <w:bCs/>
                <w:lang w:val="en-GB"/>
              </w:rPr>
            </w:pPr>
            <w:r w:rsidRPr="00C8292E">
              <w:rPr>
                <w:b/>
                <w:bCs/>
                <w:lang w:val="en-GB"/>
              </w:rPr>
              <w:t xml:space="preserve">Hospitalisation rates per 100,000 population per year (95% </w:t>
            </w:r>
            <w:proofErr w:type="gramStart"/>
            <w:r w:rsidRPr="00C8292E">
              <w:rPr>
                <w:b/>
                <w:bCs/>
                <w:lang w:val="en-GB"/>
              </w:rPr>
              <w:t>CI)</w:t>
            </w:r>
            <w:r w:rsidRPr="00C8292E">
              <w:rPr>
                <w:b/>
                <w:bCs/>
                <w:vertAlign w:val="superscript"/>
                <w:lang w:val="en-GB"/>
              </w:rPr>
              <w:t>e</w:t>
            </w:r>
            <w:proofErr w:type="gramEnd"/>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6A75BF4B" w14:textId="77777777" w:rsidR="00367D5A" w:rsidRPr="00367D5A" w:rsidRDefault="00367D5A" w:rsidP="00367D5A">
            <w:pPr>
              <w:pStyle w:val="CDITable-RowLeft"/>
              <w:rPr>
                <w:lang w:val="en-GB"/>
              </w:rPr>
            </w:pPr>
            <w:r w:rsidRPr="00367D5A">
              <w:rPr>
                <w:lang w:val="en-GB"/>
              </w:rPr>
              <w:t>0 month</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42389C7A" w14:textId="77777777" w:rsidR="00367D5A" w:rsidRPr="00367D5A" w:rsidRDefault="00367D5A" w:rsidP="00367D5A">
            <w:pPr>
              <w:pStyle w:val="CDITable-RowCentre"/>
              <w:rPr>
                <w:lang w:val="en-GB"/>
              </w:rPr>
            </w:pPr>
            <w:r w:rsidRPr="00367D5A">
              <w:rPr>
                <w:lang w:val="en-GB"/>
              </w:rPr>
              <w:t>2,400 (2,230–2,580)</w:t>
            </w:r>
          </w:p>
        </w:tc>
        <w:tc>
          <w:tcPr>
            <w:tcW w:w="2040"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10D7D44F" w14:textId="77777777" w:rsidR="00367D5A" w:rsidRPr="00367D5A" w:rsidRDefault="00367D5A" w:rsidP="00367D5A">
            <w:pPr>
              <w:pStyle w:val="CDITable-RowCentre"/>
              <w:rPr>
                <w:lang w:val="en-GB"/>
              </w:rPr>
            </w:pPr>
            <w:r w:rsidRPr="00367D5A">
              <w:rPr>
                <w:lang w:val="en-GB"/>
              </w:rPr>
              <w:t>2,560 (2,390–2,530)</w:t>
            </w:r>
          </w:p>
        </w:tc>
        <w:tc>
          <w:tcPr>
            <w:tcW w:w="2041"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42F881F6" w14:textId="77777777" w:rsidR="00367D5A" w:rsidRPr="00367D5A" w:rsidRDefault="00367D5A" w:rsidP="00367D5A">
            <w:pPr>
              <w:pStyle w:val="CDITable-RowCentre"/>
              <w:rPr>
                <w:lang w:val="en-GB"/>
              </w:rPr>
            </w:pPr>
            <w:r w:rsidRPr="00367D5A">
              <w:rPr>
                <w:lang w:val="en-GB"/>
              </w:rPr>
              <w:t>590 (467–720)</w:t>
            </w:r>
          </w:p>
        </w:tc>
        <w:tc>
          <w:tcPr>
            <w:tcW w:w="2041"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529E9B19" w14:textId="77777777" w:rsidR="00367D5A" w:rsidRPr="00367D5A" w:rsidRDefault="00367D5A" w:rsidP="00367D5A">
            <w:pPr>
              <w:pStyle w:val="CDITable-RowCentre"/>
              <w:rPr>
                <w:lang w:val="en-GB"/>
              </w:rPr>
            </w:pPr>
            <w:r w:rsidRPr="00367D5A">
              <w:rPr>
                <w:lang w:val="en-GB"/>
              </w:rPr>
              <w:t>3,129</w:t>
            </w:r>
          </w:p>
        </w:tc>
        <w:tc>
          <w:tcPr>
            <w:tcW w:w="2041"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29B0FB08" w14:textId="77777777" w:rsidR="00367D5A" w:rsidRPr="00367D5A" w:rsidRDefault="00367D5A" w:rsidP="00367D5A">
            <w:pPr>
              <w:pStyle w:val="CDITable-RowCentre"/>
              <w:rPr>
                <w:lang w:val="en-GB"/>
              </w:rPr>
            </w:pPr>
            <w:r w:rsidRPr="00367D5A">
              <w:rPr>
                <w:lang w:val="en-GB"/>
              </w:rPr>
              <w:t>4,014</w:t>
            </w:r>
          </w:p>
        </w:tc>
      </w:tr>
      <w:tr w:rsidR="00E55A7D" w:rsidRPr="00367D5A" w14:paraId="3F486024" w14:textId="77777777" w:rsidTr="00725C7E">
        <w:trPr>
          <w:trHeight w:val="60"/>
        </w:trPr>
        <w:tc>
          <w:tcPr>
            <w:tcW w:w="2494" w:type="dxa"/>
            <w:vMerge/>
            <w:tcBorders>
              <w:top w:val="single" w:sz="6" w:space="0" w:color="1E4496" w:themeColor="text2"/>
              <w:bottom w:val="single" w:sz="6" w:space="0" w:color="1E4496" w:themeColor="text2"/>
            </w:tcBorders>
            <w:shd w:val="clear" w:color="auto" w:fill="DCF4FC" w:themeFill="background2" w:themeFillTint="33"/>
            <w:tcMar>
              <w:top w:w="68" w:type="dxa"/>
              <w:bottom w:w="68" w:type="dxa"/>
            </w:tcMar>
          </w:tcPr>
          <w:p w14:paraId="2A2B5B4B"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5C5A06EA" w14:textId="77777777" w:rsidR="00367D5A" w:rsidRPr="00367D5A" w:rsidRDefault="00367D5A" w:rsidP="00367D5A">
            <w:pPr>
              <w:pStyle w:val="CDITable-RowLeft"/>
              <w:rPr>
                <w:lang w:val="en-GB"/>
              </w:rPr>
            </w:pPr>
            <w:r w:rsidRPr="00367D5A">
              <w:rPr>
                <w:lang w:val="en-GB"/>
              </w:rPr>
              <w:t>1 month</w:t>
            </w:r>
          </w:p>
        </w:tc>
        <w:tc>
          <w:tcPr>
            <w:tcW w:w="2041"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04C82178" w14:textId="77777777" w:rsidR="00367D5A" w:rsidRPr="00367D5A" w:rsidRDefault="00367D5A" w:rsidP="00367D5A">
            <w:pPr>
              <w:pStyle w:val="CDITable-RowCentre"/>
              <w:rPr>
                <w:lang w:val="en-GB"/>
              </w:rPr>
            </w:pPr>
            <w:r w:rsidRPr="00367D5A">
              <w:rPr>
                <w:lang w:val="en-GB"/>
              </w:rPr>
              <w:t>4,370 (4,210–4,540)</w:t>
            </w:r>
          </w:p>
        </w:tc>
        <w:tc>
          <w:tcPr>
            <w:tcW w:w="2040" w:type="dxa"/>
            <w:vMerge/>
            <w:tcBorders>
              <w:top w:val="single" w:sz="6" w:space="0" w:color="1E4496" w:themeColor="text2"/>
              <w:bottom w:val="single" w:sz="6" w:space="0" w:color="1E4496" w:themeColor="text2"/>
            </w:tcBorders>
            <w:tcMar>
              <w:top w:w="68" w:type="dxa"/>
              <w:bottom w:w="68" w:type="dxa"/>
            </w:tcMar>
          </w:tcPr>
          <w:p w14:paraId="0CB89FA3"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21D0D5AE" w14:textId="77777777" w:rsidR="00367D5A" w:rsidRPr="00367D5A" w:rsidRDefault="00367D5A" w:rsidP="00367D5A">
            <w:pPr>
              <w:pStyle w:val="CDITable-RowCentre"/>
            </w:pPr>
          </w:p>
        </w:tc>
        <w:tc>
          <w:tcPr>
            <w:tcW w:w="2041" w:type="dxa"/>
            <w:vMerge/>
            <w:tcBorders>
              <w:top w:val="single" w:sz="6" w:space="0" w:color="1E4496" w:themeColor="text2"/>
              <w:bottom w:val="single" w:sz="6" w:space="0" w:color="1E4496" w:themeColor="text2"/>
            </w:tcBorders>
            <w:tcMar>
              <w:top w:w="68" w:type="dxa"/>
              <w:bottom w:w="68" w:type="dxa"/>
            </w:tcMar>
          </w:tcPr>
          <w:p w14:paraId="63A24728" w14:textId="77777777" w:rsidR="00367D5A" w:rsidRPr="00367D5A" w:rsidRDefault="00367D5A" w:rsidP="00367D5A">
            <w:pPr>
              <w:pStyle w:val="CDITable-RowCentre"/>
            </w:pPr>
          </w:p>
        </w:tc>
        <w:tc>
          <w:tcPr>
            <w:tcW w:w="2041" w:type="dxa"/>
            <w:vMerge/>
            <w:tcBorders>
              <w:top w:val="single" w:sz="6" w:space="0" w:color="1E4496" w:themeColor="text2"/>
              <w:bottom w:val="single" w:sz="6" w:space="0" w:color="1E4496" w:themeColor="text2"/>
            </w:tcBorders>
            <w:tcMar>
              <w:top w:w="68" w:type="dxa"/>
              <w:bottom w:w="68" w:type="dxa"/>
            </w:tcMar>
          </w:tcPr>
          <w:p w14:paraId="6390A64A" w14:textId="77777777" w:rsidR="00367D5A" w:rsidRPr="00367D5A" w:rsidRDefault="00367D5A" w:rsidP="00367D5A">
            <w:pPr>
              <w:pStyle w:val="CDITable-RowCentre"/>
            </w:pPr>
          </w:p>
        </w:tc>
      </w:tr>
      <w:tr w:rsidR="00725C7E" w:rsidRPr="00367D5A" w14:paraId="568FA8C1" w14:textId="77777777" w:rsidTr="00725C7E">
        <w:trPr>
          <w:trHeight w:val="60"/>
        </w:trPr>
        <w:tc>
          <w:tcPr>
            <w:tcW w:w="2494" w:type="dxa"/>
            <w:vMerge/>
            <w:tcBorders>
              <w:bottom w:val="single" w:sz="6" w:space="0" w:color="1E4496" w:themeColor="text2"/>
            </w:tcBorders>
            <w:shd w:val="clear" w:color="auto" w:fill="DCF4FC" w:themeFill="background2" w:themeFillTint="33"/>
            <w:tcMar>
              <w:top w:w="68" w:type="dxa"/>
              <w:bottom w:w="68" w:type="dxa"/>
            </w:tcMar>
          </w:tcPr>
          <w:p w14:paraId="569D1733"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638FDC5D" w14:textId="77777777" w:rsidR="00367D5A" w:rsidRPr="00367D5A" w:rsidRDefault="00367D5A" w:rsidP="00367D5A">
            <w:pPr>
              <w:pStyle w:val="CDITable-RowLeft"/>
              <w:rPr>
                <w:lang w:val="en-GB"/>
              </w:rPr>
            </w:pPr>
            <w:r w:rsidRPr="00367D5A">
              <w:rPr>
                <w:lang w:val="en-GB"/>
              </w:rPr>
              <w:t>2 months</w:t>
            </w:r>
          </w:p>
        </w:tc>
        <w:tc>
          <w:tcPr>
            <w:tcW w:w="2041" w:type="dxa"/>
            <w:vMerge/>
            <w:tcBorders>
              <w:bottom w:val="single" w:sz="6" w:space="0" w:color="1E4496" w:themeColor="text2"/>
            </w:tcBorders>
            <w:tcMar>
              <w:top w:w="68" w:type="dxa"/>
              <w:bottom w:w="68" w:type="dxa"/>
            </w:tcMar>
          </w:tcPr>
          <w:p w14:paraId="2105B7A6" w14:textId="77777777" w:rsidR="00367D5A" w:rsidRPr="00367D5A" w:rsidRDefault="00367D5A" w:rsidP="00367D5A">
            <w:pPr>
              <w:pStyle w:val="CDITable-RowCentre"/>
            </w:pPr>
          </w:p>
        </w:tc>
        <w:tc>
          <w:tcPr>
            <w:tcW w:w="2040" w:type="dxa"/>
            <w:vMerge/>
            <w:tcBorders>
              <w:bottom w:val="single" w:sz="6" w:space="0" w:color="1E4496" w:themeColor="text2"/>
            </w:tcBorders>
            <w:tcMar>
              <w:top w:w="68" w:type="dxa"/>
              <w:bottom w:w="68" w:type="dxa"/>
            </w:tcMar>
          </w:tcPr>
          <w:p w14:paraId="7363294D"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3E34728C"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7D1B3D32"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1907AD4A" w14:textId="77777777" w:rsidR="00367D5A" w:rsidRPr="00367D5A" w:rsidRDefault="00367D5A" w:rsidP="00367D5A">
            <w:pPr>
              <w:pStyle w:val="CDITable-RowCentre"/>
            </w:pPr>
          </w:p>
        </w:tc>
      </w:tr>
      <w:tr w:rsidR="00725C7E" w:rsidRPr="00367D5A" w14:paraId="5952C2BA" w14:textId="77777777" w:rsidTr="00725C7E">
        <w:trPr>
          <w:trHeight w:val="60"/>
        </w:trPr>
        <w:tc>
          <w:tcPr>
            <w:tcW w:w="2494" w:type="dxa"/>
            <w:vMerge/>
            <w:tcBorders>
              <w:bottom w:val="single" w:sz="6" w:space="0" w:color="1E4496" w:themeColor="text2"/>
            </w:tcBorders>
            <w:shd w:val="clear" w:color="auto" w:fill="DCF4FC" w:themeFill="background2" w:themeFillTint="33"/>
            <w:tcMar>
              <w:top w:w="68" w:type="dxa"/>
              <w:bottom w:w="68" w:type="dxa"/>
            </w:tcMar>
          </w:tcPr>
          <w:p w14:paraId="6049C8C8"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09A8843D" w14:textId="77777777" w:rsidR="00367D5A" w:rsidRPr="00367D5A" w:rsidRDefault="00367D5A" w:rsidP="00367D5A">
            <w:pPr>
              <w:pStyle w:val="CDITable-RowLeft"/>
              <w:rPr>
                <w:lang w:val="en-GB"/>
              </w:rPr>
            </w:pPr>
            <w:r w:rsidRPr="00367D5A">
              <w:rPr>
                <w:lang w:val="en-GB"/>
              </w:rPr>
              <w:t>3 months</w:t>
            </w:r>
          </w:p>
        </w:tc>
        <w:tc>
          <w:tcPr>
            <w:tcW w:w="2041"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20E5DB00" w14:textId="77777777" w:rsidR="00367D5A" w:rsidRPr="00367D5A" w:rsidRDefault="00367D5A" w:rsidP="00367D5A">
            <w:pPr>
              <w:pStyle w:val="CDITable-RowCentre"/>
              <w:rPr>
                <w:lang w:val="en-GB"/>
              </w:rPr>
            </w:pPr>
            <w:r w:rsidRPr="00367D5A">
              <w:rPr>
                <w:lang w:val="en-GB"/>
              </w:rPr>
              <w:t>2,790 (2,680–2,900)</w:t>
            </w:r>
          </w:p>
        </w:tc>
        <w:tc>
          <w:tcPr>
            <w:tcW w:w="2040" w:type="dxa"/>
            <w:vMerge/>
            <w:tcBorders>
              <w:bottom w:val="single" w:sz="6" w:space="0" w:color="1E4496" w:themeColor="text2"/>
            </w:tcBorders>
            <w:tcMar>
              <w:top w:w="68" w:type="dxa"/>
              <w:bottom w:w="68" w:type="dxa"/>
            </w:tcMar>
          </w:tcPr>
          <w:p w14:paraId="2D0F4360"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3D989271" w14:textId="77777777" w:rsidR="00367D5A" w:rsidRPr="00367D5A" w:rsidRDefault="00367D5A" w:rsidP="00367D5A">
            <w:pPr>
              <w:pStyle w:val="CDITable-RowCentre"/>
            </w:pPr>
          </w:p>
        </w:tc>
        <w:tc>
          <w:tcPr>
            <w:tcW w:w="2041"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2136C75A" w14:textId="77777777" w:rsidR="00367D5A" w:rsidRPr="00367D5A" w:rsidRDefault="00367D5A" w:rsidP="00367D5A">
            <w:pPr>
              <w:pStyle w:val="CDITable-RowCentre"/>
              <w:rPr>
                <w:lang w:val="en-GB"/>
              </w:rPr>
            </w:pPr>
            <w:r w:rsidRPr="00367D5A">
              <w:rPr>
                <w:lang w:val="en-GB"/>
              </w:rPr>
              <w:t>1,806</w:t>
            </w:r>
          </w:p>
        </w:tc>
        <w:tc>
          <w:tcPr>
            <w:tcW w:w="2041"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4D8A9A6A" w14:textId="77777777" w:rsidR="00367D5A" w:rsidRPr="00367D5A" w:rsidRDefault="00367D5A" w:rsidP="00367D5A">
            <w:pPr>
              <w:pStyle w:val="CDITable-RowCentre"/>
              <w:rPr>
                <w:lang w:val="en-GB"/>
              </w:rPr>
            </w:pPr>
            <w:r w:rsidRPr="00367D5A">
              <w:rPr>
                <w:lang w:val="en-GB"/>
              </w:rPr>
              <w:t>2,177</w:t>
            </w:r>
          </w:p>
        </w:tc>
      </w:tr>
      <w:tr w:rsidR="00E55A7D" w:rsidRPr="00367D5A" w14:paraId="24CAAB69" w14:textId="77777777" w:rsidTr="00725C7E">
        <w:trPr>
          <w:trHeight w:val="60"/>
        </w:trPr>
        <w:tc>
          <w:tcPr>
            <w:tcW w:w="2494" w:type="dxa"/>
            <w:vMerge/>
            <w:tcBorders>
              <w:bottom w:val="single" w:sz="6" w:space="0" w:color="1E4496" w:themeColor="text2"/>
            </w:tcBorders>
            <w:shd w:val="clear" w:color="auto" w:fill="DCF4FC" w:themeFill="background2" w:themeFillTint="33"/>
            <w:tcMar>
              <w:top w:w="68" w:type="dxa"/>
              <w:bottom w:w="68" w:type="dxa"/>
            </w:tcMar>
          </w:tcPr>
          <w:p w14:paraId="57053AD3"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7EAEA802" w14:textId="77777777" w:rsidR="00367D5A" w:rsidRPr="00367D5A" w:rsidRDefault="00367D5A" w:rsidP="00367D5A">
            <w:pPr>
              <w:pStyle w:val="CDITable-RowLeft"/>
              <w:rPr>
                <w:lang w:val="en-GB"/>
              </w:rPr>
            </w:pPr>
            <w:r w:rsidRPr="00367D5A">
              <w:rPr>
                <w:lang w:val="en-GB"/>
              </w:rPr>
              <w:t>4 months</w:t>
            </w:r>
          </w:p>
        </w:tc>
        <w:tc>
          <w:tcPr>
            <w:tcW w:w="2041" w:type="dxa"/>
            <w:vMerge/>
            <w:tcBorders>
              <w:bottom w:val="single" w:sz="6" w:space="0" w:color="1E4496" w:themeColor="text2"/>
            </w:tcBorders>
            <w:tcMar>
              <w:top w:w="68" w:type="dxa"/>
              <w:bottom w:w="68" w:type="dxa"/>
            </w:tcMar>
          </w:tcPr>
          <w:p w14:paraId="0D70627F" w14:textId="77777777" w:rsidR="00367D5A" w:rsidRPr="00367D5A" w:rsidRDefault="00367D5A" w:rsidP="00367D5A">
            <w:pPr>
              <w:pStyle w:val="CDITable-RowCentre"/>
            </w:pPr>
          </w:p>
        </w:tc>
        <w:tc>
          <w:tcPr>
            <w:tcW w:w="2040"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2B7F48BA" w14:textId="77777777" w:rsidR="00367D5A" w:rsidRPr="00367D5A" w:rsidRDefault="00367D5A" w:rsidP="00367D5A">
            <w:pPr>
              <w:pStyle w:val="CDITable-RowCentre"/>
              <w:rPr>
                <w:lang w:val="en-GB"/>
              </w:rPr>
            </w:pPr>
            <w:r w:rsidRPr="00367D5A">
              <w:rPr>
                <w:lang w:val="en-GB"/>
              </w:rPr>
              <w:t>1,670 (1,620–1,740)</w:t>
            </w:r>
          </w:p>
        </w:tc>
        <w:tc>
          <w:tcPr>
            <w:tcW w:w="2041" w:type="dxa"/>
            <w:vMerge/>
            <w:tcBorders>
              <w:bottom w:val="single" w:sz="6" w:space="0" w:color="1E4496" w:themeColor="text2"/>
            </w:tcBorders>
            <w:tcMar>
              <w:top w:w="68" w:type="dxa"/>
              <w:bottom w:w="68" w:type="dxa"/>
            </w:tcMar>
          </w:tcPr>
          <w:p w14:paraId="4D15CFF3"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58D788F3"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5FADACCA" w14:textId="77777777" w:rsidR="00367D5A" w:rsidRPr="00367D5A" w:rsidRDefault="00367D5A" w:rsidP="00367D5A">
            <w:pPr>
              <w:pStyle w:val="CDITable-RowCentre"/>
            </w:pPr>
          </w:p>
        </w:tc>
      </w:tr>
      <w:tr w:rsidR="00725C7E" w:rsidRPr="00367D5A" w14:paraId="70A15F9A" w14:textId="77777777" w:rsidTr="00725C7E">
        <w:trPr>
          <w:trHeight w:val="60"/>
        </w:trPr>
        <w:tc>
          <w:tcPr>
            <w:tcW w:w="2494" w:type="dxa"/>
            <w:vMerge/>
            <w:tcBorders>
              <w:bottom w:val="single" w:sz="6" w:space="0" w:color="1E4496" w:themeColor="text2"/>
            </w:tcBorders>
            <w:shd w:val="clear" w:color="auto" w:fill="DCF4FC" w:themeFill="background2" w:themeFillTint="33"/>
            <w:tcMar>
              <w:top w:w="68" w:type="dxa"/>
              <w:bottom w:w="68" w:type="dxa"/>
            </w:tcMar>
          </w:tcPr>
          <w:p w14:paraId="0E1E8F73"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4571DA03" w14:textId="77777777" w:rsidR="00367D5A" w:rsidRPr="00367D5A" w:rsidRDefault="00367D5A" w:rsidP="00367D5A">
            <w:pPr>
              <w:pStyle w:val="CDITable-RowLeft"/>
              <w:rPr>
                <w:lang w:val="en-GB"/>
              </w:rPr>
            </w:pPr>
            <w:r w:rsidRPr="00367D5A">
              <w:rPr>
                <w:lang w:val="en-GB"/>
              </w:rPr>
              <w:t>5 months</w:t>
            </w:r>
          </w:p>
        </w:tc>
        <w:tc>
          <w:tcPr>
            <w:tcW w:w="2041" w:type="dxa"/>
            <w:vMerge/>
            <w:tcBorders>
              <w:bottom w:val="single" w:sz="6" w:space="0" w:color="1E4496" w:themeColor="text2"/>
            </w:tcBorders>
            <w:tcMar>
              <w:top w:w="68" w:type="dxa"/>
              <w:bottom w:w="68" w:type="dxa"/>
            </w:tcMar>
          </w:tcPr>
          <w:p w14:paraId="3BC57783" w14:textId="77777777" w:rsidR="00367D5A" w:rsidRPr="00367D5A" w:rsidRDefault="00367D5A" w:rsidP="00367D5A">
            <w:pPr>
              <w:pStyle w:val="CDITable-RowCentre"/>
            </w:pPr>
          </w:p>
        </w:tc>
        <w:tc>
          <w:tcPr>
            <w:tcW w:w="2040" w:type="dxa"/>
            <w:vMerge/>
            <w:tcBorders>
              <w:bottom w:val="single" w:sz="6" w:space="0" w:color="1E4496" w:themeColor="text2"/>
            </w:tcBorders>
            <w:tcMar>
              <w:top w:w="68" w:type="dxa"/>
              <w:bottom w:w="68" w:type="dxa"/>
            </w:tcMar>
          </w:tcPr>
          <w:p w14:paraId="2186AEF0"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46F1F891"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4BD9A22D"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772F6778" w14:textId="77777777" w:rsidR="00367D5A" w:rsidRPr="00367D5A" w:rsidRDefault="00367D5A" w:rsidP="00367D5A">
            <w:pPr>
              <w:pStyle w:val="CDITable-RowCentre"/>
            </w:pPr>
          </w:p>
        </w:tc>
      </w:tr>
      <w:tr w:rsidR="00725C7E" w:rsidRPr="00367D5A" w14:paraId="4EE90E30" w14:textId="77777777" w:rsidTr="00725C7E">
        <w:trPr>
          <w:trHeight w:val="60"/>
        </w:trPr>
        <w:tc>
          <w:tcPr>
            <w:tcW w:w="2494" w:type="dxa"/>
            <w:vMerge/>
            <w:tcBorders>
              <w:bottom w:val="single" w:sz="6" w:space="0" w:color="1E4496" w:themeColor="text2"/>
            </w:tcBorders>
            <w:shd w:val="clear" w:color="auto" w:fill="DCF4FC" w:themeFill="background2" w:themeFillTint="33"/>
            <w:tcMar>
              <w:top w:w="68" w:type="dxa"/>
              <w:bottom w:w="68" w:type="dxa"/>
            </w:tcMar>
          </w:tcPr>
          <w:p w14:paraId="79DD7E45"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4142097D" w14:textId="77777777" w:rsidR="00367D5A" w:rsidRPr="00367D5A" w:rsidRDefault="00367D5A" w:rsidP="00367D5A">
            <w:pPr>
              <w:pStyle w:val="CDITable-RowLeft"/>
              <w:rPr>
                <w:lang w:val="en-GB"/>
              </w:rPr>
            </w:pPr>
            <w:r w:rsidRPr="00367D5A">
              <w:rPr>
                <w:lang w:val="en-GB"/>
              </w:rPr>
              <w:t>6 months</w:t>
            </w:r>
          </w:p>
        </w:tc>
        <w:tc>
          <w:tcPr>
            <w:tcW w:w="2041"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1D72D3F5" w14:textId="77777777" w:rsidR="00367D5A" w:rsidRPr="00367D5A" w:rsidRDefault="00367D5A" w:rsidP="00367D5A">
            <w:pPr>
              <w:pStyle w:val="CDITable-RowCentre"/>
              <w:rPr>
                <w:lang w:val="en-GB"/>
              </w:rPr>
            </w:pPr>
            <w:r w:rsidRPr="00367D5A">
              <w:rPr>
                <w:lang w:val="en-GB"/>
              </w:rPr>
              <w:t>1,280 (1,230–1,340)</w:t>
            </w:r>
          </w:p>
        </w:tc>
        <w:tc>
          <w:tcPr>
            <w:tcW w:w="2040" w:type="dxa"/>
            <w:vMerge/>
            <w:tcBorders>
              <w:bottom w:val="single" w:sz="6" w:space="0" w:color="1E4496" w:themeColor="text2"/>
            </w:tcBorders>
            <w:tcMar>
              <w:top w:w="68" w:type="dxa"/>
              <w:bottom w:w="68" w:type="dxa"/>
            </w:tcMar>
          </w:tcPr>
          <w:p w14:paraId="593A25C9"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26C86A4F" w14:textId="77777777" w:rsidR="00367D5A" w:rsidRPr="00367D5A" w:rsidRDefault="00367D5A" w:rsidP="00367D5A">
            <w:pPr>
              <w:pStyle w:val="CDITable-RowCentre"/>
            </w:pPr>
          </w:p>
        </w:tc>
        <w:tc>
          <w:tcPr>
            <w:tcW w:w="2041"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71A32DD1" w14:textId="77777777" w:rsidR="00367D5A" w:rsidRPr="00367D5A" w:rsidRDefault="00367D5A" w:rsidP="00367D5A">
            <w:pPr>
              <w:pStyle w:val="CDITable-RowCentre"/>
              <w:rPr>
                <w:lang w:val="en-GB"/>
              </w:rPr>
            </w:pPr>
            <w:r w:rsidRPr="00367D5A">
              <w:rPr>
                <w:lang w:val="en-GB"/>
              </w:rPr>
              <w:t>1,032</w:t>
            </w:r>
          </w:p>
        </w:tc>
        <w:tc>
          <w:tcPr>
            <w:tcW w:w="2041"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1C2191F4" w14:textId="77777777" w:rsidR="00367D5A" w:rsidRPr="00367D5A" w:rsidRDefault="00367D5A" w:rsidP="00367D5A">
            <w:pPr>
              <w:pStyle w:val="CDITable-RowCentre"/>
              <w:rPr>
                <w:lang w:val="en-GB"/>
              </w:rPr>
            </w:pPr>
            <w:r w:rsidRPr="00367D5A">
              <w:rPr>
                <w:lang w:val="en-GB"/>
              </w:rPr>
              <w:t>1,294</w:t>
            </w:r>
          </w:p>
        </w:tc>
      </w:tr>
      <w:tr w:rsidR="00E55A7D" w:rsidRPr="00367D5A" w14:paraId="644B4B1E" w14:textId="77777777" w:rsidTr="00725C7E">
        <w:trPr>
          <w:trHeight w:val="60"/>
        </w:trPr>
        <w:tc>
          <w:tcPr>
            <w:tcW w:w="2494" w:type="dxa"/>
            <w:vMerge/>
            <w:tcBorders>
              <w:bottom w:val="single" w:sz="6" w:space="0" w:color="1E4496" w:themeColor="text2"/>
            </w:tcBorders>
            <w:shd w:val="clear" w:color="auto" w:fill="DCF4FC" w:themeFill="background2" w:themeFillTint="33"/>
            <w:tcMar>
              <w:top w:w="68" w:type="dxa"/>
              <w:bottom w:w="68" w:type="dxa"/>
            </w:tcMar>
          </w:tcPr>
          <w:p w14:paraId="5DD22B64"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62D78101" w14:textId="77777777" w:rsidR="00367D5A" w:rsidRPr="00367D5A" w:rsidRDefault="00367D5A" w:rsidP="00367D5A">
            <w:pPr>
              <w:pStyle w:val="CDITable-RowLeft"/>
              <w:rPr>
                <w:lang w:val="en-GB"/>
              </w:rPr>
            </w:pPr>
            <w:r w:rsidRPr="00367D5A">
              <w:rPr>
                <w:lang w:val="en-GB"/>
              </w:rPr>
              <w:t>7 months</w:t>
            </w:r>
          </w:p>
        </w:tc>
        <w:tc>
          <w:tcPr>
            <w:tcW w:w="2041" w:type="dxa"/>
            <w:vMerge/>
            <w:tcBorders>
              <w:bottom w:val="single" w:sz="6" w:space="0" w:color="1E4496" w:themeColor="text2"/>
            </w:tcBorders>
            <w:tcMar>
              <w:top w:w="68" w:type="dxa"/>
              <w:bottom w:w="68" w:type="dxa"/>
            </w:tcMar>
          </w:tcPr>
          <w:p w14:paraId="007CEFDD" w14:textId="77777777" w:rsidR="00367D5A" w:rsidRPr="00367D5A" w:rsidRDefault="00367D5A" w:rsidP="00367D5A">
            <w:pPr>
              <w:pStyle w:val="CDITable-RowCentre"/>
            </w:pPr>
          </w:p>
        </w:tc>
        <w:tc>
          <w:tcPr>
            <w:tcW w:w="2040" w:type="dxa"/>
            <w:vMerge w:val="restart"/>
            <w:tcBorders>
              <w:top w:val="single" w:sz="6" w:space="0" w:color="1E4496" w:themeColor="text2"/>
              <w:bottom w:val="single" w:sz="6" w:space="0" w:color="1E4496" w:themeColor="text2"/>
            </w:tcBorders>
            <w:tcMar>
              <w:top w:w="68" w:type="dxa"/>
              <w:left w:w="113" w:type="dxa"/>
              <w:bottom w:w="68" w:type="dxa"/>
              <w:right w:w="113" w:type="dxa"/>
            </w:tcMar>
            <w:vAlign w:val="center"/>
          </w:tcPr>
          <w:p w14:paraId="540AA55C" w14:textId="77777777" w:rsidR="00367D5A" w:rsidRPr="00367D5A" w:rsidRDefault="00367D5A" w:rsidP="00367D5A">
            <w:pPr>
              <w:pStyle w:val="CDITable-RowCentre"/>
              <w:rPr>
                <w:lang w:val="en-GB"/>
              </w:rPr>
            </w:pPr>
            <w:r w:rsidRPr="00367D5A">
              <w:rPr>
                <w:lang w:val="en-GB"/>
              </w:rPr>
              <w:t>470 (450—480)</w:t>
            </w:r>
          </w:p>
        </w:tc>
        <w:tc>
          <w:tcPr>
            <w:tcW w:w="2041" w:type="dxa"/>
            <w:vMerge/>
            <w:tcBorders>
              <w:bottom w:val="single" w:sz="6" w:space="0" w:color="1E4496" w:themeColor="text2"/>
            </w:tcBorders>
            <w:tcMar>
              <w:top w:w="68" w:type="dxa"/>
              <w:bottom w:w="68" w:type="dxa"/>
            </w:tcMar>
          </w:tcPr>
          <w:p w14:paraId="37769D7B"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5C843B91"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57EE193E" w14:textId="77777777" w:rsidR="00367D5A" w:rsidRPr="00367D5A" w:rsidRDefault="00367D5A" w:rsidP="00367D5A">
            <w:pPr>
              <w:pStyle w:val="CDITable-RowCentre"/>
            </w:pPr>
          </w:p>
        </w:tc>
      </w:tr>
      <w:tr w:rsidR="007B617C" w:rsidRPr="00367D5A" w14:paraId="2A5C780A" w14:textId="77777777" w:rsidTr="00725C7E">
        <w:trPr>
          <w:trHeight w:val="60"/>
        </w:trPr>
        <w:tc>
          <w:tcPr>
            <w:tcW w:w="2494" w:type="dxa"/>
            <w:vMerge/>
            <w:tcBorders>
              <w:bottom w:val="single" w:sz="6" w:space="0" w:color="1E4496" w:themeColor="text2"/>
            </w:tcBorders>
            <w:shd w:val="clear" w:color="auto" w:fill="DCF4FC" w:themeFill="background2" w:themeFillTint="33"/>
            <w:tcMar>
              <w:top w:w="68" w:type="dxa"/>
              <w:bottom w:w="68" w:type="dxa"/>
            </w:tcMar>
          </w:tcPr>
          <w:p w14:paraId="378DB7CF"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52D147FB" w14:textId="77777777" w:rsidR="00367D5A" w:rsidRPr="00367D5A" w:rsidRDefault="00367D5A" w:rsidP="00367D5A">
            <w:pPr>
              <w:pStyle w:val="CDITable-RowLeft"/>
              <w:rPr>
                <w:lang w:val="en-GB"/>
              </w:rPr>
            </w:pPr>
            <w:r w:rsidRPr="00367D5A">
              <w:rPr>
                <w:lang w:val="en-GB"/>
              </w:rPr>
              <w:t>8 months</w:t>
            </w:r>
          </w:p>
        </w:tc>
        <w:tc>
          <w:tcPr>
            <w:tcW w:w="2041" w:type="dxa"/>
            <w:vMerge/>
            <w:tcBorders>
              <w:bottom w:val="single" w:sz="6" w:space="0" w:color="1E4496" w:themeColor="text2"/>
            </w:tcBorders>
            <w:tcMar>
              <w:top w:w="68" w:type="dxa"/>
              <w:bottom w:w="68" w:type="dxa"/>
            </w:tcMar>
          </w:tcPr>
          <w:p w14:paraId="41C34279" w14:textId="77777777" w:rsidR="00367D5A" w:rsidRPr="00367D5A" w:rsidRDefault="00367D5A" w:rsidP="00367D5A">
            <w:pPr>
              <w:pStyle w:val="CDITable-RowCentre"/>
            </w:pPr>
          </w:p>
        </w:tc>
        <w:tc>
          <w:tcPr>
            <w:tcW w:w="2040" w:type="dxa"/>
            <w:vMerge/>
            <w:tcBorders>
              <w:bottom w:val="single" w:sz="6" w:space="0" w:color="1E4496" w:themeColor="text2"/>
            </w:tcBorders>
            <w:tcMar>
              <w:top w:w="68" w:type="dxa"/>
              <w:bottom w:w="68" w:type="dxa"/>
            </w:tcMar>
          </w:tcPr>
          <w:p w14:paraId="7AD9F113"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16024CEE"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714E1702"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5BD58BAE" w14:textId="77777777" w:rsidR="00367D5A" w:rsidRPr="00367D5A" w:rsidRDefault="00367D5A" w:rsidP="00367D5A">
            <w:pPr>
              <w:pStyle w:val="CDITable-RowCentre"/>
            </w:pPr>
          </w:p>
        </w:tc>
      </w:tr>
      <w:tr w:rsidR="007B617C" w:rsidRPr="00367D5A" w14:paraId="6AED301F" w14:textId="77777777" w:rsidTr="00725C7E">
        <w:trPr>
          <w:trHeight w:val="60"/>
        </w:trPr>
        <w:tc>
          <w:tcPr>
            <w:tcW w:w="2494" w:type="dxa"/>
            <w:vMerge/>
            <w:tcBorders>
              <w:bottom w:val="single" w:sz="6" w:space="0" w:color="1E4496" w:themeColor="text2"/>
            </w:tcBorders>
            <w:shd w:val="clear" w:color="auto" w:fill="DCF4FC" w:themeFill="background2" w:themeFillTint="33"/>
            <w:tcMar>
              <w:top w:w="68" w:type="dxa"/>
              <w:bottom w:w="68" w:type="dxa"/>
            </w:tcMar>
          </w:tcPr>
          <w:p w14:paraId="3875EBB4"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1EE02A97" w14:textId="77777777" w:rsidR="00367D5A" w:rsidRPr="00367D5A" w:rsidRDefault="00367D5A" w:rsidP="00367D5A">
            <w:pPr>
              <w:pStyle w:val="CDITable-RowLeft"/>
              <w:rPr>
                <w:lang w:val="en-GB"/>
              </w:rPr>
            </w:pPr>
            <w:r w:rsidRPr="00367D5A">
              <w:rPr>
                <w:lang w:val="en-GB"/>
              </w:rPr>
              <w:t>9 months</w:t>
            </w:r>
          </w:p>
        </w:tc>
        <w:tc>
          <w:tcPr>
            <w:tcW w:w="2041" w:type="dxa"/>
            <w:vMerge/>
            <w:tcBorders>
              <w:bottom w:val="single" w:sz="6" w:space="0" w:color="1E4496" w:themeColor="text2"/>
            </w:tcBorders>
            <w:tcMar>
              <w:top w:w="68" w:type="dxa"/>
              <w:bottom w:w="68" w:type="dxa"/>
            </w:tcMar>
          </w:tcPr>
          <w:p w14:paraId="18CEA04D" w14:textId="77777777" w:rsidR="00367D5A" w:rsidRPr="00367D5A" w:rsidRDefault="00367D5A" w:rsidP="00367D5A">
            <w:pPr>
              <w:pStyle w:val="CDITable-RowCentre"/>
            </w:pPr>
          </w:p>
        </w:tc>
        <w:tc>
          <w:tcPr>
            <w:tcW w:w="2040" w:type="dxa"/>
            <w:vMerge/>
            <w:tcBorders>
              <w:bottom w:val="single" w:sz="6" w:space="0" w:color="1E4496" w:themeColor="text2"/>
            </w:tcBorders>
            <w:tcMar>
              <w:top w:w="68" w:type="dxa"/>
              <w:bottom w:w="68" w:type="dxa"/>
            </w:tcMar>
          </w:tcPr>
          <w:p w14:paraId="49E85B5A"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72055A11"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525D3E3A"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5E29213E" w14:textId="77777777" w:rsidR="00367D5A" w:rsidRPr="00367D5A" w:rsidRDefault="00367D5A" w:rsidP="00367D5A">
            <w:pPr>
              <w:pStyle w:val="CDITable-RowCentre"/>
            </w:pPr>
          </w:p>
        </w:tc>
      </w:tr>
      <w:tr w:rsidR="00367D5A" w:rsidRPr="00367D5A" w14:paraId="420850C2" w14:textId="77777777" w:rsidTr="00725C7E">
        <w:trPr>
          <w:trHeight w:val="60"/>
        </w:trPr>
        <w:tc>
          <w:tcPr>
            <w:tcW w:w="2494" w:type="dxa"/>
            <w:vMerge/>
            <w:tcBorders>
              <w:bottom w:val="single" w:sz="6" w:space="0" w:color="1E4496" w:themeColor="text2"/>
            </w:tcBorders>
            <w:shd w:val="clear" w:color="auto" w:fill="DCF4FC" w:themeFill="background2" w:themeFillTint="33"/>
            <w:tcMar>
              <w:top w:w="68" w:type="dxa"/>
              <w:bottom w:w="68" w:type="dxa"/>
            </w:tcMar>
          </w:tcPr>
          <w:p w14:paraId="285C04FB"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6D37E46D" w14:textId="77777777" w:rsidR="00367D5A" w:rsidRPr="00367D5A" w:rsidRDefault="00367D5A" w:rsidP="00367D5A">
            <w:pPr>
              <w:pStyle w:val="CDITable-RowLeft"/>
              <w:rPr>
                <w:lang w:val="en-GB"/>
              </w:rPr>
            </w:pPr>
            <w:r w:rsidRPr="00367D5A">
              <w:rPr>
                <w:lang w:val="en-GB"/>
              </w:rPr>
              <w:t>10 months</w:t>
            </w:r>
          </w:p>
        </w:tc>
        <w:tc>
          <w:tcPr>
            <w:tcW w:w="2041" w:type="dxa"/>
            <w:vMerge/>
            <w:tcBorders>
              <w:bottom w:val="single" w:sz="6" w:space="0" w:color="1E4496" w:themeColor="text2"/>
            </w:tcBorders>
            <w:tcMar>
              <w:top w:w="68" w:type="dxa"/>
              <w:bottom w:w="68" w:type="dxa"/>
            </w:tcMar>
          </w:tcPr>
          <w:p w14:paraId="1443223C" w14:textId="77777777" w:rsidR="00367D5A" w:rsidRPr="00367D5A" w:rsidRDefault="00367D5A" w:rsidP="00367D5A">
            <w:pPr>
              <w:pStyle w:val="CDITable-RowCentre"/>
            </w:pPr>
          </w:p>
        </w:tc>
        <w:tc>
          <w:tcPr>
            <w:tcW w:w="2040" w:type="dxa"/>
            <w:vMerge/>
            <w:tcBorders>
              <w:bottom w:val="single" w:sz="6" w:space="0" w:color="1E4496" w:themeColor="text2"/>
            </w:tcBorders>
            <w:tcMar>
              <w:top w:w="68" w:type="dxa"/>
              <w:bottom w:w="68" w:type="dxa"/>
            </w:tcMar>
          </w:tcPr>
          <w:p w14:paraId="6E851C5B"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039DB09F"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538D640E"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724451F0" w14:textId="77777777" w:rsidR="00367D5A" w:rsidRPr="00367D5A" w:rsidRDefault="00367D5A" w:rsidP="00367D5A">
            <w:pPr>
              <w:pStyle w:val="CDITable-RowCentre"/>
            </w:pPr>
          </w:p>
        </w:tc>
      </w:tr>
      <w:tr w:rsidR="00E55A7D" w:rsidRPr="00367D5A" w14:paraId="68C6C534" w14:textId="77777777" w:rsidTr="00725C7E">
        <w:trPr>
          <w:trHeight w:val="60"/>
        </w:trPr>
        <w:tc>
          <w:tcPr>
            <w:tcW w:w="2494" w:type="dxa"/>
            <w:vMerge/>
            <w:tcBorders>
              <w:bottom w:val="single" w:sz="6" w:space="0" w:color="1E4496" w:themeColor="text2"/>
            </w:tcBorders>
            <w:shd w:val="clear" w:color="auto" w:fill="DCF4FC" w:themeFill="background2" w:themeFillTint="33"/>
            <w:tcMar>
              <w:top w:w="68" w:type="dxa"/>
              <w:bottom w:w="68" w:type="dxa"/>
            </w:tcMar>
          </w:tcPr>
          <w:p w14:paraId="540F03F5" w14:textId="77777777" w:rsidR="00367D5A" w:rsidRPr="00367D5A" w:rsidRDefault="00367D5A" w:rsidP="00367D5A">
            <w:pPr>
              <w:pStyle w:val="CDITable-RowLeft"/>
            </w:pPr>
          </w:p>
        </w:tc>
        <w:tc>
          <w:tcPr>
            <w:tcW w:w="1645" w:type="dxa"/>
            <w:tcBorders>
              <w:top w:val="single" w:sz="6" w:space="0" w:color="1E4496" w:themeColor="text2"/>
            </w:tcBorders>
            <w:tcMar>
              <w:top w:w="68" w:type="dxa"/>
              <w:left w:w="113" w:type="dxa"/>
              <w:bottom w:w="68" w:type="dxa"/>
              <w:right w:w="113" w:type="dxa"/>
            </w:tcMar>
            <w:vAlign w:val="center"/>
          </w:tcPr>
          <w:p w14:paraId="5F17B3E8" w14:textId="77777777" w:rsidR="00367D5A" w:rsidRPr="00367D5A" w:rsidRDefault="00367D5A" w:rsidP="00367D5A">
            <w:pPr>
              <w:pStyle w:val="CDITable-RowLeft"/>
              <w:rPr>
                <w:lang w:val="en-GB"/>
              </w:rPr>
            </w:pPr>
            <w:r w:rsidRPr="00367D5A">
              <w:rPr>
                <w:lang w:val="en-GB"/>
              </w:rPr>
              <w:t>11 months</w:t>
            </w:r>
          </w:p>
        </w:tc>
        <w:tc>
          <w:tcPr>
            <w:tcW w:w="2041" w:type="dxa"/>
            <w:vMerge/>
            <w:tcBorders>
              <w:bottom w:val="single" w:sz="6" w:space="0" w:color="1E4496" w:themeColor="text2"/>
            </w:tcBorders>
            <w:tcMar>
              <w:top w:w="68" w:type="dxa"/>
              <w:bottom w:w="68" w:type="dxa"/>
            </w:tcMar>
          </w:tcPr>
          <w:p w14:paraId="2B5DA652" w14:textId="77777777" w:rsidR="00367D5A" w:rsidRPr="00367D5A" w:rsidRDefault="00367D5A" w:rsidP="00367D5A">
            <w:pPr>
              <w:pStyle w:val="CDITable-RowCentre"/>
            </w:pPr>
          </w:p>
        </w:tc>
        <w:tc>
          <w:tcPr>
            <w:tcW w:w="2040" w:type="dxa"/>
            <w:vMerge/>
            <w:tcBorders>
              <w:bottom w:val="single" w:sz="6" w:space="0" w:color="1E4496" w:themeColor="text2"/>
            </w:tcBorders>
            <w:tcMar>
              <w:top w:w="68" w:type="dxa"/>
              <w:bottom w:w="68" w:type="dxa"/>
            </w:tcMar>
          </w:tcPr>
          <w:p w14:paraId="42C265DD"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36CAB377"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1953B074" w14:textId="77777777" w:rsidR="00367D5A" w:rsidRPr="00367D5A" w:rsidRDefault="00367D5A" w:rsidP="00367D5A">
            <w:pPr>
              <w:pStyle w:val="CDITable-RowCentre"/>
            </w:pPr>
          </w:p>
        </w:tc>
        <w:tc>
          <w:tcPr>
            <w:tcW w:w="2041" w:type="dxa"/>
            <w:vMerge/>
            <w:tcBorders>
              <w:bottom w:val="single" w:sz="6" w:space="0" w:color="1E4496" w:themeColor="text2"/>
            </w:tcBorders>
            <w:tcMar>
              <w:top w:w="68" w:type="dxa"/>
              <w:bottom w:w="68" w:type="dxa"/>
            </w:tcMar>
          </w:tcPr>
          <w:p w14:paraId="3AA50BE9" w14:textId="77777777" w:rsidR="00367D5A" w:rsidRPr="00367D5A" w:rsidRDefault="00367D5A" w:rsidP="00367D5A">
            <w:pPr>
              <w:pStyle w:val="CDITable-RowCentre"/>
            </w:pPr>
          </w:p>
        </w:tc>
      </w:tr>
      <w:tr w:rsidR="00E55A7D" w:rsidRPr="00367D5A" w14:paraId="3270FAC3" w14:textId="77777777" w:rsidTr="00725C7E">
        <w:trPr>
          <w:trHeight w:val="60"/>
        </w:trPr>
        <w:tc>
          <w:tcPr>
            <w:tcW w:w="2494" w:type="dxa"/>
            <w:vMerge/>
            <w:tcBorders>
              <w:bottom w:val="single" w:sz="6" w:space="0" w:color="1E4496" w:themeColor="text2"/>
            </w:tcBorders>
            <w:shd w:val="clear" w:color="auto" w:fill="DCF4FC" w:themeFill="background2" w:themeFillTint="33"/>
            <w:tcMar>
              <w:top w:w="68" w:type="dxa"/>
              <w:bottom w:w="68" w:type="dxa"/>
            </w:tcMar>
          </w:tcPr>
          <w:p w14:paraId="2C885ABF" w14:textId="77777777" w:rsidR="00367D5A" w:rsidRPr="00367D5A" w:rsidRDefault="00367D5A" w:rsidP="00367D5A">
            <w:pPr>
              <w:pStyle w:val="CDITable-RowLeft"/>
            </w:pPr>
          </w:p>
        </w:tc>
        <w:tc>
          <w:tcPr>
            <w:tcW w:w="1645" w:type="dxa"/>
            <w:tcBorders>
              <w:bottom w:val="single" w:sz="6" w:space="0" w:color="1E4496" w:themeColor="text2"/>
            </w:tcBorders>
            <w:tcMar>
              <w:top w:w="68" w:type="dxa"/>
              <w:left w:w="113" w:type="dxa"/>
              <w:bottom w:w="68" w:type="dxa"/>
              <w:right w:w="113" w:type="dxa"/>
            </w:tcMar>
            <w:vAlign w:val="center"/>
          </w:tcPr>
          <w:p w14:paraId="060E18B9" w14:textId="77777777" w:rsidR="00367D5A" w:rsidRPr="00367D5A" w:rsidRDefault="00367D5A" w:rsidP="00367D5A">
            <w:pPr>
              <w:pStyle w:val="CDITable-RowLeft"/>
              <w:rPr>
                <w:lang w:val="en-GB"/>
              </w:rPr>
            </w:pPr>
            <w:r w:rsidRPr="00367D5A">
              <w:rPr>
                <w:lang w:val="en-GB"/>
              </w:rPr>
              <w:t>12–23 months</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65D721AF" w14:textId="77777777" w:rsidR="00367D5A" w:rsidRPr="00367D5A" w:rsidRDefault="00367D5A" w:rsidP="00367D5A">
            <w:pPr>
              <w:pStyle w:val="CDITable-RowCentre"/>
              <w:rPr>
                <w:lang w:val="en-GB"/>
              </w:rPr>
            </w:pPr>
            <w:r w:rsidRPr="00367D5A">
              <w:rPr>
                <w:lang w:val="en-GB"/>
              </w:rPr>
              <w:t>530 (500–550)</w:t>
            </w:r>
          </w:p>
        </w:tc>
        <w:tc>
          <w:tcPr>
            <w:tcW w:w="2040"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0934246C" w14:textId="77777777" w:rsidR="00367D5A" w:rsidRPr="00367D5A" w:rsidRDefault="00367D5A" w:rsidP="00367D5A">
            <w:pPr>
              <w:pStyle w:val="CDITable-RowCentre"/>
              <w:rPr>
                <w:lang w:val="en-GB"/>
              </w:rPr>
            </w:pPr>
            <w:r w:rsidRPr="00367D5A">
              <w:rPr>
                <w:lang w:val="en-GB"/>
              </w:rPr>
              <w:t>280 (270–290)</w:t>
            </w:r>
          </w:p>
        </w:tc>
        <w:tc>
          <w:tcPr>
            <w:tcW w:w="2041" w:type="dxa"/>
            <w:vMerge/>
            <w:tcBorders>
              <w:bottom w:val="single" w:sz="6" w:space="0" w:color="1E4496" w:themeColor="text2"/>
            </w:tcBorders>
            <w:tcMar>
              <w:top w:w="68" w:type="dxa"/>
              <w:bottom w:w="68" w:type="dxa"/>
            </w:tcMar>
          </w:tcPr>
          <w:p w14:paraId="306601A7" w14:textId="77777777" w:rsidR="00367D5A" w:rsidRPr="00367D5A" w:rsidRDefault="00367D5A" w:rsidP="00367D5A">
            <w:pPr>
              <w:pStyle w:val="CDITable-RowCentre"/>
            </w:pP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545A22E8" w14:textId="77777777" w:rsidR="00367D5A" w:rsidRPr="00367D5A" w:rsidRDefault="00367D5A" w:rsidP="00367D5A">
            <w:pPr>
              <w:pStyle w:val="CDITable-RowCentre"/>
              <w:rPr>
                <w:lang w:val="en-GB"/>
              </w:rPr>
            </w:pPr>
            <w:r w:rsidRPr="00367D5A">
              <w:rPr>
                <w:lang w:val="en-GB"/>
              </w:rPr>
              <w:t>500</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20FA03D0" w14:textId="77777777" w:rsidR="00367D5A" w:rsidRPr="00367D5A" w:rsidRDefault="00367D5A" w:rsidP="00367D5A">
            <w:pPr>
              <w:pStyle w:val="CDITable-RowCentre"/>
              <w:rPr>
                <w:lang w:val="en-GB"/>
              </w:rPr>
            </w:pPr>
            <w:r w:rsidRPr="00367D5A">
              <w:rPr>
                <w:lang w:val="en-GB"/>
              </w:rPr>
              <w:t>755</w:t>
            </w:r>
          </w:p>
        </w:tc>
      </w:tr>
      <w:tr w:rsidR="00725C7E" w:rsidRPr="00367D5A" w14:paraId="35047E0D" w14:textId="77777777" w:rsidTr="002C0D4F">
        <w:trPr>
          <w:trHeight w:val="60"/>
        </w:trPr>
        <w:tc>
          <w:tcPr>
            <w:tcW w:w="2494" w:type="dxa"/>
            <w:vMerge/>
            <w:tcBorders>
              <w:bottom w:val="single" w:sz="6" w:space="0" w:color="1E4496" w:themeColor="text2"/>
            </w:tcBorders>
            <w:shd w:val="clear" w:color="auto" w:fill="DCF4FC" w:themeFill="background2" w:themeFillTint="33"/>
            <w:tcMar>
              <w:top w:w="68" w:type="dxa"/>
              <w:bottom w:w="68" w:type="dxa"/>
            </w:tcMar>
          </w:tcPr>
          <w:p w14:paraId="3350C729"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3CF52BD6" w14:textId="77777777" w:rsidR="00367D5A" w:rsidRPr="00367D5A" w:rsidRDefault="00367D5A" w:rsidP="00367D5A">
            <w:pPr>
              <w:pStyle w:val="CDITable-RowLeft"/>
              <w:rPr>
                <w:lang w:val="en-GB"/>
              </w:rPr>
            </w:pPr>
            <w:r w:rsidRPr="00367D5A">
              <w:rPr>
                <w:lang w:val="en-GB"/>
              </w:rPr>
              <w:t>24–59 months</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249F9692" w14:textId="77777777" w:rsidR="00367D5A" w:rsidRPr="00367D5A" w:rsidRDefault="00367D5A" w:rsidP="00367D5A">
            <w:pPr>
              <w:pStyle w:val="CDITable-RowCentre"/>
              <w:rPr>
                <w:lang w:val="en-GB"/>
              </w:rPr>
            </w:pPr>
            <w:r w:rsidRPr="00367D5A">
              <w:rPr>
                <w:lang w:val="en-GB"/>
              </w:rPr>
              <w:t>—</w:t>
            </w:r>
          </w:p>
        </w:tc>
        <w:tc>
          <w:tcPr>
            <w:tcW w:w="2040"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1960331C" w14:textId="77777777" w:rsidR="00367D5A" w:rsidRPr="00367D5A" w:rsidRDefault="00367D5A" w:rsidP="00367D5A">
            <w:pPr>
              <w:pStyle w:val="CDITable-RowCentre"/>
              <w:rPr>
                <w:lang w:val="en-GB"/>
              </w:rPr>
            </w:pPr>
            <w:r w:rsidRPr="00367D5A">
              <w:rPr>
                <w:lang w:val="en-GB"/>
              </w:rPr>
              <w:t>27 (25–31)</w:t>
            </w:r>
          </w:p>
        </w:tc>
        <w:tc>
          <w:tcPr>
            <w:tcW w:w="2041" w:type="dxa"/>
            <w:vMerge/>
            <w:tcBorders>
              <w:bottom w:val="single" w:sz="6" w:space="0" w:color="1E4496" w:themeColor="text2"/>
            </w:tcBorders>
            <w:tcMar>
              <w:top w:w="68" w:type="dxa"/>
              <w:bottom w:w="68" w:type="dxa"/>
            </w:tcMar>
          </w:tcPr>
          <w:p w14:paraId="1A958B5F" w14:textId="77777777" w:rsidR="00367D5A" w:rsidRPr="00367D5A" w:rsidRDefault="00367D5A" w:rsidP="00367D5A">
            <w:pPr>
              <w:pStyle w:val="CDITable-RowCentre"/>
            </w:pP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761078F3" w14:textId="77777777" w:rsidR="00367D5A" w:rsidRPr="00367D5A" w:rsidRDefault="00367D5A" w:rsidP="00367D5A">
            <w:pPr>
              <w:pStyle w:val="CDITable-RowCentre"/>
              <w:rPr>
                <w:lang w:val="en-GB"/>
              </w:rPr>
            </w:pPr>
            <w:r w:rsidRPr="00367D5A">
              <w:rPr>
                <w:lang w:val="en-GB"/>
              </w:rPr>
              <w:t>92</w:t>
            </w:r>
          </w:p>
        </w:tc>
        <w:tc>
          <w:tcPr>
            <w:tcW w:w="2041" w:type="dxa"/>
            <w:tcBorders>
              <w:top w:val="single" w:sz="6" w:space="0" w:color="1E4496" w:themeColor="text2"/>
              <w:bottom w:val="single" w:sz="6" w:space="0" w:color="1E4496" w:themeColor="text2"/>
            </w:tcBorders>
            <w:tcMar>
              <w:top w:w="68" w:type="dxa"/>
              <w:left w:w="113" w:type="dxa"/>
              <w:bottom w:w="68" w:type="dxa"/>
              <w:right w:w="113" w:type="dxa"/>
            </w:tcMar>
            <w:vAlign w:val="center"/>
          </w:tcPr>
          <w:p w14:paraId="70FD0061" w14:textId="77777777" w:rsidR="00367D5A" w:rsidRPr="00367D5A" w:rsidRDefault="00367D5A" w:rsidP="00367D5A">
            <w:pPr>
              <w:pStyle w:val="CDITable-RowCentre"/>
              <w:rPr>
                <w:lang w:val="en-GB"/>
              </w:rPr>
            </w:pPr>
            <w:r w:rsidRPr="00367D5A">
              <w:rPr>
                <w:lang w:val="en-GB"/>
              </w:rPr>
              <w:t>147</w:t>
            </w:r>
          </w:p>
        </w:tc>
      </w:tr>
      <w:tr w:rsidR="00367D5A" w:rsidRPr="00367D5A" w14:paraId="651287E2" w14:textId="77777777" w:rsidTr="002C0D4F">
        <w:trPr>
          <w:trHeight w:val="60"/>
        </w:trPr>
        <w:tc>
          <w:tcPr>
            <w:tcW w:w="2494" w:type="dxa"/>
            <w:vMerge w:val="restart"/>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08649975"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shd w:val="solid" w:color="FFFFFF" w:fill="auto"/>
            <w:tcMar>
              <w:top w:w="113" w:type="dxa"/>
              <w:left w:w="113" w:type="dxa"/>
              <w:bottom w:w="113" w:type="dxa"/>
              <w:right w:w="113" w:type="dxa"/>
            </w:tcMar>
            <w:vAlign w:val="center"/>
          </w:tcPr>
          <w:p w14:paraId="165FE417" w14:textId="77777777" w:rsidR="00367D5A" w:rsidRPr="00367D5A" w:rsidRDefault="00367D5A" w:rsidP="00367D5A">
            <w:pPr>
              <w:pStyle w:val="CDITable-RowLeft"/>
              <w:rPr>
                <w:lang w:val="en-GB"/>
              </w:rPr>
            </w:pPr>
            <w:r w:rsidRPr="00367D5A">
              <w:rPr>
                <w:lang w:val="en-GB"/>
              </w:rPr>
              <w:t>5–14 years</w:t>
            </w:r>
          </w:p>
        </w:tc>
        <w:tc>
          <w:tcPr>
            <w:tcW w:w="2041" w:type="dxa"/>
            <w:vMerge w:val="restart"/>
            <w:tcBorders>
              <w:top w:val="single" w:sz="6" w:space="0" w:color="1E4496" w:themeColor="text2"/>
              <w:bottom w:val="single" w:sz="6" w:space="0" w:color="1E4496" w:themeColor="text2"/>
            </w:tcBorders>
            <w:shd w:val="solid" w:color="FFFFFF" w:fill="auto"/>
            <w:tcMar>
              <w:top w:w="113" w:type="dxa"/>
              <w:left w:w="113" w:type="dxa"/>
              <w:bottom w:w="113" w:type="dxa"/>
              <w:right w:w="113" w:type="dxa"/>
            </w:tcMar>
            <w:vAlign w:val="center"/>
          </w:tcPr>
          <w:p w14:paraId="77BDFDE0" w14:textId="77777777" w:rsidR="00367D5A" w:rsidRPr="00367D5A" w:rsidRDefault="00367D5A" w:rsidP="00367D5A">
            <w:pPr>
              <w:pStyle w:val="CDITable-RowCentre"/>
              <w:rPr>
                <w:lang w:val="en-GB"/>
              </w:rPr>
            </w:pPr>
            <w:r w:rsidRPr="00367D5A">
              <w:rPr>
                <w:lang w:val="en-GB"/>
              </w:rPr>
              <w:t>—</w:t>
            </w:r>
          </w:p>
        </w:tc>
        <w:tc>
          <w:tcPr>
            <w:tcW w:w="2040" w:type="dxa"/>
            <w:vMerge w:val="restart"/>
            <w:tcBorders>
              <w:top w:val="single" w:sz="6" w:space="0" w:color="1E4496" w:themeColor="text2"/>
              <w:bottom w:val="single" w:sz="6" w:space="0" w:color="1E4496" w:themeColor="text2"/>
            </w:tcBorders>
            <w:shd w:val="solid" w:color="FFFFFF" w:fill="auto"/>
            <w:tcMar>
              <w:top w:w="113" w:type="dxa"/>
              <w:left w:w="113" w:type="dxa"/>
              <w:bottom w:w="113" w:type="dxa"/>
              <w:right w:w="113" w:type="dxa"/>
            </w:tcMar>
            <w:vAlign w:val="center"/>
          </w:tcPr>
          <w:p w14:paraId="4EC16B11" w14:textId="77777777" w:rsidR="00367D5A" w:rsidRPr="00367D5A" w:rsidRDefault="00367D5A" w:rsidP="00367D5A">
            <w:pPr>
              <w:pStyle w:val="CDITable-RowCentre"/>
              <w:rPr>
                <w:lang w:val="en-GB"/>
              </w:rPr>
            </w:pPr>
            <w:r w:rsidRPr="00367D5A">
              <w:rPr>
                <w:lang w:val="en-GB"/>
              </w:rPr>
              <w:t>—</w:t>
            </w:r>
          </w:p>
        </w:tc>
        <w:tc>
          <w:tcPr>
            <w:tcW w:w="2041" w:type="dxa"/>
            <w:tcBorders>
              <w:top w:val="single" w:sz="6" w:space="0" w:color="1E4496" w:themeColor="text2"/>
              <w:bottom w:val="single" w:sz="6" w:space="0" w:color="1E4496" w:themeColor="text2"/>
            </w:tcBorders>
            <w:shd w:val="solid" w:color="FFFFFF" w:fill="auto"/>
            <w:tcMar>
              <w:top w:w="113" w:type="dxa"/>
              <w:left w:w="113" w:type="dxa"/>
              <w:bottom w:w="113" w:type="dxa"/>
              <w:right w:w="113" w:type="dxa"/>
            </w:tcMar>
            <w:vAlign w:val="center"/>
          </w:tcPr>
          <w:p w14:paraId="6D354C35" w14:textId="77777777" w:rsidR="00367D5A" w:rsidRPr="00367D5A" w:rsidRDefault="00367D5A" w:rsidP="00367D5A">
            <w:pPr>
              <w:pStyle w:val="CDITable-RowCentre"/>
              <w:rPr>
                <w:lang w:val="en-GB"/>
              </w:rPr>
            </w:pPr>
            <w:r w:rsidRPr="00367D5A">
              <w:rPr>
                <w:lang w:val="en-GB"/>
              </w:rPr>
              <w:t>-4 (-30–24)</w:t>
            </w:r>
          </w:p>
        </w:tc>
        <w:tc>
          <w:tcPr>
            <w:tcW w:w="2041" w:type="dxa"/>
            <w:tcBorders>
              <w:top w:val="single" w:sz="6" w:space="0" w:color="1E4496" w:themeColor="text2"/>
              <w:bottom w:val="single" w:sz="6" w:space="0" w:color="1E4496" w:themeColor="text2"/>
            </w:tcBorders>
            <w:shd w:val="solid" w:color="FFFFFF" w:fill="auto"/>
            <w:tcMar>
              <w:top w:w="113" w:type="dxa"/>
              <w:left w:w="113" w:type="dxa"/>
              <w:bottom w:w="113" w:type="dxa"/>
              <w:right w:w="113" w:type="dxa"/>
            </w:tcMar>
            <w:vAlign w:val="center"/>
          </w:tcPr>
          <w:p w14:paraId="30B96FB6" w14:textId="77777777" w:rsidR="00367D5A" w:rsidRPr="00367D5A" w:rsidRDefault="00367D5A" w:rsidP="00367D5A">
            <w:pPr>
              <w:pStyle w:val="CDITable-RowCentre"/>
              <w:rPr>
                <w:lang w:val="en-GB"/>
              </w:rPr>
            </w:pPr>
            <w:r w:rsidRPr="00367D5A">
              <w:rPr>
                <w:lang w:val="en-GB"/>
              </w:rPr>
              <w:t>6</w:t>
            </w:r>
          </w:p>
        </w:tc>
        <w:tc>
          <w:tcPr>
            <w:tcW w:w="2041" w:type="dxa"/>
            <w:vMerge w:val="restart"/>
            <w:tcBorders>
              <w:top w:val="single" w:sz="6" w:space="0" w:color="1E4496" w:themeColor="text2"/>
              <w:bottom w:val="single" w:sz="6" w:space="0" w:color="1E4496" w:themeColor="text2"/>
            </w:tcBorders>
            <w:shd w:val="solid" w:color="FFFFFF" w:fill="auto"/>
            <w:tcMar>
              <w:top w:w="113" w:type="dxa"/>
              <w:left w:w="113" w:type="dxa"/>
              <w:bottom w:w="113" w:type="dxa"/>
              <w:right w:w="113" w:type="dxa"/>
            </w:tcMar>
            <w:vAlign w:val="center"/>
          </w:tcPr>
          <w:p w14:paraId="54FF66AB" w14:textId="77777777" w:rsidR="00367D5A" w:rsidRPr="00367D5A" w:rsidRDefault="00367D5A" w:rsidP="00367D5A">
            <w:pPr>
              <w:pStyle w:val="CDITable-RowCentre"/>
              <w:rPr>
                <w:lang w:val="en-GB"/>
              </w:rPr>
            </w:pPr>
            <w:r w:rsidRPr="00367D5A">
              <w:rPr>
                <w:lang w:val="en-GB"/>
              </w:rPr>
              <w:t>10</w:t>
            </w:r>
          </w:p>
        </w:tc>
      </w:tr>
      <w:tr w:rsidR="00367D5A" w:rsidRPr="00367D5A" w14:paraId="1792F057" w14:textId="77777777" w:rsidTr="002C0D4F">
        <w:trPr>
          <w:trHeight w:val="60"/>
        </w:trPr>
        <w:tc>
          <w:tcPr>
            <w:tcW w:w="2494" w:type="dxa"/>
            <w:vMerge/>
            <w:tcBorders>
              <w:bottom w:val="single" w:sz="6" w:space="0" w:color="1E4496" w:themeColor="text2"/>
            </w:tcBorders>
            <w:shd w:val="clear" w:color="auto" w:fill="DCF4FC" w:themeFill="background2" w:themeFillTint="33"/>
          </w:tcPr>
          <w:p w14:paraId="12F3DA2C"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0058122" w14:textId="77777777" w:rsidR="00367D5A" w:rsidRPr="00367D5A" w:rsidRDefault="00367D5A" w:rsidP="00367D5A">
            <w:pPr>
              <w:pStyle w:val="CDITable-RowLeft"/>
              <w:rPr>
                <w:lang w:val="en-GB"/>
              </w:rPr>
            </w:pPr>
            <w:r w:rsidRPr="00367D5A">
              <w:rPr>
                <w:lang w:val="en-GB"/>
              </w:rPr>
              <w:t>15–19 years</w:t>
            </w:r>
          </w:p>
        </w:tc>
        <w:tc>
          <w:tcPr>
            <w:tcW w:w="2041" w:type="dxa"/>
            <w:vMerge/>
            <w:tcBorders>
              <w:bottom w:val="single" w:sz="6" w:space="0" w:color="1E4496" w:themeColor="text2"/>
            </w:tcBorders>
          </w:tcPr>
          <w:p w14:paraId="5E37C333" w14:textId="77777777" w:rsidR="00367D5A" w:rsidRPr="00367D5A" w:rsidRDefault="00367D5A" w:rsidP="00367D5A">
            <w:pPr>
              <w:pStyle w:val="CDITable-RowCentre"/>
            </w:pPr>
          </w:p>
        </w:tc>
        <w:tc>
          <w:tcPr>
            <w:tcW w:w="2040" w:type="dxa"/>
            <w:vMerge/>
            <w:tcBorders>
              <w:bottom w:val="single" w:sz="6" w:space="0" w:color="1E4496" w:themeColor="text2"/>
            </w:tcBorders>
          </w:tcPr>
          <w:p w14:paraId="1C48712B" w14:textId="77777777" w:rsidR="00367D5A" w:rsidRPr="00367D5A" w:rsidRDefault="00367D5A" w:rsidP="00367D5A">
            <w:pPr>
              <w:pStyle w:val="CDITable-RowCentre"/>
            </w:pPr>
          </w:p>
        </w:tc>
        <w:tc>
          <w:tcPr>
            <w:tcW w:w="2041"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2A38D8" w14:textId="77777777" w:rsidR="00367D5A" w:rsidRPr="00367D5A" w:rsidRDefault="00367D5A" w:rsidP="00367D5A">
            <w:pPr>
              <w:pStyle w:val="CDITable-RowCentre"/>
              <w:rPr>
                <w:lang w:val="en-GB"/>
              </w:rPr>
            </w:pPr>
            <w:r w:rsidRPr="00367D5A">
              <w:rPr>
                <w:lang w:val="en-GB"/>
              </w:rPr>
              <w:t>4 (-10–18)</w:t>
            </w:r>
          </w:p>
        </w:tc>
        <w:tc>
          <w:tcPr>
            <w:tcW w:w="2041"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D36F1D" w14:textId="77777777" w:rsidR="00367D5A" w:rsidRPr="00367D5A" w:rsidRDefault="00367D5A" w:rsidP="00367D5A">
            <w:pPr>
              <w:pStyle w:val="CDITable-RowCentre"/>
              <w:rPr>
                <w:lang w:val="en-GB"/>
              </w:rPr>
            </w:pPr>
            <w:r w:rsidRPr="00367D5A">
              <w:rPr>
                <w:lang w:val="en-GB"/>
              </w:rPr>
              <w:t>1</w:t>
            </w:r>
          </w:p>
        </w:tc>
        <w:tc>
          <w:tcPr>
            <w:tcW w:w="2041" w:type="dxa"/>
            <w:vMerge/>
            <w:tcBorders>
              <w:bottom w:val="single" w:sz="6" w:space="0" w:color="1E4496" w:themeColor="text2"/>
            </w:tcBorders>
          </w:tcPr>
          <w:p w14:paraId="725A91A9" w14:textId="77777777" w:rsidR="00367D5A" w:rsidRPr="00367D5A" w:rsidRDefault="00367D5A" w:rsidP="00367D5A">
            <w:pPr>
              <w:pStyle w:val="CDITable-RowCentre"/>
            </w:pPr>
          </w:p>
        </w:tc>
      </w:tr>
      <w:tr w:rsidR="00367D5A" w:rsidRPr="00367D5A" w14:paraId="065D522E" w14:textId="77777777" w:rsidTr="002C0D4F">
        <w:trPr>
          <w:trHeight w:val="60"/>
        </w:trPr>
        <w:tc>
          <w:tcPr>
            <w:tcW w:w="2494" w:type="dxa"/>
            <w:vMerge/>
            <w:tcBorders>
              <w:bottom w:val="single" w:sz="6" w:space="0" w:color="1E4496" w:themeColor="text2"/>
            </w:tcBorders>
            <w:shd w:val="clear" w:color="auto" w:fill="DCF4FC" w:themeFill="background2" w:themeFillTint="33"/>
          </w:tcPr>
          <w:p w14:paraId="7B1AFB77"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52DF778" w14:textId="77777777" w:rsidR="00367D5A" w:rsidRPr="00367D5A" w:rsidRDefault="00367D5A" w:rsidP="00367D5A">
            <w:pPr>
              <w:pStyle w:val="CDITable-RowLeft"/>
              <w:rPr>
                <w:lang w:val="en-GB"/>
              </w:rPr>
            </w:pPr>
            <w:r w:rsidRPr="00367D5A">
              <w:rPr>
                <w:lang w:val="en-GB"/>
              </w:rPr>
              <w:t>20–24 years</w:t>
            </w:r>
          </w:p>
        </w:tc>
        <w:tc>
          <w:tcPr>
            <w:tcW w:w="2041" w:type="dxa"/>
            <w:vMerge/>
            <w:tcBorders>
              <w:bottom w:val="single" w:sz="6" w:space="0" w:color="1E4496" w:themeColor="text2"/>
            </w:tcBorders>
          </w:tcPr>
          <w:p w14:paraId="5F7B9E85" w14:textId="77777777" w:rsidR="00367D5A" w:rsidRPr="00367D5A" w:rsidRDefault="00367D5A" w:rsidP="00367D5A">
            <w:pPr>
              <w:pStyle w:val="CDITable-RowCentre"/>
            </w:pPr>
          </w:p>
        </w:tc>
        <w:tc>
          <w:tcPr>
            <w:tcW w:w="2040" w:type="dxa"/>
            <w:vMerge/>
            <w:tcBorders>
              <w:bottom w:val="single" w:sz="6" w:space="0" w:color="1E4496" w:themeColor="text2"/>
            </w:tcBorders>
          </w:tcPr>
          <w:p w14:paraId="247D2BAF" w14:textId="77777777" w:rsidR="00367D5A" w:rsidRPr="00367D5A" w:rsidRDefault="00367D5A" w:rsidP="00367D5A">
            <w:pPr>
              <w:pStyle w:val="CDITable-RowCentre"/>
            </w:pPr>
          </w:p>
        </w:tc>
        <w:tc>
          <w:tcPr>
            <w:tcW w:w="2041" w:type="dxa"/>
            <w:vMerge/>
            <w:tcBorders>
              <w:bottom w:val="single" w:sz="6" w:space="0" w:color="1E4496" w:themeColor="text2"/>
            </w:tcBorders>
          </w:tcPr>
          <w:p w14:paraId="7101AA78" w14:textId="77777777" w:rsidR="00367D5A" w:rsidRPr="00367D5A" w:rsidRDefault="00367D5A" w:rsidP="00367D5A">
            <w:pPr>
              <w:pStyle w:val="CDITable-RowCentre"/>
            </w:pPr>
          </w:p>
        </w:tc>
        <w:tc>
          <w:tcPr>
            <w:tcW w:w="2041" w:type="dxa"/>
            <w:vMerge/>
            <w:tcBorders>
              <w:bottom w:val="single" w:sz="6" w:space="0" w:color="1E4496" w:themeColor="text2"/>
            </w:tcBorders>
          </w:tcPr>
          <w:p w14:paraId="67F5ABE3" w14:textId="77777777" w:rsidR="00367D5A" w:rsidRPr="00367D5A" w:rsidRDefault="00367D5A" w:rsidP="00367D5A">
            <w:pPr>
              <w:pStyle w:val="CDITable-RowCentre"/>
            </w:pPr>
          </w:p>
        </w:tc>
        <w:tc>
          <w:tcPr>
            <w:tcW w:w="2041"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6D00BB0" w14:textId="77777777" w:rsidR="00367D5A" w:rsidRPr="00367D5A" w:rsidRDefault="00367D5A" w:rsidP="00367D5A">
            <w:pPr>
              <w:pStyle w:val="CDITable-RowCentre"/>
              <w:rPr>
                <w:lang w:val="en-GB"/>
              </w:rPr>
            </w:pPr>
            <w:r w:rsidRPr="00367D5A">
              <w:rPr>
                <w:lang w:val="en-GB"/>
              </w:rPr>
              <w:t>7</w:t>
            </w:r>
          </w:p>
        </w:tc>
      </w:tr>
      <w:tr w:rsidR="00367D5A" w:rsidRPr="00367D5A" w14:paraId="36678669" w14:textId="77777777" w:rsidTr="002C0D4F">
        <w:trPr>
          <w:trHeight w:val="60"/>
        </w:trPr>
        <w:tc>
          <w:tcPr>
            <w:tcW w:w="2494" w:type="dxa"/>
            <w:vMerge/>
            <w:tcBorders>
              <w:bottom w:val="single" w:sz="6" w:space="0" w:color="1E4496" w:themeColor="text2"/>
            </w:tcBorders>
            <w:shd w:val="clear" w:color="auto" w:fill="DCF4FC" w:themeFill="background2" w:themeFillTint="33"/>
          </w:tcPr>
          <w:p w14:paraId="45267020"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EA8450D" w14:textId="77777777" w:rsidR="00367D5A" w:rsidRPr="00367D5A" w:rsidRDefault="00367D5A" w:rsidP="00367D5A">
            <w:pPr>
              <w:pStyle w:val="CDITable-RowLeft"/>
              <w:rPr>
                <w:lang w:val="en-GB"/>
              </w:rPr>
            </w:pPr>
            <w:r w:rsidRPr="00367D5A">
              <w:rPr>
                <w:lang w:val="en-GB"/>
              </w:rPr>
              <w:t>25–34 years</w:t>
            </w:r>
          </w:p>
        </w:tc>
        <w:tc>
          <w:tcPr>
            <w:tcW w:w="2041" w:type="dxa"/>
            <w:vMerge/>
            <w:tcBorders>
              <w:bottom w:val="single" w:sz="6" w:space="0" w:color="1E4496" w:themeColor="text2"/>
            </w:tcBorders>
          </w:tcPr>
          <w:p w14:paraId="486E0439" w14:textId="77777777" w:rsidR="00367D5A" w:rsidRPr="00367D5A" w:rsidRDefault="00367D5A" w:rsidP="00367D5A">
            <w:pPr>
              <w:pStyle w:val="CDITable-RowCentre"/>
            </w:pPr>
          </w:p>
        </w:tc>
        <w:tc>
          <w:tcPr>
            <w:tcW w:w="2040" w:type="dxa"/>
            <w:vMerge/>
            <w:tcBorders>
              <w:bottom w:val="single" w:sz="6" w:space="0" w:color="1E4496" w:themeColor="text2"/>
            </w:tcBorders>
          </w:tcPr>
          <w:p w14:paraId="3FA4EC54" w14:textId="77777777" w:rsidR="00367D5A" w:rsidRPr="00367D5A" w:rsidRDefault="00367D5A" w:rsidP="00367D5A">
            <w:pPr>
              <w:pStyle w:val="CDITable-RowCentre"/>
            </w:pPr>
          </w:p>
        </w:tc>
        <w:tc>
          <w:tcPr>
            <w:tcW w:w="2041" w:type="dxa"/>
            <w:vMerge/>
            <w:tcBorders>
              <w:bottom w:val="single" w:sz="6" w:space="0" w:color="1E4496" w:themeColor="text2"/>
            </w:tcBorders>
          </w:tcPr>
          <w:p w14:paraId="350B2264" w14:textId="77777777" w:rsidR="00367D5A" w:rsidRPr="00367D5A" w:rsidRDefault="00367D5A" w:rsidP="00367D5A">
            <w:pPr>
              <w:pStyle w:val="CDITable-RowCentre"/>
            </w:pPr>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3321EF" w14:textId="77777777" w:rsidR="00367D5A" w:rsidRPr="00367D5A" w:rsidRDefault="00367D5A" w:rsidP="00367D5A">
            <w:pPr>
              <w:pStyle w:val="CDITable-RowCentre"/>
              <w:rPr>
                <w:lang w:val="en-GB"/>
              </w:rPr>
            </w:pPr>
            <w:r w:rsidRPr="00367D5A">
              <w:rPr>
                <w:lang w:val="en-GB"/>
              </w:rPr>
              <w:t>1</w:t>
            </w:r>
          </w:p>
        </w:tc>
        <w:tc>
          <w:tcPr>
            <w:tcW w:w="2041" w:type="dxa"/>
            <w:vMerge/>
            <w:tcBorders>
              <w:bottom w:val="single" w:sz="6" w:space="0" w:color="1E4496" w:themeColor="text2"/>
            </w:tcBorders>
          </w:tcPr>
          <w:p w14:paraId="4FA98BDD" w14:textId="77777777" w:rsidR="00367D5A" w:rsidRPr="00367D5A" w:rsidRDefault="00367D5A" w:rsidP="00367D5A">
            <w:pPr>
              <w:pStyle w:val="CDITable-RowCentre"/>
            </w:pPr>
          </w:p>
        </w:tc>
      </w:tr>
      <w:tr w:rsidR="00367D5A" w:rsidRPr="00367D5A" w14:paraId="25C9AE2E" w14:textId="77777777" w:rsidTr="002C0D4F">
        <w:trPr>
          <w:trHeight w:val="60"/>
        </w:trPr>
        <w:tc>
          <w:tcPr>
            <w:tcW w:w="2494" w:type="dxa"/>
            <w:vMerge/>
            <w:tcBorders>
              <w:bottom w:val="single" w:sz="6" w:space="0" w:color="1E4496" w:themeColor="text2"/>
            </w:tcBorders>
            <w:shd w:val="clear" w:color="auto" w:fill="DCF4FC" w:themeFill="background2" w:themeFillTint="33"/>
          </w:tcPr>
          <w:p w14:paraId="3C9C3DEA"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10016B2" w14:textId="77777777" w:rsidR="00367D5A" w:rsidRPr="00367D5A" w:rsidRDefault="00367D5A" w:rsidP="00367D5A">
            <w:pPr>
              <w:pStyle w:val="CDITable-RowLeft"/>
              <w:rPr>
                <w:lang w:val="en-GB"/>
              </w:rPr>
            </w:pPr>
            <w:r w:rsidRPr="00367D5A">
              <w:rPr>
                <w:lang w:val="en-GB"/>
              </w:rPr>
              <w:t>35–44 years</w:t>
            </w:r>
          </w:p>
        </w:tc>
        <w:tc>
          <w:tcPr>
            <w:tcW w:w="2041" w:type="dxa"/>
            <w:vMerge/>
            <w:tcBorders>
              <w:bottom w:val="single" w:sz="6" w:space="0" w:color="1E4496" w:themeColor="text2"/>
            </w:tcBorders>
          </w:tcPr>
          <w:p w14:paraId="0B737898" w14:textId="77777777" w:rsidR="00367D5A" w:rsidRPr="00367D5A" w:rsidRDefault="00367D5A" w:rsidP="00367D5A">
            <w:pPr>
              <w:pStyle w:val="CDITable-RowCentre"/>
            </w:pPr>
          </w:p>
        </w:tc>
        <w:tc>
          <w:tcPr>
            <w:tcW w:w="2040" w:type="dxa"/>
            <w:vMerge/>
            <w:tcBorders>
              <w:bottom w:val="single" w:sz="6" w:space="0" w:color="1E4496" w:themeColor="text2"/>
            </w:tcBorders>
          </w:tcPr>
          <w:p w14:paraId="67E60F19" w14:textId="77777777" w:rsidR="00367D5A" w:rsidRPr="00367D5A" w:rsidRDefault="00367D5A" w:rsidP="00367D5A">
            <w:pPr>
              <w:pStyle w:val="CDITable-RowCentre"/>
            </w:pPr>
          </w:p>
        </w:tc>
        <w:tc>
          <w:tcPr>
            <w:tcW w:w="2041" w:type="dxa"/>
            <w:vMerge/>
            <w:tcBorders>
              <w:bottom w:val="single" w:sz="6" w:space="0" w:color="1E4496" w:themeColor="text2"/>
            </w:tcBorders>
          </w:tcPr>
          <w:p w14:paraId="7FDE0E8A" w14:textId="77777777" w:rsidR="00367D5A" w:rsidRPr="00367D5A" w:rsidRDefault="00367D5A" w:rsidP="00367D5A">
            <w:pPr>
              <w:pStyle w:val="CDITable-RowCentre"/>
            </w:pPr>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4E0C9E2" w14:textId="77777777" w:rsidR="00367D5A" w:rsidRPr="00367D5A" w:rsidRDefault="00367D5A" w:rsidP="00367D5A">
            <w:pPr>
              <w:pStyle w:val="CDITable-RowCentre"/>
              <w:rPr>
                <w:lang w:val="en-GB"/>
              </w:rPr>
            </w:pPr>
            <w:r w:rsidRPr="00367D5A">
              <w:rPr>
                <w:lang w:val="en-GB"/>
              </w:rPr>
              <w:t>2</w:t>
            </w:r>
          </w:p>
        </w:tc>
        <w:tc>
          <w:tcPr>
            <w:tcW w:w="2041" w:type="dxa"/>
            <w:vMerge/>
            <w:tcBorders>
              <w:bottom w:val="single" w:sz="6" w:space="0" w:color="1E4496" w:themeColor="text2"/>
            </w:tcBorders>
          </w:tcPr>
          <w:p w14:paraId="3EAD9F6B" w14:textId="77777777" w:rsidR="00367D5A" w:rsidRPr="00367D5A" w:rsidRDefault="00367D5A" w:rsidP="00367D5A">
            <w:pPr>
              <w:pStyle w:val="CDITable-RowCentre"/>
            </w:pPr>
          </w:p>
        </w:tc>
      </w:tr>
      <w:tr w:rsidR="00367D5A" w:rsidRPr="00367D5A" w14:paraId="3CF4FB0A" w14:textId="77777777" w:rsidTr="002C0D4F">
        <w:trPr>
          <w:trHeight w:val="60"/>
        </w:trPr>
        <w:tc>
          <w:tcPr>
            <w:tcW w:w="2494" w:type="dxa"/>
            <w:vMerge/>
            <w:tcBorders>
              <w:bottom w:val="single" w:sz="6" w:space="0" w:color="1E4496" w:themeColor="text2"/>
            </w:tcBorders>
            <w:shd w:val="clear" w:color="auto" w:fill="DCF4FC" w:themeFill="background2" w:themeFillTint="33"/>
          </w:tcPr>
          <w:p w14:paraId="452BDA2D"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E5DC46B" w14:textId="77777777" w:rsidR="00367D5A" w:rsidRPr="00367D5A" w:rsidRDefault="00367D5A" w:rsidP="00367D5A">
            <w:pPr>
              <w:pStyle w:val="CDITable-RowLeft"/>
              <w:rPr>
                <w:lang w:val="en-GB"/>
              </w:rPr>
            </w:pPr>
            <w:r w:rsidRPr="00367D5A">
              <w:rPr>
                <w:lang w:val="en-GB"/>
              </w:rPr>
              <w:t>45–49 years</w:t>
            </w:r>
          </w:p>
        </w:tc>
        <w:tc>
          <w:tcPr>
            <w:tcW w:w="2041" w:type="dxa"/>
            <w:vMerge/>
            <w:tcBorders>
              <w:bottom w:val="single" w:sz="6" w:space="0" w:color="1E4496" w:themeColor="text2"/>
            </w:tcBorders>
          </w:tcPr>
          <w:p w14:paraId="2E450F12" w14:textId="77777777" w:rsidR="00367D5A" w:rsidRPr="00367D5A" w:rsidRDefault="00367D5A" w:rsidP="00367D5A">
            <w:pPr>
              <w:pStyle w:val="CDITable-RowCentre"/>
            </w:pPr>
          </w:p>
        </w:tc>
        <w:tc>
          <w:tcPr>
            <w:tcW w:w="2040" w:type="dxa"/>
            <w:vMerge/>
            <w:tcBorders>
              <w:bottom w:val="single" w:sz="6" w:space="0" w:color="1E4496" w:themeColor="text2"/>
            </w:tcBorders>
          </w:tcPr>
          <w:p w14:paraId="2A5FE2FB" w14:textId="77777777" w:rsidR="00367D5A" w:rsidRPr="00367D5A" w:rsidRDefault="00367D5A" w:rsidP="00367D5A">
            <w:pPr>
              <w:pStyle w:val="CDITable-RowCentre"/>
            </w:pPr>
          </w:p>
        </w:tc>
        <w:tc>
          <w:tcPr>
            <w:tcW w:w="2041"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B938EED" w14:textId="77777777" w:rsidR="00367D5A" w:rsidRPr="00367D5A" w:rsidRDefault="00367D5A" w:rsidP="00367D5A">
            <w:pPr>
              <w:pStyle w:val="CDITable-RowCentre"/>
              <w:rPr>
                <w:lang w:val="en-GB"/>
              </w:rPr>
            </w:pPr>
            <w:r w:rsidRPr="00367D5A">
              <w:rPr>
                <w:lang w:val="en-GB"/>
              </w:rPr>
              <w:t>4 (-17–24)</w:t>
            </w:r>
          </w:p>
        </w:tc>
        <w:tc>
          <w:tcPr>
            <w:tcW w:w="2041"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DEE879" w14:textId="77777777" w:rsidR="00367D5A" w:rsidRPr="00367D5A" w:rsidRDefault="00367D5A" w:rsidP="00367D5A">
            <w:pPr>
              <w:pStyle w:val="CDITable-RowCentre"/>
              <w:rPr>
                <w:lang w:val="en-GB"/>
              </w:rPr>
            </w:pPr>
            <w:r w:rsidRPr="00367D5A">
              <w:rPr>
                <w:lang w:val="en-GB"/>
              </w:rPr>
              <w:t>3</w:t>
            </w:r>
          </w:p>
        </w:tc>
        <w:tc>
          <w:tcPr>
            <w:tcW w:w="2041" w:type="dxa"/>
            <w:vMerge/>
            <w:tcBorders>
              <w:bottom w:val="single" w:sz="6" w:space="0" w:color="1E4496" w:themeColor="text2"/>
            </w:tcBorders>
          </w:tcPr>
          <w:p w14:paraId="508943A5" w14:textId="77777777" w:rsidR="00367D5A" w:rsidRPr="00367D5A" w:rsidRDefault="00367D5A" w:rsidP="00367D5A">
            <w:pPr>
              <w:pStyle w:val="CDITable-RowCentre"/>
            </w:pPr>
          </w:p>
        </w:tc>
      </w:tr>
      <w:tr w:rsidR="00367D5A" w:rsidRPr="00367D5A" w14:paraId="6871F655" w14:textId="77777777" w:rsidTr="002C0D4F">
        <w:trPr>
          <w:trHeight w:val="60"/>
        </w:trPr>
        <w:tc>
          <w:tcPr>
            <w:tcW w:w="2494" w:type="dxa"/>
            <w:vMerge/>
            <w:tcBorders>
              <w:bottom w:val="single" w:sz="6" w:space="0" w:color="1E4496" w:themeColor="text2"/>
            </w:tcBorders>
            <w:shd w:val="clear" w:color="auto" w:fill="DCF4FC" w:themeFill="background2" w:themeFillTint="33"/>
          </w:tcPr>
          <w:p w14:paraId="1D4F9044"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05E4E2F" w14:textId="77777777" w:rsidR="00367D5A" w:rsidRPr="00367D5A" w:rsidRDefault="00367D5A" w:rsidP="00367D5A">
            <w:pPr>
              <w:pStyle w:val="CDITable-RowLeft"/>
              <w:rPr>
                <w:lang w:val="en-GB"/>
              </w:rPr>
            </w:pPr>
            <w:r w:rsidRPr="00367D5A">
              <w:rPr>
                <w:lang w:val="en-GB"/>
              </w:rPr>
              <w:t>50–54 years</w:t>
            </w:r>
          </w:p>
        </w:tc>
        <w:tc>
          <w:tcPr>
            <w:tcW w:w="2041" w:type="dxa"/>
            <w:vMerge/>
            <w:tcBorders>
              <w:bottom w:val="single" w:sz="6" w:space="0" w:color="1E4496" w:themeColor="text2"/>
            </w:tcBorders>
          </w:tcPr>
          <w:p w14:paraId="0CEA0D83" w14:textId="77777777" w:rsidR="00367D5A" w:rsidRPr="00367D5A" w:rsidRDefault="00367D5A" w:rsidP="00367D5A">
            <w:pPr>
              <w:pStyle w:val="CDITable-RowCentre"/>
            </w:pPr>
          </w:p>
        </w:tc>
        <w:tc>
          <w:tcPr>
            <w:tcW w:w="2040" w:type="dxa"/>
            <w:vMerge/>
            <w:tcBorders>
              <w:bottom w:val="single" w:sz="6" w:space="0" w:color="1E4496" w:themeColor="text2"/>
            </w:tcBorders>
          </w:tcPr>
          <w:p w14:paraId="0A15030E" w14:textId="77777777" w:rsidR="00367D5A" w:rsidRPr="00367D5A" w:rsidRDefault="00367D5A" w:rsidP="00367D5A">
            <w:pPr>
              <w:pStyle w:val="CDITable-RowCentre"/>
            </w:pPr>
          </w:p>
        </w:tc>
        <w:tc>
          <w:tcPr>
            <w:tcW w:w="2041" w:type="dxa"/>
            <w:vMerge/>
            <w:tcBorders>
              <w:bottom w:val="single" w:sz="6" w:space="0" w:color="1E4496" w:themeColor="text2"/>
            </w:tcBorders>
          </w:tcPr>
          <w:p w14:paraId="6322E6DB" w14:textId="77777777" w:rsidR="00367D5A" w:rsidRPr="00367D5A" w:rsidRDefault="00367D5A" w:rsidP="00367D5A">
            <w:pPr>
              <w:pStyle w:val="CDITable-RowCentre"/>
            </w:pPr>
          </w:p>
        </w:tc>
        <w:tc>
          <w:tcPr>
            <w:tcW w:w="2041" w:type="dxa"/>
            <w:vMerge/>
            <w:tcBorders>
              <w:bottom w:val="single" w:sz="6" w:space="0" w:color="1E4496" w:themeColor="text2"/>
            </w:tcBorders>
          </w:tcPr>
          <w:p w14:paraId="4CFF574B" w14:textId="77777777" w:rsidR="00367D5A" w:rsidRPr="00367D5A" w:rsidRDefault="00367D5A" w:rsidP="00367D5A">
            <w:pPr>
              <w:pStyle w:val="CDITable-RowCentre"/>
            </w:pPr>
          </w:p>
        </w:tc>
        <w:tc>
          <w:tcPr>
            <w:tcW w:w="2041"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AC4BC1F" w14:textId="77777777" w:rsidR="00367D5A" w:rsidRPr="00367D5A" w:rsidRDefault="00367D5A" w:rsidP="00367D5A">
            <w:pPr>
              <w:pStyle w:val="CDITable-RowCentre"/>
              <w:rPr>
                <w:lang w:val="en-GB"/>
              </w:rPr>
            </w:pPr>
            <w:r w:rsidRPr="00367D5A">
              <w:rPr>
                <w:lang w:val="en-GB"/>
              </w:rPr>
              <w:t>26</w:t>
            </w:r>
          </w:p>
        </w:tc>
      </w:tr>
      <w:tr w:rsidR="00367D5A" w:rsidRPr="00367D5A" w14:paraId="405F923D" w14:textId="77777777" w:rsidTr="002C0D4F">
        <w:trPr>
          <w:trHeight w:val="60"/>
        </w:trPr>
        <w:tc>
          <w:tcPr>
            <w:tcW w:w="2494" w:type="dxa"/>
            <w:vMerge/>
            <w:tcBorders>
              <w:bottom w:val="single" w:sz="6" w:space="0" w:color="1E4496" w:themeColor="text2"/>
            </w:tcBorders>
            <w:shd w:val="clear" w:color="auto" w:fill="DCF4FC" w:themeFill="background2" w:themeFillTint="33"/>
          </w:tcPr>
          <w:p w14:paraId="77040B7E"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139E133" w14:textId="77777777" w:rsidR="00367D5A" w:rsidRPr="00367D5A" w:rsidRDefault="00367D5A" w:rsidP="00367D5A">
            <w:pPr>
              <w:pStyle w:val="CDITable-RowLeft"/>
              <w:rPr>
                <w:lang w:val="en-GB"/>
              </w:rPr>
            </w:pPr>
            <w:r w:rsidRPr="00367D5A">
              <w:rPr>
                <w:lang w:val="en-GB"/>
              </w:rPr>
              <w:t>55–64 years</w:t>
            </w:r>
          </w:p>
        </w:tc>
        <w:tc>
          <w:tcPr>
            <w:tcW w:w="2041" w:type="dxa"/>
            <w:vMerge/>
            <w:tcBorders>
              <w:bottom w:val="single" w:sz="6" w:space="0" w:color="1E4496" w:themeColor="text2"/>
            </w:tcBorders>
          </w:tcPr>
          <w:p w14:paraId="54814841" w14:textId="77777777" w:rsidR="00367D5A" w:rsidRPr="00367D5A" w:rsidRDefault="00367D5A" w:rsidP="00367D5A">
            <w:pPr>
              <w:pStyle w:val="CDITable-RowCentre"/>
            </w:pPr>
          </w:p>
        </w:tc>
        <w:tc>
          <w:tcPr>
            <w:tcW w:w="2040" w:type="dxa"/>
            <w:vMerge/>
            <w:tcBorders>
              <w:bottom w:val="single" w:sz="6" w:space="0" w:color="1E4496" w:themeColor="text2"/>
            </w:tcBorders>
          </w:tcPr>
          <w:p w14:paraId="7EBDC0A6" w14:textId="77777777" w:rsidR="00367D5A" w:rsidRPr="00367D5A" w:rsidRDefault="00367D5A" w:rsidP="00367D5A">
            <w:pPr>
              <w:pStyle w:val="CDITable-RowCentre"/>
            </w:pPr>
          </w:p>
        </w:tc>
        <w:tc>
          <w:tcPr>
            <w:tcW w:w="2041" w:type="dxa"/>
            <w:vMerge/>
            <w:tcBorders>
              <w:bottom w:val="single" w:sz="6" w:space="0" w:color="1E4496" w:themeColor="text2"/>
            </w:tcBorders>
          </w:tcPr>
          <w:p w14:paraId="509494BE" w14:textId="77777777" w:rsidR="00367D5A" w:rsidRPr="00367D5A" w:rsidRDefault="00367D5A" w:rsidP="00367D5A">
            <w:pPr>
              <w:pStyle w:val="CDITable-RowCentre"/>
            </w:pPr>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F1B215A" w14:textId="77777777" w:rsidR="00367D5A" w:rsidRPr="00367D5A" w:rsidRDefault="00367D5A" w:rsidP="00367D5A">
            <w:pPr>
              <w:pStyle w:val="CDITable-RowCentre"/>
              <w:rPr>
                <w:lang w:val="en-GB"/>
              </w:rPr>
            </w:pPr>
            <w:r w:rsidRPr="00367D5A">
              <w:rPr>
                <w:lang w:val="en-GB"/>
              </w:rPr>
              <w:t>7</w:t>
            </w:r>
          </w:p>
        </w:tc>
        <w:tc>
          <w:tcPr>
            <w:tcW w:w="2041" w:type="dxa"/>
            <w:vMerge/>
            <w:tcBorders>
              <w:bottom w:val="single" w:sz="6" w:space="0" w:color="1E4496" w:themeColor="text2"/>
            </w:tcBorders>
          </w:tcPr>
          <w:p w14:paraId="7EDB5BD9" w14:textId="77777777" w:rsidR="00367D5A" w:rsidRPr="00367D5A" w:rsidRDefault="00367D5A" w:rsidP="00367D5A">
            <w:pPr>
              <w:pStyle w:val="CDITable-RowCentre"/>
            </w:pPr>
          </w:p>
        </w:tc>
      </w:tr>
      <w:tr w:rsidR="00367D5A" w:rsidRPr="00367D5A" w14:paraId="1F8997F0" w14:textId="77777777" w:rsidTr="002C0D4F">
        <w:trPr>
          <w:trHeight w:val="60"/>
        </w:trPr>
        <w:tc>
          <w:tcPr>
            <w:tcW w:w="2494" w:type="dxa"/>
            <w:vMerge/>
            <w:tcBorders>
              <w:bottom w:val="single" w:sz="6" w:space="0" w:color="1E4496" w:themeColor="text2"/>
            </w:tcBorders>
            <w:shd w:val="clear" w:color="auto" w:fill="DCF4FC" w:themeFill="background2" w:themeFillTint="33"/>
          </w:tcPr>
          <w:p w14:paraId="2D79F21F"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A4A5F70" w14:textId="77777777" w:rsidR="00367D5A" w:rsidRPr="00367D5A" w:rsidRDefault="00367D5A" w:rsidP="00367D5A">
            <w:pPr>
              <w:pStyle w:val="CDITable-RowLeft"/>
              <w:rPr>
                <w:lang w:val="en-GB"/>
              </w:rPr>
            </w:pPr>
            <w:r w:rsidRPr="00367D5A">
              <w:rPr>
                <w:lang w:val="en-GB"/>
              </w:rPr>
              <w:t>65–69 years</w:t>
            </w:r>
          </w:p>
        </w:tc>
        <w:tc>
          <w:tcPr>
            <w:tcW w:w="2041" w:type="dxa"/>
            <w:vMerge/>
            <w:tcBorders>
              <w:bottom w:val="single" w:sz="6" w:space="0" w:color="1E4496" w:themeColor="text2"/>
            </w:tcBorders>
          </w:tcPr>
          <w:p w14:paraId="523C0CCD" w14:textId="77777777" w:rsidR="00367D5A" w:rsidRPr="00367D5A" w:rsidRDefault="00367D5A" w:rsidP="00367D5A">
            <w:pPr>
              <w:pStyle w:val="CDITable-RowCentre"/>
            </w:pPr>
          </w:p>
        </w:tc>
        <w:tc>
          <w:tcPr>
            <w:tcW w:w="2040" w:type="dxa"/>
            <w:vMerge/>
            <w:tcBorders>
              <w:bottom w:val="single" w:sz="6" w:space="0" w:color="1E4496" w:themeColor="text2"/>
            </w:tcBorders>
          </w:tcPr>
          <w:p w14:paraId="64C3E864" w14:textId="77777777" w:rsidR="00367D5A" w:rsidRPr="00367D5A" w:rsidRDefault="00367D5A" w:rsidP="00367D5A">
            <w:pPr>
              <w:pStyle w:val="CDITable-RowCentre"/>
            </w:pPr>
          </w:p>
        </w:tc>
        <w:tc>
          <w:tcPr>
            <w:tcW w:w="2041"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AB72EF3" w14:textId="77777777" w:rsidR="00367D5A" w:rsidRPr="00367D5A" w:rsidRDefault="00367D5A" w:rsidP="00367D5A">
            <w:pPr>
              <w:pStyle w:val="CDITable-RowCentre"/>
              <w:rPr>
                <w:lang w:val="en-GB"/>
              </w:rPr>
            </w:pPr>
            <w:r w:rsidRPr="00367D5A">
              <w:rPr>
                <w:lang w:val="en-GB"/>
              </w:rPr>
              <w:t>34 (-32–104)</w:t>
            </w:r>
          </w:p>
        </w:tc>
        <w:tc>
          <w:tcPr>
            <w:tcW w:w="2041" w:type="dxa"/>
            <w:vMerge w:val="restart"/>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70910C52" w14:textId="77777777" w:rsidR="00367D5A" w:rsidRPr="00367D5A" w:rsidRDefault="00367D5A" w:rsidP="00367D5A">
            <w:pPr>
              <w:pStyle w:val="CDITable-RowCentre"/>
              <w:rPr>
                <w:lang w:val="en-GB"/>
              </w:rPr>
            </w:pPr>
            <w:r w:rsidRPr="00367D5A">
              <w:rPr>
                <w:lang w:val="en-GB"/>
              </w:rPr>
              <w:t>21</w:t>
            </w:r>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792A326" w14:textId="77777777" w:rsidR="00367D5A" w:rsidRPr="00367D5A" w:rsidRDefault="00367D5A" w:rsidP="00367D5A">
            <w:pPr>
              <w:pStyle w:val="CDITable-RowCentre"/>
              <w:rPr>
                <w:lang w:val="en-GB"/>
              </w:rPr>
            </w:pPr>
            <w:r w:rsidRPr="00367D5A">
              <w:rPr>
                <w:lang w:val="en-GB"/>
              </w:rPr>
              <w:t>53</w:t>
            </w:r>
            <w:r w:rsidRPr="00367D5A">
              <w:rPr>
                <w:vertAlign w:val="superscript"/>
                <w:lang w:val="en-GB"/>
              </w:rPr>
              <w:t>f</w:t>
            </w:r>
          </w:p>
        </w:tc>
      </w:tr>
      <w:tr w:rsidR="00367D5A" w:rsidRPr="00367D5A" w14:paraId="2FD50057" w14:textId="77777777" w:rsidTr="002C0D4F">
        <w:trPr>
          <w:trHeight w:val="60"/>
        </w:trPr>
        <w:tc>
          <w:tcPr>
            <w:tcW w:w="2494" w:type="dxa"/>
            <w:vMerge/>
            <w:tcBorders>
              <w:bottom w:val="single" w:sz="6" w:space="0" w:color="1E4496" w:themeColor="text2"/>
            </w:tcBorders>
            <w:shd w:val="clear" w:color="auto" w:fill="DCF4FC" w:themeFill="background2" w:themeFillTint="33"/>
          </w:tcPr>
          <w:p w14:paraId="7C968F53"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7056BBF" w14:textId="77777777" w:rsidR="00367D5A" w:rsidRPr="00367D5A" w:rsidRDefault="00367D5A" w:rsidP="00367D5A">
            <w:pPr>
              <w:pStyle w:val="CDITable-RowLeft"/>
              <w:rPr>
                <w:lang w:val="en-GB"/>
              </w:rPr>
            </w:pPr>
            <w:r w:rsidRPr="00367D5A">
              <w:rPr>
                <w:lang w:val="en-GB"/>
              </w:rPr>
              <w:t>70–74 years</w:t>
            </w:r>
          </w:p>
        </w:tc>
        <w:tc>
          <w:tcPr>
            <w:tcW w:w="2041" w:type="dxa"/>
            <w:vMerge/>
            <w:tcBorders>
              <w:bottom w:val="single" w:sz="6" w:space="0" w:color="1E4496" w:themeColor="text2"/>
            </w:tcBorders>
          </w:tcPr>
          <w:p w14:paraId="66035D52" w14:textId="77777777" w:rsidR="00367D5A" w:rsidRPr="00367D5A" w:rsidRDefault="00367D5A" w:rsidP="00367D5A">
            <w:pPr>
              <w:pStyle w:val="CDITable-RowCentre"/>
            </w:pPr>
          </w:p>
        </w:tc>
        <w:tc>
          <w:tcPr>
            <w:tcW w:w="2040" w:type="dxa"/>
            <w:vMerge/>
            <w:tcBorders>
              <w:bottom w:val="single" w:sz="6" w:space="0" w:color="1E4496" w:themeColor="text2"/>
            </w:tcBorders>
          </w:tcPr>
          <w:p w14:paraId="2A1FF1F3" w14:textId="77777777" w:rsidR="00367D5A" w:rsidRPr="00367D5A" w:rsidRDefault="00367D5A" w:rsidP="00367D5A">
            <w:pPr>
              <w:pStyle w:val="CDITable-RowCentre"/>
            </w:pPr>
          </w:p>
        </w:tc>
        <w:tc>
          <w:tcPr>
            <w:tcW w:w="2041" w:type="dxa"/>
            <w:vMerge/>
            <w:tcBorders>
              <w:bottom w:val="single" w:sz="6" w:space="0" w:color="1E4496" w:themeColor="text2"/>
            </w:tcBorders>
          </w:tcPr>
          <w:p w14:paraId="2691C4FB" w14:textId="77777777" w:rsidR="00367D5A" w:rsidRPr="00367D5A" w:rsidRDefault="00367D5A" w:rsidP="00367D5A">
            <w:pPr>
              <w:pStyle w:val="CDITable-RowCentre"/>
            </w:pPr>
          </w:p>
        </w:tc>
        <w:tc>
          <w:tcPr>
            <w:tcW w:w="2041" w:type="dxa"/>
            <w:vMerge/>
            <w:tcBorders>
              <w:bottom w:val="single" w:sz="6" w:space="0" w:color="1E4496" w:themeColor="text2"/>
            </w:tcBorders>
          </w:tcPr>
          <w:p w14:paraId="413E9285" w14:textId="77777777" w:rsidR="00367D5A" w:rsidRPr="00367D5A" w:rsidRDefault="00367D5A" w:rsidP="00367D5A">
            <w:pPr>
              <w:pStyle w:val="CDITable-RowCentre"/>
            </w:pPr>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87E125" w14:textId="77777777" w:rsidR="00367D5A" w:rsidRPr="00367D5A" w:rsidRDefault="00367D5A" w:rsidP="00367D5A">
            <w:pPr>
              <w:pStyle w:val="CDITable-RowCentre"/>
              <w:rPr>
                <w:lang w:val="en-GB"/>
              </w:rPr>
            </w:pPr>
            <w:r w:rsidRPr="00367D5A">
              <w:rPr>
                <w:lang w:val="en-GB"/>
              </w:rPr>
              <w:t>81</w:t>
            </w:r>
            <w:r w:rsidRPr="00367D5A">
              <w:rPr>
                <w:vertAlign w:val="superscript"/>
                <w:lang w:val="en-GB"/>
              </w:rPr>
              <w:t>f</w:t>
            </w:r>
          </w:p>
        </w:tc>
      </w:tr>
      <w:tr w:rsidR="00367D5A" w:rsidRPr="00367D5A" w14:paraId="5EA7714A" w14:textId="77777777" w:rsidTr="002C0D4F">
        <w:trPr>
          <w:trHeight w:val="60"/>
        </w:trPr>
        <w:tc>
          <w:tcPr>
            <w:tcW w:w="2494" w:type="dxa"/>
            <w:vMerge/>
            <w:tcBorders>
              <w:bottom w:val="single" w:sz="6" w:space="0" w:color="1E4496" w:themeColor="text2"/>
            </w:tcBorders>
            <w:shd w:val="clear" w:color="auto" w:fill="DCF4FC" w:themeFill="background2" w:themeFillTint="33"/>
          </w:tcPr>
          <w:p w14:paraId="197AD06A" w14:textId="77777777" w:rsidR="00367D5A" w:rsidRPr="00367D5A" w:rsidRDefault="00367D5A" w:rsidP="00367D5A">
            <w:pPr>
              <w:pStyle w:val="CDITable-RowLeft"/>
            </w:pPr>
          </w:p>
        </w:tc>
        <w:tc>
          <w:tcPr>
            <w:tcW w:w="164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79A3EF0" w14:textId="77777777" w:rsidR="00367D5A" w:rsidRPr="00367D5A" w:rsidRDefault="00367D5A" w:rsidP="00367D5A">
            <w:pPr>
              <w:pStyle w:val="CDITable-RowLeft"/>
              <w:rPr>
                <w:lang w:val="en-GB"/>
              </w:rPr>
            </w:pPr>
            <w:r w:rsidRPr="00367D5A">
              <w:rPr>
                <w:lang w:val="en-GB"/>
              </w:rPr>
              <w:t>75+ years</w:t>
            </w:r>
          </w:p>
        </w:tc>
        <w:tc>
          <w:tcPr>
            <w:tcW w:w="2041" w:type="dxa"/>
            <w:vMerge/>
            <w:tcBorders>
              <w:bottom w:val="single" w:sz="6" w:space="0" w:color="1E4496" w:themeColor="text2"/>
            </w:tcBorders>
          </w:tcPr>
          <w:p w14:paraId="136D3B28" w14:textId="77777777" w:rsidR="00367D5A" w:rsidRPr="00367D5A" w:rsidRDefault="00367D5A" w:rsidP="00367D5A">
            <w:pPr>
              <w:pStyle w:val="CDITable-RowCentre"/>
            </w:pPr>
          </w:p>
        </w:tc>
        <w:tc>
          <w:tcPr>
            <w:tcW w:w="2040" w:type="dxa"/>
            <w:vMerge/>
            <w:tcBorders>
              <w:bottom w:val="single" w:sz="6" w:space="0" w:color="1E4496" w:themeColor="text2"/>
            </w:tcBorders>
          </w:tcPr>
          <w:p w14:paraId="60832953" w14:textId="77777777" w:rsidR="00367D5A" w:rsidRPr="00367D5A" w:rsidRDefault="00367D5A" w:rsidP="00367D5A">
            <w:pPr>
              <w:pStyle w:val="CDITable-RowCentre"/>
            </w:pPr>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D52D0C" w14:textId="77777777" w:rsidR="00367D5A" w:rsidRPr="00367D5A" w:rsidRDefault="00367D5A" w:rsidP="00367D5A">
            <w:pPr>
              <w:pStyle w:val="CDITable-RowCentre"/>
              <w:rPr>
                <w:lang w:val="en-GB"/>
              </w:rPr>
            </w:pPr>
            <w:r w:rsidRPr="00367D5A">
              <w:rPr>
                <w:lang w:val="en-GB"/>
              </w:rPr>
              <w:t>256 (5–487)</w:t>
            </w:r>
          </w:p>
        </w:tc>
        <w:tc>
          <w:tcPr>
            <w:tcW w:w="2041" w:type="dxa"/>
            <w:vMerge/>
            <w:tcBorders>
              <w:bottom w:val="single" w:sz="6" w:space="0" w:color="1E4496" w:themeColor="text2"/>
            </w:tcBorders>
          </w:tcPr>
          <w:p w14:paraId="672DDB4E" w14:textId="77777777" w:rsidR="00367D5A" w:rsidRPr="00367D5A" w:rsidRDefault="00367D5A" w:rsidP="00367D5A">
            <w:pPr>
              <w:pStyle w:val="CDITable-RowCentre"/>
            </w:pPr>
          </w:p>
        </w:tc>
        <w:tc>
          <w:tcPr>
            <w:tcW w:w="2041"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5433725" w14:textId="77777777" w:rsidR="00367D5A" w:rsidRPr="00367D5A" w:rsidRDefault="00367D5A" w:rsidP="00367D5A">
            <w:pPr>
              <w:pStyle w:val="CDITable-RowCentre"/>
              <w:rPr>
                <w:lang w:val="en-GB"/>
              </w:rPr>
            </w:pPr>
            <w:r w:rsidRPr="00367D5A">
              <w:rPr>
                <w:lang w:val="en-GB"/>
              </w:rPr>
              <w:t>196</w:t>
            </w:r>
            <w:r w:rsidRPr="00367D5A">
              <w:rPr>
                <w:vertAlign w:val="superscript"/>
                <w:lang w:val="en-GB"/>
              </w:rPr>
              <w:t>f</w:t>
            </w:r>
          </w:p>
        </w:tc>
      </w:tr>
    </w:tbl>
    <w:p w14:paraId="6FC61E5B" w14:textId="77777777" w:rsidR="00367D5A" w:rsidRPr="00367D5A" w:rsidRDefault="00367D5A" w:rsidP="00367D5A">
      <w:pPr>
        <w:pStyle w:val="CDITable-FirstFootnote"/>
        <w:rPr>
          <w:lang w:val="en-GB"/>
        </w:rPr>
      </w:pPr>
      <w:r w:rsidRPr="00367D5A">
        <w:rPr>
          <w:lang w:val="en-GB"/>
        </w:rPr>
        <w:t>a</w:t>
      </w:r>
      <w:r w:rsidRPr="00367D5A">
        <w:rPr>
          <w:lang w:val="en-GB"/>
        </w:rPr>
        <w:tab/>
        <w:t>NCIRS: National Centre for Immunisation Research and Surveillance.</w:t>
      </w:r>
    </w:p>
    <w:p w14:paraId="1E878D9C" w14:textId="77777777" w:rsidR="00367D5A" w:rsidRPr="00367D5A" w:rsidRDefault="00367D5A" w:rsidP="00367D5A">
      <w:pPr>
        <w:pStyle w:val="CDITable-Footnote"/>
        <w:rPr>
          <w:lang w:val="en-GB"/>
        </w:rPr>
      </w:pPr>
      <w:r w:rsidRPr="00367D5A">
        <w:rPr>
          <w:lang w:val="en-GB"/>
        </w:rPr>
        <w:t>b</w:t>
      </w:r>
      <w:r w:rsidRPr="00367D5A">
        <w:rPr>
          <w:lang w:val="en-GB"/>
        </w:rPr>
        <w:tab/>
        <w:t>NICU: neonatal intensive care unit.</w:t>
      </w:r>
    </w:p>
    <w:p w14:paraId="51505996" w14:textId="77777777" w:rsidR="00367D5A" w:rsidRPr="00367D5A" w:rsidRDefault="00367D5A" w:rsidP="00367D5A">
      <w:pPr>
        <w:pStyle w:val="CDITable-Footnote"/>
        <w:rPr>
          <w:lang w:val="en-GB"/>
        </w:rPr>
      </w:pPr>
      <w:r w:rsidRPr="00367D5A">
        <w:rPr>
          <w:lang w:val="en-GB"/>
        </w:rPr>
        <w:t>c</w:t>
      </w:r>
      <w:r w:rsidRPr="00367D5A">
        <w:rPr>
          <w:lang w:val="en-GB"/>
        </w:rPr>
        <w:tab/>
        <w:t xml:space="preserve">ICD: International Classification of Diseases. </w:t>
      </w:r>
    </w:p>
    <w:p w14:paraId="1289A703" w14:textId="77777777" w:rsidR="00367D5A" w:rsidRPr="00367D5A" w:rsidRDefault="00367D5A" w:rsidP="00367D5A">
      <w:pPr>
        <w:pStyle w:val="CDITable-Footnote"/>
        <w:rPr>
          <w:lang w:val="en-GB"/>
        </w:rPr>
      </w:pPr>
      <w:r w:rsidRPr="00367D5A">
        <w:rPr>
          <w:lang w:val="en-GB"/>
        </w:rPr>
        <w:t>d</w:t>
      </w:r>
      <w:r w:rsidRPr="00367D5A">
        <w:rPr>
          <w:lang w:val="en-GB"/>
        </w:rPr>
        <w:tab/>
        <w:t xml:space="preserve">ARI: acute respiratory illness. </w:t>
      </w:r>
    </w:p>
    <w:p w14:paraId="45D8D78F" w14:textId="77777777" w:rsidR="00367D5A" w:rsidRPr="00367D5A" w:rsidRDefault="00367D5A" w:rsidP="00367D5A">
      <w:pPr>
        <w:pStyle w:val="CDITable-Footnote"/>
        <w:rPr>
          <w:lang w:val="en-GB"/>
        </w:rPr>
      </w:pPr>
      <w:r w:rsidRPr="00367D5A">
        <w:rPr>
          <w:lang w:val="en-GB"/>
        </w:rPr>
        <w:t>e</w:t>
      </w:r>
      <w:r w:rsidRPr="00367D5A">
        <w:rPr>
          <w:lang w:val="en-GB"/>
        </w:rPr>
        <w:tab/>
        <w:t>CI: confidence interval.</w:t>
      </w:r>
    </w:p>
    <w:p w14:paraId="52C9EFEA" w14:textId="77777777" w:rsidR="00367D5A" w:rsidRDefault="00367D5A" w:rsidP="00367D5A">
      <w:pPr>
        <w:pStyle w:val="CDITable-Footnote"/>
        <w:rPr>
          <w:lang w:val="en-GB"/>
        </w:rPr>
        <w:sectPr w:rsidR="00367D5A" w:rsidSect="00367D5A">
          <w:footnotePr>
            <w:numFmt w:val="lowerRoman"/>
          </w:footnotePr>
          <w:pgSz w:w="16840" w:h="11907" w:orient="landscape" w:code="9"/>
          <w:pgMar w:top="1134" w:right="1134" w:bottom="1134" w:left="1134" w:header="709" w:footer="567" w:gutter="0"/>
          <w:cols w:space="708"/>
          <w:docGrid w:linePitch="360"/>
        </w:sectPr>
      </w:pPr>
      <w:r w:rsidRPr="00367D5A">
        <w:rPr>
          <w:lang w:val="en-GB"/>
        </w:rPr>
        <w:t>f</w:t>
      </w:r>
      <w:r w:rsidRPr="00367D5A">
        <w:rPr>
          <w:lang w:val="en-GB"/>
        </w:rPr>
        <w:tab/>
        <w:t xml:space="preserve">Rates were calculated based on hospitalisation records of adults who were not identified as Aboriginal or Torres Strait Islander peoples, since hospitalisation records are only available for analysis as aggregated data for all Aboriginal and Torres Strait Islander peoples aged ≥ 65 years. </w:t>
      </w:r>
    </w:p>
    <w:p w14:paraId="4F61114D" w14:textId="77777777" w:rsidR="00367D5A" w:rsidRPr="00367D5A" w:rsidRDefault="00367D5A" w:rsidP="00367D5A">
      <w:pPr>
        <w:pStyle w:val="Heading2-nospacebefore"/>
      </w:pPr>
      <w:bookmarkStart w:id="14" w:name="_Toc229657244"/>
      <w:r w:rsidRPr="00367D5A">
        <w:t>Infants</w:t>
      </w:r>
      <w:bookmarkEnd w:id="14"/>
    </w:p>
    <w:p w14:paraId="59E18B7E" w14:textId="0695D8B2" w:rsidR="00367D5A" w:rsidRPr="00367D5A" w:rsidRDefault="00367D5A" w:rsidP="00367D5A">
      <w:pPr>
        <w:rPr>
          <w:lang w:val="en-GB"/>
        </w:rPr>
      </w:pPr>
      <w:r w:rsidRPr="00367D5A">
        <w:rPr>
          <w:lang w:val="en-GB"/>
        </w:rPr>
        <w:t>Among infants, RSV disease burden is particularly high in those born preterm. In a prediction model using linked perinatal, hospitalisation, and laboratory records from 2000 to 2012 in Western Australia,</w:t>
      </w:r>
      <w:r w:rsidRPr="00367D5A">
        <w:rPr>
          <w:vertAlign w:val="superscript"/>
          <w:lang w:val="en-GB"/>
        </w:rPr>
        <w:t>12</w:t>
      </w:r>
      <w:r w:rsidRPr="00367D5A">
        <w:rPr>
          <w:lang w:val="en-GB"/>
        </w:rPr>
        <w:t xml:space="preserve"> RSV hospitalisation rates in the first year of life were significantly higher if born at &lt;</w:t>
      </w:r>
      <w:r>
        <w:rPr>
          <w:lang w:val="en-GB"/>
        </w:rPr>
        <w:t> </w:t>
      </w:r>
      <w:r w:rsidRPr="00367D5A">
        <w:rPr>
          <w:lang w:val="en-GB"/>
        </w:rPr>
        <w:t>37</w:t>
      </w:r>
      <w:r>
        <w:rPr>
          <w:lang w:val="en-GB"/>
        </w:rPr>
        <w:t> </w:t>
      </w:r>
      <w:r w:rsidRPr="00367D5A">
        <w:rPr>
          <w:lang w:val="en-GB"/>
        </w:rPr>
        <w:t>weeks gestation compared to full term birth (i.e. ≥ 37 weeks gestational age; Table 2). A study that used similar linked data from 2001 to 2010 in New South Wales, for children up to age 5</w:t>
      </w:r>
      <w:r>
        <w:rPr>
          <w:lang w:val="en-GB"/>
        </w:rPr>
        <w:t> </w:t>
      </w:r>
      <w:r w:rsidRPr="00367D5A">
        <w:rPr>
          <w:lang w:val="en-GB"/>
        </w:rPr>
        <w:t xml:space="preserve">years, reported approximately </w:t>
      </w:r>
      <w:proofErr w:type="gramStart"/>
      <w:r w:rsidRPr="00367D5A">
        <w:rPr>
          <w:lang w:val="en-GB"/>
        </w:rPr>
        <w:t>five and eight times</w:t>
      </w:r>
      <w:proofErr w:type="gramEnd"/>
      <w:r w:rsidRPr="00367D5A">
        <w:rPr>
          <w:lang w:val="en-GB"/>
        </w:rPr>
        <w:t xml:space="preserve"> higher RSV hospitalisation rates in those born at &lt; 28 weeks and 28–31 weeks of gestation, respectively, compared to the overall population rate in those aged &lt; 5 years.</w:t>
      </w:r>
      <w:r w:rsidRPr="00367D5A">
        <w:rPr>
          <w:vertAlign w:val="superscript"/>
          <w:lang w:val="en-GB"/>
        </w:rPr>
        <w:t>6</w:t>
      </w:r>
      <w:r w:rsidRPr="00367D5A">
        <w:rPr>
          <w:lang w:val="en-GB"/>
        </w:rPr>
        <w:t xml:space="preserve"> </w:t>
      </w:r>
    </w:p>
    <w:p w14:paraId="3CB141E2" w14:textId="77777777" w:rsidR="00367D5A" w:rsidRDefault="00367D5A" w:rsidP="00367D5A">
      <w:pPr>
        <w:rPr>
          <w:lang w:val="en-GB"/>
        </w:rPr>
      </w:pPr>
      <w:r w:rsidRPr="00367D5A">
        <w:rPr>
          <w:lang w:val="en-GB"/>
        </w:rPr>
        <w:t>Most disease in Australian infants (aged &lt; 12 months) occurs during the RSV season (April to September), with the 2016–2019 NHMD records showing approximately 80% of annual RSV-coded hospitalisations occurring during these months. However, the inter-season burden also remains substantial in this age group, with estimated RSV hospitalisation rates remaining approximately 500 per 100,000 population per year, exceeding the annual rates for any other age group &gt; 2 years.</w:t>
      </w:r>
    </w:p>
    <w:p w14:paraId="48586290" w14:textId="77777777" w:rsidR="003B2BF2" w:rsidRPr="00367D5A" w:rsidRDefault="003B2BF2" w:rsidP="003B2BF2">
      <w:pPr>
        <w:pStyle w:val="CDITable-Title"/>
        <w:rPr>
          <w:lang w:val="en-GB"/>
        </w:rPr>
      </w:pPr>
      <w:r w:rsidRPr="00367D5A">
        <w:rPr>
          <w:lang w:val="en-GB"/>
        </w:rPr>
        <w:t xml:space="preserve">Table 2: Predicted annual respiratory syncytial virus (RSV) hospitalisation rates in infants by gestational age in Western </w:t>
      </w:r>
      <w:proofErr w:type="spellStart"/>
      <w:proofErr w:type="gramStart"/>
      <w:r w:rsidRPr="00367D5A">
        <w:rPr>
          <w:lang w:val="en-GB"/>
        </w:rPr>
        <w:t>Australia,</w:t>
      </w:r>
      <w:r w:rsidRPr="00367D5A">
        <w:rPr>
          <w:vertAlign w:val="superscript"/>
          <w:lang w:val="en-GB"/>
        </w:rPr>
        <w:t>a</w:t>
      </w:r>
      <w:proofErr w:type="spellEnd"/>
      <w:proofErr w:type="gramEnd"/>
      <w:r w:rsidRPr="00367D5A">
        <w:rPr>
          <w:lang w:val="en-GB"/>
        </w:rPr>
        <w:t xml:space="preserve"> 2000–2012 </w:t>
      </w:r>
    </w:p>
    <w:tbl>
      <w:tblPr>
        <w:tblW w:w="0" w:type="auto"/>
        <w:tblLayout w:type="fixed"/>
        <w:tblCellMar>
          <w:left w:w="0" w:type="dxa"/>
          <w:right w:w="0" w:type="dxa"/>
        </w:tblCellMar>
        <w:tblLook w:val="0000" w:firstRow="0" w:lastRow="0" w:firstColumn="0" w:lastColumn="0" w:noHBand="0" w:noVBand="0"/>
        <w:tblCaption w:val="Table 2: Predicted annual respiratory syncytial virus (RSV) hospitalisation rates in infants by gestational age in Western Australia,a 2000–2012 "/>
        <w:tblDescription w:val="Table 2 presents estimated annual RSV hospitalization rates by the gestational age of infants, based on a predictive model. This model utilised linked perinatal, hospitalization, and laboratory records from 2000 to 2012 in Western Australia."/>
      </w:tblPr>
      <w:tblGrid>
        <w:gridCol w:w="1928"/>
        <w:gridCol w:w="1927"/>
        <w:gridCol w:w="1928"/>
        <w:gridCol w:w="1927"/>
        <w:gridCol w:w="1928"/>
      </w:tblGrid>
      <w:tr w:rsidR="003B2BF2" w:rsidRPr="003B2BF2" w14:paraId="18933BEC" w14:textId="77777777" w:rsidTr="003B2BF2">
        <w:trPr>
          <w:trHeight w:val="60"/>
          <w:tblHeader/>
        </w:trPr>
        <w:tc>
          <w:tcPr>
            <w:tcW w:w="1928" w:type="dxa"/>
            <w:vMerge w:val="restart"/>
            <w:shd w:val="clear" w:color="auto" w:fill="1E4496" w:themeFill="text2"/>
            <w:tcMar>
              <w:top w:w="113" w:type="dxa"/>
              <w:left w:w="113" w:type="dxa"/>
              <w:bottom w:w="113" w:type="dxa"/>
              <w:right w:w="113" w:type="dxa"/>
            </w:tcMar>
            <w:vAlign w:val="bottom"/>
          </w:tcPr>
          <w:p w14:paraId="17C6BDEF" w14:textId="180E9C95" w:rsidR="003B2BF2" w:rsidRPr="003B2BF2" w:rsidRDefault="003B2BF2" w:rsidP="003B2BF2">
            <w:pPr>
              <w:pStyle w:val="CDITable-HeaderRowLeft"/>
              <w:rPr>
                <w:lang w:val="en-GB"/>
              </w:rPr>
            </w:pPr>
            <w:r w:rsidRPr="003B2BF2">
              <w:rPr>
                <w:lang w:val="en-GB"/>
              </w:rPr>
              <w:t>Gestational age at</w:t>
            </w:r>
            <w:r>
              <w:rPr>
                <w:lang w:val="en-GB"/>
              </w:rPr>
              <w:t> </w:t>
            </w:r>
            <w:r w:rsidRPr="003B2BF2">
              <w:rPr>
                <w:lang w:val="en-GB"/>
              </w:rPr>
              <w:t>birth</w:t>
            </w:r>
          </w:p>
        </w:tc>
        <w:tc>
          <w:tcPr>
            <w:tcW w:w="38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3E714175" w14:textId="77777777" w:rsidR="003B2BF2" w:rsidRPr="003B2BF2" w:rsidRDefault="003B2BF2" w:rsidP="003B2BF2">
            <w:pPr>
              <w:pStyle w:val="CDITable-HeaderRowCentre"/>
            </w:pPr>
            <w:r w:rsidRPr="003B2BF2">
              <w:t>Age at admission &lt; 6 months</w:t>
            </w:r>
          </w:p>
        </w:tc>
        <w:tc>
          <w:tcPr>
            <w:tcW w:w="3855" w:type="dxa"/>
            <w:gridSpan w:val="2"/>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19E8F1DC" w14:textId="77777777" w:rsidR="003B2BF2" w:rsidRPr="003B2BF2" w:rsidRDefault="003B2BF2" w:rsidP="003B2BF2">
            <w:pPr>
              <w:pStyle w:val="CDITable-HeaderRowCentre"/>
            </w:pPr>
            <w:r w:rsidRPr="003B2BF2">
              <w:t>Age at admission 6–11 months</w:t>
            </w:r>
          </w:p>
        </w:tc>
      </w:tr>
      <w:tr w:rsidR="003B2BF2" w:rsidRPr="003B2BF2" w14:paraId="5DD3B18A" w14:textId="77777777" w:rsidTr="003670AD">
        <w:trPr>
          <w:trHeight w:val="60"/>
          <w:tblHeader/>
        </w:trPr>
        <w:tc>
          <w:tcPr>
            <w:tcW w:w="1928" w:type="dxa"/>
            <w:vMerge/>
            <w:shd w:val="clear" w:color="auto" w:fill="1E4496" w:themeFill="text2"/>
          </w:tcPr>
          <w:p w14:paraId="636E8CA5" w14:textId="77777777" w:rsidR="003B2BF2" w:rsidRPr="003B2BF2" w:rsidRDefault="003B2BF2" w:rsidP="003B2BF2"/>
        </w:tc>
        <w:tc>
          <w:tcPr>
            <w:tcW w:w="1927"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231693D3" w14:textId="77777777" w:rsidR="003B2BF2" w:rsidRPr="003B2BF2" w:rsidRDefault="003B2BF2" w:rsidP="003B2BF2">
            <w:pPr>
              <w:pStyle w:val="CDITable-HeaderRowCentre"/>
            </w:pPr>
            <w:r w:rsidRPr="003B2BF2">
              <w:t xml:space="preserve">Predicted </w:t>
            </w:r>
            <w:proofErr w:type="spellStart"/>
            <w:r w:rsidRPr="003B2BF2">
              <w:t>rate</w:t>
            </w:r>
            <w:r w:rsidRPr="003B2BF2">
              <w:rPr>
                <w:vertAlign w:val="superscript"/>
              </w:rPr>
              <w:t>b</w:t>
            </w:r>
            <w:proofErr w:type="spellEnd"/>
          </w:p>
        </w:tc>
        <w:tc>
          <w:tcPr>
            <w:tcW w:w="1928"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431BF20" w14:textId="77777777" w:rsidR="003B2BF2" w:rsidRPr="003B2BF2" w:rsidRDefault="003B2BF2" w:rsidP="003B2BF2">
            <w:pPr>
              <w:pStyle w:val="CDITable-HeaderRowCentre"/>
            </w:pPr>
            <w:r w:rsidRPr="003B2BF2">
              <w:t xml:space="preserve">95% </w:t>
            </w:r>
            <w:proofErr w:type="spellStart"/>
            <w:r w:rsidRPr="003B2BF2">
              <w:t>CI</w:t>
            </w:r>
            <w:r w:rsidRPr="003B2BF2">
              <w:rPr>
                <w:vertAlign w:val="superscript"/>
              </w:rPr>
              <w:t>c</w:t>
            </w:r>
            <w:proofErr w:type="spellEnd"/>
          </w:p>
        </w:tc>
        <w:tc>
          <w:tcPr>
            <w:tcW w:w="1927"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737DEE50" w14:textId="77777777" w:rsidR="003B2BF2" w:rsidRPr="003B2BF2" w:rsidRDefault="003B2BF2" w:rsidP="003B2BF2">
            <w:pPr>
              <w:pStyle w:val="CDITable-HeaderRowCentre"/>
            </w:pPr>
            <w:r w:rsidRPr="003B2BF2">
              <w:t xml:space="preserve">Predicted </w:t>
            </w:r>
            <w:proofErr w:type="spellStart"/>
            <w:r w:rsidRPr="003B2BF2">
              <w:t>rate</w:t>
            </w:r>
            <w:r w:rsidRPr="003B2BF2">
              <w:rPr>
                <w:vertAlign w:val="superscript"/>
              </w:rPr>
              <w:t>b</w:t>
            </w:r>
            <w:proofErr w:type="spellEnd"/>
          </w:p>
        </w:tc>
        <w:tc>
          <w:tcPr>
            <w:tcW w:w="1928" w:type="dxa"/>
            <w:tcBorders>
              <w:top w:val="single" w:sz="6" w:space="0" w:color="FFFFFF" w:themeColor="background1"/>
            </w:tcBorders>
            <w:shd w:val="clear" w:color="auto" w:fill="1E4496" w:themeFill="text2"/>
            <w:tcMar>
              <w:top w:w="113" w:type="dxa"/>
              <w:left w:w="113" w:type="dxa"/>
              <w:bottom w:w="113" w:type="dxa"/>
              <w:right w:w="113" w:type="dxa"/>
            </w:tcMar>
            <w:vAlign w:val="bottom"/>
          </w:tcPr>
          <w:p w14:paraId="412C5C0A" w14:textId="77777777" w:rsidR="003B2BF2" w:rsidRPr="003B2BF2" w:rsidRDefault="003B2BF2" w:rsidP="003B2BF2">
            <w:pPr>
              <w:pStyle w:val="CDITable-HeaderRowCentre"/>
            </w:pPr>
            <w:r w:rsidRPr="003B2BF2">
              <w:t xml:space="preserve">95% </w:t>
            </w:r>
            <w:proofErr w:type="spellStart"/>
            <w:r w:rsidRPr="003B2BF2">
              <w:t>CI</w:t>
            </w:r>
            <w:r w:rsidRPr="003B2BF2">
              <w:rPr>
                <w:vertAlign w:val="superscript"/>
              </w:rPr>
              <w:t>c</w:t>
            </w:r>
            <w:proofErr w:type="spellEnd"/>
          </w:p>
        </w:tc>
      </w:tr>
      <w:tr w:rsidR="003B2BF2" w:rsidRPr="003B2BF2" w14:paraId="62CDCBC2" w14:textId="77777777" w:rsidTr="003670AD">
        <w:trPr>
          <w:trHeight w:val="60"/>
        </w:trPr>
        <w:tc>
          <w:tcPr>
            <w:tcW w:w="1928" w:type="dxa"/>
            <w:tcBorders>
              <w:bottom w:val="single" w:sz="6" w:space="0" w:color="1E4496" w:themeColor="text2"/>
            </w:tcBorders>
            <w:tcMar>
              <w:top w:w="113" w:type="dxa"/>
              <w:left w:w="113" w:type="dxa"/>
              <w:bottom w:w="113" w:type="dxa"/>
              <w:right w:w="113" w:type="dxa"/>
            </w:tcMar>
            <w:vAlign w:val="center"/>
          </w:tcPr>
          <w:p w14:paraId="1D4EE708" w14:textId="77777777" w:rsidR="003B2BF2" w:rsidRPr="003B2BF2" w:rsidRDefault="003B2BF2" w:rsidP="003B2BF2">
            <w:pPr>
              <w:pStyle w:val="CDITable-RowLeft"/>
              <w:rPr>
                <w:lang w:val="en-GB"/>
              </w:rPr>
            </w:pPr>
            <w:r w:rsidRPr="003B2BF2">
              <w:rPr>
                <w:lang w:val="en-GB"/>
              </w:rPr>
              <w:t>≤ 28 weeks</w:t>
            </w:r>
          </w:p>
        </w:tc>
        <w:tc>
          <w:tcPr>
            <w:tcW w:w="1927" w:type="dxa"/>
            <w:tcBorders>
              <w:bottom w:val="single" w:sz="6" w:space="0" w:color="1E4496" w:themeColor="text2"/>
            </w:tcBorders>
            <w:tcMar>
              <w:top w:w="113" w:type="dxa"/>
              <w:left w:w="113" w:type="dxa"/>
              <w:bottom w:w="113" w:type="dxa"/>
              <w:right w:w="113" w:type="dxa"/>
            </w:tcMar>
            <w:vAlign w:val="center"/>
          </w:tcPr>
          <w:p w14:paraId="7701E6F5" w14:textId="77777777" w:rsidR="003B2BF2" w:rsidRPr="003B2BF2" w:rsidRDefault="003B2BF2" w:rsidP="003B2BF2">
            <w:pPr>
              <w:pStyle w:val="CDITable-RowCentre"/>
              <w:rPr>
                <w:lang w:val="en-GB"/>
              </w:rPr>
            </w:pPr>
            <w:r w:rsidRPr="003B2BF2">
              <w:rPr>
                <w:lang w:val="en-GB"/>
              </w:rPr>
              <w:t>6,140</w:t>
            </w:r>
          </w:p>
        </w:tc>
        <w:tc>
          <w:tcPr>
            <w:tcW w:w="1928" w:type="dxa"/>
            <w:tcBorders>
              <w:bottom w:val="single" w:sz="6" w:space="0" w:color="1E4496" w:themeColor="text2"/>
            </w:tcBorders>
            <w:tcMar>
              <w:top w:w="113" w:type="dxa"/>
              <w:left w:w="113" w:type="dxa"/>
              <w:bottom w:w="113" w:type="dxa"/>
              <w:right w:w="113" w:type="dxa"/>
            </w:tcMar>
            <w:vAlign w:val="center"/>
          </w:tcPr>
          <w:p w14:paraId="1F064908" w14:textId="77777777" w:rsidR="003B2BF2" w:rsidRPr="003B2BF2" w:rsidRDefault="003B2BF2" w:rsidP="003B2BF2">
            <w:pPr>
              <w:pStyle w:val="CDITable-RowCentre"/>
              <w:rPr>
                <w:lang w:val="en-GB"/>
              </w:rPr>
            </w:pPr>
            <w:r w:rsidRPr="003B2BF2">
              <w:rPr>
                <w:lang w:val="en-GB"/>
              </w:rPr>
              <w:t>4,640–8,120</w:t>
            </w:r>
          </w:p>
        </w:tc>
        <w:tc>
          <w:tcPr>
            <w:tcW w:w="1927" w:type="dxa"/>
            <w:tcBorders>
              <w:bottom w:val="single" w:sz="6" w:space="0" w:color="1E4496" w:themeColor="text2"/>
            </w:tcBorders>
            <w:tcMar>
              <w:top w:w="113" w:type="dxa"/>
              <w:left w:w="113" w:type="dxa"/>
              <w:bottom w:w="113" w:type="dxa"/>
              <w:right w:w="113" w:type="dxa"/>
            </w:tcMar>
            <w:vAlign w:val="center"/>
          </w:tcPr>
          <w:p w14:paraId="4F2C6D7B" w14:textId="77777777" w:rsidR="003B2BF2" w:rsidRPr="003B2BF2" w:rsidRDefault="003B2BF2" w:rsidP="003B2BF2">
            <w:pPr>
              <w:pStyle w:val="CDITable-RowCentre"/>
              <w:rPr>
                <w:lang w:val="en-GB"/>
              </w:rPr>
            </w:pPr>
            <w:r w:rsidRPr="003B2BF2">
              <w:rPr>
                <w:lang w:val="en-GB"/>
              </w:rPr>
              <w:t>1,260</w:t>
            </w:r>
          </w:p>
        </w:tc>
        <w:tc>
          <w:tcPr>
            <w:tcW w:w="1928" w:type="dxa"/>
            <w:tcBorders>
              <w:bottom w:val="single" w:sz="6" w:space="0" w:color="1E4496" w:themeColor="text2"/>
            </w:tcBorders>
            <w:tcMar>
              <w:top w:w="113" w:type="dxa"/>
              <w:left w:w="113" w:type="dxa"/>
              <w:bottom w:w="113" w:type="dxa"/>
              <w:right w:w="113" w:type="dxa"/>
            </w:tcMar>
            <w:vAlign w:val="center"/>
          </w:tcPr>
          <w:p w14:paraId="7670DCA6" w14:textId="77777777" w:rsidR="003B2BF2" w:rsidRPr="003B2BF2" w:rsidRDefault="003B2BF2" w:rsidP="003B2BF2">
            <w:pPr>
              <w:pStyle w:val="CDITable-RowCentre"/>
              <w:rPr>
                <w:lang w:val="en-GB"/>
              </w:rPr>
            </w:pPr>
            <w:r w:rsidRPr="003B2BF2">
              <w:rPr>
                <w:lang w:val="en-GB"/>
              </w:rPr>
              <w:t>1,090–1,450</w:t>
            </w:r>
          </w:p>
        </w:tc>
      </w:tr>
      <w:tr w:rsidR="003B2BF2" w:rsidRPr="003B2BF2" w14:paraId="593670B0" w14:textId="77777777" w:rsidTr="003670AD">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C0EAA45" w14:textId="77777777" w:rsidR="003B2BF2" w:rsidRPr="003B2BF2" w:rsidRDefault="003B2BF2" w:rsidP="003B2BF2">
            <w:pPr>
              <w:pStyle w:val="CDITable-RowLeft"/>
              <w:rPr>
                <w:lang w:val="en-GB"/>
              </w:rPr>
            </w:pPr>
            <w:r w:rsidRPr="003B2BF2">
              <w:rPr>
                <w:lang w:val="en-GB"/>
              </w:rPr>
              <w:t>29–32 weeks</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9A6D5E9" w14:textId="77777777" w:rsidR="003B2BF2" w:rsidRPr="003B2BF2" w:rsidRDefault="003B2BF2" w:rsidP="003B2BF2">
            <w:pPr>
              <w:pStyle w:val="CDITable-RowCentre"/>
              <w:rPr>
                <w:lang w:val="en-GB"/>
              </w:rPr>
            </w:pPr>
            <w:r w:rsidRPr="003B2BF2">
              <w:rPr>
                <w:lang w:val="en-GB"/>
              </w:rPr>
              <w:t>12,760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0691202" w14:textId="77777777" w:rsidR="003B2BF2" w:rsidRPr="003B2BF2" w:rsidRDefault="003B2BF2" w:rsidP="003B2BF2">
            <w:pPr>
              <w:pStyle w:val="CDITable-RowCentre"/>
              <w:rPr>
                <w:lang w:val="en-GB"/>
              </w:rPr>
            </w:pPr>
            <w:r w:rsidRPr="003B2BF2">
              <w:rPr>
                <w:lang w:val="en-GB"/>
              </w:rPr>
              <w:t>11,230–14,500</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9E47958" w14:textId="77777777" w:rsidR="003B2BF2" w:rsidRPr="003B2BF2" w:rsidRDefault="003B2BF2" w:rsidP="003B2BF2">
            <w:pPr>
              <w:pStyle w:val="CDITable-RowCentre"/>
              <w:rPr>
                <w:lang w:val="en-GB"/>
              </w:rPr>
            </w:pPr>
            <w:r w:rsidRPr="003B2BF2">
              <w:rPr>
                <w:lang w:val="en-GB"/>
              </w:rPr>
              <w:t>1,420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D0FFBAA" w14:textId="77777777" w:rsidR="003B2BF2" w:rsidRPr="003B2BF2" w:rsidRDefault="003B2BF2" w:rsidP="003B2BF2">
            <w:pPr>
              <w:pStyle w:val="CDITable-RowCentre"/>
              <w:rPr>
                <w:lang w:val="en-GB"/>
              </w:rPr>
            </w:pPr>
            <w:r w:rsidRPr="003B2BF2">
              <w:rPr>
                <w:lang w:val="en-GB"/>
              </w:rPr>
              <w:t>1,300–1,550</w:t>
            </w:r>
          </w:p>
        </w:tc>
      </w:tr>
      <w:tr w:rsidR="003B2BF2" w:rsidRPr="003B2BF2" w14:paraId="095FB446" w14:textId="77777777" w:rsidTr="003670AD">
        <w:trPr>
          <w:trHeight w:val="60"/>
        </w:trPr>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88DF82A" w14:textId="77777777" w:rsidR="003B2BF2" w:rsidRPr="003B2BF2" w:rsidRDefault="003B2BF2" w:rsidP="003B2BF2">
            <w:pPr>
              <w:pStyle w:val="CDITable-RowLeft"/>
              <w:rPr>
                <w:lang w:val="en-GB"/>
              </w:rPr>
            </w:pPr>
            <w:r w:rsidRPr="003B2BF2">
              <w:rPr>
                <w:lang w:val="en-GB"/>
              </w:rPr>
              <w:t>33–36 weeks</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9763023" w14:textId="77777777" w:rsidR="003B2BF2" w:rsidRPr="003B2BF2" w:rsidRDefault="003B2BF2" w:rsidP="003B2BF2">
            <w:pPr>
              <w:pStyle w:val="CDITable-RowCentre"/>
              <w:rPr>
                <w:lang w:val="en-GB"/>
              </w:rPr>
            </w:pPr>
            <w:r w:rsidRPr="003B2BF2">
              <w:rPr>
                <w:lang w:val="en-GB"/>
              </w:rPr>
              <w:t>5,920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6217020" w14:textId="77777777" w:rsidR="003B2BF2" w:rsidRPr="003B2BF2" w:rsidRDefault="003B2BF2" w:rsidP="003B2BF2">
            <w:pPr>
              <w:pStyle w:val="CDITable-RowCentre"/>
              <w:rPr>
                <w:lang w:val="en-GB"/>
              </w:rPr>
            </w:pPr>
            <w:r w:rsidRPr="003B2BF2">
              <w:rPr>
                <w:lang w:val="en-GB"/>
              </w:rPr>
              <w:t>5,510–6,360</w:t>
            </w:r>
          </w:p>
        </w:tc>
        <w:tc>
          <w:tcPr>
            <w:tcW w:w="1927"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BD76B6B" w14:textId="77777777" w:rsidR="003B2BF2" w:rsidRPr="003B2BF2" w:rsidRDefault="003B2BF2" w:rsidP="003B2BF2">
            <w:pPr>
              <w:pStyle w:val="CDITable-RowCentre"/>
              <w:rPr>
                <w:lang w:val="en-GB"/>
              </w:rPr>
            </w:pPr>
            <w:r w:rsidRPr="003B2BF2">
              <w:rPr>
                <w:lang w:val="en-GB"/>
              </w:rPr>
              <w:t>550</w:t>
            </w:r>
          </w:p>
        </w:tc>
        <w:tc>
          <w:tcPr>
            <w:tcW w:w="1928"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40C204" w14:textId="77777777" w:rsidR="003B2BF2" w:rsidRPr="003B2BF2" w:rsidRDefault="003B2BF2" w:rsidP="003B2BF2">
            <w:pPr>
              <w:pStyle w:val="CDITable-RowCentre"/>
              <w:rPr>
                <w:lang w:val="en-GB"/>
              </w:rPr>
            </w:pPr>
            <w:r w:rsidRPr="003B2BF2">
              <w:rPr>
                <w:lang w:val="en-GB"/>
              </w:rPr>
              <w:t>520–580</w:t>
            </w:r>
          </w:p>
        </w:tc>
      </w:tr>
      <w:tr w:rsidR="003B2BF2" w:rsidRPr="003B2BF2" w14:paraId="53177C50" w14:textId="77777777" w:rsidTr="003670AD">
        <w:trPr>
          <w:trHeight w:val="60"/>
        </w:trPr>
        <w:tc>
          <w:tcPr>
            <w:tcW w:w="1928" w:type="dxa"/>
            <w:tcBorders>
              <w:top w:val="single" w:sz="6" w:space="0" w:color="1E4496" w:themeColor="text2"/>
            </w:tcBorders>
            <w:tcMar>
              <w:top w:w="113" w:type="dxa"/>
              <w:left w:w="113" w:type="dxa"/>
              <w:bottom w:w="113" w:type="dxa"/>
              <w:right w:w="113" w:type="dxa"/>
            </w:tcMar>
            <w:vAlign w:val="center"/>
          </w:tcPr>
          <w:p w14:paraId="3793AA57" w14:textId="77777777" w:rsidR="003B2BF2" w:rsidRPr="003B2BF2" w:rsidRDefault="003B2BF2" w:rsidP="003B2BF2">
            <w:pPr>
              <w:pStyle w:val="CDITable-RowLeft"/>
              <w:rPr>
                <w:lang w:val="en-GB"/>
              </w:rPr>
            </w:pPr>
            <w:r w:rsidRPr="003B2BF2">
              <w:rPr>
                <w:lang w:val="en-GB"/>
              </w:rPr>
              <w:t>≥ 37 weeks</w:t>
            </w:r>
          </w:p>
        </w:tc>
        <w:tc>
          <w:tcPr>
            <w:tcW w:w="1927" w:type="dxa"/>
            <w:tcBorders>
              <w:top w:val="single" w:sz="6" w:space="0" w:color="1E4496" w:themeColor="text2"/>
            </w:tcBorders>
            <w:tcMar>
              <w:top w:w="113" w:type="dxa"/>
              <w:left w:w="113" w:type="dxa"/>
              <w:bottom w:w="113" w:type="dxa"/>
              <w:right w:w="113" w:type="dxa"/>
            </w:tcMar>
            <w:vAlign w:val="center"/>
          </w:tcPr>
          <w:p w14:paraId="36FA8BF6" w14:textId="77777777" w:rsidR="003B2BF2" w:rsidRPr="003B2BF2" w:rsidRDefault="003B2BF2" w:rsidP="003B2BF2">
            <w:pPr>
              <w:pStyle w:val="CDITable-RowCentre"/>
              <w:rPr>
                <w:lang w:val="en-GB"/>
              </w:rPr>
            </w:pPr>
            <w:r w:rsidRPr="003B2BF2">
              <w:rPr>
                <w:lang w:val="en-GB"/>
              </w:rPr>
              <w:t>2,950</w:t>
            </w:r>
          </w:p>
        </w:tc>
        <w:tc>
          <w:tcPr>
            <w:tcW w:w="1928" w:type="dxa"/>
            <w:tcBorders>
              <w:top w:val="single" w:sz="6" w:space="0" w:color="1E4496" w:themeColor="text2"/>
            </w:tcBorders>
            <w:tcMar>
              <w:top w:w="113" w:type="dxa"/>
              <w:left w:w="113" w:type="dxa"/>
              <w:bottom w:w="113" w:type="dxa"/>
              <w:right w:w="113" w:type="dxa"/>
            </w:tcMar>
            <w:vAlign w:val="center"/>
          </w:tcPr>
          <w:p w14:paraId="44D8280B" w14:textId="77777777" w:rsidR="003B2BF2" w:rsidRPr="003B2BF2" w:rsidRDefault="003B2BF2" w:rsidP="003B2BF2">
            <w:pPr>
              <w:pStyle w:val="CDITable-RowCentre"/>
              <w:rPr>
                <w:lang w:val="en-GB"/>
              </w:rPr>
            </w:pPr>
            <w:r w:rsidRPr="003B2BF2">
              <w:rPr>
                <w:lang w:val="en-GB"/>
              </w:rPr>
              <w:t>2,870–3,030</w:t>
            </w:r>
          </w:p>
        </w:tc>
        <w:tc>
          <w:tcPr>
            <w:tcW w:w="1927" w:type="dxa"/>
            <w:tcBorders>
              <w:top w:val="single" w:sz="6" w:space="0" w:color="1E4496" w:themeColor="text2"/>
            </w:tcBorders>
            <w:tcMar>
              <w:top w:w="113" w:type="dxa"/>
              <w:left w:w="113" w:type="dxa"/>
              <w:bottom w:w="113" w:type="dxa"/>
              <w:right w:w="113" w:type="dxa"/>
            </w:tcMar>
            <w:vAlign w:val="center"/>
          </w:tcPr>
          <w:p w14:paraId="3385195F" w14:textId="77777777" w:rsidR="003B2BF2" w:rsidRPr="003B2BF2" w:rsidRDefault="003B2BF2" w:rsidP="003B2BF2">
            <w:pPr>
              <w:pStyle w:val="CDITable-RowCentre"/>
              <w:rPr>
                <w:lang w:val="en-GB"/>
              </w:rPr>
            </w:pPr>
            <w:r w:rsidRPr="003B2BF2">
              <w:rPr>
                <w:lang w:val="en-GB"/>
              </w:rPr>
              <w:t>270</w:t>
            </w:r>
          </w:p>
        </w:tc>
        <w:tc>
          <w:tcPr>
            <w:tcW w:w="1928" w:type="dxa"/>
            <w:tcBorders>
              <w:top w:val="single" w:sz="6" w:space="0" w:color="1E4496" w:themeColor="text2"/>
            </w:tcBorders>
            <w:tcMar>
              <w:top w:w="113" w:type="dxa"/>
              <w:left w:w="113" w:type="dxa"/>
              <w:bottom w:w="113" w:type="dxa"/>
              <w:right w:w="113" w:type="dxa"/>
            </w:tcMar>
            <w:vAlign w:val="center"/>
          </w:tcPr>
          <w:p w14:paraId="142B1028" w14:textId="77777777" w:rsidR="003B2BF2" w:rsidRPr="003B2BF2" w:rsidRDefault="003B2BF2" w:rsidP="003B2BF2">
            <w:pPr>
              <w:pStyle w:val="CDITable-RowCentre"/>
              <w:rPr>
                <w:lang w:val="en-GB"/>
              </w:rPr>
            </w:pPr>
            <w:r w:rsidRPr="003B2BF2">
              <w:rPr>
                <w:lang w:val="en-GB"/>
              </w:rPr>
              <w:t>270–280</w:t>
            </w:r>
          </w:p>
        </w:tc>
      </w:tr>
      <w:tr w:rsidR="003B2BF2" w:rsidRPr="003B2BF2" w14:paraId="7BA14EB3" w14:textId="77777777" w:rsidTr="003B2BF2">
        <w:trPr>
          <w:trHeight w:val="60"/>
        </w:trPr>
        <w:tc>
          <w:tcPr>
            <w:tcW w:w="1928" w:type="dxa"/>
            <w:shd w:val="clear" w:color="auto" w:fill="53C9F1" w:themeFill="background2"/>
            <w:tcMar>
              <w:top w:w="113" w:type="dxa"/>
              <w:left w:w="113" w:type="dxa"/>
              <w:bottom w:w="113" w:type="dxa"/>
              <w:right w:w="113" w:type="dxa"/>
            </w:tcMar>
            <w:vAlign w:val="center"/>
          </w:tcPr>
          <w:p w14:paraId="4708E23A" w14:textId="77777777" w:rsidR="003B2BF2" w:rsidRPr="003B2BF2" w:rsidRDefault="003B2BF2" w:rsidP="003B2BF2">
            <w:pPr>
              <w:pStyle w:val="CDITable-TotalRowLeft"/>
              <w:rPr>
                <w:lang w:val="en-GB"/>
              </w:rPr>
            </w:pPr>
            <w:r w:rsidRPr="003B2BF2">
              <w:rPr>
                <w:lang w:val="en-GB"/>
              </w:rPr>
              <w:t xml:space="preserve">Overall </w:t>
            </w:r>
          </w:p>
        </w:tc>
        <w:tc>
          <w:tcPr>
            <w:tcW w:w="1927" w:type="dxa"/>
            <w:shd w:val="clear" w:color="auto" w:fill="53C9F1" w:themeFill="background2"/>
            <w:tcMar>
              <w:top w:w="113" w:type="dxa"/>
              <w:left w:w="113" w:type="dxa"/>
              <w:bottom w:w="113" w:type="dxa"/>
              <w:right w:w="113" w:type="dxa"/>
            </w:tcMar>
            <w:vAlign w:val="center"/>
          </w:tcPr>
          <w:p w14:paraId="3ADBAAC1" w14:textId="77777777" w:rsidR="003B2BF2" w:rsidRPr="003B2BF2" w:rsidRDefault="003B2BF2" w:rsidP="003B2BF2">
            <w:pPr>
              <w:pStyle w:val="CDITable-TotalRowCentre"/>
              <w:rPr>
                <w:lang w:val="en-GB"/>
              </w:rPr>
            </w:pPr>
            <w:r w:rsidRPr="003B2BF2">
              <w:rPr>
                <w:lang w:val="en-GB"/>
              </w:rPr>
              <w:t>3,270</w:t>
            </w:r>
          </w:p>
        </w:tc>
        <w:tc>
          <w:tcPr>
            <w:tcW w:w="1928" w:type="dxa"/>
            <w:shd w:val="clear" w:color="auto" w:fill="53C9F1" w:themeFill="background2"/>
            <w:tcMar>
              <w:top w:w="113" w:type="dxa"/>
              <w:left w:w="113" w:type="dxa"/>
              <w:bottom w:w="113" w:type="dxa"/>
              <w:right w:w="113" w:type="dxa"/>
            </w:tcMar>
            <w:vAlign w:val="center"/>
          </w:tcPr>
          <w:p w14:paraId="1832863B" w14:textId="77777777" w:rsidR="003B2BF2" w:rsidRPr="003B2BF2" w:rsidRDefault="003B2BF2" w:rsidP="003B2BF2">
            <w:pPr>
              <w:pStyle w:val="CDITable-TotalRowCentre"/>
              <w:rPr>
                <w:lang w:val="en-GB"/>
              </w:rPr>
            </w:pPr>
            <w:r w:rsidRPr="003B2BF2">
              <w:rPr>
                <w:lang w:val="en-GB"/>
              </w:rPr>
              <w:t>3,180–3,350</w:t>
            </w:r>
          </w:p>
        </w:tc>
        <w:tc>
          <w:tcPr>
            <w:tcW w:w="1927" w:type="dxa"/>
            <w:shd w:val="clear" w:color="auto" w:fill="53C9F1" w:themeFill="background2"/>
            <w:tcMar>
              <w:top w:w="113" w:type="dxa"/>
              <w:left w:w="113" w:type="dxa"/>
              <w:bottom w:w="113" w:type="dxa"/>
              <w:right w:w="113" w:type="dxa"/>
            </w:tcMar>
            <w:vAlign w:val="center"/>
          </w:tcPr>
          <w:p w14:paraId="65545049" w14:textId="77777777" w:rsidR="003B2BF2" w:rsidRPr="003B2BF2" w:rsidRDefault="003B2BF2" w:rsidP="003B2BF2">
            <w:pPr>
              <w:pStyle w:val="CDITable-TotalRowCentre"/>
              <w:rPr>
                <w:lang w:val="en-GB"/>
              </w:rPr>
            </w:pPr>
            <w:r w:rsidRPr="003B2BF2">
              <w:rPr>
                <w:lang w:val="en-GB"/>
              </w:rPr>
              <w:t>310</w:t>
            </w:r>
          </w:p>
        </w:tc>
        <w:tc>
          <w:tcPr>
            <w:tcW w:w="1928" w:type="dxa"/>
            <w:shd w:val="clear" w:color="auto" w:fill="53C9F1" w:themeFill="background2"/>
            <w:tcMar>
              <w:top w:w="113" w:type="dxa"/>
              <w:left w:w="113" w:type="dxa"/>
              <w:bottom w:w="113" w:type="dxa"/>
              <w:right w:w="113" w:type="dxa"/>
            </w:tcMar>
            <w:vAlign w:val="center"/>
          </w:tcPr>
          <w:p w14:paraId="6E98EBF7" w14:textId="77777777" w:rsidR="003B2BF2" w:rsidRPr="003B2BF2" w:rsidRDefault="003B2BF2" w:rsidP="003B2BF2">
            <w:pPr>
              <w:pStyle w:val="CDITable-TotalRowCentre"/>
              <w:rPr>
                <w:lang w:val="en-GB"/>
              </w:rPr>
            </w:pPr>
            <w:r w:rsidRPr="003B2BF2">
              <w:rPr>
                <w:lang w:val="en-GB"/>
              </w:rPr>
              <w:t>300–310</w:t>
            </w:r>
          </w:p>
        </w:tc>
      </w:tr>
    </w:tbl>
    <w:p w14:paraId="570701F8" w14:textId="77777777" w:rsidR="003B2BF2" w:rsidRPr="00367D5A" w:rsidRDefault="003B2BF2" w:rsidP="003B2BF2">
      <w:pPr>
        <w:pStyle w:val="CDITable-FirstFootnote"/>
        <w:rPr>
          <w:vertAlign w:val="superscript"/>
          <w:lang w:val="en-GB"/>
        </w:rPr>
      </w:pPr>
      <w:proofErr w:type="spellStart"/>
      <w:r w:rsidRPr="00367D5A">
        <w:rPr>
          <w:lang w:val="en-GB"/>
        </w:rPr>
        <w:t>a</w:t>
      </w:r>
      <w:proofErr w:type="spellEnd"/>
      <w:r w:rsidRPr="00367D5A">
        <w:rPr>
          <w:lang w:val="en-GB"/>
        </w:rPr>
        <w:tab/>
        <w:t>These data were provided for this report by the authors.</w:t>
      </w:r>
      <w:r w:rsidRPr="00367D5A">
        <w:rPr>
          <w:vertAlign w:val="superscript"/>
          <w:lang w:val="en-GB"/>
        </w:rPr>
        <w:t>12</w:t>
      </w:r>
    </w:p>
    <w:p w14:paraId="42E3632E" w14:textId="77777777" w:rsidR="003B2BF2" w:rsidRPr="00367D5A" w:rsidRDefault="003B2BF2" w:rsidP="003B2BF2">
      <w:pPr>
        <w:pStyle w:val="CDITable-Footnote"/>
        <w:rPr>
          <w:lang w:val="en-GB"/>
        </w:rPr>
      </w:pPr>
      <w:r w:rsidRPr="00367D5A">
        <w:rPr>
          <w:lang w:val="en-GB"/>
        </w:rPr>
        <w:t>b</w:t>
      </w:r>
      <w:r w:rsidRPr="00367D5A">
        <w:rPr>
          <w:lang w:val="en-GB"/>
        </w:rPr>
        <w:tab/>
        <w:t>Rate per 100,000 population per year.</w:t>
      </w:r>
    </w:p>
    <w:p w14:paraId="2860BE9E" w14:textId="77777777" w:rsidR="003B2BF2" w:rsidRPr="00367D5A" w:rsidRDefault="003B2BF2" w:rsidP="003B2BF2">
      <w:pPr>
        <w:pStyle w:val="CDITable-Footnote"/>
        <w:rPr>
          <w:lang w:val="en-GB"/>
        </w:rPr>
      </w:pPr>
      <w:r w:rsidRPr="00367D5A">
        <w:rPr>
          <w:lang w:val="en-GB"/>
        </w:rPr>
        <w:t>c</w:t>
      </w:r>
      <w:r w:rsidRPr="00367D5A">
        <w:rPr>
          <w:lang w:val="en-GB"/>
        </w:rPr>
        <w:tab/>
        <w:t>95% CI: 95% confidence interval.</w:t>
      </w:r>
    </w:p>
    <w:p w14:paraId="77393E29" w14:textId="77777777" w:rsidR="00367D5A" w:rsidRPr="00367D5A" w:rsidRDefault="00367D5A" w:rsidP="00367D5A">
      <w:pPr>
        <w:pStyle w:val="Heading2"/>
        <w:rPr>
          <w:lang w:val="en-GB"/>
        </w:rPr>
      </w:pPr>
      <w:bookmarkStart w:id="15" w:name="_Toc229657245"/>
      <w:r w:rsidRPr="00367D5A">
        <w:rPr>
          <w:lang w:val="en-GB"/>
        </w:rPr>
        <w:t>Older adults</w:t>
      </w:r>
      <w:bookmarkEnd w:id="15"/>
      <w:r w:rsidRPr="00367D5A">
        <w:rPr>
          <w:lang w:val="en-GB"/>
        </w:rPr>
        <w:t xml:space="preserve"> </w:t>
      </w:r>
    </w:p>
    <w:p w14:paraId="6A129A89" w14:textId="3A38041F" w:rsidR="00367D5A" w:rsidRPr="00367D5A" w:rsidRDefault="00367D5A" w:rsidP="00367D5A">
      <w:pPr>
        <w:rPr>
          <w:lang w:val="en-GB"/>
        </w:rPr>
      </w:pPr>
      <w:r w:rsidRPr="00367D5A">
        <w:rPr>
          <w:lang w:val="en-GB"/>
        </w:rPr>
        <w:t>The burden of severe RSV disease in older adults increases substantially with age. In the years prior to the COVID-19 pandemic, the 2016–2019 NHMD records showed that approximately 70% of ICD-coded RSV hospitalisations in Australian adults aged ≥ 65 years occurred in those aged ≥</w:t>
      </w:r>
      <w:r>
        <w:rPr>
          <w:lang w:val="en-GB"/>
        </w:rPr>
        <w:t> </w:t>
      </w:r>
      <w:r w:rsidRPr="00367D5A">
        <w:rPr>
          <w:lang w:val="en-GB"/>
        </w:rPr>
        <w:t>75 years (196 per 100,000 population per year, Table 1). However, these observed rates are likely to be an under-estimation, particularly during earlier years, with a trend to increased testing for RSV over time during this period in older adults. This is substantiated by an eight-fold increase in RSV-coded hospitalisation rates in adults aged ≥ 65 years between 2012 and 2019. This was much greater than the increase in infant RSV-coded hospitalisations seen over this same period (a</w:t>
      </w:r>
      <w:r>
        <w:rPr>
          <w:lang w:val="en-GB"/>
        </w:rPr>
        <w:t> </w:t>
      </w:r>
      <w:r w:rsidRPr="00367D5A">
        <w:rPr>
          <w:lang w:val="en-GB"/>
        </w:rPr>
        <w:t>1.3</w:t>
      </w:r>
      <w:r w:rsidRPr="00367D5A">
        <w:rPr>
          <w:lang w:val="en-GB"/>
        </w:rPr>
        <w:noBreakHyphen/>
        <w:t xml:space="preserve">fold increase in hospitalisation rates from 2012 to 2019 among infants aged &lt; 12 months), where testing of hospitalised children with respiratory illness is common practice to assist in diagnosing bronchiolitis and to manage infection control. More research is required to better understand RSV hospitalisation trends in adults aged ≥ 65 years and the role of increased testing as compared with true increases, potentially related to population ageing and/or increasing prevalence of comorbid conditions which increases risk. </w:t>
      </w:r>
    </w:p>
    <w:p w14:paraId="43A274CD" w14:textId="77777777" w:rsidR="00367D5A" w:rsidRPr="00367D5A" w:rsidRDefault="00367D5A" w:rsidP="003B2BF2">
      <w:pPr>
        <w:rPr>
          <w:lang w:val="en-GB"/>
        </w:rPr>
      </w:pPr>
      <w:r w:rsidRPr="00367D5A">
        <w:rPr>
          <w:lang w:val="en-GB"/>
        </w:rPr>
        <w:t>A study using 2009–2017 hospitalisations data attempted to account for underestimation in RSV-attributable disease by using statistical modelling. It estimated annual RSV-attributable acute respiratory infection hospitalisation rates to be 256.4 (95% confidence interval [95% CI]: 5.3–487.4) per 100,000 population among Australian adults aged ≥ 75 years.</w:t>
      </w:r>
      <w:r w:rsidRPr="00367D5A">
        <w:rPr>
          <w:vertAlign w:val="superscript"/>
          <w:lang w:val="en-GB"/>
        </w:rPr>
        <w:t>7</w:t>
      </w:r>
      <w:r w:rsidRPr="00367D5A">
        <w:rPr>
          <w:lang w:val="en-GB"/>
        </w:rPr>
        <w:t xml:space="preserve"> This estimate for Australian adults, although imprecise, was somewhat higher than that reported for the same age group estimated across high-income countries (183.8 (interquartile range [IQR]: 144.4–337.4) per 100,000 population per year) from a systematic review of modelling studies of RSV hospitalisation and mortality burden.</w:t>
      </w:r>
      <w:r w:rsidRPr="00367D5A">
        <w:rPr>
          <w:vertAlign w:val="superscript"/>
          <w:lang w:val="en-GB"/>
        </w:rPr>
        <w:t>9</w:t>
      </w:r>
    </w:p>
    <w:p w14:paraId="4A67B530" w14:textId="77777777" w:rsidR="00367D5A" w:rsidRPr="00367D5A" w:rsidRDefault="00367D5A" w:rsidP="00367D5A">
      <w:pPr>
        <w:rPr>
          <w:lang w:val="en-GB"/>
        </w:rPr>
      </w:pPr>
      <w:r w:rsidRPr="00367D5A">
        <w:rPr>
          <w:lang w:val="en-GB"/>
        </w:rPr>
        <w:t>Further studies, including those that incorporate alternative methods such as statistical modelling or sentinel hospital surveillance with active case ascertainment, are warranted to better understand the true hospitalisation burden associated with RSV infections in older Australians.</w:t>
      </w:r>
    </w:p>
    <w:p w14:paraId="079ECEAE" w14:textId="77777777" w:rsidR="00367D5A" w:rsidRPr="00367D5A" w:rsidRDefault="00367D5A" w:rsidP="00367D5A">
      <w:pPr>
        <w:pStyle w:val="Heading2"/>
        <w:rPr>
          <w:lang w:val="en-GB"/>
        </w:rPr>
      </w:pPr>
      <w:bookmarkStart w:id="16" w:name="_Toc229657246"/>
      <w:r w:rsidRPr="00367D5A">
        <w:rPr>
          <w:lang w:val="en-GB"/>
        </w:rPr>
        <w:t>Priority population: Aboriginal and Torres Strait Islander peoples</w:t>
      </w:r>
      <w:bookmarkEnd w:id="16"/>
    </w:p>
    <w:p w14:paraId="726B8D53" w14:textId="77777777" w:rsidR="00367D5A" w:rsidRPr="00367D5A" w:rsidRDefault="00367D5A" w:rsidP="00367D5A">
      <w:pPr>
        <w:rPr>
          <w:lang w:val="en-GB"/>
        </w:rPr>
      </w:pPr>
      <w:r w:rsidRPr="00367D5A">
        <w:rPr>
          <w:lang w:val="en-GB"/>
        </w:rPr>
        <w:t xml:space="preserve">Aboriginal and Torres Strait Islander (hereafter respectfully referred to as </w:t>
      </w:r>
      <w:r w:rsidRPr="00367D5A">
        <w:rPr>
          <w:i/>
          <w:iCs/>
          <w:lang w:val="en-GB"/>
        </w:rPr>
        <w:t>First Nations</w:t>
      </w:r>
      <w:r w:rsidRPr="00367D5A">
        <w:rPr>
          <w:lang w:val="en-GB"/>
        </w:rPr>
        <w:t xml:space="preserve">) peoples are at a greater risk of severe RSV illness, likely due to the higher prevalence of underlying medical risk conditions and longstanding social and health inequities. However, incomplete and inaccurate identification of First Nations people in population and health administrative data limits accurate assessment of the RSV disease burden, particularly among older First Nations people. While the true risk of RSV disease among First Nations people remains unclear, the 2016–2019 NHMD records suggest that their burden of disease is comparable to that of other </w:t>
      </w:r>
      <w:proofErr w:type="gramStart"/>
      <w:r w:rsidRPr="00367D5A">
        <w:rPr>
          <w:lang w:val="en-GB"/>
        </w:rPr>
        <w:t>Australians, but</w:t>
      </w:r>
      <w:proofErr w:type="gramEnd"/>
      <w:r w:rsidRPr="00367D5A">
        <w:rPr>
          <w:lang w:val="en-GB"/>
        </w:rPr>
        <w:t xml:space="preserve"> occurs at younger ages. During this period, the RSV hospitalisation rate among First Nations adults aged 60–64 years (93 [95% CI: 76–113] per 100,000 population per year) was approximately equivalent to that of non</w:t>
      </w:r>
      <w:r w:rsidRPr="00367D5A">
        <w:rPr>
          <w:lang w:val="en-GB"/>
        </w:rPr>
        <w:noBreakHyphen/>
        <w:t xml:space="preserve">Indigenous Australian adults aged 70–79 years (97 [95% CI: 95–100] per 100,000 population per year). In First Nations children aged &lt; 2 years, hospitalisation rates were approximately twice as high as for other Australian children. These findings illustrate that First Nations adults experience an equivalent risk of severe RSV disease at comparatively younger ages than other older Australians and that in the vulnerable younger age group, First Nations children aged &lt; 2 years also have an increased burden of RSV disease. </w:t>
      </w:r>
    </w:p>
    <w:p w14:paraId="23199820" w14:textId="77777777" w:rsidR="00367D5A" w:rsidRPr="00367D5A" w:rsidRDefault="00367D5A" w:rsidP="00367D5A">
      <w:pPr>
        <w:pStyle w:val="Heading2"/>
        <w:rPr>
          <w:lang w:val="en-GB"/>
        </w:rPr>
      </w:pPr>
      <w:bookmarkStart w:id="17" w:name="_Toc229657247"/>
      <w:r w:rsidRPr="00367D5A">
        <w:rPr>
          <w:lang w:val="en-GB"/>
        </w:rPr>
        <w:t>Priority population: Adults with medical conditions that increase risk of severe RSV disease</w:t>
      </w:r>
      <w:bookmarkEnd w:id="17"/>
    </w:p>
    <w:p w14:paraId="23EBCEB8" w14:textId="77777777" w:rsidR="00592A94" w:rsidRDefault="00367D5A" w:rsidP="00367D5A">
      <w:pPr>
        <w:rPr>
          <w:lang w:val="en-GB"/>
        </w:rPr>
        <w:sectPr w:rsidR="00592A94" w:rsidSect="001E3ECB">
          <w:footnotePr>
            <w:numFmt w:val="lowerRoman"/>
          </w:footnotePr>
          <w:pgSz w:w="11907" w:h="16840" w:code="9"/>
          <w:pgMar w:top="1134" w:right="1134" w:bottom="1134" w:left="1134" w:header="709" w:footer="567" w:gutter="0"/>
          <w:cols w:space="708"/>
          <w:docGrid w:linePitch="360"/>
        </w:sectPr>
      </w:pPr>
      <w:r w:rsidRPr="00367D5A">
        <w:rPr>
          <w:lang w:val="en-GB"/>
        </w:rPr>
        <w:t>Table 3 summarises a review of studies published up to June 2023 which explore underlying conditions associated with severe clinical outcomes of RSV infection such as hospitalisation; mortality; other complications (e.g. pneumonia); admission to an intensive care unit (ICU); and requirement for ventilatory support among adults aged ≥ 18 years. Chronic respiratory disease, cardiac disease, immunocompromising conditions, and chronic renal disease were commonly reported in the identified studies as the conditions associated with increased risk of severe RSV disease and associated mortality.</w:t>
      </w:r>
    </w:p>
    <w:p w14:paraId="6F2693EA" w14:textId="77777777" w:rsidR="00367D5A" w:rsidRPr="00367D5A" w:rsidRDefault="00367D5A" w:rsidP="00592A94">
      <w:pPr>
        <w:pStyle w:val="CDITable-Title"/>
        <w:spacing w:before="0"/>
        <w:rPr>
          <w:lang w:val="en-GB"/>
        </w:rPr>
      </w:pPr>
      <w:r w:rsidRPr="00367D5A">
        <w:rPr>
          <w:lang w:val="en-GB"/>
        </w:rPr>
        <w:t xml:space="preserve">Table 3: Conditions associated with increased risk of severe respiratory syncytial virus (RSV) </w:t>
      </w:r>
      <w:proofErr w:type="spellStart"/>
      <w:r w:rsidRPr="00367D5A">
        <w:rPr>
          <w:lang w:val="en-GB"/>
        </w:rPr>
        <w:t>disease</w:t>
      </w:r>
      <w:r w:rsidRPr="00367D5A">
        <w:rPr>
          <w:vertAlign w:val="superscript"/>
          <w:lang w:val="en-GB"/>
        </w:rPr>
        <w:t>a</w:t>
      </w:r>
      <w:proofErr w:type="spellEnd"/>
      <w:r w:rsidRPr="00367D5A">
        <w:rPr>
          <w:lang w:val="en-GB"/>
        </w:rPr>
        <w:t xml:space="preserve"> or mortality in adults based on published studies, as of June 2023</w:t>
      </w:r>
    </w:p>
    <w:tbl>
      <w:tblPr>
        <w:tblW w:w="0" w:type="auto"/>
        <w:tblLayout w:type="fixed"/>
        <w:tblCellMar>
          <w:left w:w="0" w:type="dxa"/>
          <w:right w:w="0" w:type="dxa"/>
        </w:tblCellMar>
        <w:tblLook w:val="0000" w:firstRow="0" w:lastRow="0" w:firstColumn="0" w:lastColumn="0" w:noHBand="0" w:noVBand="0"/>
        <w:tblCaption w:val="Table 3: Conditions associated with increased risk of severe respiratory syncytial virus (RSV) diseasea or mortality in adults based on published studies, as of June 2023"/>
        <w:tblDescription w:val="Table 3 summarises the underlying conditions associated with severe clinical outcomes of RSV infection in reviewed studies published up to June 2023."/>
      </w:tblPr>
      <w:tblGrid>
        <w:gridCol w:w="4224"/>
        <w:gridCol w:w="1445"/>
        <w:gridCol w:w="1446"/>
        <w:gridCol w:w="1446"/>
        <w:gridCol w:w="1445"/>
        <w:gridCol w:w="1446"/>
        <w:gridCol w:w="1446"/>
        <w:gridCol w:w="1445"/>
      </w:tblGrid>
      <w:tr w:rsidR="00592A94" w:rsidRPr="00592A94" w14:paraId="7D15E1F2" w14:textId="77777777" w:rsidTr="00592A94">
        <w:trPr>
          <w:trHeight w:val="60"/>
          <w:tblHeader/>
        </w:trPr>
        <w:tc>
          <w:tcPr>
            <w:tcW w:w="4224" w:type="dxa"/>
            <w:vMerge w:val="restart"/>
            <w:shd w:val="clear" w:color="auto" w:fill="1E4496" w:themeFill="text2"/>
            <w:tcMar>
              <w:top w:w="113" w:type="dxa"/>
              <w:left w:w="113" w:type="dxa"/>
              <w:bottom w:w="113" w:type="dxa"/>
              <w:right w:w="113" w:type="dxa"/>
            </w:tcMar>
            <w:vAlign w:val="bottom"/>
          </w:tcPr>
          <w:p w14:paraId="0C921871" w14:textId="77777777" w:rsidR="00592A94" w:rsidRPr="00592A94" w:rsidRDefault="00592A94" w:rsidP="00592A94">
            <w:pPr>
              <w:pStyle w:val="CDITable-HeaderRowLeft"/>
              <w:rPr>
                <w:lang w:val="en-GB"/>
              </w:rPr>
            </w:pPr>
            <w:proofErr w:type="spellStart"/>
            <w:r w:rsidRPr="00592A94">
              <w:t>Conditions</w:t>
            </w:r>
            <w:r w:rsidRPr="00592A94">
              <w:rPr>
                <w:vertAlign w:val="superscript"/>
              </w:rPr>
              <w:t>b</w:t>
            </w:r>
            <w:proofErr w:type="spellEnd"/>
          </w:p>
        </w:tc>
        <w:tc>
          <w:tcPr>
            <w:tcW w:w="10119" w:type="dxa"/>
            <w:gridSpan w:val="7"/>
            <w:tcBorders>
              <w:bottom w:val="single" w:sz="6" w:space="0" w:color="FFFFFF" w:themeColor="background1"/>
            </w:tcBorders>
            <w:shd w:val="clear" w:color="auto" w:fill="1E4496" w:themeFill="text2"/>
            <w:tcMar>
              <w:top w:w="113" w:type="dxa"/>
              <w:left w:w="113" w:type="dxa"/>
              <w:bottom w:w="113" w:type="dxa"/>
              <w:right w:w="113" w:type="dxa"/>
            </w:tcMar>
            <w:vAlign w:val="bottom"/>
          </w:tcPr>
          <w:p w14:paraId="5BC058A7" w14:textId="77777777" w:rsidR="00592A94" w:rsidRPr="00592A94" w:rsidRDefault="00592A94" w:rsidP="00592A94">
            <w:pPr>
              <w:pStyle w:val="CDITable-HeaderRowCentre"/>
            </w:pPr>
            <w:r w:rsidRPr="00592A94">
              <w:t>Outcome</w:t>
            </w:r>
          </w:p>
        </w:tc>
      </w:tr>
      <w:tr w:rsidR="00592A94" w:rsidRPr="00592A94" w14:paraId="050D585B" w14:textId="77777777" w:rsidTr="00592A94">
        <w:trPr>
          <w:trHeight w:val="60"/>
          <w:tblHeader/>
        </w:trPr>
        <w:tc>
          <w:tcPr>
            <w:tcW w:w="4224" w:type="dxa"/>
            <w:vMerge/>
            <w:shd w:val="clear" w:color="auto" w:fill="1E4496" w:themeFill="text2"/>
          </w:tcPr>
          <w:p w14:paraId="4B89F49A" w14:textId="77777777" w:rsidR="00592A94" w:rsidRPr="00592A94" w:rsidRDefault="00592A94" w:rsidP="00592A94"/>
        </w:tc>
        <w:tc>
          <w:tcPr>
            <w:tcW w:w="1445" w:type="dxa"/>
            <w:tcBorders>
              <w:top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679A32C" w14:textId="77777777" w:rsidR="00592A94" w:rsidRPr="00592A94" w:rsidRDefault="00592A94" w:rsidP="00592A94">
            <w:pPr>
              <w:pStyle w:val="CDITable-HeaderRowCentre"/>
            </w:pPr>
            <w:r w:rsidRPr="00592A94">
              <w:t>Hospital admission</w:t>
            </w:r>
          </w:p>
        </w:tc>
        <w:tc>
          <w:tcPr>
            <w:tcW w:w="1446" w:type="dxa"/>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3757FB1" w14:textId="77777777" w:rsidR="00592A94" w:rsidRPr="00592A94" w:rsidRDefault="00592A94" w:rsidP="00592A94">
            <w:pPr>
              <w:pStyle w:val="CDITable-HeaderRowCentre"/>
            </w:pPr>
            <w:r w:rsidRPr="00592A94">
              <w:t xml:space="preserve">ICU </w:t>
            </w:r>
            <w:proofErr w:type="spellStart"/>
            <w:r w:rsidRPr="00592A94">
              <w:t>admission</w:t>
            </w:r>
            <w:r w:rsidRPr="00592A94">
              <w:rPr>
                <w:vertAlign w:val="superscript"/>
              </w:rPr>
              <w:t>c</w:t>
            </w:r>
            <w:proofErr w:type="spellEnd"/>
          </w:p>
        </w:tc>
        <w:tc>
          <w:tcPr>
            <w:tcW w:w="1446" w:type="dxa"/>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DB05F53" w14:textId="77777777" w:rsidR="00592A94" w:rsidRPr="00592A94" w:rsidRDefault="00592A94" w:rsidP="00592A94">
            <w:pPr>
              <w:pStyle w:val="CDITable-HeaderRowCentre"/>
            </w:pPr>
            <w:r w:rsidRPr="00592A94">
              <w:t xml:space="preserve">ED </w:t>
            </w:r>
            <w:proofErr w:type="spellStart"/>
            <w:r w:rsidRPr="00592A94">
              <w:t>admission</w:t>
            </w:r>
            <w:r w:rsidRPr="00592A94">
              <w:rPr>
                <w:vertAlign w:val="superscript"/>
              </w:rPr>
              <w:t>d</w:t>
            </w:r>
            <w:proofErr w:type="spellEnd"/>
          </w:p>
        </w:tc>
        <w:tc>
          <w:tcPr>
            <w:tcW w:w="1445" w:type="dxa"/>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0245CB92" w14:textId="77777777" w:rsidR="00592A94" w:rsidRPr="00592A94" w:rsidRDefault="00592A94" w:rsidP="00592A94">
            <w:pPr>
              <w:pStyle w:val="CDITable-HeaderRowCentre"/>
            </w:pPr>
            <w:r w:rsidRPr="00592A94">
              <w:t xml:space="preserve">Other </w:t>
            </w:r>
            <w:proofErr w:type="spellStart"/>
            <w:r w:rsidRPr="00592A94">
              <w:t>complication</w:t>
            </w:r>
            <w:r w:rsidRPr="00592A94">
              <w:rPr>
                <w:vertAlign w:val="superscript"/>
              </w:rPr>
              <w:t>e</w:t>
            </w:r>
            <w:proofErr w:type="spellEnd"/>
          </w:p>
        </w:tc>
        <w:tc>
          <w:tcPr>
            <w:tcW w:w="1446" w:type="dxa"/>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A9F6067" w14:textId="77777777" w:rsidR="00592A94" w:rsidRPr="00592A94" w:rsidRDefault="00592A94" w:rsidP="00592A94">
            <w:pPr>
              <w:pStyle w:val="CDITable-HeaderRowCentre"/>
            </w:pPr>
            <w:r w:rsidRPr="00592A94">
              <w:t>Ventilatory support</w:t>
            </w:r>
          </w:p>
        </w:tc>
        <w:tc>
          <w:tcPr>
            <w:tcW w:w="1446" w:type="dxa"/>
            <w:tcBorders>
              <w:top w:val="single" w:sz="6" w:space="0" w:color="FFFFFF" w:themeColor="background1"/>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5F422A62" w14:textId="77777777" w:rsidR="00592A94" w:rsidRPr="00592A94" w:rsidRDefault="00592A94" w:rsidP="00592A94">
            <w:pPr>
              <w:pStyle w:val="CDITable-HeaderRowCentre"/>
            </w:pPr>
            <w:r w:rsidRPr="00592A94">
              <w:t xml:space="preserve">Length of </w:t>
            </w:r>
            <w:proofErr w:type="spellStart"/>
            <w:r w:rsidRPr="00592A94">
              <w:t>stay</w:t>
            </w:r>
            <w:r w:rsidRPr="00592A94">
              <w:rPr>
                <w:vertAlign w:val="superscript"/>
              </w:rPr>
              <w:t>f</w:t>
            </w:r>
            <w:proofErr w:type="spellEnd"/>
          </w:p>
        </w:tc>
        <w:tc>
          <w:tcPr>
            <w:tcW w:w="1445" w:type="dxa"/>
            <w:tcBorders>
              <w:top w:val="single" w:sz="6" w:space="0" w:color="FFFFFF" w:themeColor="background1"/>
              <w:left w:val="single" w:sz="6" w:space="0" w:color="FFFFFF" w:themeColor="background1"/>
            </w:tcBorders>
            <w:shd w:val="clear" w:color="auto" w:fill="1E4496" w:themeFill="text2"/>
            <w:tcMar>
              <w:top w:w="113" w:type="dxa"/>
              <w:left w:w="113" w:type="dxa"/>
              <w:bottom w:w="113" w:type="dxa"/>
              <w:right w:w="113" w:type="dxa"/>
            </w:tcMar>
            <w:vAlign w:val="bottom"/>
          </w:tcPr>
          <w:p w14:paraId="0860CFB7" w14:textId="77777777" w:rsidR="00592A94" w:rsidRPr="00592A94" w:rsidRDefault="00592A94" w:rsidP="00592A94">
            <w:pPr>
              <w:pStyle w:val="CDITable-HeaderRowCentre"/>
            </w:pPr>
            <w:r w:rsidRPr="00592A94">
              <w:t>Deaths</w:t>
            </w:r>
          </w:p>
        </w:tc>
      </w:tr>
      <w:tr w:rsidR="00592A94" w:rsidRPr="00592A94" w14:paraId="7511708E" w14:textId="77777777" w:rsidTr="00592A94">
        <w:trPr>
          <w:trHeight w:val="60"/>
          <w:tblHeader/>
        </w:trPr>
        <w:tc>
          <w:tcPr>
            <w:tcW w:w="4224" w:type="dxa"/>
            <w:vMerge/>
            <w:shd w:val="clear" w:color="auto" w:fill="1E4496" w:themeFill="text2"/>
          </w:tcPr>
          <w:p w14:paraId="6C03495D" w14:textId="77777777" w:rsidR="00592A94" w:rsidRPr="00592A94" w:rsidRDefault="00592A94" w:rsidP="00592A94"/>
        </w:tc>
        <w:tc>
          <w:tcPr>
            <w:tcW w:w="1445" w:type="dxa"/>
            <w:tcBorders>
              <w:right w:val="single" w:sz="6" w:space="0" w:color="FFFFFF" w:themeColor="background1"/>
            </w:tcBorders>
            <w:shd w:val="clear" w:color="auto" w:fill="1E4496" w:themeFill="text2"/>
            <w:tcMar>
              <w:top w:w="113" w:type="dxa"/>
              <w:left w:w="113" w:type="dxa"/>
              <w:bottom w:w="113" w:type="dxa"/>
              <w:right w:w="113" w:type="dxa"/>
            </w:tcMar>
            <w:vAlign w:val="bottom"/>
          </w:tcPr>
          <w:p w14:paraId="5522585D" w14:textId="77777777" w:rsidR="00592A94" w:rsidRPr="00592A94" w:rsidRDefault="00592A94" w:rsidP="00592A94">
            <w:pPr>
              <w:pStyle w:val="CDITable-HeaderRowCentre"/>
            </w:pPr>
            <w:r w:rsidRPr="00592A94">
              <w:t>Risk</w:t>
            </w:r>
            <w:r w:rsidRPr="00592A94">
              <w:rPr>
                <w:vertAlign w:val="superscript"/>
              </w:rPr>
              <w:t>g</w:t>
            </w:r>
          </w:p>
        </w:tc>
        <w:tc>
          <w:tcPr>
            <w:tcW w:w="1446" w:type="dxa"/>
            <w:tcBorders>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21A4D110" w14:textId="77777777" w:rsidR="00592A94" w:rsidRPr="00592A94" w:rsidRDefault="00592A94" w:rsidP="00592A94">
            <w:pPr>
              <w:pStyle w:val="CDITable-HeaderRowCentre"/>
            </w:pPr>
            <w:r w:rsidRPr="00592A94">
              <w:t>Risk</w:t>
            </w:r>
            <w:r w:rsidRPr="00592A94">
              <w:rPr>
                <w:bCs/>
                <w:vertAlign w:val="superscript"/>
              </w:rPr>
              <w:t>g</w:t>
            </w:r>
          </w:p>
        </w:tc>
        <w:tc>
          <w:tcPr>
            <w:tcW w:w="1446" w:type="dxa"/>
            <w:tcBorders>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4AF50E28" w14:textId="77777777" w:rsidR="00592A94" w:rsidRPr="00592A94" w:rsidRDefault="00592A94" w:rsidP="00592A94">
            <w:pPr>
              <w:pStyle w:val="CDITable-HeaderRowCentre"/>
            </w:pPr>
            <w:r w:rsidRPr="00592A94">
              <w:t>Risk</w:t>
            </w:r>
            <w:r w:rsidRPr="00592A94">
              <w:rPr>
                <w:bCs/>
                <w:vertAlign w:val="superscript"/>
              </w:rPr>
              <w:t>g</w:t>
            </w:r>
          </w:p>
        </w:tc>
        <w:tc>
          <w:tcPr>
            <w:tcW w:w="1445" w:type="dxa"/>
            <w:tcBorders>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62CE8FA" w14:textId="77777777" w:rsidR="00592A94" w:rsidRPr="00592A94" w:rsidRDefault="00592A94" w:rsidP="00592A94">
            <w:pPr>
              <w:pStyle w:val="CDITable-HeaderRowCentre"/>
            </w:pPr>
            <w:r w:rsidRPr="00592A94">
              <w:t>Risk</w:t>
            </w:r>
            <w:r w:rsidRPr="00592A94">
              <w:rPr>
                <w:bCs/>
                <w:vertAlign w:val="superscript"/>
              </w:rPr>
              <w:t>g</w:t>
            </w:r>
          </w:p>
        </w:tc>
        <w:tc>
          <w:tcPr>
            <w:tcW w:w="1446" w:type="dxa"/>
            <w:tcBorders>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73F28D7E" w14:textId="77777777" w:rsidR="00592A94" w:rsidRPr="00592A94" w:rsidRDefault="00592A94" w:rsidP="00592A94">
            <w:pPr>
              <w:pStyle w:val="CDITable-HeaderRowCentre"/>
            </w:pPr>
            <w:r w:rsidRPr="00592A94">
              <w:t>Risk</w:t>
            </w:r>
            <w:r w:rsidRPr="00592A94">
              <w:rPr>
                <w:bCs/>
                <w:vertAlign w:val="superscript"/>
              </w:rPr>
              <w:t>g</w:t>
            </w:r>
          </w:p>
        </w:tc>
        <w:tc>
          <w:tcPr>
            <w:tcW w:w="1446" w:type="dxa"/>
            <w:tcBorders>
              <w:left w:val="single" w:sz="6" w:space="0" w:color="FFFFFF" w:themeColor="background1"/>
              <w:right w:val="single" w:sz="6" w:space="0" w:color="FFFFFF" w:themeColor="background1"/>
            </w:tcBorders>
            <w:shd w:val="clear" w:color="auto" w:fill="1E4496" w:themeFill="text2"/>
            <w:tcMar>
              <w:top w:w="113" w:type="dxa"/>
              <w:left w:w="113" w:type="dxa"/>
              <w:bottom w:w="113" w:type="dxa"/>
              <w:right w:w="113" w:type="dxa"/>
            </w:tcMar>
            <w:vAlign w:val="bottom"/>
          </w:tcPr>
          <w:p w14:paraId="3B2B1056" w14:textId="77777777" w:rsidR="00592A94" w:rsidRPr="00592A94" w:rsidRDefault="00592A94" w:rsidP="00592A94">
            <w:pPr>
              <w:pStyle w:val="CDITable-HeaderRowCentre"/>
            </w:pPr>
            <w:r w:rsidRPr="00592A94">
              <w:t>Risk</w:t>
            </w:r>
            <w:r w:rsidRPr="00592A94">
              <w:rPr>
                <w:bCs/>
                <w:vertAlign w:val="superscript"/>
              </w:rPr>
              <w:t>g</w:t>
            </w:r>
          </w:p>
        </w:tc>
        <w:tc>
          <w:tcPr>
            <w:tcW w:w="1445" w:type="dxa"/>
            <w:tcBorders>
              <w:left w:val="single" w:sz="6" w:space="0" w:color="FFFFFF" w:themeColor="background1"/>
            </w:tcBorders>
            <w:shd w:val="clear" w:color="auto" w:fill="1E4496" w:themeFill="text2"/>
            <w:tcMar>
              <w:top w:w="113" w:type="dxa"/>
              <w:left w:w="113" w:type="dxa"/>
              <w:bottom w:w="113" w:type="dxa"/>
              <w:right w:w="113" w:type="dxa"/>
            </w:tcMar>
            <w:vAlign w:val="bottom"/>
          </w:tcPr>
          <w:p w14:paraId="7E1E8CEE" w14:textId="77777777" w:rsidR="00592A94" w:rsidRPr="00592A94" w:rsidRDefault="00592A94" w:rsidP="00592A94">
            <w:pPr>
              <w:pStyle w:val="CDITable-HeaderRowCentre"/>
            </w:pPr>
            <w:r w:rsidRPr="00592A94">
              <w:t>Risk</w:t>
            </w:r>
            <w:r w:rsidRPr="00592A94">
              <w:rPr>
                <w:bCs/>
                <w:vertAlign w:val="superscript"/>
              </w:rPr>
              <w:t>g</w:t>
            </w:r>
          </w:p>
        </w:tc>
      </w:tr>
      <w:tr w:rsidR="00592A94" w:rsidRPr="00592A94" w14:paraId="61DAC999" w14:textId="77777777" w:rsidTr="00592A94">
        <w:trPr>
          <w:trHeight w:val="60"/>
        </w:trPr>
        <w:tc>
          <w:tcPr>
            <w:tcW w:w="4224"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3917FF95" w14:textId="77777777" w:rsidR="00592A94" w:rsidRPr="00592A94" w:rsidRDefault="00592A94" w:rsidP="00592A94">
            <w:pPr>
              <w:pStyle w:val="CDITable-RowLeft"/>
              <w:rPr>
                <w:lang w:val="en-GB"/>
              </w:rPr>
            </w:pPr>
            <w:r w:rsidRPr="00592A94">
              <w:rPr>
                <w:lang w:val="en-GB"/>
              </w:rPr>
              <w:t>Chronic respiratory disease: chronic lung disease including COPD, asthma, bronchiectasis, or pulmonary fibrosis</w:t>
            </w:r>
          </w:p>
        </w:tc>
        <w:tc>
          <w:tcPr>
            <w:tcW w:w="1445" w:type="dxa"/>
            <w:tcBorders>
              <w:bottom w:val="single" w:sz="6" w:space="0" w:color="1E4496" w:themeColor="text2"/>
              <w:right w:val="single" w:sz="6" w:space="0" w:color="1E4496" w:themeColor="text2"/>
            </w:tcBorders>
            <w:shd w:val="solid" w:color="FFFFFF" w:fill="auto"/>
            <w:tcMar>
              <w:top w:w="113" w:type="dxa"/>
              <w:left w:w="113" w:type="dxa"/>
              <w:bottom w:w="113" w:type="dxa"/>
              <w:right w:w="113" w:type="dxa"/>
            </w:tcMar>
            <w:vAlign w:val="center"/>
          </w:tcPr>
          <w:p w14:paraId="68B4C4AD"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13–15</w:t>
            </w:r>
          </w:p>
        </w:tc>
        <w:tc>
          <w:tcPr>
            <w:tcW w:w="1446" w:type="dxa"/>
            <w:tcBorders>
              <w:left w:val="single" w:sz="6" w:space="0" w:color="1E4496" w:themeColor="text2"/>
              <w:bottom w:val="single" w:sz="6" w:space="0" w:color="1E4496" w:themeColor="text2"/>
              <w:right w:val="single" w:sz="6" w:space="0" w:color="1E4496" w:themeColor="text2"/>
            </w:tcBorders>
            <w:shd w:val="solid" w:color="FFFFFF" w:fill="auto"/>
            <w:tcMar>
              <w:top w:w="113" w:type="dxa"/>
              <w:left w:w="113" w:type="dxa"/>
              <w:bottom w:w="113" w:type="dxa"/>
              <w:right w:w="113" w:type="dxa"/>
            </w:tcMar>
            <w:vAlign w:val="center"/>
          </w:tcPr>
          <w:p w14:paraId="79EA20F9" w14:textId="77777777" w:rsidR="00592A94" w:rsidRPr="00592A94" w:rsidRDefault="00592A94" w:rsidP="00592A94">
            <w:pPr>
              <w:pStyle w:val="CDITable-RowCentre"/>
              <w:rPr>
                <w:lang w:val="en-GB"/>
              </w:rPr>
            </w:pPr>
            <w:r w:rsidRPr="00592A94">
              <w:rPr>
                <w:lang w:val="en-GB"/>
              </w:rPr>
              <w:t>—</w:t>
            </w:r>
          </w:p>
        </w:tc>
        <w:tc>
          <w:tcPr>
            <w:tcW w:w="1446" w:type="dxa"/>
            <w:tcBorders>
              <w:left w:val="single" w:sz="6" w:space="0" w:color="1E4496" w:themeColor="text2"/>
              <w:bottom w:val="single" w:sz="6" w:space="0" w:color="1E4496" w:themeColor="text2"/>
              <w:right w:val="single" w:sz="6" w:space="0" w:color="1E4496" w:themeColor="text2"/>
            </w:tcBorders>
            <w:shd w:val="solid" w:color="FFFFFF" w:fill="auto"/>
            <w:tcMar>
              <w:top w:w="113" w:type="dxa"/>
              <w:left w:w="113" w:type="dxa"/>
              <w:bottom w:w="113" w:type="dxa"/>
              <w:right w:w="113" w:type="dxa"/>
            </w:tcMar>
            <w:vAlign w:val="center"/>
          </w:tcPr>
          <w:p w14:paraId="25FFE187"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16</w:t>
            </w:r>
          </w:p>
        </w:tc>
        <w:tc>
          <w:tcPr>
            <w:tcW w:w="1445" w:type="dxa"/>
            <w:tcBorders>
              <w:left w:val="single" w:sz="6" w:space="0" w:color="1E4496" w:themeColor="text2"/>
              <w:bottom w:val="single" w:sz="6" w:space="0" w:color="1E4496" w:themeColor="text2"/>
              <w:right w:val="single" w:sz="6" w:space="0" w:color="1E4496" w:themeColor="text2"/>
            </w:tcBorders>
            <w:shd w:val="solid" w:color="FFFFFF" w:fill="auto"/>
            <w:tcMar>
              <w:top w:w="113" w:type="dxa"/>
              <w:left w:w="113" w:type="dxa"/>
              <w:bottom w:w="113" w:type="dxa"/>
              <w:right w:w="113" w:type="dxa"/>
            </w:tcMar>
            <w:vAlign w:val="center"/>
          </w:tcPr>
          <w:p w14:paraId="647BAF43"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16,17</w:t>
            </w:r>
          </w:p>
        </w:tc>
        <w:tc>
          <w:tcPr>
            <w:tcW w:w="1446" w:type="dxa"/>
            <w:tcBorders>
              <w:left w:val="single" w:sz="6" w:space="0" w:color="1E4496" w:themeColor="text2"/>
              <w:bottom w:val="single" w:sz="6" w:space="0" w:color="1E4496" w:themeColor="text2"/>
              <w:right w:val="single" w:sz="6" w:space="0" w:color="1E4496" w:themeColor="text2"/>
            </w:tcBorders>
            <w:shd w:val="solid" w:color="FFFFFF" w:fill="auto"/>
            <w:tcMar>
              <w:top w:w="113" w:type="dxa"/>
              <w:left w:w="113" w:type="dxa"/>
              <w:bottom w:w="113" w:type="dxa"/>
              <w:right w:w="113" w:type="dxa"/>
            </w:tcMar>
            <w:vAlign w:val="center"/>
          </w:tcPr>
          <w:p w14:paraId="77FF9885"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18</w:t>
            </w:r>
          </w:p>
        </w:tc>
        <w:tc>
          <w:tcPr>
            <w:tcW w:w="1446" w:type="dxa"/>
            <w:tcBorders>
              <w:left w:val="single" w:sz="6" w:space="0" w:color="1E4496" w:themeColor="text2"/>
              <w:bottom w:val="single" w:sz="6" w:space="0" w:color="1E4496" w:themeColor="text2"/>
              <w:right w:val="single" w:sz="6" w:space="0" w:color="1E4496" w:themeColor="text2"/>
            </w:tcBorders>
            <w:shd w:val="solid" w:color="FFFFFF" w:fill="auto"/>
            <w:tcMar>
              <w:top w:w="113" w:type="dxa"/>
              <w:left w:w="113" w:type="dxa"/>
              <w:bottom w:w="113" w:type="dxa"/>
              <w:right w:w="113" w:type="dxa"/>
            </w:tcMar>
            <w:vAlign w:val="center"/>
          </w:tcPr>
          <w:p w14:paraId="238B17D6"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19</w:t>
            </w:r>
          </w:p>
        </w:tc>
        <w:tc>
          <w:tcPr>
            <w:tcW w:w="1445" w:type="dxa"/>
            <w:tcBorders>
              <w:left w:val="single" w:sz="6" w:space="0" w:color="1E4496" w:themeColor="text2"/>
              <w:bottom w:val="single" w:sz="6" w:space="0" w:color="1E4496" w:themeColor="text2"/>
            </w:tcBorders>
            <w:shd w:val="solid" w:color="FFFFFF" w:fill="auto"/>
            <w:tcMar>
              <w:top w:w="113" w:type="dxa"/>
              <w:left w:w="113" w:type="dxa"/>
              <w:bottom w:w="113" w:type="dxa"/>
              <w:right w:w="113" w:type="dxa"/>
            </w:tcMar>
            <w:vAlign w:val="center"/>
          </w:tcPr>
          <w:p w14:paraId="2A1E276A"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17</w:t>
            </w:r>
          </w:p>
        </w:tc>
      </w:tr>
      <w:tr w:rsidR="007B617C" w:rsidRPr="00592A94" w14:paraId="10B0F97F" w14:textId="77777777" w:rsidTr="00592A94">
        <w:trPr>
          <w:trHeight w:val="60"/>
        </w:trPr>
        <w:tc>
          <w:tcPr>
            <w:tcW w:w="422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174E659" w14:textId="77777777" w:rsidR="00592A94" w:rsidRPr="00592A94" w:rsidRDefault="00592A94" w:rsidP="00592A94">
            <w:pPr>
              <w:pStyle w:val="CDITable-RowLeft"/>
              <w:rPr>
                <w:lang w:val="en-GB"/>
              </w:rPr>
            </w:pPr>
            <w:r w:rsidRPr="00592A94">
              <w:rPr>
                <w:lang w:val="en-GB"/>
              </w:rPr>
              <w:t>Cardiac disease: CHF, CAD</w:t>
            </w:r>
          </w:p>
        </w:tc>
        <w:tc>
          <w:tcPr>
            <w:tcW w:w="1445"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CB5B029"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13–15,19–21</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133E7D8"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20</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F51FFDE"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16</w:t>
            </w:r>
          </w:p>
        </w:tc>
        <w:tc>
          <w:tcPr>
            <w:tcW w:w="1445"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7D1BC8B"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16</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43AFE15"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6324072" w14:textId="77777777" w:rsidR="00592A94" w:rsidRPr="00592A94" w:rsidRDefault="00592A94" w:rsidP="00592A94">
            <w:pPr>
              <w:pStyle w:val="CDITable-RowCentre"/>
              <w:rPr>
                <w:lang w:val="en-GB"/>
              </w:rPr>
            </w:pPr>
            <w:r w:rsidRPr="00592A94">
              <w:rPr>
                <w:lang w:val="en-GB"/>
              </w:rPr>
              <w:t>—</w:t>
            </w:r>
          </w:p>
        </w:tc>
        <w:tc>
          <w:tcPr>
            <w:tcW w:w="144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0DF46EF"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22</w:t>
            </w:r>
          </w:p>
        </w:tc>
      </w:tr>
      <w:tr w:rsidR="007B617C" w:rsidRPr="00592A94" w14:paraId="196359D8" w14:textId="77777777" w:rsidTr="00592A94">
        <w:trPr>
          <w:trHeight w:val="60"/>
        </w:trPr>
        <w:tc>
          <w:tcPr>
            <w:tcW w:w="422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060393A" w14:textId="77777777" w:rsidR="00592A94" w:rsidRPr="00592A94" w:rsidRDefault="00592A94" w:rsidP="00592A94">
            <w:pPr>
              <w:pStyle w:val="CDITable-RowLeft"/>
              <w:rPr>
                <w:lang w:val="en-GB"/>
              </w:rPr>
            </w:pPr>
            <w:r w:rsidRPr="00592A94">
              <w:rPr>
                <w:lang w:val="en-GB"/>
              </w:rPr>
              <w:t>Diabetes mellitus</w:t>
            </w:r>
          </w:p>
        </w:tc>
        <w:tc>
          <w:tcPr>
            <w:tcW w:w="1445"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6806556"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13–15</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6BC6ED4"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5F4AC02" w14:textId="77777777" w:rsidR="00592A94" w:rsidRPr="00592A94" w:rsidRDefault="00592A94" w:rsidP="00592A94">
            <w:pPr>
              <w:pStyle w:val="CDITable-RowCentre"/>
              <w:rPr>
                <w:lang w:val="en-GB"/>
              </w:rPr>
            </w:pPr>
            <w:r w:rsidRPr="00592A94">
              <w:rPr>
                <w:lang w:val="en-GB"/>
              </w:rPr>
              <w:t>—</w:t>
            </w:r>
          </w:p>
        </w:tc>
        <w:tc>
          <w:tcPr>
            <w:tcW w:w="1445"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6779F46"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625EC0A"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7DD0A88" w14:textId="77777777" w:rsidR="00592A94" w:rsidRPr="00592A94" w:rsidRDefault="00592A94" w:rsidP="00592A94">
            <w:pPr>
              <w:pStyle w:val="CDITable-RowCentre"/>
              <w:rPr>
                <w:lang w:val="en-GB"/>
              </w:rPr>
            </w:pPr>
            <w:r w:rsidRPr="00592A94">
              <w:rPr>
                <w:lang w:val="en-GB"/>
              </w:rPr>
              <w:t>—</w:t>
            </w:r>
          </w:p>
        </w:tc>
        <w:tc>
          <w:tcPr>
            <w:tcW w:w="144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25E9E783" w14:textId="77777777" w:rsidR="00592A94" w:rsidRPr="00592A94" w:rsidRDefault="00592A94" w:rsidP="00592A94">
            <w:pPr>
              <w:pStyle w:val="CDITable-RowCentre"/>
              <w:rPr>
                <w:lang w:val="en-GB"/>
              </w:rPr>
            </w:pPr>
            <w:r w:rsidRPr="00592A94">
              <w:rPr>
                <w:lang w:val="en-GB"/>
              </w:rPr>
              <w:t>—</w:t>
            </w:r>
          </w:p>
        </w:tc>
      </w:tr>
      <w:tr w:rsidR="007B617C" w:rsidRPr="00592A94" w14:paraId="47748F85" w14:textId="77777777" w:rsidTr="00592A94">
        <w:trPr>
          <w:trHeight w:val="60"/>
        </w:trPr>
        <w:tc>
          <w:tcPr>
            <w:tcW w:w="422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37A715D" w14:textId="77777777" w:rsidR="00592A94" w:rsidRPr="00592A94" w:rsidRDefault="00592A94" w:rsidP="00592A94">
            <w:pPr>
              <w:pStyle w:val="CDITable-RowLeft"/>
              <w:rPr>
                <w:lang w:val="en-GB"/>
              </w:rPr>
            </w:pPr>
            <w:r w:rsidRPr="00592A94">
              <w:rPr>
                <w:lang w:val="en-GB"/>
              </w:rPr>
              <w:t>Immunocompromising conditions: solid and haematological malignancy, immunosuppressive treatment</w:t>
            </w:r>
          </w:p>
        </w:tc>
        <w:tc>
          <w:tcPr>
            <w:tcW w:w="1445"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B5BB19C"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21,23–25</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7B989AF"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3E3DA83" w14:textId="77777777" w:rsidR="00592A94" w:rsidRPr="00592A94" w:rsidRDefault="00592A94" w:rsidP="00592A94">
            <w:pPr>
              <w:pStyle w:val="CDITable-RowCentre"/>
              <w:rPr>
                <w:lang w:val="en-GB"/>
              </w:rPr>
            </w:pPr>
            <w:r w:rsidRPr="00592A94">
              <w:rPr>
                <w:lang w:val="en-GB"/>
              </w:rPr>
              <w:t>—</w:t>
            </w:r>
          </w:p>
        </w:tc>
        <w:tc>
          <w:tcPr>
            <w:tcW w:w="1445"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742A88E"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26, 27</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3494F0B"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E6A0B59" w14:textId="77777777" w:rsidR="00592A94" w:rsidRPr="00592A94" w:rsidRDefault="00592A94" w:rsidP="00592A94">
            <w:pPr>
              <w:pStyle w:val="CDITable-RowCentre"/>
              <w:rPr>
                <w:lang w:val="en-GB"/>
              </w:rPr>
            </w:pPr>
            <w:r w:rsidRPr="00592A94">
              <w:rPr>
                <w:lang w:val="en-GB"/>
              </w:rPr>
              <w:t>—</w:t>
            </w:r>
          </w:p>
        </w:tc>
        <w:tc>
          <w:tcPr>
            <w:tcW w:w="144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35423192"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17,22,28</w:t>
            </w:r>
          </w:p>
        </w:tc>
      </w:tr>
      <w:tr w:rsidR="007B617C" w:rsidRPr="00592A94" w14:paraId="2321BA77" w14:textId="77777777" w:rsidTr="00592A94">
        <w:trPr>
          <w:trHeight w:val="60"/>
        </w:trPr>
        <w:tc>
          <w:tcPr>
            <w:tcW w:w="422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DB2C738" w14:textId="77777777" w:rsidR="00592A94" w:rsidRPr="00592A94" w:rsidRDefault="00592A94" w:rsidP="00592A94">
            <w:pPr>
              <w:pStyle w:val="CDITable-RowLeft"/>
              <w:rPr>
                <w:lang w:val="en-GB"/>
              </w:rPr>
            </w:pPr>
            <w:r w:rsidRPr="00592A94">
              <w:rPr>
                <w:lang w:val="en-GB"/>
              </w:rPr>
              <w:t>Chronic renal diseases: CKD, end-stage renal failure</w:t>
            </w:r>
          </w:p>
        </w:tc>
        <w:tc>
          <w:tcPr>
            <w:tcW w:w="1445"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E918A62"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13,21</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0769FAE"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1D89408" w14:textId="77777777" w:rsidR="00592A94" w:rsidRPr="00592A94" w:rsidRDefault="00592A94" w:rsidP="00592A94">
            <w:pPr>
              <w:pStyle w:val="CDITable-RowCentre"/>
              <w:rPr>
                <w:lang w:val="en-GB"/>
              </w:rPr>
            </w:pPr>
            <w:r w:rsidRPr="00592A94">
              <w:rPr>
                <w:lang w:val="en-GB"/>
              </w:rPr>
              <w:t>Y</w:t>
            </w:r>
          </w:p>
        </w:tc>
        <w:tc>
          <w:tcPr>
            <w:tcW w:w="1445"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CB3A4C3"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17</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2C4ACFA"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17</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E2CBF07" w14:textId="77777777" w:rsidR="00592A94" w:rsidRPr="00592A94" w:rsidRDefault="00592A94" w:rsidP="00592A94">
            <w:pPr>
              <w:pStyle w:val="CDITable-RowCentre"/>
              <w:rPr>
                <w:lang w:val="en-GB"/>
              </w:rPr>
            </w:pPr>
            <w:r w:rsidRPr="00592A94">
              <w:rPr>
                <w:lang w:val="en-GB"/>
              </w:rPr>
              <w:t>—</w:t>
            </w:r>
          </w:p>
        </w:tc>
        <w:tc>
          <w:tcPr>
            <w:tcW w:w="144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65A9189A"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17,28</w:t>
            </w:r>
          </w:p>
        </w:tc>
      </w:tr>
      <w:tr w:rsidR="007B617C" w:rsidRPr="00592A94" w14:paraId="3A49FA59" w14:textId="77777777" w:rsidTr="00592A94">
        <w:trPr>
          <w:trHeight w:val="60"/>
        </w:trPr>
        <w:tc>
          <w:tcPr>
            <w:tcW w:w="422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FFB3DFF" w14:textId="77777777" w:rsidR="00592A94" w:rsidRPr="00592A94" w:rsidRDefault="00592A94" w:rsidP="00592A94">
            <w:pPr>
              <w:pStyle w:val="CDITable-RowLeft"/>
              <w:rPr>
                <w:lang w:val="en-GB"/>
              </w:rPr>
            </w:pPr>
            <w:r w:rsidRPr="00592A94">
              <w:rPr>
                <w:lang w:val="en-GB"/>
              </w:rPr>
              <w:t>Neurological condition: dementia</w:t>
            </w:r>
          </w:p>
        </w:tc>
        <w:tc>
          <w:tcPr>
            <w:tcW w:w="1445"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4864683"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6E4BF87D"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388B8A3" w14:textId="77777777" w:rsidR="00592A94" w:rsidRPr="00592A94" w:rsidRDefault="00592A94" w:rsidP="00592A94">
            <w:pPr>
              <w:pStyle w:val="CDITable-RowCentre"/>
              <w:rPr>
                <w:lang w:val="en-GB"/>
              </w:rPr>
            </w:pPr>
            <w:r w:rsidRPr="00592A94">
              <w:rPr>
                <w:lang w:val="en-GB"/>
              </w:rPr>
              <w:t>—</w:t>
            </w:r>
          </w:p>
        </w:tc>
        <w:tc>
          <w:tcPr>
            <w:tcW w:w="1445"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5F202E56"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709E9373"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0E8B866F" w14:textId="77777777" w:rsidR="00592A94" w:rsidRPr="00592A94" w:rsidRDefault="00592A94" w:rsidP="00592A94">
            <w:pPr>
              <w:pStyle w:val="CDITable-RowCentre"/>
              <w:rPr>
                <w:lang w:val="en-GB"/>
              </w:rPr>
            </w:pPr>
            <w:r w:rsidRPr="00592A94">
              <w:rPr>
                <w:lang w:val="en-GB"/>
              </w:rPr>
              <w:t>—</w:t>
            </w:r>
          </w:p>
        </w:tc>
        <w:tc>
          <w:tcPr>
            <w:tcW w:w="144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19B11A48"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22</w:t>
            </w:r>
          </w:p>
        </w:tc>
      </w:tr>
      <w:tr w:rsidR="00592A94" w:rsidRPr="00592A94" w14:paraId="29BDBEC3" w14:textId="77777777" w:rsidTr="00592A94">
        <w:trPr>
          <w:trHeight w:val="60"/>
        </w:trPr>
        <w:tc>
          <w:tcPr>
            <w:tcW w:w="4224"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315F908" w14:textId="77777777" w:rsidR="00592A94" w:rsidRPr="00592A94" w:rsidRDefault="00592A94" w:rsidP="00592A94">
            <w:pPr>
              <w:pStyle w:val="CDITable-RowLeft"/>
              <w:rPr>
                <w:lang w:val="en-GB"/>
              </w:rPr>
            </w:pPr>
            <w:r w:rsidRPr="00592A94">
              <w:rPr>
                <w:lang w:val="en-GB"/>
              </w:rPr>
              <w:t>Assisted living: skilled nursing or long-term care facility, rehabilitation facility or hospice</w:t>
            </w:r>
          </w:p>
        </w:tc>
        <w:tc>
          <w:tcPr>
            <w:tcW w:w="1445" w:type="dxa"/>
            <w:tcBorders>
              <w:top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3CFF736F"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EFC46C3"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11</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F336DB9" w14:textId="77777777" w:rsidR="00592A94" w:rsidRPr="00592A94" w:rsidRDefault="00592A94" w:rsidP="00592A94">
            <w:pPr>
              <w:pStyle w:val="CDITable-RowCentre"/>
              <w:rPr>
                <w:lang w:val="en-GB"/>
              </w:rPr>
            </w:pPr>
            <w:r w:rsidRPr="00592A94">
              <w:rPr>
                <w:lang w:val="en-GB"/>
              </w:rPr>
              <w:t>—</w:t>
            </w:r>
          </w:p>
        </w:tc>
        <w:tc>
          <w:tcPr>
            <w:tcW w:w="1445"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1305259B" w14:textId="77777777" w:rsidR="00592A94" w:rsidRPr="00592A94" w:rsidRDefault="00592A94" w:rsidP="00592A94">
            <w:pPr>
              <w:pStyle w:val="CDITable-RowCentre"/>
              <w:rPr>
                <w:lang w:val="en-GB"/>
              </w:rPr>
            </w:pPr>
            <w:r w:rsidRPr="00592A94">
              <w:rPr>
                <w:lang w:val="en-GB"/>
              </w:rPr>
              <w:t>—</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47806527"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11</w:t>
            </w:r>
          </w:p>
        </w:tc>
        <w:tc>
          <w:tcPr>
            <w:tcW w:w="1446" w:type="dxa"/>
            <w:tcBorders>
              <w:top w:val="single" w:sz="6" w:space="0" w:color="1E4496" w:themeColor="text2"/>
              <w:left w:val="single" w:sz="6" w:space="0" w:color="1E4496" w:themeColor="text2"/>
              <w:bottom w:val="single" w:sz="6" w:space="0" w:color="1E4496" w:themeColor="text2"/>
              <w:right w:val="single" w:sz="6" w:space="0" w:color="1E4496" w:themeColor="text2"/>
            </w:tcBorders>
            <w:tcMar>
              <w:top w:w="113" w:type="dxa"/>
              <w:left w:w="113" w:type="dxa"/>
              <w:bottom w:w="113" w:type="dxa"/>
              <w:right w:w="113" w:type="dxa"/>
            </w:tcMar>
            <w:vAlign w:val="center"/>
          </w:tcPr>
          <w:p w14:paraId="23B56BB3" w14:textId="77777777" w:rsidR="00592A94" w:rsidRPr="00592A94" w:rsidRDefault="00592A94" w:rsidP="00592A94">
            <w:pPr>
              <w:pStyle w:val="CDITable-RowCentre"/>
              <w:rPr>
                <w:lang w:val="en-GB"/>
              </w:rPr>
            </w:pPr>
            <w:r w:rsidRPr="00592A94">
              <w:rPr>
                <w:lang w:val="en-GB"/>
              </w:rPr>
              <w:t>—</w:t>
            </w:r>
          </w:p>
        </w:tc>
        <w:tc>
          <w:tcPr>
            <w:tcW w:w="1445" w:type="dxa"/>
            <w:tcBorders>
              <w:top w:val="single" w:sz="6" w:space="0" w:color="1E4496" w:themeColor="text2"/>
              <w:left w:val="single" w:sz="6" w:space="0" w:color="1E4496" w:themeColor="text2"/>
              <w:bottom w:val="single" w:sz="6" w:space="0" w:color="1E4496" w:themeColor="text2"/>
            </w:tcBorders>
            <w:tcMar>
              <w:top w:w="113" w:type="dxa"/>
              <w:left w:w="113" w:type="dxa"/>
              <w:bottom w:w="113" w:type="dxa"/>
              <w:right w:w="113" w:type="dxa"/>
            </w:tcMar>
            <w:vAlign w:val="center"/>
          </w:tcPr>
          <w:p w14:paraId="01F18667" w14:textId="77777777" w:rsidR="00592A94" w:rsidRPr="00592A94" w:rsidRDefault="00592A94" w:rsidP="00592A94">
            <w:pPr>
              <w:pStyle w:val="CDITable-RowCentre"/>
              <w:rPr>
                <w:lang w:val="en-GB"/>
              </w:rPr>
            </w:pPr>
            <w:r w:rsidRPr="00592A94">
              <w:rPr>
                <w:lang w:val="en-GB"/>
              </w:rPr>
              <w:t>Y</w:t>
            </w:r>
            <w:r w:rsidRPr="00592A94">
              <w:rPr>
                <w:vertAlign w:val="superscript"/>
                <w:lang w:val="en-GB"/>
              </w:rPr>
              <w:t>11</w:t>
            </w:r>
          </w:p>
        </w:tc>
      </w:tr>
    </w:tbl>
    <w:p w14:paraId="41F8C447" w14:textId="77777777" w:rsidR="00367D5A" w:rsidRPr="00367D5A" w:rsidRDefault="00367D5A" w:rsidP="00367D5A">
      <w:pPr>
        <w:pStyle w:val="CDITable-FirstFootnote"/>
        <w:rPr>
          <w:lang w:val="en-GB"/>
        </w:rPr>
      </w:pPr>
      <w:proofErr w:type="gramStart"/>
      <w:r w:rsidRPr="00367D5A">
        <w:rPr>
          <w:lang w:val="en-GB"/>
        </w:rPr>
        <w:t>a</w:t>
      </w:r>
      <w:proofErr w:type="gramEnd"/>
      <w:r w:rsidRPr="00367D5A">
        <w:rPr>
          <w:lang w:val="en-GB"/>
        </w:rPr>
        <w:tab/>
        <w:t>Indicators of severe RSV disease assessed by study varied.</w:t>
      </w:r>
    </w:p>
    <w:p w14:paraId="7F8EA21E" w14:textId="77777777" w:rsidR="00367D5A" w:rsidRPr="00367D5A" w:rsidRDefault="00367D5A" w:rsidP="00367D5A">
      <w:pPr>
        <w:pStyle w:val="CDITable-Footnote"/>
        <w:rPr>
          <w:lang w:val="en-GB"/>
        </w:rPr>
      </w:pPr>
      <w:r w:rsidRPr="00367D5A">
        <w:rPr>
          <w:lang w:val="en-GB"/>
        </w:rPr>
        <w:t>b</w:t>
      </w:r>
      <w:r w:rsidRPr="00367D5A">
        <w:rPr>
          <w:lang w:val="en-GB"/>
        </w:rPr>
        <w:tab/>
        <w:t>COPD: chronic obstructive pulmonary disease; CHF: congestive heart failure; CAD: coronary artery disease; CKD: chronic kidney disease.</w:t>
      </w:r>
    </w:p>
    <w:p w14:paraId="1DEE604C" w14:textId="77777777" w:rsidR="00367D5A" w:rsidRPr="00367D5A" w:rsidRDefault="00367D5A" w:rsidP="00367D5A">
      <w:pPr>
        <w:pStyle w:val="CDITable-Footnote"/>
        <w:rPr>
          <w:lang w:val="en-GB"/>
        </w:rPr>
      </w:pPr>
      <w:r w:rsidRPr="00367D5A">
        <w:rPr>
          <w:lang w:val="en-GB"/>
        </w:rPr>
        <w:t>c</w:t>
      </w:r>
      <w:r w:rsidRPr="00367D5A">
        <w:rPr>
          <w:lang w:val="en-GB"/>
        </w:rPr>
        <w:tab/>
        <w:t>ICU: intensive care unit.</w:t>
      </w:r>
    </w:p>
    <w:p w14:paraId="5CF0FFC6" w14:textId="77777777" w:rsidR="00367D5A" w:rsidRPr="00367D5A" w:rsidRDefault="00367D5A" w:rsidP="00367D5A">
      <w:pPr>
        <w:pStyle w:val="CDITable-Footnote"/>
        <w:rPr>
          <w:lang w:val="en-GB"/>
        </w:rPr>
      </w:pPr>
      <w:r w:rsidRPr="00367D5A">
        <w:rPr>
          <w:lang w:val="en-GB"/>
        </w:rPr>
        <w:t>d</w:t>
      </w:r>
      <w:r w:rsidRPr="00367D5A">
        <w:rPr>
          <w:lang w:val="en-GB"/>
        </w:rPr>
        <w:tab/>
        <w:t>ED: emergency department.</w:t>
      </w:r>
    </w:p>
    <w:p w14:paraId="249149AA" w14:textId="77777777" w:rsidR="00367D5A" w:rsidRPr="00367D5A" w:rsidRDefault="00367D5A" w:rsidP="00367D5A">
      <w:pPr>
        <w:pStyle w:val="CDITable-Footnote"/>
        <w:rPr>
          <w:lang w:val="en-GB"/>
        </w:rPr>
      </w:pPr>
      <w:r w:rsidRPr="00367D5A">
        <w:rPr>
          <w:lang w:val="en-GB"/>
        </w:rPr>
        <w:t>e</w:t>
      </w:r>
      <w:r w:rsidRPr="00367D5A">
        <w:rPr>
          <w:lang w:val="en-GB"/>
        </w:rPr>
        <w:tab/>
      </w:r>
      <w:proofErr w:type="gramStart"/>
      <w:r w:rsidRPr="00367D5A">
        <w:rPr>
          <w:lang w:val="en-GB"/>
        </w:rPr>
        <w:t>Other</w:t>
      </w:r>
      <w:proofErr w:type="gramEnd"/>
      <w:r w:rsidRPr="00367D5A">
        <w:rPr>
          <w:lang w:val="en-GB"/>
        </w:rPr>
        <w:t xml:space="preserve"> complications: pneumonia; hyperventilation syndrome; or obstructive sleep apnoea.</w:t>
      </w:r>
    </w:p>
    <w:p w14:paraId="74C3C676" w14:textId="77777777" w:rsidR="00367D5A" w:rsidRPr="00367D5A" w:rsidRDefault="00367D5A" w:rsidP="00367D5A">
      <w:pPr>
        <w:pStyle w:val="CDITable-Footnote"/>
        <w:rPr>
          <w:lang w:val="en-GB"/>
        </w:rPr>
      </w:pPr>
      <w:r w:rsidRPr="00367D5A">
        <w:rPr>
          <w:lang w:val="en-GB"/>
        </w:rPr>
        <w:t>f</w:t>
      </w:r>
      <w:r w:rsidRPr="00367D5A">
        <w:rPr>
          <w:lang w:val="en-GB"/>
        </w:rPr>
        <w:tab/>
        <w:t>ICU length of stay.</w:t>
      </w:r>
    </w:p>
    <w:p w14:paraId="2866392B" w14:textId="77777777" w:rsidR="00592A94" w:rsidRDefault="00367D5A" w:rsidP="00367D5A">
      <w:pPr>
        <w:pStyle w:val="CDITable-Footnote"/>
        <w:rPr>
          <w:lang w:val="en-GB"/>
        </w:rPr>
        <w:sectPr w:rsidR="00592A94" w:rsidSect="00592A94">
          <w:footnotePr>
            <w:numFmt w:val="lowerRoman"/>
          </w:footnotePr>
          <w:pgSz w:w="16840" w:h="11907" w:orient="landscape" w:code="9"/>
          <w:pgMar w:top="1134" w:right="1134" w:bottom="1134" w:left="1134" w:header="709" w:footer="567" w:gutter="0"/>
          <w:cols w:space="708"/>
          <w:docGrid w:linePitch="360"/>
        </w:sectPr>
      </w:pPr>
      <w:r w:rsidRPr="00367D5A">
        <w:rPr>
          <w:lang w:val="en-GB"/>
        </w:rPr>
        <w:t>g</w:t>
      </w:r>
      <w:r w:rsidRPr="00367D5A">
        <w:rPr>
          <w:lang w:val="en-GB"/>
        </w:rPr>
        <w:tab/>
        <w:t>Is the identified condition, coupled with severe RSV disease, connected to an increased risk/duration of the identified outcome?</w:t>
      </w:r>
    </w:p>
    <w:p w14:paraId="45CE6950" w14:textId="211919F5" w:rsidR="008A0736" w:rsidRDefault="00592A94" w:rsidP="00592A94">
      <w:pPr>
        <w:pStyle w:val="Heading1-nospacebefore"/>
      </w:pPr>
      <w:bookmarkStart w:id="18" w:name="_Toc229657248"/>
      <w:r w:rsidRPr="00592A94">
        <w:t>RSV vaccines and monoclonal antibodies</w:t>
      </w:r>
      <w:bookmarkEnd w:id="18"/>
    </w:p>
    <w:p w14:paraId="16D50950" w14:textId="77777777" w:rsidR="00592A94" w:rsidRPr="00592A94" w:rsidRDefault="00592A94" w:rsidP="00592A94">
      <w:pPr>
        <w:pStyle w:val="Heading2"/>
        <w:rPr>
          <w:lang w:val="en-GB"/>
        </w:rPr>
      </w:pPr>
      <w:bookmarkStart w:id="19" w:name="_Toc229657249"/>
      <w:r w:rsidRPr="00592A94">
        <w:rPr>
          <w:lang w:val="en-GB"/>
        </w:rPr>
        <w:t>Vaccine for pregnant persons for protection of infants</w:t>
      </w:r>
      <w:bookmarkEnd w:id="19"/>
    </w:p>
    <w:p w14:paraId="05D3020E" w14:textId="77777777" w:rsidR="00592A94" w:rsidRPr="00592A94" w:rsidRDefault="00592A94" w:rsidP="00592A94">
      <w:pPr>
        <w:rPr>
          <w:lang w:val="en-GB"/>
        </w:rPr>
      </w:pPr>
      <w:r w:rsidRPr="00592A94">
        <w:rPr>
          <w:lang w:val="en-GB"/>
        </w:rPr>
        <w:t>In Australia, one RSV vaccine (Abrysvo, Pfizer) has been approved by the Therapeutic Goods Administration (TGA) for use in pregnant persons to provide passive immunisation to their infants against severe RSV illness. Administration of the vaccine during pregnancy leads to transplacental transfer of RSV-specific antibodies from the mother to the foetus. Clinical trial data show that maternal vaccination reduced the risk of medically attended severe LRTI in the infants by approximately 82% (99.5% CI: 41–96%) and 69% (97.58% CI: 44–84%) within 90 and 180 days after birth, respectively.</w:t>
      </w:r>
      <w:r w:rsidRPr="00592A94">
        <w:rPr>
          <w:vertAlign w:val="superscript"/>
          <w:lang w:val="en-GB"/>
        </w:rPr>
        <w:t>29</w:t>
      </w:r>
      <w:r w:rsidRPr="00592A94">
        <w:rPr>
          <w:lang w:val="en-GB"/>
        </w:rPr>
        <w:t xml:space="preserve"> Trial data on protection beyond 180 days (6 months) of age are currently limited, but such protection is likely to be lower due to waning of maternally-derived antibodies. </w:t>
      </w:r>
    </w:p>
    <w:p w14:paraId="0B028B36" w14:textId="77777777" w:rsidR="00592A94" w:rsidRPr="00592A94" w:rsidRDefault="00592A94" w:rsidP="00592A94">
      <w:pPr>
        <w:rPr>
          <w:lang w:val="en-GB"/>
        </w:rPr>
      </w:pPr>
      <w:r w:rsidRPr="00592A94">
        <w:rPr>
          <w:lang w:val="en-GB"/>
        </w:rPr>
        <w:t>In the phase 2 and 3 studies of Abrysvo, local adverse events (AEs) in vaccine recipients were more common than in the placebo groups (31.6–42.5% vs 10.4–13.7%), with injection site pain the most common event reported. However, there was no difference in the rate of systemic AEs between vaccine and placebo groups.</w:t>
      </w:r>
    </w:p>
    <w:p w14:paraId="7BA34BF6" w14:textId="77777777" w:rsidR="00592A94" w:rsidRPr="00592A94" w:rsidRDefault="00592A94" w:rsidP="00592A94">
      <w:pPr>
        <w:rPr>
          <w:lang w:val="en-GB"/>
        </w:rPr>
      </w:pPr>
      <w:r w:rsidRPr="00592A94">
        <w:rPr>
          <w:lang w:val="en-GB"/>
        </w:rPr>
        <w:t>Clinical trials of RSV vaccination with Abrysvo during pregnancy at 24–36 weeks of gestation identified a numerical imbalance in preterm births (&lt; 37 weeks gestation) between vaccine and placebo groups (202/3,568 [5.7% (95% CI: 4.9–6.5%)] vs 169/3,558 [4.7% (95% CI: 4.1–5.5%)], respectively; rate ratio [RR]: 1.20 [95% CI: 0.99–1.46]).</w:t>
      </w:r>
      <w:r w:rsidRPr="00592A94">
        <w:rPr>
          <w:vertAlign w:val="superscript"/>
          <w:lang w:val="en-GB"/>
        </w:rPr>
        <w:t>29</w:t>
      </w:r>
      <w:r w:rsidRPr="00592A94">
        <w:rPr>
          <w:lang w:val="en-GB"/>
        </w:rPr>
        <w:t xml:space="preserve"> However, this difference was not statistically significant. As the clinical trials were not powered to detect such rare events, it is not clear whether there is a causative link between RSV vaccine and preterm birth. ATAGI is monitoring further evidence on any association with preterm births, including studies on post-licensure use in the general pregnant population. The Australian Immunisation Handbook recommends administration of Abrysvo in pregnancy from 28 weeks gestation onward, not 24 weeks, as a precautionary measure. At present, vaccination only in an initial pregnancy but not in subsequent pregnancies is recommended, as no data are currently available on revaccination with subsequent pregnancies. However, the need for vaccination during each pregnancy is anticipated based on evidence from other vaccines in pregnancy, such as influenza and pertussis. ATAGI will update advice on revaccination in subsequent pregnancies when clinical data become available.</w:t>
      </w:r>
    </w:p>
    <w:p w14:paraId="42A62928" w14:textId="77777777" w:rsidR="00592A94" w:rsidRPr="00592A94" w:rsidRDefault="00592A94" w:rsidP="00592A94">
      <w:pPr>
        <w:pStyle w:val="Heading2"/>
        <w:rPr>
          <w:lang w:val="en-GB"/>
        </w:rPr>
      </w:pPr>
      <w:bookmarkStart w:id="20" w:name="_Toc229657250"/>
      <w:r w:rsidRPr="00592A94">
        <w:rPr>
          <w:lang w:val="en-GB"/>
        </w:rPr>
        <w:t>Monoclonal antibodies for protection of infants</w:t>
      </w:r>
      <w:bookmarkEnd w:id="20"/>
    </w:p>
    <w:p w14:paraId="7B85C90E" w14:textId="77777777" w:rsidR="00592A94" w:rsidRPr="00592A94" w:rsidRDefault="00592A94" w:rsidP="00592A94">
      <w:pPr>
        <w:rPr>
          <w:lang w:val="en-GB"/>
        </w:rPr>
      </w:pPr>
      <w:r w:rsidRPr="00592A94">
        <w:rPr>
          <w:lang w:val="en-GB"/>
        </w:rPr>
        <w:t>Direct administration of RSV-specific monoclonal antibodies is another effective method of passive immunisation of infants against severe RSV disease. Two monoclonal antibodies are currently available in Australia: palivizumab (</w:t>
      </w:r>
      <w:proofErr w:type="spellStart"/>
      <w:r w:rsidRPr="00592A94">
        <w:rPr>
          <w:lang w:val="en-GB"/>
        </w:rPr>
        <w:t>Synagis</w:t>
      </w:r>
      <w:proofErr w:type="spellEnd"/>
      <w:r w:rsidRPr="00592A94">
        <w:rPr>
          <w:lang w:val="en-GB"/>
        </w:rPr>
        <w:t>) and nirsevimab (</w:t>
      </w:r>
      <w:proofErr w:type="spellStart"/>
      <w:r w:rsidRPr="00592A94">
        <w:rPr>
          <w:lang w:val="en-GB"/>
        </w:rPr>
        <w:t>Beyfortus</w:t>
      </w:r>
      <w:proofErr w:type="spellEnd"/>
      <w:r w:rsidRPr="00592A94">
        <w:rPr>
          <w:lang w:val="en-GB"/>
        </w:rPr>
        <w:t>). Palivizumab has been registered since 1999 for use in infants at high risk of RSV disease, such as preterm infants and young children with congenital heart disease.</w:t>
      </w:r>
      <w:r w:rsidRPr="00592A94">
        <w:rPr>
          <w:vertAlign w:val="superscript"/>
          <w:lang w:val="en-GB"/>
        </w:rPr>
        <w:t>4</w:t>
      </w:r>
      <w:r w:rsidRPr="00592A94">
        <w:rPr>
          <w:lang w:val="en-GB"/>
        </w:rPr>
        <w:t xml:space="preserve"> However, palivizumab requires monthly intramuscular injections to achieve and maintain a protective concentration of antibodies during an RSV season; its use in Australia has thus been very limited.</w:t>
      </w:r>
      <w:r w:rsidRPr="00592A94">
        <w:rPr>
          <w:vertAlign w:val="superscript"/>
          <w:lang w:val="en-GB"/>
        </w:rPr>
        <w:t>4,30</w:t>
      </w:r>
      <w:r w:rsidRPr="00592A94">
        <w:rPr>
          <w:lang w:val="en-GB"/>
        </w:rPr>
        <w:t xml:space="preserve"> </w:t>
      </w:r>
    </w:p>
    <w:p w14:paraId="567F2302" w14:textId="77777777" w:rsidR="00592A94" w:rsidRPr="00592A94" w:rsidRDefault="00592A94" w:rsidP="00592A94">
      <w:pPr>
        <w:rPr>
          <w:lang w:val="en-GB"/>
        </w:rPr>
      </w:pPr>
      <w:r w:rsidRPr="00592A94">
        <w:rPr>
          <w:lang w:val="en-GB"/>
        </w:rPr>
        <w:t>Nirsevimab is a long-acting RSV-specific monoclonal antibody preparation given as a single intramuscular dose to provide protection for at least 5 months. It was approved by the TGA in November 2023 for the prevention of RSV-associated LRTI in neonates and infants born during or entering their first RSV season, and in children up to age 24 months who remain at increased risk for severe RSV disease in their second RSV season. It has advantages over palivizumab due to its enhanced viral neutralisation, longer duration of action, and requirement for only one injection for the RSV season. In clinical trials, efficacy against medically attended RSV-associated LRTI within 150 days after injection was 70.1% (95% CI: 52.3–81.2%) and 76.4% (95% CI: 62.3–85.2%) in infants born at 29–34 weeks and ≥ 35 weeks of gestation, respectively.</w:t>
      </w:r>
      <w:r w:rsidRPr="00592A94">
        <w:rPr>
          <w:vertAlign w:val="superscript"/>
          <w:lang w:val="en-GB"/>
        </w:rPr>
        <w:t>31,32</w:t>
      </w:r>
      <w:r w:rsidRPr="00592A94">
        <w:rPr>
          <w:lang w:val="en-GB"/>
        </w:rPr>
        <w:t xml:space="preserve"> Efficacy against hospitalisation for RSV-associated LRTI through 150 days after injection was 78.4% (95% CI: 51.9–90.3%) at 29–34 weeks gestation and 76.8% (95% CI: 49.4–89.4%) at ≥ 35 weeks gestation. Early real-world data from northern hemisphere countries in the 2023–2024 winter suggest high protective effectiveness of up to 90% against hospitalisation among infants aged &lt; 6 months, with universal funded immunisation able to achieve coverage rates of &gt; 90% in newborn infants.</w:t>
      </w:r>
      <w:r w:rsidRPr="00592A94">
        <w:rPr>
          <w:vertAlign w:val="superscript"/>
          <w:lang w:val="en-GB"/>
        </w:rPr>
        <w:t>33–36</w:t>
      </w:r>
    </w:p>
    <w:p w14:paraId="0BCE49FC" w14:textId="77777777" w:rsidR="00E51949" w:rsidRPr="00E51949" w:rsidRDefault="00E51949" w:rsidP="00E51949">
      <w:pPr>
        <w:pStyle w:val="Heading2"/>
        <w:rPr>
          <w:lang w:val="en-GB"/>
        </w:rPr>
      </w:pPr>
      <w:bookmarkStart w:id="21" w:name="_Toc229657251"/>
      <w:r w:rsidRPr="00E51949">
        <w:rPr>
          <w:lang w:val="en-GB"/>
        </w:rPr>
        <w:t>Vaccines for older adults</w:t>
      </w:r>
      <w:bookmarkEnd w:id="21"/>
    </w:p>
    <w:p w14:paraId="1486972F" w14:textId="77777777" w:rsidR="00E51949" w:rsidRDefault="00E51949" w:rsidP="00E51949">
      <w:pPr>
        <w:rPr>
          <w:lang w:val="en-GB"/>
        </w:rPr>
      </w:pPr>
      <w:r w:rsidRPr="00E51949">
        <w:rPr>
          <w:lang w:val="en-GB"/>
        </w:rPr>
        <w:t xml:space="preserve">There are currently two RSV protein subunit (pre-fusion F protein) vaccines (Abrysvo [Pfizer]; </w:t>
      </w:r>
      <w:proofErr w:type="spellStart"/>
      <w:r w:rsidRPr="00E51949">
        <w:rPr>
          <w:lang w:val="en-GB"/>
        </w:rPr>
        <w:t>Arexvy</w:t>
      </w:r>
      <w:proofErr w:type="spellEnd"/>
      <w:r w:rsidRPr="00E51949">
        <w:rPr>
          <w:lang w:val="en-GB"/>
        </w:rPr>
        <w:t xml:space="preserve"> [GSK]) and one mRNA vaccine (</w:t>
      </w:r>
      <w:proofErr w:type="spellStart"/>
      <w:r w:rsidRPr="00E51949">
        <w:rPr>
          <w:lang w:val="en-GB"/>
        </w:rPr>
        <w:t>mRESVIA</w:t>
      </w:r>
      <w:proofErr w:type="spellEnd"/>
      <w:r w:rsidRPr="00E51949">
        <w:rPr>
          <w:lang w:val="en-GB"/>
        </w:rPr>
        <w:t xml:space="preserve"> [Moderna]) registered by the TGA for the prevention of RSV-associated LRTI in people aged ≥ 60 years. Table 4 summarises the key efficacy and safety data of Abrysvo, </w:t>
      </w:r>
      <w:proofErr w:type="spellStart"/>
      <w:r w:rsidRPr="00E51949">
        <w:rPr>
          <w:lang w:val="en-GB"/>
        </w:rPr>
        <w:t>Arexvy</w:t>
      </w:r>
      <w:proofErr w:type="spellEnd"/>
      <w:r w:rsidRPr="00E51949">
        <w:rPr>
          <w:lang w:val="en-GB"/>
        </w:rPr>
        <w:t xml:space="preserve"> and </w:t>
      </w:r>
      <w:proofErr w:type="spellStart"/>
      <w:r w:rsidRPr="00E51949">
        <w:rPr>
          <w:lang w:val="en-GB"/>
        </w:rPr>
        <w:t>mRESVIA</w:t>
      </w:r>
      <w:proofErr w:type="spellEnd"/>
      <w:r w:rsidRPr="00E51949">
        <w:rPr>
          <w:lang w:val="en-GB"/>
        </w:rPr>
        <w:t xml:space="preserve"> from some ongoing clinical trials. </w:t>
      </w:r>
    </w:p>
    <w:p w14:paraId="2370C702" w14:textId="77777777" w:rsidR="00E51949" w:rsidRPr="00E51949" w:rsidRDefault="00E51949" w:rsidP="00E51949">
      <w:pPr>
        <w:pStyle w:val="Heading2"/>
      </w:pPr>
      <w:bookmarkStart w:id="22" w:name="_Toc229657252"/>
      <w:r w:rsidRPr="00E51949">
        <w:t>Efficacy</w:t>
      </w:r>
      <w:bookmarkEnd w:id="22"/>
    </w:p>
    <w:p w14:paraId="388F6AAC" w14:textId="77777777" w:rsidR="00E51949" w:rsidRPr="00E51949" w:rsidRDefault="00E51949" w:rsidP="00E51949">
      <w:pPr>
        <w:rPr>
          <w:lang w:val="en-GB"/>
        </w:rPr>
      </w:pPr>
      <w:r w:rsidRPr="00E51949">
        <w:rPr>
          <w:lang w:val="en-GB"/>
        </w:rPr>
        <w:t xml:space="preserve">The efficacy of a single dose of RSV vaccine in preventing laboratory-confirmed RSV-associated LRTI among adults aged ≥ 60 years was similar in the respective clinical trials of </w:t>
      </w:r>
      <w:proofErr w:type="spellStart"/>
      <w:r w:rsidRPr="00E51949">
        <w:rPr>
          <w:lang w:val="en-GB"/>
        </w:rPr>
        <w:t>Arexvy</w:t>
      </w:r>
      <w:proofErr w:type="spellEnd"/>
      <w:r w:rsidRPr="00E51949">
        <w:rPr>
          <w:lang w:val="en-GB"/>
        </w:rPr>
        <w:t xml:space="preserve"> (82.6% [96.95% CI: 57.9–94.1%]) and Abrysvo (88.9% [95% CI: 53.6–98.7%]) over one RSV season. Efficacy appeared lower at 61.1% (95% CI: 34.7–76.8%) for </w:t>
      </w:r>
      <w:proofErr w:type="spellStart"/>
      <w:r w:rsidRPr="00E51949">
        <w:rPr>
          <w:lang w:val="en-GB"/>
        </w:rPr>
        <w:t>mRESVIA</w:t>
      </w:r>
      <w:proofErr w:type="spellEnd"/>
      <w:r w:rsidRPr="00E51949">
        <w:rPr>
          <w:lang w:val="en-GB"/>
        </w:rPr>
        <w:t xml:space="preserve"> (Table 4). Protective efficacy in the second season following a single dose of Abrysvo and </w:t>
      </w:r>
      <w:proofErr w:type="spellStart"/>
      <w:r w:rsidRPr="00E51949">
        <w:rPr>
          <w:lang w:val="en-GB"/>
        </w:rPr>
        <w:t>Arexvy</w:t>
      </w:r>
      <w:proofErr w:type="spellEnd"/>
      <w:r w:rsidRPr="00E51949">
        <w:rPr>
          <w:lang w:val="en-GB"/>
        </w:rPr>
        <w:t xml:space="preserve"> given in the first season was 78% and 56%, respectively. Overall efficacy of a single dose in preventing RSV-associated LRTI over two seasons in older adults aged ≥ 60 years was 82% for Abrysvo and 79% for </w:t>
      </w:r>
      <w:proofErr w:type="spellStart"/>
      <w:r w:rsidRPr="00E51949">
        <w:rPr>
          <w:lang w:val="en-GB"/>
        </w:rPr>
        <w:t>Arexvy</w:t>
      </w:r>
      <w:proofErr w:type="spellEnd"/>
      <w:r w:rsidRPr="00E51949">
        <w:rPr>
          <w:lang w:val="en-GB"/>
        </w:rPr>
        <w:t xml:space="preserve">. Data to a median of 18.8 months follow-up for </w:t>
      </w:r>
      <w:proofErr w:type="spellStart"/>
      <w:r w:rsidRPr="00E51949">
        <w:rPr>
          <w:lang w:val="en-GB"/>
        </w:rPr>
        <w:t>mRESVIA</w:t>
      </w:r>
      <w:proofErr w:type="spellEnd"/>
      <w:r w:rsidRPr="00E51949">
        <w:rPr>
          <w:lang w:val="en-GB"/>
        </w:rPr>
        <w:t xml:space="preserve"> shows vaccine efficacy to wane to 49.9%.</w:t>
      </w:r>
      <w:r w:rsidRPr="00E51949">
        <w:rPr>
          <w:vertAlign w:val="superscript"/>
          <w:lang w:val="en-GB"/>
        </w:rPr>
        <w:t>37</w:t>
      </w:r>
      <w:r w:rsidRPr="00E51949">
        <w:rPr>
          <w:lang w:val="en-GB"/>
        </w:rPr>
        <w:t xml:space="preserve"> </w:t>
      </w:r>
    </w:p>
    <w:p w14:paraId="70FC253E" w14:textId="77777777" w:rsidR="00E51949" w:rsidRPr="00E51949" w:rsidRDefault="00E51949" w:rsidP="00E51949">
      <w:pPr>
        <w:rPr>
          <w:lang w:val="en-GB"/>
        </w:rPr>
      </w:pPr>
      <w:r w:rsidRPr="00E51949">
        <w:rPr>
          <w:lang w:val="en-GB"/>
        </w:rPr>
        <w:t xml:space="preserve">The efficacy of a single dose of </w:t>
      </w:r>
      <w:proofErr w:type="spellStart"/>
      <w:r w:rsidRPr="00E51949">
        <w:rPr>
          <w:lang w:val="en-GB"/>
        </w:rPr>
        <w:t>Arexvy</w:t>
      </w:r>
      <w:proofErr w:type="spellEnd"/>
      <w:r w:rsidRPr="00E51949">
        <w:rPr>
          <w:lang w:val="en-GB"/>
        </w:rPr>
        <w:t xml:space="preserve"> against severe RSV-associated LRTI (defined </w:t>
      </w:r>
      <w:proofErr w:type="gramStart"/>
      <w:r w:rsidRPr="00E51949">
        <w:rPr>
          <w:lang w:val="en-GB"/>
        </w:rPr>
        <w:t>on the basis of</w:t>
      </w:r>
      <w:proofErr w:type="gramEnd"/>
      <w:r w:rsidRPr="00E51949">
        <w:rPr>
          <w:lang w:val="en-GB"/>
        </w:rPr>
        <w:t xml:space="preserve"> clinical assessment by the investigator; lower respiratory tract signs; and/or need for respiratory support) was 94% during the first season and 64% during the second season, with the combined efficacy over two seasons of 79%. The efficacy of a single dose of Abrysvo against severe RSV-associated LRTI was also evaluated in a clinical trial; however, the evidence was of low certainty due to insufficient episodes of severe disease. Severe RSV was not a measured outcome in the </w:t>
      </w:r>
      <w:proofErr w:type="spellStart"/>
      <w:r w:rsidRPr="00E51949">
        <w:rPr>
          <w:lang w:val="en-GB"/>
        </w:rPr>
        <w:t>mRESVIA</w:t>
      </w:r>
      <w:proofErr w:type="spellEnd"/>
      <w:r w:rsidRPr="00E51949">
        <w:rPr>
          <w:lang w:val="en-GB"/>
        </w:rPr>
        <w:t xml:space="preserve"> trial.</w:t>
      </w:r>
    </w:p>
    <w:p w14:paraId="7F77BD0E" w14:textId="77777777" w:rsidR="00E51949" w:rsidRDefault="00E51949" w:rsidP="00E51949">
      <w:pPr>
        <w:rPr>
          <w:lang w:val="en-GB"/>
        </w:rPr>
        <w:sectPr w:rsidR="00E51949" w:rsidSect="001E3ECB">
          <w:footnotePr>
            <w:numFmt w:val="lowerRoman"/>
          </w:footnotePr>
          <w:pgSz w:w="11907" w:h="16840" w:code="9"/>
          <w:pgMar w:top="1134" w:right="1134" w:bottom="1134" w:left="1134" w:header="709" w:footer="567" w:gutter="0"/>
          <w:cols w:space="708"/>
          <w:docGrid w:linePitch="360"/>
        </w:sectPr>
      </w:pPr>
      <w:r w:rsidRPr="00E51949">
        <w:rPr>
          <w:lang w:val="en-GB"/>
        </w:rPr>
        <w:t xml:space="preserve">Respective studies of co-administration of </w:t>
      </w:r>
      <w:proofErr w:type="spellStart"/>
      <w:r w:rsidRPr="00E51949">
        <w:rPr>
          <w:lang w:val="en-GB"/>
        </w:rPr>
        <w:t>Arexvy</w:t>
      </w:r>
      <w:proofErr w:type="spellEnd"/>
      <w:r w:rsidRPr="00E51949">
        <w:rPr>
          <w:lang w:val="en-GB"/>
        </w:rPr>
        <w:t xml:space="preserve">, Abrysvo and </w:t>
      </w:r>
      <w:proofErr w:type="spellStart"/>
      <w:r w:rsidRPr="00E51949">
        <w:rPr>
          <w:lang w:val="en-GB"/>
        </w:rPr>
        <w:t>mRESVIA</w:t>
      </w:r>
      <w:proofErr w:type="spellEnd"/>
      <w:r w:rsidRPr="00E51949">
        <w:rPr>
          <w:lang w:val="en-GB"/>
        </w:rPr>
        <w:t xml:space="preserve"> with influenza vaccines generally show predefined non-inferiority immunogenicity criteria for all vaccines being met. Despite this, co-administration studies demonstrated slightly lower immune responses to certain strains contained in the RSV vaccine and influenza vaccines compared to when they are administered separately.</w:t>
      </w:r>
      <w:r w:rsidRPr="00E51949">
        <w:rPr>
          <w:vertAlign w:val="superscript"/>
          <w:lang w:val="en-GB"/>
        </w:rPr>
        <w:t>38-40</w:t>
      </w:r>
      <w:r w:rsidRPr="00E51949">
        <w:rPr>
          <w:lang w:val="en-GB"/>
        </w:rPr>
        <w:t xml:space="preserve"> While these decreases were relatively minor, the impact on protection from RSV and influenza vaccines is uncertain. The benefits of co-administration in allowing a patient to receive all necessary vaccines at one visit may likely outweigh such concerns. </w:t>
      </w:r>
    </w:p>
    <w:p w14:paraId="00295F3C" w14:textId="77777777" w:rsidR="00E51949" w:rsidRPr="00E51949" w:rsidRDefault="00E51949" w:rsidP="00E51949">
      <w:pPr>
        <w:pStyle w:val="CDITable-Title"/>
        <w:spacing w:before="0"/>
        <w:rPr>
          <w:lang w:val="en-GB"/>
        </w:rPr>
      </w:pPr>
      <w:r w:rsidRPr="00E51949">
        <w:rPr>
          <w:lang w:val="en-GB"/>
        </w:rPr>
        <w:t xml:space="preserve">Table 4: Respiratory syncytial virus (RSV) vaccines for older adults: target age groups and highlights of efficacy, and safety data of Abrysvo, </w:t>
      </w:r>
      <w:proofErr w:type="spellStart"/>
      <w:r w:rsidRPr="00E51949">
        <w:rPr>
          <w:lang w:val="en-GB"/>
        </w:rPr>
        <w:t>Arexvy</w:t>
      </w:r>
      <w:proofErr w:type="spellEnd"/>
      <w:r w:rsidRPr="00E51949">
        <w:rPr>
          <w:lang w:val="en-GB"/>
        </w:rPr>
        <w:t xml:space="preserve">, and </w:t>
      </w:r>
      <w:proofErr w:type="spellStart"/>
      <w:r w:rsidRPr="00E51949">
        <w:rPr>
          <w:lang w:val="en-GB"/>
        </w:rPr>
        <w:t>mRESVIA</w:t>
      </w:r>
      <w:proofErr w:type="spellEnd"/>
      <w:r w:rsidRPr="00E51949">
        <w:rPr>
          <w:lang w:val="en-GB"/>
        </w:rPr>
        <w:t xml:space="preserve"> from pivotal studies, as of April 2025</w:t>
      </w:r>
    </w:p>
    <w:tbl>
      <w:tblPr>
        <w:tblW w:w="0" w:type="auto"/>
        <w:tblLayout w:type="fixed"/>
        <w:tblCellMar>
          <w:left w:w="0" w:type="dxa"/>
          <w:right w:w="0" w:type="dxa"/>
        </w:tblCellMar>
        <w:tblLook w:val="0000" w:firstRow="0" w:lastRow="0" w:firstColumn="0" w:lastColumn="0" w:noHBand="0" w:noVBand="0"/>
        <w:tblCaption w:val="Table 4: Respiratory syncytial virus (RSV) vaccines for older adults: target age groups and highlights of efficacy, and safety data of Abrysvo, Arexvy, and mRESVIA from pivotal studies, as of April 2025"/>
        <w:tblDescription w:val="Table 4 outlines the features of three RSV vaccines that are approved for use in older adults in Australia, based on pivotal studies published by April 2025."/>
      </w:tblPr>
      <w:tblGrid>
        <w:gridCol w:w="2835"/>
        <w:gridCol w:w="3571"/>
        <w:gridCol w:w="4366"/>
        <w:gridCol w:w="3571"/>
      </w:tblGrid>
      <w:tr w:rsidR="00E51949" w:rsidRPr="00E51949" w14:paraId="246A02AB" w14:textId="77777777" w:rsidTr="00C314A3">
        <w:trPr>
          <w:trHeight w:val="60"/>
          <w:tblHeader/>
        </w:trPr>
        <w:tc>
          <w:tcPr>
            <w:tcW w:w="2835" w:type="dxa"/>
            <w:shd w:val="clear" w:color="auto" w:fill="1E4496" w:themeFill="text2"/>
            <w:tcMar>
              <w:top w:w="113" w:type="dxa"/>
              <w:left w:w="113" w:type="dxa"/>
              <w:bottom w:w="113" w:type="dxa"/>
              <w:right w:w="113" w:type="dxa"/>
            </w:tcMar>
          </w:tcPr>
          <w:p w14:paraId="6893A7D5" w14:textId="77777777" w:rsidR="00E51949" w:rsidRPr="00E51949" w:rsidRDefault="00E51949" w:rsidP="00E51949">
            <w:pPr>
              <w:pStyle w:val="CDITable-HeaderRowLeft"/>
            </w:pPr>
            <w:r w:rsidRPr="00E51949">
              <w:t>Category</w:t>
            </w:r>
          </w:p>
        </w:tc>
        <w:tc>
          <w:tcPr>
            <w:tcW w:w="3571" w:type="dxa"/>
            <w:shd w:val="clear" w:color="auto" w:fill="1E4496" w:themeFill="text2"/>
            <w:tcMar>
              <w:top w:w="113" w:type="dxa"/>
              <w:left w:w="113" w:type="dxa"/>
              <w:bottom w:w="113" w:type="dxa"/>
              <w:right w:w="113" w:type="dxa"/>
            </w:tcMar>
          </w:tcPr>
          <w:p w14:paraId="039A8FFE" w14:textId="77777777" w:rsidR="00E51949" w:rsidRPr="00E51949" w:rsidRDefault="00E51949" w:rsidP="00E51949">
            <w:pPr>
              <w:pStyle w:val="CDITable-HeaderRowLeft"/>
            </w:pPr>
            <w:r w:rsidRPr="00E51949">
              <w:t>Abrysvo</w:t>
            </w:r>
          </w:p>
        </w:tc>
        <w:tc>
          <w:tcPr>
            <w:tcW w:w="4366" w:type="dxa"/>
            <w:shd w:val="clear" w:color="auto" w:fill="1E4496" w:themeFill="text2"/>
            <w:tcMar>
              <w:top w:w="113" w:type="dxa"/>
              <w:left w:w="113" w:type="dxa"/>
              <w:bottom w:w="113" w:type="dxa"/>
              <w:right w:w="113" w:type="dxa"/>
            </w:tcMar>
          </w:tcPr>
          <w:p w14:paraId="5B92AF2E" w14:textId="77777777" w:rsidR="00E51949" w:rsidRPr="00E51949" w:rsidRDefault="00E51949" w:rsidP="00E51949">
            <w:pPr>
              <w:pStyle w:val="CDITable-HeaderRowLeft"/>
            </w:pPr>
            <w:proofErr w:type="spellStart"/>
            <w:r w:rsidRPr="00E51949">
              <w:t>Arexvy</w:t>
            </w:r>
            <w:proofErr w:type="spellEnd"/>
          </w:p>
        </w:tc>
        <w:tc>
          <w:tcPr>
            <w:tcW w:w="3571" w:type="dxa"/>
            <w:shd w:val="clear" w:color="auto" w:fill="1E4496" w:themeFill="text2"/>
            <w:tcMar>
              <w:top w:w="113" w:type="dxa"/>
              <w:left w:w="113" w:type="dxa"/>
              <w:bottom w:w="113" w:type="dxa"/>
              <w:right w:w="113" w:type="dxa"/>
            </w:tcMar>
          </w:tcPr>
          <w:p w14:paraId="2557627C" w14:textId="77777777" w:rsidR="00E51949" w:rsidRPr="00E51949" w:rsidRDefault="00E51949" w:rsidP="00E51949">
            <w:pPr>
              <w:pStyle w:val="CDITable-HeaderRowLeft"/>
            </w:pPr>
            <w:proofErr w:type="spellStart"/>
            <w:r w:rsidRPr="00E51949">
              <w:t>mRESVIA</w:t>
            </w:r>
            <w:proofErr w:type="spellEnd"/>
          </w:p>
        </w:tc>
      </w:tr>
      <w:tr w:rsidR="00E51949" w:rsidRPr="00E51949" w14:paraId="262F31ED" w14:textId="77777777" w:rsidTr="00C314A3">
        <w:trPr>
          <w:trHeight w:val="60"/>
        </w:trPr>
        <w:tc>
          <w:tcPr>
            <w:tcW w:w="2835" w:type="dxa"/>
            <w:tcBorders>
              <w:bottom w:val="single" w:sz="6" w:space="0" w:color="1E4496" w:themeColor="text2"/>
            </w:tcBorders>
            <w:shd w:val="clear" w:color="auto" w:fill="DCF4FC" w:themeFill="background2" w:themeFillTint="33"/>
            <w:tcMar>
              <w:top w:w="113" w:type="dxa"/>
              <w:left w:w="113" w:type="dxa"/>
              <w:bottom w:w="113" w:type="dxa"/>
              <w:right w:w="113" w:type="dxa"/>
            </w:tcMar>
          </w:tcPr>
          <w:p w14:paraId="11F528E0" w14:textId="77777777" w:rsidR="00E51949" w:rsidRPr="00E51949" w:rsidRDefault="00E51949" w:rsidP="00E51949">
            <w:pPr>
              <w:pStyle w:val="CDITable-RowLeft"/>
              <w:rPr>
                <w:b/>
                <w:bCs/>
                <w:lang w:val="en-GB"/>
              </w:rPr>
            </w:pPr>
            <w:r w:rsidRPr="00E51949">
              <w:rPr>
                <w:b/>
                <w:bCs/>
                <w:lang w:val="en-GB"/>
              </w:rPr>
              <w:t>References</w:t>
            </w:r>
          </w:p>
        </w:tc>
        <w:tc>
          <w:tcPr>
            <w:tcW w:w="3571" w:type="dxa"/>
            <w:tcBorders>
              <w:bottom w:val="single" w:sz="6" w:space="0" w:color="1E4496" w:themeColor="text2"/>
            </w:tcBorders>
            <w:shd w:val="solid" w:color="FFFFFF" w:fill="auto"/>
            <w:tcMar>
              <w:top w:w="113" w:type="dxa"/>
              <w:left w:w="113" w:type="dxa"/>
              <w:bottom w:w="113" w:type="dxa"/>
              <w:right w:w="113" w:type="dxa"/>
            </w:tcMar>
          </w:tcPr>
          <w:p w14:paraId="052DC92F" w14:textId="77777777" w:rsidR="00E51949" w:rsidRPr="00E51949" w:rsidRDefault="00E51949" w:rsidP="00E51949">
            <w:pPr>
              <w:pStyle w:val="CDITable-RowLeft"/>
              <w:rPr>
                <w:lang w:val="en-GB"/>
              </w:rPr>
            </w:pPr>
            <w:r w:rsidRPr="00E51949">
              <w:rPr>
                <w:lang w:val="en-GB"/>
              </w:rPr>
              <w:t>42–44</w:t>
            </w:r>
          </w:p>
        </w:tc>
        <w:tc>
          <w:tcPr>
            <w:tcW w:w="4366" w:type="dxa"/>
            <w:tcBorders>
              <w:bottom w:val="single" w:sz="6" w:space="0" w:color="1E4496" w:themeColor="text2"/>
            </w:tcBorders>
            <w:shd w:val="solid" w:color="FFFFFF" w:fill="auto"/>
            <w:tcMar>
              <w:top w:w="113" w:type="dxa"/>
              <w:left w:w="113" w:type="dxa"/>
              <w:bottom w:w="113" w:type="dxa"/>
              <w:right w:w="113" w:type="dxa"/>
            </w:tcMar>
          </w:tcPr>
          <w:p w14:paraId="488BBF34" w14:textId="77777777" w:rsidR="00E51949" w:rsidRPr="00E51949" w:rsidRDefault="00E51949" w:rsidP="00E51949">
            <w:pPr>
              <w:pStyle w:val="CDITable-RowLeft"/>
              <w:rPr>
                <w:lang w:val="en-GB"/>
              </w:rPr>
            </w:pPr>
            <w:r w:rsidRPr="00E51949">
              <w:rPr>
                <w:lang w:val="en-GB"/>
              </w:rPr>
              <w:t>45, 46</w:t>
            </w:r>
          </w:p>
        </w:tc>
        <w:tc>
          <w:tcPr>
            <w:tcW w:w="3571" w:type="dxa"/>
            <w:tcBorders>
              <w:bottom w:val="single" w:sz="6" w:space="0" w:color="1E4496" w:themeColor="text2"/>
            </w:tcBorders>
            <w:shd w:val="solid" w:color="FFFFFF" w:fill="auto"/>
            <w:tcMar>
              <w:top w:w="113" w:type="dxa"/>
              <w:left w:w="113" w:type="dxa"/>
              <w:bottom w:w="113" w:type="dxa"/>
              <w:right w:w="113" w:type="dxa"/>
            </w:tcMar>
          </w:tcPr>
          <w:p w14:paraId="34331165" w14:textId="77777777" w:rsidR="00E51949" w:rsidRPr="00E51949" w:rsidRDefault="00E51949" w:rsidP="00E51949">
            <w:pPr>
              <w:pStyle w:val="CDITable-RowLeft"/>
              <w:rPr>
                <w:lang w:val="en-GB"/>
              </w:rPr>
            </w:pPr>
            <w:r w:rsidRPr="00E51949">
              <w:rPr>
                <w:lang w:val="en-GB"/>
              </w:rPr>
              <w:t>37, 47</w:t>
            </w:r>
          </w:p>
        </w:tc>
      </w:tr>
      <w:tr w:rsidR="00E51949" w:rsidRPr="00E51949" w14:paraId="36F8F753" w14:textId="77777777" w:rsidTr="00C314A3">
        <w:trPr>
          <w:trHeight w:val="60"/>
        </w:trPr>
        <w:tc>
          <w:tcPr>
            <w:tcW w:w="283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tcPr>
          <w:p w14:paraId="7B9B0997" w14:textId="77777777" w:rsidR="00E51949" w:rsidRPr="00E51949" w:rsidRDefault="00E51949" w:rsidP="00E51949">
            <w:pPr>
              <w:pStyle w:val="CDITable-RowLeft"/>
              <w:rPr>
                <w:b/>
                <w:bCs/>
                <w:lang w:val="en-GB"/>
              </w:rPr>
            </w:pPr>
            <w:r w:rsidRPr="00E51949">
              <w:rPr>
                <w:b/>
                <w:bCs/>
                <w:lang w:val="en-GB"/>
              </w:rPr>
              <w:t>Registered age</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05CBE46A" w14:textId="77777777" w:rsidR="00E51949" w:rsidRPr="00E51949" w:rsidRDefault="00E51949" w:rsidP="00E51949">
            <w:pPr>
              <w:pStyle w:val="CDITable-RowLeft"/>
              <w:rPr>
                <w:lang w:val="en-GB"/>
              </w:rPr>
            </w:pPr>
            <w:r w:rsidRPr="00E51949">
              <w:rPr>
                <w:lang w:val="en-GB"/>
              </w:rPr>
              <w:t>≥ 60 years</w:t>
            </w:r>
          </w:p>
        </w:tc>
        <w:tc>
          <w:tcPr>
            <w:tcW w:w="4366" w:type="dxa"/>
            <w:tcBorders>
              <w:top w:val="single" w:sz="6" w:space="0" w:color="1E4496" w:themeColor="text2"/>
              <w:bottom w:val="single" w:sz="6" w:space="0" w:color="1E4496" w:themeColor="text2"/>
            </w:tcBorders>
            <w:tcMar>
              <w:top w:w="113" w:type="dxa"/>
              <w:left w:w="113" w:type="dxa"/>
              <w:bottom w:w="113" w:type="dxa"/>
              <w:right w:w="113" w:type="dxa"/>
            </w:tcMar>
          </w:tcPr>
          <w:p w14:paraId="7A06620A" w14:textId="77777777" w:rsidR="00E51949" w:rsidRPr="00E51949" w:rsidRDefault="00E51949" w:rsidP="00E51949">
            <w:pPr>
              <w:pStyle w:val="CDITable-RowLeft"/>
              <w:rPr>
                <w:lang w:val="en-GB"/>
              </w:rPr>
            </w:pPr>
            <w:r w:rsidRPr="00E51949">
              <w:rPr>
                <w:lang w:val="en-GB"/>
              </w:rPr>
              <w:t>≥ 50 years</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61EC07ED" w14:textId="77777777" w:rsidR="00E51949" w:rsidRPr="00E51949" w:rsidRDefault="00E51949" w:rsidP="00E51949">
            <w:pPr>
              <w:pStyle w:val="CDITable-RowLeft"/>
              <w:rPr>
                <w:lang w:val="en-GB"/>
              </w:rPr>
            </w:pPr>
            <w:r w:rsidRPr="00E51949">
              <w:rPr>
                <w:lang w:val="en-GB"/>
              </w:rPr>
              <w:t>≥ 60 years</w:t>
            </w:r>
          </w:p>
        </w:tc>
      </w:tr>
      <w:tr w:rsidR="00E51949" w:rsidRPr="00E51949" w14:paraId="5FFF0A54" w14:textId="77777777" w:rsidTr="00C314A3">
        <w:trPr>
          <w:trHeight w:val="60"/>
        </w:trPr>
        <w:tc>
          <w:tcPr>
            <w:tcW w:w="283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tcPr>
          <w:p w14:paraId="0834F808" w14:textId="1F868220" w:rsidR="00E51949" w:rsidRPr="00E51949" w:rsidRDefault="00E51949" w:rsidP="00E51949">
            <w:pPr>
              <w:pStyle w:val="CDITable-RowLeft"/>
              <w:rPr>
                <w:b/>
                <w:bCs/>
                <w:lang w:val="en-GB"/>
              </w:rPr>
            </w:pPr>
            <w:r w:rsidRPr="00E51949">
              <w:rPr>
                <w:b/>
                <w:bCs/>
                <w:lang w:val="en-GB"/>
              </w:rPr>
              <w:t>Age groups recommended for</w:t>
            </w:r>
            <w:r w:rsidR="00C314A3">
              <w:rPr>
                <w:b/>
                <w:bCs/>
                <w:lang w:val="en-GB"/>
              </w:rPr>
              <w:t> </w:t>
            </w:r>
            <w:r w:rsidRPr="00E51949">
              <w:rPr>
                <w:b/>
                <w:bCs/>
                <w:lang w:val="en-GB"/>
              </w:rPr>
              <w:t xml:space="preserve">vaccination by </w:t>
            </w:r>
            <w:proofErr w:type="spellStart"/>
            <w:r w:rsidRPr="00E51949">
              <w:rPr>
                <w:b/>
                <w:bCs/>
                <w:lang w:val="en-GB"/>
              </w:rPr>
              <w:t>ATAGI</w:t>
            </w:r>
            <w:r w:rsidRPr="00E51949">
              <w:rPr>
                <w:b/>
                <w:bCs/>
                <w:vertAlign w:val="superscript"/>
                <w:lang w:val="en-GB"/>
              </w:rPr>
              <w:t>a</w:t>
            </w:r>
            <w:proofErr w:type="spellEnd"/>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731C0C51" w14:textId="77777777" w:rsidR="00E51949" w:rsidRPr="00E51949" w:rsidRDefault="00E51949" w:rsidP="00E51949">
            <w:pPr>
              <w:pStyle w:val="CDITable-RowBullets"/>
              <w:spacing w:before="0"/>
              <w:rPr>
                <w:lang w:val="en-GB"/>
              </w:rPr>
            </w:pPr>
            <w:r w:rsidRPr="00E51949">
              <w:rPr>
                <w:lang w:val="en-GB"/>
              </w:rPr>
              <w:t xml:space="preserve">75 years: all adults </w:t>
            </w:r>
          </w:p>
          <w:p w14:paraId="16116F39" w14:textId="77777777" w:rsidR="00E51949" w:rsidRPr="00E51949" w:rsidRDefault="00E51949" w:rsidP="00E51949">
            <w:pPr>
              <w:pStyle w:val="CDITable-RowBullets"/>
              <w:rPr>
                <w:lang w:val="en-GB"/>
              </w:rPr>
            </w:pPr>
            <w:r w:rsidRPr="00E51949">
              <w:rPr>
                <w:lang w:val="en-GB"/>
              </w:rPr>
              <w:t>60–74 years: First Nations people and individuals with medical conditions that increase risk</w:t>
            </w:r>
          </w:p>
        </w:tc>
        <w:tc>
          <w:tcPr>
            <w:tcW w:w="4366" w:type="dxa"/>
            <w:tcBorders>
              <w:top w:val="single" w:sz="6" w:space="0" w:color="1E4496" w:themeColor="text2"/>
              <w:bottom w:val="single" w:sz="6" w:space="0" w:color="1E4496" w:themeColor="text2"/>
            </w:tcBorders>
            <w:tcMar>
              <w:top w:w="113" w:type="dxa"/>
              <w:left w:w="113" w:type="dxa"/>
              <w:bottom w:w="113" w:type="dxa"/>
              <w:right w:w="113" w:type="dxa"/>
            </w:tcMar>
          </w:tcPr>
          <w:p w14:paraId="35E4917C" w14:textId="77777777" w:rsidR="00E51949" w:rsidRPr="00E51949" w:rsidRDefault="00E51949" w:rsidP="00E51949">
            <w:pPr>
              <w:pStyle w:val="CDITable-RowBullets"/>
              <w:spacing w:before="0"/>
              <w:rPr>
                <w:lang w:val="en-GB"/>
              </w:rPr>
            </w:pPr>
            <w:r w:rsidRPr="00E51949">
              <w:rPr>
                <w:lang w:val="en-GB"/>
              </w:rPr>
              <w:t>≥ 75 years: all adults</w:t>
            </w:r>
          </w:p>
          <w:p w14:paraId="1CAE093B" w14:textId="77777777" w:rsidR="00E51949" w:rsidRPr="00E51949" w:rsidRDefault="00E51949" w:rsidP="00E51949">
            <w:pPr>
              <w:pStyle w:val="CDITable-RowBullets"/>
              <w:rPr>
                <w:lang w:val="en-GB"/>
              </w:rPr>
            </w:pPr>
            <w:r w:rsidRPr="00E51949">
              <w:rPr>
                <w:lang w:val="en-GB"/>
              </w:rPr>
              <w:t>60–74 years: First Nations people and individuals with medical conditions that increase risk</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5BA4E556" w14:textId="77777777" w:rsidR="00E51949" w:rsidRPr="00E51949" w:rsidRDefault="00E51949" w:rsidP="00E51949">
            <w:pPr>
              <w:pStyle w:val="CDITable-RowLeft"/>
              <w:rPr>
                <w:lang w:val="en-GB"/>
              </w:rPr>
            </w:pPr>
            <w:r w:rsidRPr="00E51949">
              <w:rPr>
                <w:lang w:val="en-GB"/>
              </w:rPr>
              <w:t xml:space="preserve">Recommendations </w:t>
            </w:r>
            <w:proofErr w:type="gramStart"/>
            <w:r w:rsidRPr="00E51949">
              <w:rPr>
                <w:lang w:val="en-GB"/>
              </w:rPr>
              <w:t>pending:</w:t>
            </w:r>
            <w:proofErr w:type="gramEnd"/>
            <w:r w:rsidRPr="00E51949">
              <w:rPr>
                <w:lang w:val="en-GB"/>
              </w:rPr>
              <w:t xml:space="preserve"> awaiting ATAGI evaluation</w:t>
            </w:r>
          </w:p>
        </w:tc>
      </w:tr>
      <w:tr w:rsidR="00E51949" w:rsidRPr="00E51949" w14:paraId="5BA15286" w14:textId="77777777" w:rsidTr="00C314A3">
        <w:trPr>
          <w:trHeight w:val="60"/>
        </w:trPr>
        <w:tc>
          <w:tcPr>
            <w:tcW w:w="283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tcPr>
          <w:p w14:paraId="563C1C8B" w14:textId="77777777" w:rsidR="00E51949" w:rsidRPr="00E51949" w:rsidRDefault="00E51949" w:rsidP="00E51949">
            <w:pPr>
              <w:pStyle w:val="CDITable-RowLeft"/>
              <w:rPr>
                <w:b/>
                <w:bCs/>
                <w:lang w:val="en-GB"/>
              </w:rPr>
            </w:pPr>
            <w:r w:rsidRPr="00E51949">
              <w:rPr>
                <w:b/>
                <w:bCs/>
                <w:lang w:val="en-GB"/>
              </w:rPr>
              <w:t>Age groups that can consider vaccination</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5B1FED24" w14:textId="77777777" w:rsidR="00E51949" w:rsidRPr="00E51949" w:rsidRDefault="00E51949" w:rsidP="00E51949">
            <w:pPr>
              <w:pStyle w:val="CDITable-RowLeft"/>
              <w:rPr>
                <w:lang w:val="en-GB"/>
              </w:rPr>
            </w:pPr>
            <w:r w:rsidRPr="00E51949">
              <w:rPr>
                <w:lang w:val="en-GB"/>
              </w:rPr>
              <w:t>60–74 years: individuals with no medical conditions that increase risk</w:t>
            </w:r>
          </w:p>
        </w:tc>
        <w:tc>
          <w:tcPr>
            <w:tcW w:w="4366" w:type="dxa"/>
            <w:tcBorders>
              <w:top w:val="single" w:sz="6" w:space="0" w:color="1E4496" w:themeColor="text2"/>
              <w:bottom w:val="single" w:sz="6" w:space="0" w:color="1E4496" w:themeColor="text2"/>
            </w:tcBorders>
            <w:tcMar>
              <w:top w:w="113" w:type="dxa"/>
              <w:left w:w="113" w:type="dxa"/>
              <w:bottom w:w="113" w:type="dxa"/>
              <w:right w:w="113" w:type="dxa"/>
            </w:tcMar>
          </w:tcPr>
          <w:p w14:paraId="72D96673" w14:textId="77777777" w:rsidR="00E51949" w:rsidRPr="00E51949" w:rsidRDefault="00E51949" w:rsidP="00E51949">
            <w:pPr>
              <w:pStyle w:val="CDITable-RowBullets"/>
              <w:spacing w:before="0"/>
              <w:rPr>
                <w:lang w:val="en-GB"/>
              </w:rPr>
            </w:pPr>
            <w:r w:rsidRPr="00E51949">
              <w:rPr>
                <w:lang w:val="en-GB"/>
              </w:rPr>
              <w:t>60–74 years: individuals with no medical conditions that increase risk</w:t>
            </w:r>
          </w:p>
          <w:p w14:paraId="193C4AF5" w14:textId="77777777" w:rsidR="00E51949" w:rsidRPr="00E51949" w:rsidRDefault="00E51949" w:rsidP="00E51949">
            <w:pPr>
              <w:pStyle w:val="CDITable-RowBullets"/>
              <w:rPr>
                <w:lang w:val="en-GB"/>
              </w:rPr>
            </w:pPr>
            <w:r w:rsidRPr="00E51949">
              <w:rPr>
                <w:lang w:val="en-GB"/>
              </w:rPr>
              <w:t>50–59 years: individuals with medical conditions that increase risk</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3914522D" w14:textId="77777777" w:rsidR="00E51949" w:rsidRPr="00E51949" w:rsidRDefault="00E51949" w:rsidP="00E51949">
            <w:pPr>
              <w:pStyle w:val="CDITable-RowLeft"/>
              <w:rPr>
                <w:lang w:val="en-GB"/>
              </w:rPr>
            </w:pPr>
            <w:r w:rsidRPr="00E51949">
              <w:rPr>
                <w:lang w:val="en-GB"/>
              </w:rPr>
              <w:t>Awaiting ATAGI evaluation</w:t>
            </w:r>
          </w:p>
        </w:tc>
      </w:tr>
      <w:tr w:rsidR="00E51949" w:rsidRPr="00E51949" w14:paraId="07027C00" w14:textId="77777777" w:rsidTr="00C314A3">
        <w:trPr>
          <w:trHeight w:val="60"/>
        </w:trPr>
        <w:tc>
          <w:tcPr>
            <w:tcW w:w="283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tcPr>
          <w:p w14:paraId="56E7D823" w14:textId="77777777" w:rsidR="00E51949" w:rsidRPr="00E51949" w:rsidRDefault="00E51949" w:rsidP="00E51949">
            <w:pPr>
              <w:pStyle w:val="CDITable-RowLeft"/>
              <w:rPr>
                <w:b/>
                <w:bCs/>
                <w:lang w:val="en-GB"/>
              </w:rPr>
            </w:pPr>
            <w:r w:rsidRPr="00E51949">
              <w:rPr>
                <w:b/>
                <w:bCs/>
                <w:lang w:val="en-GB"/>
              </w:rPr>
              <w:t>Vaccine description</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175BA16A" w14:textId="77777777" w:rsidR="00E51949" w:rsidRPr="00E51949" w:rsidRDefault="00E51949" w:rsidP="00E51949">
            <w:pPr>
              <w:pStyle w:val="CDITable-RowLeft"/>
              <w:rPr>
                <w:lang w:val="en-GB"/>
              </w:rPr>
            </w:pPr>
            <w:r w:rsidRPr="00E51949">
              <w:rPr>
                <w:lang w:val="en-GB"/>
              </w:rPr>
              <w:t>Recombinant bivalent (RSV A and RSV B) RSV Prefusion F glycoprotein vaccine</w:t>
            </w:r>
          </w:p>
        </w:tc>
        <w:tc>
          <w:tcPr>
            <w:tcW w:w="4366" w:type="dxa"/>
            <w:tcBorders>
              <w:top w:val="single" w:sz="6" w:space="0" w:color="1E4496" w:themeColor="text2"/>
              <w:bottom w:val="single" w:sz="6" w:space="0" w:color="1E4496" w:themeColor="text2"/>
            </w:tcBorders>
            <w:tcMar>
              <w:top w:w="113" w:type="dxa"/>
              <w:left w:w="113" w:type="dxa"/>
              <w:bottom w:w="113" w:type="dxa"/>
              <w:right w:w="113" w:type="dxa"/>
            </w:tcMar>
          </w:tcPr>
          <w:p w14:paraId="314C2C29" w14:textId="77777777" w:rsidR="00E51949" w:rsidRPr="00E51949" w:rsidRDefault="00E51949" w:rsidP="00E51949">
            <w:pPr>
              <w:pStyle w:val="CDITable-RowLeft"/>
              <w:rPr>
                <w:lang w:val="en-GB"/>
              </w:rPr>
            </w:pPr>
            <w:r w:rsidRPr="00E51949">
              <w:rPr>
                <w:lang w:val="en-GB"/>
              </w:rPr>
              <w:t>Recombinant RSV Prefusion F glycoprotein vaccine adjuvanted with adjuvanted with AS01E</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5246F3C4" w14:textId="77777777" w:rsidR="00E51949" w:rsidRPr="00E51949" w:rsidRDefault="00E51949" w:rsidP="00E51949">
            <w:pPr>
              <w:pStyle w:val="CDITable-RowLeft"/>
              <w:rPr>
                <w:lang w:val="en-GB"/>
              </w:rPr>
            </w:pPr>
            <w:r w:rsidRPr="00E51949">
              <w:rPr>
                <w:lang w:val="en-GB"/>
              </w:rPr>
              <w:t xml:space="preserve">Lipid nanoparticle–encapsulated </w:t>
            </w:r>
            <w:proofErr w:type="gramStart"/>
            <w:r w:rsidRPr="00E51949">
              <w:rPr>
                <w:lang w:val="en-GB"/>
              </w:rPr>
              <w:t>mRNA based</w:t>
            </w:r>
            <w:proofErr w:type="gramEnd"/>
            <w:r w:rsidRPr="00E51949">
              <w:rPr>
                <w:lang w:val="en-GB"/>
              </w:rPr>
              <w:t xml:space="preserve"> vaccine encoding the RSV A derived prefusion F glycoprotein</w:t>
            </w:r>
          </w:p>
        </w:tc>
      </w:tr>
      <w:tr w:rsidR="00E51949" w:rsidRPr="00E51949" w14:paraId="3D9C763E" w14:textId="77777777" w:rsidTr="00C314A3">
        <w:trPr>
          <w:trHeight w:val="60"/>
        </w:trPr>
        <w:tc>
          <w:tcPr>
            <w:tcW w:w="283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tcPr>
          <w:p w14:paraId="055BBEA8" w14:textId="77777777" w:rsidR="00E51949" w:rsidRPr="00E51949" w:rsidRDefault="00E51949" w:rsidP="00E51949">
            <w:pPr>
              <w:pStyle w:val="CDITable-RowLeft"/>
              <w:rPr>
                <w:b/>
                <w:bCs/>
                <w:lang w:val="en-GB"/>
              </w:rPr>
            </w:pPr>
            <w:r w:rsidRPr="00E51949">
              <w:rPr>
                <w:b/>
                <w:bCs/>
                <w:lang w:val="en-GB"/>
              </w:rPr>
              <w:t xml:space="preserve">Definition of RSV-associated </w:t>
            </w:r>
            <w:proofErr w:type="spellStart"/>
            <w:r w:rsidRPr="00E51949">
              <w:rPr>
                <w:b/>
                <w:bCs/>
                <w:lang w:val="en-GB"/>
              </w:rPr>
              <w:t>LRTI</w:t>
            </w:r>
            <w:r w:rsidRPr="00E51949">
              <w:rPr>
                <w:b/>
                <w:bCs/>
                <w:vertAlign w:val="superscript"/>
                <w:lang w:val="en-GB"/>
              </w:rPr>
              <w:t>b</w:t>
            </w:r>
            <w:proofErr w:type="spellEnd"/>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2BADDE6B" w14:textId="77777777" w:rsidR="00E51949" w:rsidRPr="00E51949" w:rsidRDefault="00E51949" w:rsidP="00E51949">
            <w:pPr>
              <w:pStyle w:val="CDITable-RowLeft"/>
              <w:rPr>
                <w:lang w:val="en-GB"/>
              </w:rPr>
            </w:pPr>
            <w:r w:rsidRPr="00E51949">
              <w:rPr>
                <w:lang w:val="en-GB"/>
              </w:rPr>
              <w:t>Laboratory confirmed RSV-associated LRTI with ≥ 3 signs/symptoms</w:t>
            </w:r>
          </w:p>
        </w:tc>
        <w:tc>
          <w:tcPr>
            <w:tcW w:w="4366" w:type="dxa"/>
            <w:tcBorders>
              <w:top w:val="single" w:sz="6" w:space="0" w:color="1E4496" w:themeColor="text2"/>
              <w:bottom w:val="single" w:sz="6" w:space="0" w:color="1E4496" w:themeColor="text2"/>
            </w:tcBorders>
            <w:tcMar>
              <w:top w:w="113" w:type="dxa"/>
              <w:left w:w="113" w:type="dxa"/>
              <w:bottom w:w="113" w:type="dxa"/>
              <w:right w:w="113" w:type="dxa"/>
            </w:tcMar>
          </w:tcPr>
          <w:p w14:paraId="483A68DE" w14:textId="77777777" w:rsidR="00E51949" w:rsidRPr="00E51949" w:rsidRDefault="00E51949" w:rsidP="00E51949">
            <w:pPr>
              <w:pStyle w:val="CDITable-RowLeft"/>
              <w:rPr>
                <w:lang w:val="en-GB"/>
              </w:rPr>
            </w:pPr>
            <w:r w:rsidRPr="00E51949">
              <w:rPr>
                <w:lang w:val="en-GB"/>
              </w:rPr>
              <w:t>Laboratory confirmed RSV-associated LRTI with ≥ 2 lower respiratory signs/symptoms including at least 1 respiratory sign or ≥ 3 lower respiratory symptoms</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03D5D6C2" w14:textId="77777777" w:rsidR="00E51949" w:rsidRPr="00E51949" w:rsidRDefault="00E51949" w:rsidP="00E51949">
            <w:pPr>
              <w:pStyle w:val="CDITable-RowLeft"/>
              <w:rPr>
                <w:lang w:val="en-GB"/>
              </w:rPr>
            </w:pPr>
            <w:r w:rsidRPr="00E51949">
              <w:rPr>
                <w:lang w:val="en-GB"/>
              </w:rPr>
              <w:t>Laboratory confirmed RSV-associated LRTI with ≥ 3 lower respiratory signs/symptoms</w:t>
            </w:r>
          </w:p>
        </w:tc>
      </w:tr>
      <w:tr w:rsidR="00E51949" w:rsidRPr="00E51949" w14:paraId="52CE36AE" w14:textId="77777777" w:rsidTr="009A3D1D">
        <w:trPr>
          <w:trHeight w:val="60"/>
        </w:trPr>
        <w:tc>
          <w:tcPr>
            <w:tcW w:w="283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tcPr>
          <w:p w14:paraId="3670F0FB" w14:textId="77777777" w:rsidR="00E51949" w:rsidRPr="00E51949" w:rsidRDefault="00E51949" w:rsidP="00E51949">
            <w:pPr>
              <w:pStyle w:val="CDITable-RowLeft"/>
              <w:rPr>
                <w:b/>
                <w:bCs/>
                <w:lang w:val="en-GB"/>
              </w:rPr>
            </w:pPr>
            <w:r w:rsidRPr="00E51949">
              <w:rPr>
                <w:b/>
                <w:bCs/>
                <w:lang w:val="en-GB"/>
              </w:rPr>
              <w:t>Follow-up duration in months</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25D99976" w14:textId="77777777" w:rsidR="00E51949" w:rsidRPr="00E51949" w:rsidRDefault="00E51949" w:rsidP="00C314A3">
            <w:pPr>
              <w:pStyle w:val="CDITable-RowLeft"/>
              <w:spacing w:before="0" w:beforeAutospacing="0" w:after="0" w:afterAutospacing="0"/>
              <w:rPr>
                <w:lang w:val="en-GB"/>
              </w:rPr>
            </w:pPr>
            <w:r w:rsidRPr="00C314A3">
              <w:t>Mean</w:t>
            </w:r>
            <w:r w:rsidRPr="00C314A3">
              <w:rPr>
                <w:vertAlign w:val="superscript"/>
              </w:rPr>
              <w:t>43</w:t>
            </w:r>
          </w:p>
          <w:p w14:paraId="27E11A43" w14:textId="77777777" w:rsidR="00E51949" w:rsidRPr="00E51949" w:rsidRDefault="00E51949" w:rsidP="00C314A3">
            <w:pPr>
              <w:pStyle w:val="CDITable-RowBullets"/>
              <w:rPr>
                <w:lang w:val="en-GB"/>
              </w:rPr>
            </w:pPr>
            <w:r w:rsidRPr="00C314A3">
              <w:t>Season</w:t>
            </w:r>
            <w:r w:rsidRPr="00E51949">
              <w:rPr>
                <w:lang w:val="en-GB"/>
              </w:rPr>
              <w:t xml:space="preserve"> 1: 7.1</w:t>
            </w:r>
          </w:p>
          <w:p w14:paraId="01B94061" w14:textId="77777777" w:rsidR="00E51949" w:rsidRPr="00E51949" w:rsidRDefault="00E51949" w:rsidP="00C314A3">
            <w:pPr>
              <w:pStyle w:val="CDITable-RowBullets"/>
              <w:rPr>
                <w:lang w:val="en-GB"/>
              </w:rPr>
            </w:pPr>
            <w:r w:rsidRPr="00E51949">
              <w:rPr>
                <w:lang w:val="en-GB"/>
              </w:rPr>
              <w:t>Season 2: 7.6</w:t>
            </w:r>
          </w:p>
          <w:p w14:paraId="3AE77A04" w14:textId="77777777" w:rsidR="00E51949" w:rsidRPr="00E51949" w:rsidRDefault="00E51949" w:rsidP="00C314A3">
            <w:pPr>
              <w:pStyle w:val="CDITable-RowLeft"/>
              <w:spacing w:before="120" w:beforeAutospacing="0" w:after="0" w:afterAutospacing="0"/>
              <w:rPr>
                <w:lang w:val="en-GB"/>
              </w:rPr>
            </w:pPr>
            <w:r w:rsidRPr="00E51949">
              <w:rPr>
                <w:lang w:val="en-GB"/>
              </w:rPr>
              <w:t>Over two seasons: 17.6</w:t>
            </w:r>
          </w:p>
        </w:tc>
        <w:tc>
          <w:tcPr>
            <w:tcW w:w="4366" w:type="dxa"/>
            <w:tcBorders>
              <w:top w:val="single" w:sz="6" w:space="0" w:color="1E4496" w:themeColor="text2"/>
              <w:bottom w:val="single" w:sz="6" w:space="0" w:color="1E4496" w:themeColor="text2"/>
            </w:tcBorders>
            <w:tcMar>
              <w:top w:w="113" w:type="dxa"/>
              <w:left w:w="113" w:type="dxa"/>
              <w:bottom w:w="113" w:type="dxa"/>
              <w:right w:w="113" w:type="dxa"/>
            </w:tcMar>
          </w:tcPr>
          <w:p w14:paraId="5D40CECF" w14:textId="77777777" w:rsidR="00E51949" w:rsidRPr="00E51949" w:rsidRDefault="00E51949" w:rsidP="00C314A3">
            <w:pPr>
              <w:pStyle w:val="CDITable-RowLeft"/>
              <w:spacing w:before="0" w:beforeAutospacing="0" w:after="0" w:afterAutospacing="0"/>
              <w:rPr>
                <w:lang w:val="en-GB"/>
              </w:rPr>
            </w:pPr>
            <w:r w:rsidRPr="00E51949">
              <w:rPr>
                <w:lang w:val="en-GB"/>
              </w:rPr>
              <w:t>Median (interquartile range, IQR)</w:t>
            </w:r>
            <w:r w:rsidRPr="00E51949">
              <w:rPr>
                <w:vertAlign w:val="superscript"/>
                <w:lang w:val="en-GB"/>
              </w:rPr>
              <w:t>46</w:t>
            </w:r>
          </w:p>
          <w:p w14:paraId="1A4AC680" w14:textId="77777777" w:rsidR="00E51949" w:rsidRPr="00E51949" w:rsidRDefault="00E51949" w:rsidP="00C314A3">
            <w:pPr>
              <w:pStyle w:val="CDITable-RowBullets"/>
              <w:rPr>
                <w:lang w:val="en-GB"/>
              </w:rPr>
            </w:pPr>
            <w:r w:rsidRPr="00C314A3">
              <w:t>Season</w:t>
            </w:r>
            <w:r w:rsidRPr="00E51949">
              <w:rPr>
                <w:lang w:val="en-GB"/>
              </w:rPr>
              <w:t xml:space="preserve"> 1: 6.7 (5·7–7·8)</w:t>
            </w:r>
          </w:p>
          <w:p w14:paraId="41ADD42C" w14:textId="77777777" w:rsidR="00E51949" w:rsidRPr="00E51949" w:rsidRDefault="00E51949" w:rsidP="00C314A3">
            <w:pPr>
              <w:pStyle w:val="CDITable-RowBullets"/>
              <w:rPr>
                <w:lang w:val="en-GB"/>
              </w:rPr>
            </w:pPr>
            <w:r w:rsidRPr="00E51949">
              <w:rPr>
                <w:lang w:val="en-GB"/>
              </w:rPr>
              <w:t>Season 2: 6.3 (5·7–6·8)</w:t>
            </w:r>
          </w:p>
          <w:p w14:paraId="44B17440" w14:textId="77777777" w:rsidR="00E51949" w:rsidRPr="00E51949" w:rsidRDefault="00E51949" w:rsidP="00C314A3">
            <w:pPr>
              <w:pStyle w:val="CDITable-RowBullets"/>
              <w:rPr>
                <w:lang w:val="en-GB"/>
              </w:rPr>
            </w:pPr>
            <w:r w:rsidRPr="00E51949">
              <w:rPr>
                <w:lang w:val="en-GB"/>
              </w:rPr>
              <w:t>Season 3: 7.0 (7·0–7·0)</w:t>
            </w:r>
          </w:p>
          <w:p w14:paraId="66C5940A" w14:textId="77777777" w:rsidR="00E51949" w:rsidRPr="00E51949" w:rsidRDefault="00E51949" w:rsidP="007C322F">
            <w:pPr>
              <w:pStyle w:val="CDITable-RowLeft"/>
              <w:spacing w:before="120" w:beforeAutospacing="0" w:after="0" w:afterAutospacing="0"/>
              <w:rPr>
                <w:lang w:val="en-GB"/>
              </w:rPr>
            </w:pPr>
            <w:r w:rsidRPr="00E51949">
              <w:rPr>
                <w:lang w:val="en-GB"/>
              </w:rPr>
              <w:t xml:space="preserve">Over three seasons: 30.6 (26·2–32·0) </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44CD26D7" w14:textId="77777777" w:rsidR="00E51949" w:rsidRPr="00E51949" w:rsidRDefault="00E51949" w:rsidP="00C314A3">
            <w:pPr>
              <w:pStyle w:val="CDITable-RowLeft"/>
              <w:spacing w:before="0" w:beforeAutospacing="0" w:after="0" w:afterAutospacing="0"/>
              <w:rPr>
                <w:lang w:val="en-GB"/>
              </w:rPr>
            </w:pPr>
            <w:r w:rsidRPr="00E51949">
              <w:rPr>
                <w:lang w:val="en-GB"/>
              </w:rPr>
              <w:t>Median (range)</w:t>
            </w:r>
            <w:r w:rsidRPr="00E51949">
              <w:rPr>
                <w:vertAlign w:val="superscript"/>
                <w:lang w:val="en-GB"/>
              </w:rPr>
              <w:t>37,47</w:t>
            </w:r>
          </w:p>
          <w:p w14:paraId="0D57CC77" w14:textId="77777777" w:rsidR="00E51949" w:rsidRPr="00E51949" w:rsidRDefault="00E51949" w:rsidP="00C314A3">
            <w:pPr>
              <w:pStyle w:val="CDITable-RowBullets"/>
              <w:rPr>
                <w:lang w:val="en-GB"/>
              </w:rPr>
            </w:pPr>
            <w:r w:rsidRPr="00E51949">
              <w:rPr>
                <w:lang w:val="en-GB"/>
              </w:rPr>
              <w:t>Primary analysis: 3.7 (0.5–12.6)</w:t>
            </w:r>
          </w:p>
          <w:p w14:paraId="7C4BBA35" w14:textId="77777777" w:rsidR="00E51949" w:rsidRPr="00E51949" w:rsidRDefault="00E51949" w:rsidP="00C314A3">
            <w:pPr>
              <w:pStyle w:val="CDITable-RowBullets"/>
              <w:rPr>
                <w:lang w:val="en-GB"/>
              </w:rPr>
            </w:pPr>
            <w:r w:rsidRPr="00E51949">
              <w:rPr>
                <w:lang w:val="en-GB"/>
              </w:rPr>
              <w:t>Additional analysis: 8.6 (0.5–17.7)</w:t>
            </w:r>
          </w:p>
          <w:p w14:paraId="00338050" w14:textId="77777777" w:rsidR="00E51949" w:rsidRPr="00E51949" w:rsidRDefault="00E51949" w:rsidP="00C314A3">
            <w:pPr>
              <w:pStyle w:val="CDITable-RowBullets"/>
              <w:rPr>
                <w:lang w:val="en-GB"/>
              </w:rPr>
            </w:pPr>
            <w:r w:rsidRPr="00E51949">
              <w:rPr>
                <w:lang w:val="en-GB"/>
              </w:rPr>
              <w:t>March 2024 analysis: 18.8 (0.5–24.0)</w:t>
            </w:r>
          </w:p>
        </w:tc>
      </w:tr>
      <w:tr w:rsidR="00E51949" w:rsidRPr="00E51949" w14:paraId="60AD659A" w14:textId="77777777" w:rsidTr="009A3D1D">
        <w:trPr>
          <w:trHeight w:val="60"/>
        </w:trPr>
        <w:tc>
          <w:tcPr>
            <w:tcW w:w="283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tcPr>
          <w:p w14:paraId="4C14A533" w14:textId="77777777" w:rsidR="00E51949" w:rsidRPr="00E51949" w:rsidRDefault="00E51949" w:rsidP="00C314A3">
            <w:pPr>
              <w:pStyle w:val="CDITable-RowLeft"/>
              <w:keepNext/>
              <w:rPr>
                <w:b/>
                <w:bCs/>
                <w:lang w:val="en-GB"/>
              </w:rPr>
            </w:pPr>
            <w:r w:rsidRPr="00E51949">
              <w:rPr>
                <w:b/>
                <w:bCs/>
                <w:lang w:val="en-GB"/>
              </w:rPr>
              <w:t xml:space="preserve">Efficacy among adults aged ≥ 60 </w:t>
            </w:r>
            <w:proofErr w:type="spellStart"/>
            <w:proofErr w:type="gramStart"/>
            <w:r w:rsidRPr="00E51949">
              <w:rPr>
                <w:b/>
                <w:bCs/>
                <w:lang w:val="en-GB"/>
              </w:rPr>
              <w:t>years</w:t>
            </w:r>
            <w:r w:rsidRPr="00E51949">
              <w:rPr>
                <w:b/>
                <w:bCs/>
                <w:vertAlign w:val="superscript"/>
                <w:lang w:val="en-GB"/>
              </w:rPr>
              <w:t>b,c</w:t>
            </w:r>
            <w:proofErr w:type="gramEnd"/>
            <w:r w:rsidRPr="00E51949">
              <w:rPr>
                <w:b/>
                <w:bCs/>
                <w:vertAlign w:val="superscript"/>
                <w:lang w:val="en-GB"/>
              </w:rPr>
              <w:t>,d</w:t>
            </w:r>
            <w:proofErr w:type="spellEnd"/>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4F1284A5" w14:textId="77777777" w:rsidR="00E51949" w:rsidRPr="00E51949" w:rsidRDefault="00E51949" w:rsidP="00C314A3">
            <w:pPr>
              <w:pStyle w:val="CDITable-RowLeft"/>
              <w:spacing w:before="0" w:beforeAutospacing="0" w:after="0" w:afterAutospacing="0"/>
              <w:rPr>
                <w:lang w:val="en-GB"/>
              </w:rPr>
            </w:pPr>
            <w:r w:rsidRPr="00E51949">
              <w:rPr>
                <w:lang w:val="en-GB"/>
              </w:rPr>
              <w:t>First season</w:t>
            </w:r>
            <w:r w:rsidRPr="00E51949">
              <w:rPr>
                <w:vertAlign w:val="superscript"/>
                <w:lang w:val="en-GB"/>
              </w:rPr>
              <w:t>43</w:t>
            </w:r>
          </w:p>
          <w:p w14:paraId="14779618" w14:textId="77777777" w:rsidR="00E51949" w:rsidRPr="00E51949" w:rsidRDefault="00E51949" w:rsidP="00C314A3">
            <w:pPr>
              <w:pStyle w:val="CDITable-RowBullets"/>
              <w:rPr>
                <w:lang w:val="en-GB"/>
              </w:rPr>
            </w:pPr>
            <w:r w:rsidRPr="00E51949">
              <w:rPr>
                <w:lang w:val="en-GB"/>
              </w:rPr>
              <w:t>RSV LRTI: 88.9% (95% CI: 53.6–98.7)</w:t>
            </w:r>
          </w:p>
          <w:p w14:paraId="4AC5DCA0" w14:textId="77777777" w:rsidR="00E51949" w:rsidRPr="00E51949" w:rsidRDefault="00E51949" w:rsidP="00C314A3">
            <w:pPr>
              <w:pStyle w:val="CDITable-RowLeft"/>
              <w:spacing w:before="120" w:beforeAutospacing="0" w:after="0" w:afterAutospacing="0"/>
              <w:rPr>
                <w:lang w:val="en-GB"/>
              </w:rPr>
            </w:pPr>
            <w:r w:rsidRPr="00E51949">
              <w:rPr>
                <w:lang w:val="en-GB"/>
              </w:rPr>
              <w:t>Second season</w:t>
            </w:r>
            <w:proofErr w:type="gramStart"/>
            <w:r w:rsidRPr="00E51949">
              <w:rPr>
                <w:vertAlign w:val="superscript"/>
                <w:lang w:val="en-GB"/>
              </w:rPr>
              <w:t>44,e</w:t>
            </w:r>
            <w:proofErr w:type="gramEnd"/>
          </w:p>
          <w:p w14:paraId="23ADD206" w14:textId="77777777" w:rsidR="00E51949" w:rsidRPr="00E51949" w:rsidRDefault="00E51949" w:rsidP="00C314A3">
            <w:pPr>
              <w:pStyle w:val="CDITable-RowBullets"/>
              <w:rPr>
                <w:lang w:val="en-GB"/>
              </w:rPr>
            </w:pPr>
            <w:r w:rsidRPr="00E51949">
              <w:rPr>
                <w:lang w:val="en-GB"/>
              </w:rPr>
              <w:t>RSV LRTI: 77.8% (95% CI: 51.4– 91.1)</w:t>
            </w:r>
          </w:p>
          <w:p w14:paraId="5E5EF93C" w14:textId="77777777" w:rsidR="00E51949" w:rsidRPr="00E51949" w:rsidRDefault="00E51949" w:rsidP="00C314A3">
            <w:pPr>
              <w:pStyle w:val="CDITable-RowLeft"/>
              <w:spacing w:before="120" w:beforeAutospacing="0" w:after="0" w:afterAutospacing="0"/>
              <w:rPr>
                <w:lang w:val="en-GB"/>
              </w:rPr>
            </w:pPr>
            <w:r w:rsidRPr="00E51949">
              <w:rPr>
                <w:lang w:val="en-GB"/>
              </w:rPr>
              <w:t>Combined two seasons</w:t>
            </w:r>
            <w:proofErr w:type="gramStart"/>
            <w:r w:rsidRPr="00E51949">
              <w:rPr>
                <w:vertAlign w:val="superscript"/>
                <w:lang w:val="en-GB"/>
              </w:rPr>
              <w:t>44,f</w:t>
            </w:r>
            <w:proofErr w:type="gramEnd"/>
          </w:p>
          <w:p w14:paraId="7C8C5074" w14:textId="77777777" w:rsidR="00E51949" w:rsidRPr="00E51949" w:rsidRDefault="00E51949" w:rsidP="00C314A3">
            <w:pPr>
              <w:pStyle w:val="CDITable-RowBullets"/>
              <w:rPr>
                <w:lang w:val="en-GB"/>
              </w:rPr>
            </w:pPr>
            <w:r w:rsidRPr="00E51949">
              <w:rPr>
                <w:lang w:val="en-GB"/>
              </w:rPr>
              <w:t>RSV LRTI: 81.5% (95% CI: 63.3–91.6)</w:t>
            </w:r>
          </w:p>
        </w:tc>
        <w:tc>
          <w:tcPr>
            <w:tcW w:w="4366" w:type="dxa"/>
            <w:tcBorders>
              <w:top w:val="single" w:sz="6" w:space="0" w:color="1E4496" w:themeColor="text2"/>
              <w:bottom w:val="single" w:sz="6" w:space="0" w:color="1E4496" w:themeColor="text2"/>
            </w:tcBorders>
            <w:tcMar>
              <w:top w:w="113" w:type="dxa"/>
              <w:left w:w="113" w:type="dxa"/>
              <w:bottom w:w="113" w:type="dxa"/>
              <w:right w:w="113" w:type="dxa"/>
            </w:tcMar>
          </w:tcPr>
          <w:p w14:paraId="2DF7744B" w14:textId="77777777" w:rsidR="00E51949" w:rsidRPr="00E51949" w:rsidRDefault="00E51949" w:rsidP="00C314A3">
            <w:pPr>
              <w:pStyle w:val="CDITable-RowLeft"/>
              <w:spacing w:before="0" w:beforeAutospacing="0" w:after="0" w:afterAutospacing="0"/>
              <w:rPr>
                <w:lang w:val="en-GB"/>
              </w:rPr>
            </w:pPr>
            <w:r w:rsidRPr="00E51949">
              <w:rPr>
                <w:lang w:val="en-GB"/>
              </w:rPr>
              <w:t>First season</w:t>
            </w:r>
            <w:r w:rsidRPr="00E51949">
              <w:rPr>
                <w:vertAlign w:val="superscript"/>
                <w:lang w:val="en-GB"/>
              </w:rPr>
              <w:t>45</w:t>
            </w:r>
          </w:p>
          <w:p w14:paraId="0935285B" w14:textId="77777777" w:rsidR="00E51949" w:rsidRPr="00E51949" w:rsidRDefault="00E51949" w:rsidP="00C314A3">
            <w:pPr>
              <w:pStyle w:val="CDITable-RowBullets"/>
              <w:rPr>
                <w:lang w:val="en-GB"/>
              </w:rPr>
            </w:pPr>
            <w:r w:rsidRPr="00E51949">
              <w:rPr>
                <w:lang w:val="en-GB"/>
              </w:rPr>
              <w:t>RSV LRTI: 82.6% (96.95% CI: 57.9–94.1); severe RSV LRTI: 94.1% (96.95% CI: 62.4–99.9)</w:t>
            </w:r>
          </w:p>
          <w:p w14:paraId="5759ECFF" w14:textId="77777777" w:rsidR="00E51949" w:rsidRPr="00E51949" w:rsidRDefault="00E51949" w:rsidP="00C314A3">
            <w:pPr>
              <w:pStyle w:val="CDITable-RowLeft"/>
              <w:spacing w:before="120" w:beforeAutospacing="0" w:after="0" w:afterAutospacing="0"/>
              <w:rPr>
                <w:lang w:val="en-GB"/>
              </w:rPr>
            </w:pPr>
            <w:r w:rsidRPr="00E51949">
              <w:rPr>
                <w:lang w:val="en-GB"/>
              </w:rPr>
              <w:t>Second season</w:t>
            </w:r>
            <w:proofErr w:type="gramStart"/>
            <w:r w:rsidRPr="00E51949">
              <w:rPr>
                <w:vertAlign w:val="superscript"/>
                <w:lang w:val="en-GB"/>
              </w:rPr>
              <w:t>45,e</w:t>
            </w:r>
            <w:proofErr w:type="gramEnd"/>
          </w:p>
          <w:p w14:paraId="2FE5C67C" w14:textId="77777777" w:rsidR="00E51949" w:rsidRPr="00E51949" w:rsidRDefault="00E51949" w:rsidP="00C314A3">
            <w:pPr>
              <w:pStyle w:val="CDITable-RowBullets"/>
              <w:rPr>
                <w:lang w:val="en-GB"/>
              </w:rPr>
            </w:pPr>
            <w:r w:rsidRPr="00E51949">
              <w:rPr>
                <w:lang w:val="en-GB"/>
              </w:rPr>
              <w:t>RSV LRTI: 56.1% (95% CI: 28.2–74.4); severe RSV LRTI: 64.2% (95% CI: 6.2–89.2)</w:t>
            </w:r>
          </w:p>
          <w:p w14:paraId="1CFC4057" w14:textId="77777777" w:rsidR="00E51949" w:rsidRPr="00E51949" w:rsidRDefault="00E51949" w:rsidP="00C314A3">
            <w:pPr>
              <w:pStyle w:val="CDITable-RowLeft"/>
              <w:spacing w:before="120" w:beforeAutospacing="0" w:after="0" w:afterAutospacing="0"/>
              <w:rPr>
                <w:lang w:val="en-GB"/>
              </w:rPr>
            </w:pPr>
            <w:r w:rsidRPr="00E51949">
              <w:rPr>
                <w:lang w:val="en-GB"/>
              </w:rPr>
              <w:t>Third season</w:t>
            </w:r>
            <w:proofErr w:type="gramStart"/>
            <w:r w:rsidRPr="00E51949">
              <w:rPr>
                <w:vertAlign w:val="superscript"/>
                <w:lang w:val="en-GB"/>
              </w:rPr>
              <w:t>46,e</w:t>
            </w:r>
            <w:proofErr w:type="gramEnd"/>
          </w:p>
          <w:p w14:paraId="143D136A" w14:textId="77777777" w:rsidR="00E51949" w:rsidRPr="00E51949" w:rsidRDefault="00E51949" w:rsidP="00C314A3">
            <w:pPr>
              <w:pStyle w:val="CDITable-RowBullets"/>
              <w:rPr>
                <w:lang w:val="en-GB"/>
              </w:rPr>
            </w:pPr>
            <w:r w:rsidRPr="00E51949">
              <w:rPr>
                <w:lang w:val="en-GB"/>
              </w:rPr>
              <w:t>RSV LRTI: 48.0% (95% CI: 8.7–72.0); severe RSV LRTI: 43.3% (95% CI: -45.3–81.3)</w:t>
            </w:r>
          </w:p>
          <w:p w14:paraId="061E79C4" w14:textId="77777777" w:rsidR="00E51949" w:rsidRPr="00E51949" w:rsidRDefault="00E51949" w:rsidP="00C314A3">
            <w:pPr>
              <w:pStyle w:val="CDITable-RowLeft"/>
              <w:spacing w:before="120" w:beforeAutospacing="0" w:after="0" w:afterAutospacing="0"/>
              <w:rPr>
                <w:lang w:val="en-GB"/>
              </w:rPr>
            </w:pPr>
            <w:r w:rsidRPr="00E51949">
              <w:rPr>
                <w:lang w:val="en-GB"/>
              </w:rPr>
              <w:t>Combined three seasons</w:t>
            </w:r>
            <w:proofErr w:type="gramStart"/>
            <w:r w:rsidRPr="00E51949">
              <w:rPr>
                <w:vertAlign w:val="superscript"/>
                <w:lang w:val="en-GB"/>
              </w:rPr>
              <w:t>46,f</w:t>
            </w:r>
            <w:proofErr w:type="gramEnd"/>
          </w:p>
          <w:p w14:paraId="5A3206C7" w14:textId="77777777" w:rsidR="00E51949" w:rsidRPr="00E51949" w:rsidRDefault="00E51949" w:rsidP="00C314A3">
            <w:pPr>
              <w:pStyle w:val="CDITable-RowBullets"/>
              <w:rPr>
                <w:lang w:val="en-GB"/>
              </w:rPr>
            </w:pPr>
            <w:r w:rsidRPr="00E51949">
              <w:rPr>
                <w:lang w:val="en-GB"/>
              </w:rPr>
              <w:t>RSV LRTI: 62.9% (97.5% CI: 46.7–74.8); severe RSV LRTI: 67.4% (95% CI: 42.4–82.7)</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4C3AF16F" w14:textId="77777777" w:rsidR="00E51949" w:rsidRPr="00E51949" w:rsidRDefault="00E51949" w:rsidP="00C314A3">
            <w:pPr>
              <w:pStyle w:val="CDITable-RowLeft"/>
              <w:spacing w:before="0" w:beforeAutospacing="0" w:after="0" w:afterAutospacing="0"/>
              <w:rPr>
                <w:lang w:val="en-GB"/>
              </w:rPr>
            </w:pPr>
            <w:r w:rsidRPr="00E51949">
              <w:rPr>
                <w:lang w:val="en-GB"/>
              </w:rPr>
              <w:t>Primary analysis period</w:t>
            </w:r>
            <w:r w:rsidRPr="00E51949">
              <w:rPr>
                <w:vertAlign w:val="superscript"/>
                <w:lang w:val="en-GB"/>
              </w:rPr>
              <w:t>47</w:t>
            </w:r>
          </w:p>
          <w:p w14:paraId="0C4D13CE" w14:textId="77777777" w:rsidR="00E51949" w:rsidRPr="00E51949" w:rsidRDefault="00E51949" w:rsidP="00C314A3">
            <w:pPr>
              <w:pStyle w:val="CDITable-RowBullets"/>
              <w:rPr>
                <w:lang w:val="en-GB"/>
              </w:rPr>
            </w:pPr>
            <w:r w:rsidRPr="00E51949">
              <w:rPr>
                <w:lang w:val="en-GB"/>
              </w:rPr>
              <w:t>RSV LRTI: 80.9% (95.1% CI: 50.1–92.7)</w:t>
            </w:r>
          </w:p>
          <w:p w14:paraId="03FD8F92" w14:textId="77777777" w:rsidR="00E51949" w:rsidRPr="00E51949" w:rsidRDefault="00E51949" w:rsidP="00C314A3">
            <w:pPr>
              <w:pStyle w:val="CDITable-RowLeft"/>
              <w:spacing w:before="120" w:beforeAutospacing="0" w:after="0" w:afterAutospacing="0"/>
              <w:rPr>
                <w:lang w:val="en-GB"/>
              </w:rPr>
            </w:pPr>
            <w:r w:rsidRPr="00E51949">
              <w:rPr>
                <w:lang w:val="en-GB"/>
              </w:rPr>
              <w:t>Additional analysis period</w:t>
            </w:r>
            <w:r w:rsidRPr="00E51949">
              <w:rPr>
                <w:vertAlign w:val="superscript"/>
                <w:lang w:val="en-GB"/>
              </w:rPr>
              <w:t>47</w:t>
            </w:r>
          </w:p>
          <w:p w14:paraId="31797D53" w14:textId="77777777" w:rsidR="00E51949" w:rsidRPr="00E51949" w:rsidRDefault="00E51949" w:rsidP="00C314A3">
            <w:pPr>
              <w:pStyle w:val="CDITable-RowBullets"/>
              <w:rPr>
                <w:lang w:val="en-GB"/>
              </w:rPr>
            </w:pPr>
            <w:r w:rsidRPr="00E51949">
              <w:rPr>
                <w:lang w:val="en-GB"/>
              </w:rPr>
              <w:t>RSV LRTI: 61.1% (95% CI: 34.7–76.8)</w:t>
            </w:r>
          </w:p>
          <w:p w14:paraId="1CC9B637" w14:textId="77777777" w:rsidR="00E51949" w:rsidRPr="00E51949" w:rsidRDefault="00E51949" w:rsidP="00C314A3">
            <w:pPr>
              <w:pStyle w:val="CDITable-RowLeft"/>
              <w:spacing w:before="120" w:beforeAutospacing="0" w:after="0" w:afterAutospacing="0"/>
              <w:rPr>
                <w:lang w:val="en-GB"/>
              </w:rPr>
            </w:pPr>
            <w:r w:rsidRPr="00E51949">
              <w:rPr>
                <w:lang w:val="en-GB"/>
              </w:rPr>
              <w:t>March 2024 analysis period</w:t>
            </w:r>
            <w:r w:rsidRPr="00E51949">
              <w:rPr>
                <w:vertAlign w:val="superscript"/>
                <w:lang w:val="en-GB"/>
              </w:rPr>
              <w:t>37</w:t>
            </w:r>
            <w:r w:rsidRPr="00E51949">
              <w:rPr>
                <w:lang w:val="en-GB"/>
              </w:rPr>
              <w:t xml:space="preserve"> </w:t>
            </w:r>
          </w:p>
          <w:p w14:paraId="01602663" w14:textId="77777777" w:rsidR="00E51949" w:rsidRPr="00E51949" w:rsidRDefault="00E51949" w:rsidP="00C314A3">
            <w:pPr>
              <w:pStyle w:val="CDITable-RowBullets"/>
              <w:rPr>
                <w:lang w:val="en-GB"/>
              </w:rPr>
            </w:pPr>
            <w:r w:rsidRPr="00E51949">
              <w:rPr>
                <w:lang w:val="en-GB"/>
              </w:rPr>
              <w:t>RSV LRTI: 49.9% (95% CI: 27.8–65.6)</w:t>
            </w:r>
          </w:p>
        </w:tc>
      </w:tr>
      <w:tr w:rsidR="00E51949" w:rsidRPr="00E51949" w14:paraId="243CA300" w14:textId="77777777" w:rsidTr="009A3D1D">
        <w:trPr>
          <w:trHeight w:val="60"/>
        </w:trPr>
        <w:tc>
          <w:tcPr>
            <w:tcW w:w="283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tcPr>
          <w:p w14:paraId="771FA347" w14:textId="77777777" w:rsidR="00E51949" w:rsidRPr="00E51949" w:rsidRDefault="00E51949" w:rsidP="00C314A3">
            <w:pPr>
              <w:pStyle w:val="CDITable-RowLeft"/>
              <w:keepNext/>
              <w:rPr>
                <w:b/>
                <w:bCs/>
                <w:lang w:val="en-GB"/>
              </w:rPr>
            </w:pPr>
            <w:r w:rsidRPr="00E51949">
              <w:rPr>
                <w:b/>
                <w:bCs/>
                <w:lang w:val="en-GB"/>
              </w:rPr>
              <w:t xml:space="preserve">Local </w:t>
            </w:r>
            <w:proofErr w:type="spellStart"/>
            <w:proofErr w:type="gramStart"/>
            <w:r w:rsidRPr="00E51949">
              <w:rPr>
                <w:b/>
                <w:bCs/>
                <w:lang w:val="en-GB"/>
              </w:rPr>
              <w:t>AE</w:t>
            </w:r>
            <w:r w:rsidRPr="00E51949">
              <w:rPr>
                <w:b/>
                <w:bCs/>
                <w:vertAlign w:val="superscript"/>
                <w:lang w:val="en-GB"/>
              </w:rPr>
              <w:t>d,g</w:t>
            </w:r>
            <w:proofErr w:type="spellEnd"/>
            <w:proofErr w:type="gramEnd"/>
          </w:p>
        </w:tc>
        <w:tc>
          <w:tcPr>
            <w:tcW w:w="3571" w:type="dxa"/>
            <w:tcBorders>
              <w:top w:val="single" w:sz="6" w:space="0" w:color="1E4496" w:themeColor="text2"/>
              <w:bottom w:val="single" w:sz="6" w:space="0" w:color="1E4496" w:themeColor="text2"/>
            </w:tcBorders>
            <w:shd w:val="solid" w:color="FFFFFF" w:fill="auto"/>
            <w:tcMar>
              <w:top w:w="113" w:type="dxa"/>
              <w:left w:w="113" w:type="dxa"/>
              <w:bottom w:w="113" w:type="dxa"/>
              <w:right w:w="113" w:type="dxa"/>
            </w:tcMar>
          </w:tcPr>
          <w:p w14:paraId="13C7DA66" w14:textId="77777777" w:rsidR="00E51949" w:rsidRPr="00E51949" w:rsidRDefault="00E51949" w:rsidP="00E51949">
            <w:pPr>
              <w:pStyle w:val="CDITable-RowLeft"/>
              <w:rPr>
                <w:lang w:val="en-GB"/>
              </w:rPr>
            </w:pPr>
            <w:r w:rsidRPr="00E51949">
              <w:rPr>
                <w:lang w:val="en-GB"/>
              </w:rPr>
              <w:t>Local AEs within 7 days of vaccination were experienced by 12.1% (95% CI: 11.1–13.3) of vaccine recipients compared with 6.6% (95% CI: 5.8–7.5) of placebo recipients</w:t>
            </w:r>
            <w:r w:rsidRPr="00E51949">
              <w:rPr>
                <w:vertAlign w:val="superscript"/>
                <w:lang w:val="en-GB"/>
              </w:rPr>
              <w:t>42</w:t>
            </w:r>
          </w:p>
        </w:tc>
        <w:tc>
          <w:tcPr>
            <w:tcW w:w="4366" w:type="dxa"/>
            <w:tcBorders>
              <w:top w:val="single" w:sz="6" w:space="0" w:color="1E4496" w:themeColor="text2"/>
              <w:bottom w:val="single" w:sz="6" w:space="0" w:color="1E4496" w:themeColor="text2"/>
            </w:tcBorders>
            <w:shd w:val="solid" w:color="FFFFFF" w:fill="auto"/>
            <w:tcMar>
              <w:top w:w="113" w:type="dxa"/>
              <w:left w:w="113" w:type="dxa"/>
              <w:bottom w:w="113" w:type="dxa"/>
              <w:right w:w="113" w:type="dxa"/>
            </w:tcMar>
          </w:tcPr>
          <w:p w14:paraId="75123B6A" w14:textId="77777777" w:rsidR="00E51949" w:rsidRPr="00E51949" w:rsidRDefault="00E51949" w:rsidP="00E51949">
            <w:pPr>
              <w:pStyle w:val="CDITable-RowLeft"/>
              <w:rPr>
                <w:lang w:val="en-GB"/>
              </w:rPr>
            </w:pPr>
            <w:r w:rsidRPr="00E51949">
              <w:rPr>
                <w:lang w:val="en-GB"/>
              </w:rPr>
              <w:t>Local AEs within 4 days of vaccination were experienced in 62.2% of vaccine recipients compared with 10.0% placebo recipients; pain was the most common reaction and reported by 60.9% vaccine recipients and 9.3% of placebo recipients</w:t>
            </w:r>
            <w:r w:rsidRPr="00E51949">
              <w:rPr>
                <w:vertAlign w:val="superscript"/>
                <w:lang w:val="en-GB"/>
              </w:rPr>
              <w:t>45</w:t>
            </w:r>
          </w:p>
        </w:tc>
        <w:tc>
          <w:tcPr>
            <w:tcW w:w="3571" w:type="dxa"/>
            <w:tcBorders>
              <w:top w:val="single" w:sz="6" w:space="0" w:color="1E4496" w:themeColor="text2"/>
              <w:bottom w:val="single" w:sz="6" w:space="0" w:color="1E4496" w:themeColor="text2"/>
            </w:tcBorders>
            <w:shd w:val="solid" w:color="FFFFFF" w:fill="auto"/>
            <w:tcMar>
              <w:top w:w="113" w:type="dxa"/>
              <w:left w:w="113" w:type="dxa"/>
              <w:bottom w:w="113" w:type="dxa"/>
              <w:right w:w="113" w:type="dxa"/>
            </w:tcMar>
          </w:tcPr>
          <w:p w14:paraId="577E52D5" w14:textId="77777777" w:rsidR="00E51949" w:rsidRPr="00E51949" w:rsidRDefault="00E51949" w:rsidP="00E51949">
            <w:pPr>
              <w:pStyle w:val="CDITable-RowLeft"/>
              <w:rPr>
                <w:lang w:val="en-GB"/>
              </w:rPr>
            </w:pPr>
            <w:r w:rsidRPr="00E51949">
              <w:rPr>
                <w:lang w:val="en-GB"/>
              </w:rPr>
              <w:t>Injection site symptoms within 7 days of vaccination included pain, axillary swelling or tenderness, swelling, and redness, and were reported by 55.9% of vaccine recipients and 13.8% of placebo recipients</w:t>
            </w:r>
            <w:r w:rsidRPr="00E51949">
              <w:rPr>
                <w:vertAlign w:val="superscript"/>
                <w:lang w:val="en-GB"/>
              </w:rPr>
              <w:t>47</w:t>
            </w:r>
          </w:p>
        </w:tc>
      </w:tr>
      <w:tr w:rsidR="00E51949" w:rsidRPr="00E51949" w14:paraId="1C1EAB3A" w14:textId="77777777" w:rsidTr="009A3D1D">
        <w:trPr>
          <w:trHeight w:val="60"/>
        </w:trPr>
        <w:tc>
          <w:tcPr>
            <w:tcW w:w="283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tcPr>
          <w:p w14:paraId="454606E0" w14:textId="77777777" w:rsidR="00E51949" w:rsidRPr="00E51949" w:rsidRDefault="00E51949" w:rsidP="00E51949">
            <w:pPr>
              <w:pStyle w:val="CDITable-RowLeft"/>
              <w:rPr>
                <w:b/>
                <w:bCs/>
                <w:lang w:val="en-GB"/>
              </w:rPr>
            </w:pPr>
            <w:r w:rsidRPr="00E51949">
              <w:rPr>
                <w:b/>
                <w:bCs/>
                <w:lang w:val="en-GB"/>
              </w:rPr>
              <w:t xml:space="preserve">Systemic </w:t>
            </w:r>
            <w:proofErr w:type="spellStart"/>
            <w:r w:rsidRPr="00E51949">
              <w:rPr>
                <w:b/>
                <w:bCs/>
                <w:lang w:val="en-GB"/>
              </w:rPr>
              <w:t>AE</w:t>
            </w:r>
            <w:r w:rsidRPr="00E51949">
              <w:rPr>
                <w:b/>
                <w:bCs/>
                <w:vertAlign w:val="superscript"/>
                <w:lang w:val="en-GB"/>
              </w:rPr>
              <w:t>g</w:t>
            </w:r>
            <w:proofErr w:type="spellEnd"/>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2A828AFB" w14:textId="77777777" w:rsidR="00E51949" w:rsidRPr="00E51949" w:rsidRDefault="00E51949" w:rsidP="00E51949">
            <w:pPr>
              <w:pStyle w:val="CDITable-RowLeft"/>
              <w:rPr>
                <w:lang w:val="en-GB"/>
              </w:rPr>
            </w:pPr>
            <w:r w:rsidRPr="00E51949">
              <w:rPr>
                <w:lang w:val="en-GB"/>
              </w:rPr>
              <w:t>27% of vaccine recipients experienced systemic AEs compared with 26% placebo recipients; common systemic adverse events include fatigue, headache, and myalgia</w:t>
            </w:r>
            <w:r w:rsidRPr="00E51949">
              <w:rPr>
                <w:vertAlign w:val="superscript"/>
                <w:lang w:val="en-GB"/>
              </w:rPr>
              <w:t>42</w:t>
            </w:r>
          </w:p>
        </w:tc>
        <w:tc>
          <w:tcPr>
            <w:tcW w:w="4366" w:type="dxa"/>
            <w:tcBorders>
              <w:top w:val="single" w:sz="6" w:space="0" w:color="1E4496" w:themeColor="text2"/>
              <w:bottom w:val="single" w:sz="6" w:space="0" w:color="1E4496" w:themeColor="text2"/>
            </w:tcBorders>
            <w:tcMar>
              <w:top w:w="113" w:type="dxa"/>
              <w:left w:w="113" w:type="dxa"/>
              <w:bottom w:w="113" w:type="dxa"/>
              <w:right w:w="113" w:type="dxa"/>
            </w:tcMar>
          </w:tcPr>
          <w:p w14:paraId="6D1A7D39" w14:textId="77777777" w:rsidR="00E51949" w:rsidRPr="00E51949" w:rsidRDefault="00E51949" w:rsidP="00E51949">
            <w:pPr>
              <w:pStyle w:val="CDITable-RowLeft"/>
              <w:rPr>
                <w:lang w:val="en-GB"/>
              </w:rPr>
            </w:pPr>
            <w:r w:rsidRPr="00E51949">
              <w:rPr>
                <w:lang w:val="en-GB"/>
              </w:rPr>
              <w:t>49.4% of vaccine recipients experienced systemic AEs compared with 23.2% of placebo recipients; fatigue was the most common and reported by 33.6% of vaccine recipients compared with 16.1% of placebo recipients</w:t>
            </w:r>
            <w:r w:rsidRPr="00E51949">
              <w:rPr>
                <w:vertAlign w:val="superscript"/>
                <w:lang w:val="en-GB"/>
              </w:rPr>
              <w:t>45</w:t>
            </w:r>
            <w:r w:rsidRPr="00E51949">
              <w:rPr>
                <w:lang w:val="en-GB"/>
              </w:rPr>
              <w:t xml:space="preserve"> </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2C42DCD5" w14:textId="77777777" w:rsidR="00E51949" w:rsidRPr="00E51949" w:rsidRDefault="00E51949" w:rsidP="00E51949">
            <w:pPr>
              <w:pStyle w:val="CDITable-RowLeft"/>
              <w:rPr>
                <w:lang w:val="en-GB"/>
              </w:rPr>
            </w:pPr>
            <w:r w:rsidRPr="00E51949">
              <w:rPr>
                <w:lang w:val="en-GB"/>
              </w:rPr>
              <w:t>Systemic AEs were experienced by 30.8% of vaccine recipients compared to 20.0% placebo recipients; common systemic AEs were fatigue, headache, and myalgia</w:t>
            </w:r>
            <w:r w:rsidRPr="00E51949">
              <w:rPr>
                <w:vertAlign w:val="superscript"/>
                <w:lang w:val="en-GB"/>
              </w:rPr>
              <w:t>47</w:t>
            </w:r>
          </w:p>
        </w:tc>
      </w:tr>
      <w:tr w:rsidR="00E51949" w:rsidRPr="00E51949" w14:paraId="7C063D54" w14:textId="77777777" w:rsidTr="009A3D1D">
        <w:trPr>
          <w:trHeight w:val="60"/>
        </w:trPr>
        <w:tc>
          <w:tcPr>
            <w:tcW w:w="2835"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tcPr>
          <w:p w14:paraId="5F9B8D5C" w14:textId="77777777" w:rsidR="00E51949" w:rsidRPr="00E51949" w:rsidRDefault="00E51949" w:rsidP="00E51949">
            <w:pPr>
              <w:pStyle w:val="CDITable-RowLeft"/>
              <w:rPr>
                <w:b/>
                <w:bCs/>
                <w:lang w:val="en-GB"/>
              </w:rPr>
            </w:pPr>
            <w:r w:rsidRPr="00E51949">
              <w:rPr>
                <w:b/>
                <w:bCs/>
                <w:lang w:val="en-GB"/>
              </w:rPr>
              <w:t xml:space="preserve">Serious </w:t>
            </w:r>
            <w:proofErr w:type="spellStart"/>
            <w:r w:rsidRPr="00E51949">
              <w:rPr>
                <w:b/>
                <w:bCs/>
                <w:lang w:val="en-GB"/>
              </w:rPr>
              <w:t>AE</w:t>
            </w:r>
            <w:r w:rsidRPr="00E51949">
              <w:rPr>
                <w:b/>
                <w:bCs/>
                <w:vertAlign w:val="superscript"/>
                <w:lang w:val="en-GB"/>
              </w:rPr>
              <w:t>g</w:t>
            </w:r>
            <w:proofErr w:type="spellEnd"/>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6D8AF296" w14:textId="77777777" w:rsidR="00E51949" w:rsidRPr="00E51949" w:rsidRDefault="00E51949" w:rsidP="00E51949">
            <w:pPr>
              <w:pStyle w:val="CDITable-RowLeft"/>
              <w:rPr>
                <w:lang w:val="en-GB"/>
              </w:rPr>
            </w:pPr>
            <w:r w:rsidRPr="00E51949">
              <w:rPr>
                <w:lang w:val="en-GB"/>
              </w:rPr>
              <w:t>No difference in the rates of serious adverse events compared to placebo.</w:t>
            </w:r>
          </w:p>
        </w:tc>
        <w:tc>
          <w:tcPr>
            <w:tcW w:w="4366" w:type="dxa"/>
            <w:tcBorders>
              <w:top w:val="single" w:sz="6" w:space="0" w:color="1E4496" w:themeColor="text2"/>
              <w:bottom w:val="single" w:sz="6" w:space="0" w:color="1E4496" w:themeColor="text2"/>
            </w:tcBorders>
            <w:tcMar>
              <w:top w:w="113" w:type="dxa"/>
              <w:left w:w="113" w:type="dxa"/>
              <w:bottom w:w="113" w:type="dxa"/>
              <w:right w:w="113" w:type="dxa"/>
            </w:tcMar>
          </w:tcPr>
          <w:p w14:paraId="0689617A" w14:textId="77777777" w:rsidR="00E51949" w:rsidRPr="00E51949" w:rsidRDefault="00E51949" w:rsidP="00E51949">
            <w:pPr>
              <w:pStyle w:val="CDITable-RowLeft"/>
              <w:rPr>
                <w:lang w:val="en-GB"/>
              </w:rPr>
            </w:pPr>
            <w:r w:rsidRPr="00E51949">
              <w:rPr>
                <w:lang w:val="en-GB"/>
              </w:rPr>
              <w:t>No difference in the rates of serious adverse events compared to placebo.</w:t>
            </w:r>
          </w:p>
        </w:tc>
        <w:tc>
          <w:tcPr>
            <w:tcW w:w="3571" w:type="dxa"/>
            <w:tcBorders>
              <w:top w:val="single" w:sz="6" w:space="0" w:color="1E4496" w:themeColor="text2"/>
              <w:bottom w:val="single" w:sz="6" w:space="0" w:color="1E4496" w:themeColor="text2"/>
            </w:tcBorders>
            <w:tcMar>
              <w:top w:w="113" w:type="dxa"/>
              <w:left w:w="113" w:type="dxa"/>
              <w:bottom w:w="113" w:type="dxa"/>
              <w:right w:w="113" w:type="dxa"/>
            </w:tcMar>
          </w:tcPr>
          <w:p w14:paraId="5F6D37E5" w14:textId="77777777" w:rsidR="00E51949" w:rsidRPr="00E51949" w:rsidRDefault="00E51949" w:rsidP="00E51949">
            <w:pPr>
              <w:pStyle w:val="CDITable-RowLeft"/>
              <w:rPr>
                <w:lang w:val="en-GB"/>
              </w:rPr>
            </w:pPr>
            <w:r w:rsidRPr="00E51949">
              <w:rPr>
                <w:lang w:val="en-GB"/>
              </w:rPr>
              <w:t>No difference in the rates of serious adverse events compared to placebo.</w:t>
            </w:r>
          </w:p>
        </w:tc>
      </w:tr>
    </w:tbl>
    <w:p w14:paraId="73B8912C" w14:textId="77777777" w:rsidR="00E51949" w:rsidRPr="00E51949" w:rsidRDefault="00E51949" w:rsidP="00E51949">
      <w:pPr>
        <w:pStyle w:val="CDITable-FirstFootnote"/>
        <w:rPr>
          <w:lang w:val="en-GB"/>
        </w:rPr>
      </w:pPr>
      <w:proofErr w:type="gramStart"/>
      <w:r w:rsidRPr="00E51949">
        <w:rPr>
          <w:lang w:val="en-GB"/>
        </w:rPr>
        <w:t>a</w:t>
      </w:r>
      <w:proofErr w:type="gramEnd"/>
      <w:r w:rsidRPr="00E51949">
        <w:rPr>
          <w:lang w:val="en-GB"/>
        </w:rPr>
        <w:tab/>
        <w:t>ATAGI: Australian Technical Advisory Group on Immunisation.</w:t>
      </w:r>
    </w:p>
    <w:p w14:paraId="0AA64231" w14:textId="77777777" w:rsidR="00E51949" w:rsidRPr="00E51949" w:rsidRDefault="00E51949" w:rsidP="00E51949">
      <w:pPr>
        <w:pStyle w:val="CDITable-Footnote"/>
        <w:rPr>
          <w:lang w:val="en-GB"/>
        </w:rPr>
      </w:pPr>
      <w:r w:rsidRPr="00E51949">
        <w:rPr>
          <w:lang w:val="en-GB"/>
        </w:rPr>
        <w:t>b</w:t>
      </w:r>
      <w:r w:rsidRPr="00E51949">
        <w:rPr>
          <w:lang w:val="en-GB"/>
        </w:rPr>
        <w:tab/>
        <w:t>LRTI: lower respiratory tract infection.</w:t>
      </w:r>
    </w:p>
    <w:p w14:paraId="2746195C" w14:textId="77777777" w:rsidR="00E51949" w:rsidRPr="00E51949" w:rsidRDefault="00E51949" w:rsidP="00E51949">
      <w:pPr>
        <w:pStyle w:val="CDITable-Footnote"/>
        <w:rPr>
          <w:lang w:val="en-GB"/>
        </w:rPr>
      </w:pPr>
      <w:r w:rsidRPr="00E51949">
        <w:rPr>
          <w:lang w:val="en-GB"/>
        </w:rPr>
        <w:t>c</w:t>
      </w:r>
      <w:r w:rsidRPr="00E51949">
        <w:rPr>
          <w:lang w:val="en-GB"/>
        </w:rPr>
        <w:tab/>
        <w:t xml:space="preserve">Evidence for efficacy of Abrysvo against severe RSV LRTI (not shown) is of low certainty due to insufficient data. </w:t>
      </w:r>
    </w:p>
    <w:p w14:paraId="4747A3CE" w14:textId="77777777" w:rsidR="00E51949" w:rsidRPr="00E51949" w:rsidRDefault="00E51949" w:rsidP="00E51949">
      <w:pPr>
        <w:pStyle w:val="CDITable-Footnote"/>
        <w:rPr>
          <w:lang w:val="en-GB"/>
        </w:rPr>
      </w:pPr>
      <w:r w:rsidRPr="00E51949">
        <w:rPr>
          <w:lang w:val="en-GB"/>
        </w:rPr>
        <w:t>d</w:t>
      </w:r>
      <w:r w:rsidRPr="00E51949">
        <w:rPr>
          <w:lang w:val="en-GB"/>
        </w:rPr>
        <w:tab/>
        <w:t>CI: confidence interval.</w:t>
      </w:r>
    </w:p>
    <w:p w14:paraId="2263F752" w14:textId="77777777" w:rsidR="00E51949" w:rsidRPr="00E51949" w:rsidRDefault="00E51949" w:rsidP="00E51949">
      <w:pPr>
        <w:pStyle w:val="CDITable-Footnote"/>
        <w:rPr>
          <w:lang w:val="en-GB"/>
        </w:rPr>
      </w:pPr>
      <w:r w:rsidRPr="00E51949">
        <w:rPr>
          <w:lang w:val="en-GB"/>
        </w:rPr>
        <w:t>e</w:t>
      </w:r>
      <w:r w:rsidRPr="00E51949">
        <w:rPr>
          <w:lang w:val="en-GB"/>
        </w:rPr>
        <w:tab/>
        <w:t>Season two or three efficacy of a single dose given in the first season.</w:t>
      </w:r>
    </w:p>
    <w:p w14:paraId="7013C453" w14:textId="77777777" w:rsidR="00E51949" w:rsidRPr="00E51949" w:rsidRDefault="00E51949" w:rsidP="00E51949">
      <w:pPr>
        <w:pStyle w:val="CDITable-Footnote"/>
        <w:rPr>
          <w:lang w:val="en-GB"/>
        </w:rPr>
      </w:pPr>
      <w:r w:rsidRPr="00E51949">
        <w:rPr>
          <w:lang w:val="en-GB"/>
        </w:rPr>
        <w:t>f</w:t>
      </w:r>
      <w:r w:rsidRPr="00E51949">
        <w:rPr>
          <w:lang w:val="en-GB"/>
        </w:rPr>
        <w:tab/>
        <w:t>Efficacy of a single dose over two or three RSV seasons.</w:t>
      </w:r>
    </w:p>
    <w:p w14:paraId="1EE4EFE2" w14:textId="77777777" w:rsidR="00E51949" w:rsidRDefault="00E51949" w:rsidP="00E51949">
      <w:pPr>
        <w:pStyle w:val="CDITable-Footnote"/>
        <w:rPr>
          <w:lang w:val="en-GB"/>
        </w:rPr>
        <w:sectPr w:rsidR="00E51949" w:rsidSect="00E51949">
          <w:footnotePr>
            <w:numFmt w:val="lowerRoman"/>
          </w:footnotePr>
          <w:pgSz w:w="16840" w:h="11907" w:orient="landscape" w:code="9"/>
          <w:pgMar w:top="1134" w:right="1134" w:bottom="1134" w:left="1134" w:header="709" w:footer="567" w:gutter="0"/>
          <w:cols w:space="708"/>
          <w:docGrid w:linePitch="360"/>
        </w:sectPr>
      </w:pPr>
      <w:r w:rsidRPr="00E51949">
        <w:rPr>
          <w:lang w:val="en-GB"/>
        </w:rPr>
        <w:t>g</w:t>
      </w:r>
      <w:r w:rsidRPr="00E51949">
        <w:rPr>
          <w:lang w:val="en-GB"/>
        </w:rPr>
        <w:tab/>
        <w:t>AE: adverse event.</w:t>
      </w:r>
    </w:p>
    <w:p w14:paraId="3D25BFA6" w14:textId="77777777" w:rsidR="00E51949" w:rsidRPr="00E51949" w:rsidRDefault="00E51949" w:rsidP="00E51949">
      <w:pPr>
        <w:pStyle w:val="Heading2-nospacebefore"/>
      </w:pPr>
      <w:bookmarkStart w:id="23" w:name="_Toc229657253"/>
      <w:r w:rsidRPr="00E51949">
        <w:t>Safety</w:t>
      </w:r>
      <w:bookmarkEnd w:id="23"/>
    </w:p>
    <w:p w14:paraId="6C361A25" w14:textId="77777777" w:rsidR="00E51949" w:rsidRPr="00E51949" w:rsidRDefault="00E51949" w:rsidP="00E51949">
      <w:pPr>
        <w:rPr>
          <w:lang w:val="en-GB"/>
        </w:rPr>
      </w:pPr>
      <w:r w:rsidRPr="00E51949">
        <w:rPr>
          <w:lang w:val="en-GB"/>
        </w:rPr>
        <w:t xml:space="preserve">Overall, a higher proportion of RSV vaccine recipients in clinical trials experienced local and systemic AEs within 4–7 days following vaccination. Common local AEs, including pain, swelling, and redness at the injection site, were reported by 12% of Abrysvo recipients and by approximately 60% of </w:t>
      </w:r>
      <w:proofErr w:type="spellStart"/>
      <w:r w:rsidRPr="00E51949">
        <w:rPr>
          <w:lang w:val="en-GB"/>
        </w:rPr>
        <w:t>Arexvy</w:t>
      </w:r>
      <w:proofErr w:type="spellEnd"/>
      <w:r w:rsidRPr="00E51949">
        <w:rPr>
          <w:lang w:val="en-GB"/>
        </w:rPr>
        <w:t xml:space="preserve"> or </w:t>
      </w:r>
      <w:proofErr w:type="spellStart"/>
      <w:r w:rsidRPr="00E51949">
        <w:rPr>
          <w:lang w:val="en-GB"/>
        </w:rPr>
        <w:t>mRESVIA</w:t>
      </w:r>
      <w:proofErr w:type="spellEnd"/>
      <w:r w:rsidRPr="00E51949">
        <w:rPr>
          <w:lang w:val="en-GB"/>
        </w:rPr>
        <w:t xml:space="preserve"> recipients, compared to 7–16 % who received placebo (Table 4). Common systemic AEs were fatigue, headache, and myalgia. Systemic AEs were reported in 28% of Abrysvo recipients and approximately 50% of people who received either </w:t>
      </w:r>
      <w:proofErr w:type="spellStart"/>
      <w:r w:rsidRPr="00E51949">
        <w:rPr>
          <w:lang w:val="en-GB"/>
        </w:rPr>
        <w:t>Arexvy</w:t>
      </w:r>
      <w:proofErr w:type="spellEnd"/>
      <w:r w:rsidRPr="00E51949">
        <w:rPr>
          <w:lang w:val="en-GB"/>
        </w:rPr>
        <w:t xml:space="preserve"> or </w:t>
      </w:r>
      <w:proofErr w:type="spellStart"/>
      <w:r w:rsidRPr="00E51949">
        <w:rPr>
          <w:lang w:val="en-GB"/>
        </w:rPr>
        <w:t>mRESVIA</w:t>
      </w:r>
      <w:proofErr w:type="spellEnd"/>
      <w:r w:rsidRPr="00E51949">
        <w:rPr>
          <w:lang w:val="en-GB"/>
        </w:rPr>
        <w:t xml:space="preserve">, compared to 23–33% of those who received a placebo. For serious AEs, no significant differences were seen between vaccine and placebo groups across the three respective phase 3 vaccine clinical trials. </w:t>
      </w:r>
    </w:p>
    <w:p w14:paraId="7295EB49" w14:textId="77777777" w:rsidR="00E51949" w:rsidRPr="00E51949" w:rsidRDefault="00E51949" w:rsidP="00E51949">
      <w:pPr>
        <w:rPr>
          <w:lang w:val="en-GB"/>
        </w:rPr>
      </w:pPr>
      <w:r w:rsidRPr="00E51949">
        <w:rPr>
          <w:lang w:val="en-GB"/>
        </w:rPr>
        <w:t xml:space="preserve">During the clinical trials for these vaccines, adverse events of special interest (AESI), including autoimmune inflammatory neurologic conditions (e.g. Guillain-Barré Syndrome [GBS]) and atrial fibrillation, were also reported. However, the number of these AESI were very small and not unbalanced between study arms, precluding any possibility of establishing a causative link with RSV vaccines. In the USA, a preliminary analysis of first season post-marketing safety surveillance data has suggested a higher incidence of GBS than expected, in the six weeks after vaccination with Abrysvo or </w:t>
      </w:r>
      <w:proofErr w:type="spellStart"/>
      <w:r w:rsidRPr="00E51949">
        <w:rPr>
          <w:lang w:val="en-GB"/>
        </w:rPr>
        <w:t>Arexvy</w:t>
      </w:r>
      <w:proofErr w:type="spellEnd"/>
      <w:r w:rsidRPr="00E51949">
        <w:rPr>
          <w:lang w:val="en-GB"/>
        </w:rPr>
        <w:t>, of approximately 6–9 per 1 million doses.</w:t>
      </w:r>
      <w:r w:rsidRPr="00E51949">
        <w:rPr>
          <w:vertAlign w:val="superscript"/>
          <w:lang w:val="en-GB"/>
        </w:rPr>
        <w:t>41</w:t>
      </w:r>
      <w:r w:rsidRPr="00E51949">
        <w:rPr>
          <w:lang w:val="en-GB"/>
        </w:rPr>
        <w:t xml:space="preserve"> However, GBS remains rare, and further confirmatory analyses are required once larger numbers of people have been vaccinated to determine whether the observed association exists.</w:t>
      </w:r>
    </w:p>
    <w:p w14:paraId="3EA936C2" w14:textId="77777777" w:rsidR="00AC46DC" w:rsidRPr="00BE73E6" w:rsidRDefault="00AC46DC" w:rsidP="00AC46DC">
      <w:pPr>
        <w:rPr>
          <w:lang w:val="en-GB"/>
        </w:rPr>
      </w:pPr>
    </w:p>
    <w:p w14:paraId="7CA694E1" w14:textId="5965A0F2" w:rsidR="006E0B0E" w:rsidRDefault="009A3D1D" w:rsidP="008017B6">
      <w:pPr>
        <w:pStyle w:val="Heading1"/>
      </w:pPr>
      <w:bookmarkStart w:id="24" w:name="_Toc229657254"/>
      <w:bookmarkStart w:id="25" w:name="_Toc195519590"/>
      <w:bookmarkStart w:id="26" w:name="_Toc195522359"/>
      <w:r w:rsidRPr="009A3D1D">
        <w:t>Current RSV immunisation programs and target populations in Australia and comparative countries</w:t>
      </w:r>
      <w:bookmarkEnd w:id="24"/>
    </w:p>
    <w:p w14:paraId="4F55CD38" w14:textId="77777777" w:rsidR="009A3D1D" w:rsidRPr="009A3D1D" w:rsidRDefault="009A3D1D" w:rsidP="009A3D1D">
      <w:pPr>
        <w:pStyle w:val="Heading2"/>
        <w:rPr>
          <w:lang w:val="en-GB"/>
        </w:rPr>
      </w:pPr>
      <w:bookmarkStart w:id="27" w:name="_Toc229657255"/>
      <w:r w:rsidRPr="009A3D1D">
        <w:rPr>
          <w:lang w:val="en-GB"/>
        </w:rPr>
        <w:t>Australia</w:t>
      </w:r>
      <w:bookmarkEnd w:id="27"/>
    </w:p>
    <w:p w14:paraId="29AEACD8" w14:textId="13CE2222" w:rsidR="009A3D1D" w:rsidRPr="009A3D1D" w:rsidRDefault="009A3D1D" w:rsidP="009A3D1D">
      <w:pPr>
        <w:rPr>
          <w:lang w:val="en-GB"/>
        </w:rPr>
      </w:pPr>
      <w:r w:rsidRPr="009A3D1D">
        <w:rPr>
          <w:lang w:val="en-GB"/>
        </w:rPr>
        <w:t>Since late 2023, three new RSV vaccines and a monoclonal antibody (nirsevimab) have been registered in Australia. Jurisdictional immunisation programs using nirsevimab were introduced in the Australian Capital Territory, New South Wales, Queensland, Tasmania and Western Australia in early 2024, with varying eligibility.</w:t>
      </w:r>
      <w:r w:rsidRPr="009A3D1D">
        <w:rPr>
          <w:vertAlign w:val="superscript"/>
          <w:lang w:val="en-GB"/>
        </w:rPr>
        <w:t>48–52</w:t>
      </w:r>
      <w:r w:rsidRPr="009A3D1D">
        <w:rPr>
          <w:lang w:val="en-GB"/>
        </w:rPr>
        <w:t xml:space="preserve"> In Australia, a national RSV maternal and infant immunisation program commenced in early 2025, targeting infant protection through maternal vaccination in pregnancy funded under the NIP. This has been coordinated with state and territory funding of nirsevimab for infants and children requiring protection between the ages of birth and 2</w:t>
      </w:r>
      <w:r>
        <w:rPr>
          <w:lang w:val="en-GB"/>
        </w:rPr>
        <w:t> </w:t>
      </w:r>
      <w:r w:rsidRPr="009A3D1D">
        <w:rPr>
          <w:lang w:val="en-GB"/>
        </w:rPr>
        <w:t xml:space="preserve">years of age. Legislative change under consideration may eventually allow funding of nirsevimab on the NIP. </w:t>
      </w:r>
    </w:p>
    <w:p w14:paraId="2D29A998" w14:textId="323BBF36" w:rsidR="009A3D1D" w:rsidRPr="009A3D1D" w:rsidRDefault="009A3D1D" w:rsidP="009A3D1D">
      <w:pPr>
        <w:rPr>
          <w:lang w:val="en-GB"/>
        </w:rPr>
      </w:pPr>
      <w:r w:rsidRPr="009A3D1D">
        <w:rPr>
          <w:lang w:val="en-GB"/>
        </w:rPr>
        <w:t>An RSV vaccine for older adults (Abrysvo) received a positive recommendation for adults aged ≥</w:t>
      </w:r>
      <w:r>
        <w:rPr>
          <w:lang w:val="en-GB"/>
        </w:rPr>
        <w:t> </w:t>
      </w:r>
      <w:r w:rsidRPr="009A3D1D">
        <w:rPr>
          <w:lang w:val="en-GB"/>
        </w:rPr>
        <w:t>75 years, and for First Nations people aged 60 to 74 years, in November 2024 by the Pharmaceutical Benefits Advisory Committee (PBAC), potentially allowing for its inclusion on the NIP in the future.</w:t>
      </w:r>
      <w:r w:rsidRPr="009A3D1D">
        <w:rPr>
          <w:vertAlign w:val="superscript"/>
          <w:lang w:val="en-GB"/>
        </w:rPr>
        <w:t>53</w:t>
      </w:r>
      <w:r w:rsidRPr="009A3D1D">
        <w:rPr>
          <w:lang w:val="en-GB"/>
        </w:rPr>
        <w:t xml:space="preserve"> </w:t>
      </w:r>
      <w:proofErr w:type="spellStart"/>
      <w:r w:rsidRPr="009A3D1D">
        <w:rPr>
          <w:lang w:val="en-GB"/>
        </w:rPr>
        <w:t>Arexvy</w:t>
      </w:r>
      <w:proofErr w:type="spellEnd"/>
      <w:r w:rsidRPr="009A3D1D">
        <w:rPr>
          <w:lang w:val="en-GB"/>
        </w:rPr>
        <w:t xml:space="preserve"> is being reconsidered by PBAC for inclusion on the NIP in July 2025 after a previous negative recommendation in July 2024. </w:t>
      </w:r>
    </w:p>
    <w:p w14:paraId="325BFEDE" w14:textId="77777777" w:rsidR="009A3D1D" w:rsidRPr="009A3D1D" w:rsidRDefault="009A3D1D" w:rsidP="009A3D1D">
      <w:pPr>
        <w:rPr>
          <w:lang w:val="en-GB"/>
        </w:rPr>
      </w:pPr>
      <w:r w:rsidRPr="009A3D1D">
        <w:rPr>
          <w:lang w:val="en-GB"/>
        </w:rPr>
        <w:t>ATAGI has provided recommendations for the use of RSV vaccines and nirsevimab via statements</w:t>
      </w:r>
      <w:r w:rsidRPr="009A3D1D">
        <w:rPr>
          <w:vertAlign w:val="superscript"/>
          <w:lang w:val="en-GB"/>
        </w:rPr>
        <w:t>54,55</w:t>
      </w:r>
      <w:r w:rsidRPr="009A3D1D">
        <w:rPr>
          <w:lang w:val="en-GB"/>
        </w:rPr>
        <w:t xml:space="preserve"> and the Australian Immunisation Handbook.</w:t>
      </w:r>
      <w:r w:rsidRPr="009A3D1D">
        <w:rPr>
          <w:vertAlign w:val="superscript"/>
          <w:lang w:val="en-GB"/>
        </w:rPr>
        <w:t>3</w:t>
      </w:r>
      <w:r w:rsidRPr="009A3D1D">
        <w:rPr>
          <w:lang w:val="en-GB"/>
        </w:rPr>
        <w:t xml:space="preserve"> ATAGI will update the recommendations, including those on </w:t>
      </w:r>
      <w:proofErr w:type="spellStart"/>
      <w:r w:rsidRPr="009A3D1D">
        <w:rPr>
          <w:lang w:val="en-GB"/>
        </w:rPr>
        <w:t>mRESVIA</w:t>
      </w:r>
      <w:proofErr w:type="spellEnd"/>
      <w:r w:rsidRPr="009A3D1D">
        <w:rPr>
          <w:lang w:val="en-GB"/>
        </w:rPr>
        <w:t xml:space="preserve"> once it is available for use. </w:t>
      </w:r>
    </w:p>
    <w:p w14:paraId="0E4D4B8A" w14:textId="77777777" w:rsidR="009A3D1D" w:rsidRPr="009A3D1D" w:rsidRDefault="009A3D1D" w:rsidP="009A3D1D">
      <w:pPr>
        <w:pStyle w:val="Heading3"/>
        <w:rPr>
          <w:lang w:val="en-GB"/>
        </w:rPr>
      </w:pPr>
      <w:r w:rsidRPr="009A3D1D">
        <w:rPr>
          <w:lang w:val="en-GB"/>
        </w:rPr>
        <w:t>Protection of infants by maternal vaccination or monoclonal antibodies</w:t>
      </w:r>
    </w:p>
    <w:p w14:paraId="4657AC26" w14:textId="77777777" w:rsidR="009A3D1D" w:rsidRPr="009A3D1D" w:rsidRDefault="009A3D1D" w:rsidP="009A3D1D">
      <w:pPr>
        <w:rPr>
          <w:lang w:val="en-GB"/>
        </w:rPr>
      </w:pPr>
      <w:r w:rsidRPr="009A3D1D">
        <w:rPr>
          <w:lang w:val="en-GB"/>
        </w:rPr>
        <w:t>One RSV vaccine, Abrysvo, is registered for administration in pregnant persons at 24–36 weeks to protect newborns and infants against RSV-associated LRTI. ATAGI currently recommends a single dose of Abrysvo among pregnant people at 28–36 weeks of gestation at any time of the year. The narrower recommended dosing window during pregnancy takes into consideration current uncertainty around the potential increased risk of preterm birth after vaccination, while ensuring enough opportunities for timely vaccination of pregnant persons at routine antenatal appointments and maximising protection should an infant be born preterm. The lower gestational age limit may be reduced in future if surveillance of post-licensure use in pregnancy indicates absence of any association between RSV vaccination and preterm birth.</w:t>
      </w:r>
    </w:p>
    <w:p w14:paraId="2C73FE6E" w14:textId="77777777" w:rsidR="009A3D1D" w:rsidRPr="009A3D1D" w:rsidRDefault="009A3D1D" w:rsidP="009A3D1D">
      <w:pPr>
        <w:rPr>
          <w:lang w:val="en-GB"/>
        </w:rPr>
      </w:pPr>
      <w:r w:rsidRPr="009A3D1D">
        <w:rPr>
          <w:lang w:val="en-GB"/>
        </w:rPr>
        <w:t>Abrysvo can be given beyond 36 weeks gestation; however, if given less than two weeks before delivery, the newborn infant will not be adequately protected by maternal vaccination, due to the limited time available for transplacental transfer of vaccine-induced maternal antibodies. Protection from maternal RSV vaccination may also be suboptimal due to impaired maternal response to vaccination during pregnancy (e.g. severe maternal immunosuppression) or if an infant undergoes procedures such as exchange transfusion, cardiopulmonary bypass or extracorporeal membrane oxygenation which can be associated with loss of protective RSV antibodies. In these situations, the administration of a long-acting RSV monoclonal antibody such as nirsevimab can be considered for additional prophylaxis. Nirsevimab may also be considered irrespective of maternal RSV vaccination in infants at increased risk of severe RSV disease, and for medically at-risk children who enter their second RSV season.</w:t>
      </w:r>
      <w:r w:rsidRPr="009A3D1D">
        <w:rPr>
          <w:vertAlign w:val="superscript"/>
          <w:lang w:val="en-GB"/>
        </w:rPr>
        <w:t>3</w:t>
      </w:r>
    </w:p>
    <w:p w14:paraId="78F48684" w14:textId="77777777" w:rsidR="009A3D1D" w:rsidRPr="009A3D1D" w:rsidRDefault="009A3D1D" w:rsidP="009A3D1D">
      <w:pPr>
        <w:rPr>
          <w:lang w:val="en-GB"/>
        </w:rPr>
      </w:pPr>
      <w:r w:rsidRPr="009A3D1D">
        <w:rPr>
          <w:lang w:val="en-GB"/>
        </w:rPr>
        <w:t xml:space="preserve">A long-acting RSV monoclonal antibody for infants, nirsevimab, can also be considered as an alternative to maternal RSV vaccine. In Australia, it is being used to complement maternal vaccination as a second opportunity to provide protection to infants, particularly those born to mothers who did not receive the RSV vaccine during pregnancy at least two weeks before giving birth. </w:t>
      </w:r>
    </w:p>
    <w:p w14:paraId="57D97DDF" w14:textId="77777777" w:rsidR="009A3D1D" w:rsidRPr="009A3D1D" w:rsidRDefault="009A3D1D" w:rsidP="009A3D1D">
      <w:pPr>
        <w:pStyle w:val="Heading3"/>
        <w:rPr>
          <w:lang w:val="en-GB"/>
        </w:rPr>
      </w:pPr>
      <w:r w:rsidRPr="009A3D1D">
        <w:rPr>
          <w:lang w:val="en-GB"/>
        </w:rPr>
        <w:t>Protection of older adults</w:t>
      </w:r>
    </w:p>
    <w:p w14:paraId="4DBEC108" w14:textId="77777777" w:rsidR="009A3D1D" w:rsidRPr="009A3D1D" w:rsidRDefault="009A3D1D" w:rsidP="009A3D1D">
      <w:pPr>
        <w:rPr>
          <w:lang w:val="en-GB"/>
        </w:rPr>
      </w:pPr>
      <w:r w:rsidRPr="009A3D1D">
        <w:rPr>
          <w:lang w:val="en-GB"/>
        </w:rPr>
        <w:t xml:space="preserve">ATAGI recommends a single dose of RSV vaccine in all adults aged ≥ 75 years. ATAGI also recommends RSV vaccinations in adults aged 60–74 years who are at increased risk of severe RSV disease, specifically First Nations people and individuals with specified medical conditions (Table 5). Individuals aged 50–59 years of age, and at increased risk of severe RSV disease, can consider vaccination with </w:t>
      </w:r>
      <w:proofErr w:type="spellStart"/>
      <w:r w:rsidRPr="009A3D1D">
        <w:rPr>
          <w:lang w:val="en-GB"/>
        </w:rPr>
        <w:t>Arexvy</w:t>
      </w:r>
      <w:proofErr w:type="spellEnd"/>
      <w:r w:rsidRPr="009A3D1D">
        <w:rPr>
          <w:lang w:val="en-GB"/>
        </w:rPr>
        <w:t>. The list of medical conditions recommended for RSV vaccination broadly aligns with the conditions recommended for vaccination for other acute respiratory virus diseases (influenza and COVID-19) based on evidence and expert opinion. There are relatively less data showing direct associations between severe RSV disease and some specified medical conditions (e.g. some chronic metabolic disorders, liver disorders and neurological conditions); however, these are included based on first principles.</w:t>
      </w:r>
    </w:p>
    <w:p w14:paraId="13048D41" w14:textId="454E5818" w:rsidR="00DD3928" w:rsidRDefault="009A3D1D" w:rsidP="00DD3928">
      <w:pPr>
        <w:rPr>
          <w:lang w:val="en-GB"/>
        </w:rPr>
      </w:pPr>
      <w:r w:rsidRPr="009A3D1D">
        <w:rPr>
          <w:lang w:val="en-GB"/>
        </w:rPr>
        <w:t xml:space="preserve">RSV vaccination may also be considered in healthy adults aged 60–74 years. However, the benefits are expected to be less, due to a comparatively lower risk for severe RSV disease than in people aged ≥ 75 years or in those with risk conditions for severe RSV. RSV vaccines can be given at any time of the year, but where possible should be offered prior to the start of the RSV season. There is no preferential recommendation for a specific brand of the registered vaccines in this age group; however, at the time of publication, </w:t>
      </w:r>
      <w:proofErr w:type="spellStart"/>
      <w:r w:rsidRPr="009A3D1D">
        <w:rPr>
          <w:lang w:val="en-GB"/>
        </w:rPr>
        <w:t>mRESVIA</w:t>
      </w:r>
      <w:proofErr w:type="spellEnd"/>
      <w:r w:rsidRPr="009A3D1D">
        <w:rPr>
          <w:lang w:val="en-GB"/>
        </w:rPr>
        <w:t xml:space="preserve"> is not yet available for prescription.</w:t>
      </w:r>
      <w:r w:rsidR="00DD3928">
        <w:rPr>
          <w:lang w:val="en-GB"/>
        </w:rPr>
        <w:br w:type="page"/>
      </w:r>
    </w:p>
    <w:p w14:paraId="64F4E30C" w14:textId="77777777" w:rsidR="009A3D1D" w:rsidRPr="009A3D1D" w:rsidRDefault="009A3D1D" w:rsidP="009A3D1D">
      <w:pPr>
        <w:pStyle w:val="CDITable-Title"/>
        <w:rPr>
          <w:lang w:val="en-GB"/>
        </w:rPr>
      </w:pPr>
      <w:r w:rsidRPr="009A3D1D">
        <w:rPr>
          <w:lang w:val="en-GB"/>
        </w:rPr>
        <w:t>Table 5: Medical conditions with increased risk of severe respiratory syncytial virus (RSV) disease recommended by the Australian Technical Advisory Group on Immunisation (ATAGI) for RSV vaccination among older adults</w:t>
      </w:r>
    </w:p>
    <w:tbl>
      <w:tblPr>
        <w:tblW w:w="0" w:type="auto"/>
        <w:tblLayout w:type="fixed"/>
        <w:tblCellMar>
          <w:left w:w="0" w:type="dxa"/>
          <w:right w:w="0" w:type="dxa"/>
        </w:tblCellMar>
        <w:tblLook w:val="0000" w:firstRow="0" w:lastRow="0" w:firstColumn="0" w:lastColumn="0" w:noHBand="0" w:noVBand="0"/>
        <w:tblCaption w:val="Table 5: Medical conditions with increased risk of severe respiratory syncytial virus (RSV) disease recommended by the Australian Technical Advisory Group on Immunisation (ATAGI) for RSV vaccination among older adults"/>
        <w:tblDescription w:val="Table 5 outlines the medical conditions for which ATAGI recommends RSV vaccination in adults aged 60 to 74 years."/>
      </w:tblPr>
      <w:tblGrid>
        <w:gridCol w:w="3458"/>
        <w:gridCol w:w="6180"/>
      </w:tblGrid>
      <w:tr w:rsidR="00DD3928" w:rsidRPr="00DD3928" w14:paraId="739378A2" w14:textId="77777777" w:rsidTr="00DD3928">
        <w:trPr>
          <w:trHeight w:val="60"/>
          <w:tblHeader/>
        </w:trPr>
        <w:tc>
          <w:tcPr>
            <w:tcW w:w="3458" w:type="dxa"/>
            <w:shd w:val="clear" w:color="auto" w:fill="1E4496" w:themeFill="text2"/>
            <w:tcMar>
              <w:top w:w="113" w:type="dxa"/>
              <w:left w:w="113" w:type="dxa"/>
              <w:bottom w:w="113" w:type="dxa"/>
              <w:right w:w="113" w:type="dxa"/>
            </w:tcMar>
            <w:vAlign w:val="bottom"/>
          </w:tcPr>
          <w:p w14:paraId="689B58A1" w14:textId="77777777" w:rsidR="00DD3928" w:rsidRPr="00DD3928" w:rsidRDefault="00DD3928" w:rsidP="00DD3928">
            <w:pPr>
              <w:pStyle w:val="CDITable-HeaderRowLeft"/>
              <w:rPr>
                <w:lang w:val="en-GB"/>
              </w:rPr>
            </w:pPr>
            <w:r w:rsidRPr="00DD3928">
              <w:rPr>
                <w:lang w:val="en-GB"/>
              </w:rPr>
              <w:t>Risk category</w:t>
            </w:r>
          </w:p>
        </w:tc>
        <w:tc>
          <w:tcPr>
            <w:tcW w:w="6180" w:type="dxa"/>
            <w:shd w:val="clear" w:color="auto" w:fill="1E4496" w:themeFill="text2"/>
            <w:tcMar>
              <w:top w:w="113" w:type="dxa"/>
              <w:left w:w="113" w:type="dxa"/>
              <w:bottom w:w="113" w:type="dxa"/>
              <w:right w:w="113" w:type="dxa"/>
            </w:tcMar>
            <w:vAlign w:val="bottom"/>
          </w:tcPr>
          <w:p w14:paraId="2AA413AC" w14:textId="77777777" w:rsidR="00DD3928" w:rsidRPr="00DD3928" w:rsidRDefault="00DD3928" w:rsidP="00DD3928">
            <w:pPr>
              <w:pStyle w:val="CDITable-HeaderRowLeft"/>
              <w:rPr>
                <w:lang w:val="en-GB"/>
              </w:rPr>
            </w:pPr>
            <w:r w:rsidRPr="00DD3928">
              <w:rPr>
                <w:lang w:val="en-GB"/>
              </w:rPr>
              <w:t xml:space="preserve">Example medical </w:t>
            </w:r>
            <w:proofErr w:type="spellStart"/>
            <w:r w:rsidRPr="00DD3928">
              <w:rPr>
                <w:lang w:val="en-GB"/>
              </w:rPr>
              <w:t>conditions</w:t>
            </w:r>
            <w:r w:rsidRPr="00DD3928">
              <w:rPr>
                <w:vertAlign w:val="superscript"/>
                <w:lang w:val="en-GB"/>
              </w:rPr>
              <w:t>a</w:t>
            </w:r>
            <w:proofErr w:type="spellEnd"/>
          </w:p>
        </w:tc>
      </w:tr>
      <w:tr w:rsidR="00DD3928" w:rsidRPr="00DD3928" w14:paraId="40C9104C" w14:textId="77777777" w:rsidTr="00DD3928">
        <w:trPr>
          <w:trHeight w:val="60"/>
        </w:trPr>
        <w:tc>
          <w:tcPr>
            <w:tcW w:w="3458" w:type="dxa"/>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B87E62B" w14:textId="77777777" w:rsidR="00DD3928" w:rsidRPr="00DD3928" w:rsidRDefault="00DD3928" w:rsidP="00DD3928">
            <w:pPr>
              <w:pStyle w:val="CDITable-RowLeft"/>
              <w:rPr>
                <w:b/>
                <w:bCs/>
                <w:lang w:val="en-GB"/>
              </w:rPr>
            </w:pPr>
            <w:r w:rsidRPr="00DD3928">
              <w:rPr>
                <w:b/>
                <w:bCs/>
                <w:lang w:val="en-GB"/>
              </w:rPr>
              <w:t>Cardiac disease</w:t>
            </w:r>
          </w:p>
        </w:tc>
        <w:tc>
          <w:tcPr>
            <w:tcW w:w="6180" w:type="dxa"/>
            <w:tcBorders>
              <w:bottom w:val="single" w:sz="6" w:space="0" w:color="1E4496" w:themeColor="text2"/>
            </w:tcBorders>
            <w:shd w:val="solid" w:color="FFFFFF" w:fill="auto"/>
            <w:tcMar>
              <w:top w:w="113" w:type="dxa"/>
              <w:left w:w="113" w:type="dxa"/>
              <w:bottom w:w="113" w:type="dxa"/>
              <w:right w:w="113" w:type="dxa"/>
            </w:tcMar>
            <w:vAlign w:val="center"/>
          </w:tcPr>
          <w:p w14:paraId="279601A0" w14:textId="77777777" w:rsidR="00DD3928" w:rsidRPr="00DD3928" w:rsidRDefault="00DD3928" w:rsidP="00DD3928">
            <w:pPr>
              <w:pStyle w:val="CDITable-RowLeft"/>
              <w:rPr>
                <w:lang w:val="en-GB"/>
              </w:rPr>
            </w:pPr>
            <w:r w:rsidRPr="00DD3928">
              <w:rPr>
                <w:lang w:val="en-GB"/>
              </w:rPr>
              <w:t xml:space="preserve">Congenital heart disease, congestive heart failure, coronary artery disease </w:t>
            </w:r>
          </w:p>
        </w:tc>
      </w:tr>
      <w:tr w:rsidR="00DD3928" w:rsidRPr="00DD3928" w14:paraId="19F89019" w14:textId="77777777" w:rsidTr="00DD3928">
        <w:trPr>
          <w:trHeight w:val="60"/>
        </w:trPr>
        <w:tc>
          <w:tcPr>
            <w:tcW w:w="3458"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C82FDC9" w14:textId="77777777" w:rsidR="00DD3928" w:rsidRPr="00DD3928" w:rsidRDefault="00DD3928" w:rsidP="00DD3928">
            <w:pPr>
              <w:pStyle w:val="CDITable-RowLeft"/>
              <w:rPr>
                <w:b/>
                <w:bCs/>
                <w:lang w:val="en-GB"/>
              </w:rPr>
            </w:pPr>
            <w:r w:rsidRPr="00DD3928">
              <w:rPr>
                <w:b/>
                <w:bCs/>
                <w:lang w:val="en-GB"/>
              </w:rPr>
              <w:t>Chronic respiratory conditions</w:t>
            </w:r>
          </w:p>
        </w:tc>
        <w:tc>
          <w:tcPr>
            <w:tcW w:w="61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84F017A" w14:textId="77777777" w:rsidR="00DD3928" w:rsidRPr="00DD3928" w:rsidRDefault="00DD3928" w:rsidP="00DD3928">
            <w:pPr>
              <w:pStyle w:val="CDITable-RowLeft"/>
              <w:rPr>
                <w:lang w:val="en-GB"/>
              </w:rPr>
            </w:pPr>
            <w:r w:rsidRPr="00DD3928">
              <w:rPr>
                <w:lang w:val="en-GB"/>
              </w:rPr>
              <w:t xml:space="preserve">Suppurative lung disease, bronchiectasis, cystic fibrosis, chronic obstructive pulmonary disease, chronic emphysema, severe asthma (requiring frequent medical consultations or the use of multiple medicines) </w:t>
            </w:r>
          </w:p>
        </w:tc>
      </w:tr>
      <w:tr w:rsidR="00DD3928" w:rsidRPr="00DD3928" w14:paraId="1F898D4E" w14:textId="77777777" w:rsidTr="00DD3928">
        <w:trPr>
          <w:trHeight w:val="60"/>
        </w:trPr>
        <w:tc>
          <w:tcPr>
            <w:tcW w:w="3458"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FBCBC56" w14:textId="77777777" w:rsidR="00DD3928" w:rsidRPr="00DD3928" w:rsidRDefault="00DD3928" w:rsidP="00DD3928">
            <w:pPr>
              <w:pStyle w:val="CDITable-RowLeft"/>
              <w:rPr>
                <w:b/>
                <w:bCs/>
                <w:lang w:val="en-GB"/>
              </w:rPr>
            </w:pPr>
            <w:r w:rsidRPr="00DD3928">
              <w:rPr>
                <w:b/>
                <w:bCs/>
                <w:lang w:val="en-GB"/>
              </w:rPr>
              <w:t>Immunocompromising conditions</w:t>
            </w:r>
          </w:p>
        </w:tc>
        <w:tc>
          <w:tcPr>
            <w:tcW w:w="61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692245B" w14:textId="77777777" w:rsidR="00DD3928" w:rsidRPr="00DD3928" w:rsidRDefault="00DD3928" w:rsidP="00DD3928">
            <w:pPr>
              <w:pStyle w:val="CDITable-RowLeft"/>
              <w:rPr>
                <w:lang w:val="en-GB"/>
              </w:rPr>
            </w:pPr>
            <w:r w:rsidRPr="00DD3928">
              <w:rPr>
                <w:lang w:val="en-GB"/>
              </w:rPr>
              <w:t xml:space="preserve">HIV infection, malignancy, immunocompromise due to disease or treatment, asplenia or splenic dysfunction, solid organ transplant, haematopoietic stem cell transplant, CAR T-Cell </w:t>
            </w:r>
            <w:proofErr w:type="spellStart"/>
            <w:r w:rsidRPr="00DD3928">
              <w:rPr>
                <w:lang w:val="en-GB"/>
              </w:rPr>
              <w:t>therapy</w:t>
            </w:r>
            <w:r w:rsidRPr="00DD3928">
              <w:rPr>
                <w:vertAlign w:val="superscript"/>
                <w:lang w:val="en-GB"/>
              </w:rPr>
              <w:t>b</w:t>
            </w:r>
            <w:proofErr w:type="spellEnd"/>
          </w:p>
        </w:tc>
      </w:tr>
      <w:tr w:rsidR="00DD3928" w:rsidRPr="00DD3928" w14:paraId="0453B670" w14:textId="77777777" w:rsidTr="00DD3928">
        <w:trPr>
          <w:trHeight w:val="60"/>
        </w:trPr>
        <w:tc>
          <w:tcPr>
            <w:tcW w:w="3458"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AFE9F6E" w14:textId="77777777" w:rsidR="00DD3928" w:rsidRPr="00DD3928" w:rsidRDefault="00DD3928" w:rsidP="00DD3928">
            <w:pPr>
              <w:pStyle w:val="CDITable-RowLeft"/>
              <w:rPr>
                <w:b/>
                <w:bCs/>
                <w:lang w:val="en-GB"/>
              </w:rPr>
            </w:pPr>
            <w:r w:rsidRPr="00DD3928">
              <w:rPr>
                <w:b/>
                <w:bCs/>
                <w:lang w:val="en-GB"/>
              </w:rPr>
              <w:t>Chronic metabolic disorders</w:t>
            </w:r>
          </w:p>
        </w:tc>
        <w:tc>
          <w:tcPr>
            <w:tcW w:w="61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153744B6" w14:textId="77777777" w:rsidR="00DD3928" w:rsidRPr="00DD3928" w:rsidRDefault="00DD3928" w:rsidP="00DD3928">
            <w:pPr>
              <w:pStyle w:val="CDITable-RowLeft"/>
              <w:rPr>
                <w:lang w:val="en-GB"/>
              </w:rPr>
            </w:pPr>
            <w:r w:rsidRPr="00DD3928">
              <w:rPr>
                <w:lang w:val="en-GB"/>
              </w:rPr>
              <w:t xml:space="preserve">Type 1 or type 2 diabetes, amino acid disorders, carbohydrate disorders, cholesterol biosynthesis disorders, fatty acid oxidation defects, mitochondrial disorders, organic acid disorders, urea cycle disorders, vitamin/cofactor disorders, </w:t>
            </w:r>
            <w:proofErr w:type="spellStart"/>
            <w:r w:rsidRPr="00DD3928">
              <w:rPr>
                <w:lang w:val="en-GB"/>
              </w:rPr>
              <w:t>porphyrias</w:t>
            </w:r>
            <w:proofErr w:type="spellEnd"/>
            <w:r w:rsidRPr="00DD3928">
              <w:rPr>
                <w:lang w:val="en-GB"/>
              </w:rPr>
              <w:t xml:space="preserve"> </w:t>
            </w:r>
          </w:p>
        </w:tc>
      </w:tr>
      <w:tr w:rsidR="00DD3928" w:rsidRPr="00DD3928" w14:paraId="04E35780" w14:textId="77777777" w:rsidTr="00DD3928">
        <w:trPr>
          <w:trHeight w:val="60"/>
        </w:trPr>
        <w:tc>
          <w:tcPr>
            <w:tcW w:w="3458"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1A8AA2A2" w14:textId="77777777" w:rsidR="00DD3928" w:rsidRPr="00DD3928" w:rsidRDefault="00DD3928" w:rsidP="00DD3928">
            <w:pPr>
              <w:pStyle w:val="CDITable-RowLeft"/>
              <w:rPr>
                <w:b/>
                <w:bCs/>
                <w:lang w:val="en-GB"/>
              </w:rPr>
            </w:pPr>
            <w:r w:rsidRPr="00DD3928">
              <w:rPr>
                <w:b/>
                <w:bCs/>
                <w:lang w:val="en-GB"/>
              </w:rPr>
              <w:t>Chronic kidney disease stage 4 or 5</w:t>
            </w:r>
          </w:p>
        </w:tc>
        <w:tc>
          <w:tcPr>
            <w:tcW w:w="61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38DE051" w14:textId="77777777" w:rsidR="00DD3928" w:rsidRPr="00DD3928" w:rsidRDefault="00DD3928" w:rsidP="00DD3928">
            <w:pPr>
              <w:pStyle w:val="CDITable-RowLeft"/>
              <w:rPr>
                <w:lang w:val="en-GB"/>
              </w:rPr>
            </w:pPr>
            <w:r w:rsidRPr="00DD3928">
              <w:rPr>
                <w:lang w:val="en-GB"/>
              </w:rPr>
              <w:t xml:space="preserve">Chronic renal impairment – eGFR &lt; 30 mL/min (stage 4 or </w:t>
            </w:r>
            <w:proofErr w:type="gramStart"/>
            <w:r w:rsidRPr="00DD3928">
              <w:rPr>
                <w:lang w:val="en-GB"/>
              </w:rPr>
              <w:t>5)</w:t>
            </w:r>
            <w:r w:rsidRPr="00DD3928">
              <w:rPr>
                <w:vertAlign w:val="superscript"/>
                <w:lang w:val="en-GB"/>
              </w:rPr>
              <w:t>c</w:t>
            </w:r>
            <w:proofErr w:type="gramEnd"/>
          </w:p>
        </w:tc>
      </w:tr>
      <w:tr w:rsidR="00DD3928" w:rsidRPr="00DD3928" w14:paraId="20930E51" w14:textId="77777777" w:rsidTr="00DD3928">
        <w:trPr>
          <w:trHeight w:val="60"/>
        </w:trPr>
        <w:tc>
          <w:tcPr>
            <w:tcW w:w="3458"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20A07556" w14:textId="77777777" w:rsidR="00DD3928" w:rsidRPr="00DD3928" w:rsidRDefault="00DD3928" w:rsidP="00DD3928">
            <w:pPr>
              <w:pStyle w:val="CDITable-RowLeft"/>
              <w:rPr>
                <w:b/>
                <w:bCs/>
                <w:lang w:val="en-GB"/>
              </w:rPr>
            </w:pPr>
            <w:r w:rsidRPr="00DD3928">
              <w:rPr>
                <w:b/>
                <w:bCs/>
                <w:lang w:val="en-GB"/>
              </w:rPr>
              <w:t xml:space="preserve">Chronic neurological conditions </w:t>
            </w:r>
          </w:p>
        </w:tc>
        <w:tc>
          <w:tcPr>
            <w:tcW w:w="61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C221AF" w14:textId="77777777" w:rsidR="00DD3928" w:rsidRPr="00DD3928" w:rsidRDefault="00DD3928" w:rsidP="00DD3928">
            <w:pPr>
              <w:pStyle w:val="CDITable-RowLeft"/>
              <w:rPr>
                <w:lang w:val="en-GB"/>
              </w:rPr>
            </w:pPr>
            <w:r w:rsidRPr="00DD3928">
              <w:rPr>
                <w:lang w:val="en-GB"/>
              </w:rPr>
              <w:t xml:space="preserve">Hereditary and degenerative CNS diseases, seizure disorders, spinal cord injuries, neuromuscular disorders, conditions which increase respiratory infection </w:t>
            </w:r>
            <w:proofErr w:type="spellStart"/>
            <w:r w:rsidRPr="00DD3928">
              <w:rPr>
                <w:lang w:val="en-GB"/>
              </w:rPr>
              <w:t>risk</w:t>
            </w:r>
            <w:r w:rsidRPr="00DD3928">
              <w:rPr>
                <w:vertAlign w:val="superscript"/>
                <w:lang w:val="en-GB"/>
              </w:rPr>
              <w:t>d</w:t>
            </w:r>
            <w:proofErr w:type="spellEnd"/>
          </w:p>
        </w:tc>
      </w:tr>
      <w:tr w:rsidR="00DD3928" w:rsidRPr="00DD3928" w14:paraId="00E497FF" w14:textId="77777777" w:rsidTr="00DD3928">
        <w:trPr>
          <w:trHeight w:val="60"/>
        </w:trPr>
        <w:tc>
          <w:tcPr>
            <w:tcW w:w="3458"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449907CD" w14:textId="77777777" w:rsidR="00DD3928" w:rsidRPr="00DD3928" w:rsidRDefault="00DD3928" w:rsidP="00DD3928">
            <w:pPr>
              <w:pStyle w:val="CDITable-RowLeft"/>
              <w:rPr>
                <w:b/>
                <w:bCs/>
                <w:lang w:val="en-GB"/>
              </w:rPr>
            </w:pPr>
            <w:r w:rsidRPr="00DD3928">
              <w:rPr>
                <w:b/>
                <w:bCs/>
                <w:lang w:val="en-GB"/>
              </w:rPr>
              <w:t>Chronic liver disease</w:t>
            </w:r>
          </w:p>
        </w:tc>
        <w:tc>
          <w:tcPr>
            <w:tcW w:w="61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DCD1D2A" w14:textId="77777777" w:rsidR="00DD3928" w:rsidRPr="00DD3928" w:rsidRDefault="00DD3928" w:rsidP="00DD3928">
            <w:pPr>
              <w:pStyle w:val="CDITable-RowLeft"/>
              <w:rPr>
                <w:lang w:val="en-GB"/>
              </w:rPr>
            </w:pPr>
            <w:r w:rsidRPr="00DD3928">
              <w:rPr>
                <w:lang w:val="en-GB"/>
              </w:rPr>
              <w:t>Advanced liver disease</w:t>
            </w:r>
          </w:p>
        </w:tc>
      </w:tr>
      <w:tr w:rsidR="00DD3928" w:rsidRPr="00DD3928" w14:paraId="6052C9BC" w14:textId="77777777" w:rsidTr="00DD3928">
        <w:trPr>
          <w:trHeight w:val="60"/>
        </w:trPr>
        <w:tc>
          <w:tcPr>
            <w:tcW w:w="3458"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5CA7CCE7" w14:textId="77777777" w:rsidR="00DD3928" w:rsidRPr="00DD3928" w:rsidRDefault="00DD3928" w:rsidP="00DD3928">
            <w:pPr>
              <w:pStyle w:val="CDITable-RowLeft"/>
              <w:rPr>
                <w:b/>
                <w:bCs/>
                <w:lang w:val="en-GB"/>
              </w:rPr>
            </w:pPr>
            <w:r w:rsidRPr="00DD3928">
              <w:rPr>
                <w:b/>
                <w:bCs/>
                <w:lang w:val="en-GB"/>
              </w:rPr>
              <w:t>Obesity</w:t>
            </w:r>
          </w:p>
        </w:tc>
        <w:tc>
          <w:tcPr>
            <w:tcW w:w="6180"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C6CADC3" w14:textId="77777777" w:rsidR="00DD3928" w:rsidRPr="00DD3928" w:rsidRDefault="00DD3928" w:rsidP="00DD3928">
            <w:pPr>
              <w:pStyle w:val="CDITable-RowLeft"/>
              <w:rPr>
                <w:lang w:val="en-GB"/>
              </w:rPr>
            </w:pPr>
            <w:r w:rsidRPr="00DD3928">
              <w:rPr>
                <w:lang w:val="en-GB"/>
              </w:rPr>
              <w:t>Body mass index ≥ 30 kg m</w:t>
            </w:r>
            <w:r w:rsidRPr="00DD3928">
              <w:rPr>
                <w:vertAlign w:val="superscript"/>
                <w:lang w:val="en-GB"/>
              </w:rPr>
              <w:t>-2</w:t>
            </w:r>
          </w:p>
        </w:tc>
      </w:tr>
    </w:tbl>
    <w:p w14:paraId="658DB77A" w14:textId="77777777" w:rsidR="009A3D1D" w:rsidRPr="009A3D1D" w:rsidRDefault="009A3D1D" w:rsidP="009A3D1D">
      <w:pPr>
        <w:pStyle w:val="CDITable-FirstFootnote"/>
        <w:rPr>
          <w:lang w:val="en-GB"/>
        </w:rPr>
      </w:pPr>
      <w:proofErr w:type="spellStart"/>
      <w:r w:rsidRPr="009A3D1D">
        <w:rPr>
          <w:lang w:val="en-GB"/>
        </w:rPr>
        <w:t>a</w:t>
      </w:r>
      <w:proofErr w:type="spellEnd"/>
      <w:r w:rsidRPr="009A3D1D">
        <w:rPr>
          <w:lang w:val="en-GB"/>
        </w:rPr>
        <w:tab/>
        <w:t xml:space="preserve">These examples are not exhaustive, and providers may include individuals with conditions </w:t>
      </w:r>
      <w:proofErr w:type="gramStart"/>
      <w:r w:rsidRPr="009A3D1D">
        <w:rPr>
          <w:lang w:val="en-GB"/>
        </w:rPr>
        <w:t>similar to</w:t>
      </w:r>
      <w:proofErr w:type="gramEnd"/>
      <w:r w:rsidRPr="009A3D1D">
        <w:rPr>
          <w:lang w:val="en-GB"/>
        </w:rPr>
        <w:t xml:space="preserve"> those listed above based on their clinical judgement.</w:t>
      </w:r>
    </w:p>
    <w:p w14:paraId="08C4A4BB" w14:textId="77777777" w:rsidR="009A3D1D" w:rsidRPr="009A3D1D" w:rsidRDefault="009A3D1D" w:rsidP="009A3D1D">
      <w:pPr>
        <w:pStyle w:val="CDITable-Footnote"/>
        <w:rPr>
          <w:lang w:val="en-GB"/>
        </w:rPr>
      </w:pPr>
      <w:r w:rsidRPr="009A3D1D">
        <w:rPr>
          <w:lang w:val="en-GB"/>
        </w:rPr>
        <w:t>b</w:t>
      </w:r>
      <w:r w:rsidRPr="009A3D1D">
        <w:rPr>
          <w:lang w:val="en-GB"/>
        </w:rPr>
        <w:tab/>
        <w:t>HIV: human immunodeficiency virus; CAR: chimeric antigen receptor.</w:t>
      </w:r>
    </w:p>
    <w:p w14:paraId="7AF05280" w14:textId="77777777" w:rsidR="009A3D1D" w:rsidRPr="009A3D1D" w:rsidRDefault="009A3D1D" w:rsidP="009A3D1D">
      <w:pPr>
        <w:pStyle w:val="CDITable-Footnote"/>
        <w:rPr>
          <w:lang w:val="en-GB"/>
        </w:rPr>
      </w:pPr>
      <w:r w:rsidRPr="009A3D1D">
        <w:rPr>
          <w:lang w:val="en-GB"/>
        </w:rPr>
        <w:t>c</w:t>
      </w:r>
      <w:r w:rsidRPr="009A3D1D">
        <w:rPr>
          <w:lang w:val="en-GB"/>
        </w:rPr>
        <w:tab/>
        <w:t>eGFR: estimated glomerular filtration rate.</w:t>
      </w:r>
    </w:p>
    <w:p w14:paraId="553F40CE" w14:textId="77777777" w:rsidR="007C322F" w:rsidRDefault="009A3D1D" w:rsidP="007C322F">
      <w:pPr>
        <w:pStyle w:val="CDITable-Footnote"/>
        <w:rPr>
          <w:lang w:val="en-GB"/>
        </w:rPr>
      </w:pPr>
      <w:r w:rsidRPr="009A3D1D">
        <w:rPr>
          <w:lang w:val="en-GB"/>
        </w:rPr>
        <w:t>d</w:t>
      </w:r>
      <w:r w:rsidRPr="009A3D1D">
        <w:rPr>
          <w:lang w:val="en-GB"/>
        </w:rPr>
        <w:tab/>
        <w:t>CNS: central nervous system.</w:t>
      </w:r>
    </w:p>
    <w:p w14:paraId="5E2FE488" w14:textId="77777777" w:rsidR="009A3D1D" w:rsidRPr="009A3D1D" w:rsidRDefault="009A3D1D" w:rsidP="009A3D1D">
      <w:pPr>
        <w:pStyle w:val="Heading2"/>
        <w:rPr>
          <w:lang w:val="en-GB"/>
        </w:rPr>
      </w:pPr>
      <w:bookmarkStart w:id="28" w:name="_Toc229657256"/>
      <w:r w:rsidRPr="009A3D1D">
        <w:rPr>
          <w:lang w:val="en-GB"/>
        </w:rPr>
        <w:t>Current RSV immunisation recommendations in other countries</w:t>
      </w:r>
      <w:bookmarkEnd w:id="28"/>
      <w:r w:rsidRPr="009A3D1D">
        <w:rPr>
          <w:lang w:val="en-GB"/>
        </w:rPr>
        <w:t xml:space="preserve"> </w:t>
      </w:r>
    </w:p>
    <w:p w14:paraId="50B28A78" w14:textId="42CE0AD3" w:rsidR="007C322F" w:rsidRDefault="009A3D1D" w:rsidP="007C322F">
      <w:pPr>
        <w:rPr>
          <w:vertAlign w:val="superscript"/>
          <w:lang w:val="en-GB"/>
        </w:rPr>
      </w:pPr>
      <w:r w:rsidRPr="009A3D1D">
        <w:rPr>
          <w:lang w:val="en-GB"/>
        </w:rPr>
        <w:t>The main differences between the ATAGI recommendations in Australia and those in other countries relates to registration and availability of immunisation products. The USA is one of the few countries that currently has availability of RSV vaccines for older adults and pregnant women as well as nirsevimab for infants. Differences exist in the timing of administration of RSV vaccination during pregnancy, the infant populations recommended for receiving monoclonal antibodies, and the age groups and strength of the recommendation to receive RSV vaccines among older adults (Table 6). The UK and Canada have provided recommendations for prevention of RSV during 2024–2025 in both older adults and infants with implementation of national or provincial funded programs.</w:t>
      </w:r>
      <w:r w:rsidRPr="009A3D1D">
        <w:rPr>
          <w:vertAlign w:val="superscript"/>
          <w:lang w:val="en-GB"/>
        </w:rPr>
        <w:t>56–58</w:t>
      </w:r>
      <w:r w:rsidRPr="009A3D1D">
        <w:rPr>
          <w:lang w:val="en-GB"/>
        </w:rPr>
        <w:t xml:space="preserve"> Spain implemented a program of passive immunisation for all infants from birth from the 2023–2024 RSV season.</w:t>
      </w:r>
      <w:r w:rsidRPr="009A3D1D">
        <w:rPr>
          <w:vertAlign w:val="superscript"/>
          <w:lang w:val="en-GB"/>
        </w:rPr>
        <w:t>59</w:t>
      </w:r>
      <w:r w:rsidR="007C322F">
        <w:rPr>
          <w:vertAlign w:val="superscript"/>
          <w:lang w:val="en-GB"/>
        </w:rPr>
        <w:br w:type="page"/>
      </w:r>
    </w:p>
    <w:p w14:paraId="4FCD3613" w14:textId="77777777" w:rsidR="009A3D1D" w:rsidRPr="009A3D1D" w:rsidRDefault="009A3D1D" w:rsidP="007C322F">
      <w:pPr>
        <w:pStyle w:val="Heading3"/>
        <w:rPr>
          <w:lang w:val="en-GB"/>
        </w:rPr>
      </w:pPr>
      <w:r w:rsidRPr="009A3D1D">
        <w:rPr>
          <w:lang w:val="en-GB"/>
        </w:rPr>
        <w:t>Use of RSV vaccine during pregnancy and monoclonal antibody among infants</w:t>
      </w:r>
    </w:p>
    <w:p w14:paraId="0EA060EE" w14:textId="0C975ECA" w:rsidR="009A3D1D" w:rsidRPr="009A3D1D" w:rsidRDefault="009A3D1D" w:rsidP="009A3D1D">
      <w:pPr>
        <w:rPr>
          <w:lang w:val="en-GB"/>
        </w:rPr>
      </w:pPr>
      <w:r w:rsidRPr="009A3D1D">
        <w:rPr>
          <w:lang w:val="en-GB"/>
        </w:rPr>
        <w:t>In the USA, the Advisory Committee on Immunization Practices (ACIP) has developed clinical guidance on the administration of both maternal vaccination during pregnancy and nirsevimab after birth to prevent RSV-associated LRTI in infants. ACIP recommends the seasonal administration (in</w:t>
      </w:r>
      <w:r w:rsidR="007C322F">
        <w:rPr>
          <w:lang w:val="en-GB"/>
        </w:rPr>
        <w:t> </w:t>
      </w:r>
      <w:r w:rsidRPr="009A3D1D">
        <w:rPr>
          <w:lang w:val="en-GB"/>
        </w:rPr>
        <w:t>September–January) of RSV vaccine in pregnant persons at 32–36 weeks.</w:t>
      </w:r>
      <w:r w:rsidRPr="009A3D1D">
        <w:rPr>
          <w:vertAlign w:val="superscript"/>
          <w:lang w:val="en-GB"/>
        </w:rPr>
        <w:t>60</w:t>
      </w:r>
      <w:r w:rsidRPr="009A3D1D">
        <w:rPr>
          <w:lang w:val="en-GB"/>
        </w:rPr>
        <w:t xml:space="preserve"> The narrower dosing window compared to the clinical trial dosing interval (of 24-36 weeks) was due to the concern relating to the potential increased risk of preterm births. The difference in observed risk of preterm births was less with this restricted dosing window of administration (4.2% [68/1,628] in vaccine group vs 3.7% [59/1,604] in placebo group; RR: 1.15 [95% CI: 0.82–1.61]); however, the certainty of association of RSV vaccination with preterm birth remains very low.</w:t>
      </w:r>
      <w:r w:rsidRPr="009A3D1D">
        <w:rPr>
          <w:vertAlign w:val="superscript"/>
          <w:lang w:val="en-GB"/>
        </w:rPr>
        <w:t>23,61,62</w:t>
      </w:r>
      <w:r w:rsidRPr="009A3D1D">
        <w:rPr>
          <w:lang w:val="en-GB"/>
        </w:rPr>
        <w:t xml:space="preserve"> Seasonal vaccination and a smaller gestational window for administration are balanced by ACIP’s recommendation for routine administration of nirsevimab in all infants aged &lt; 8 months, born during or entering their first RSV season, whose mother did not receive RSV vaccine in pregnancy, has unknown vaccination status, or who were born within 14 days of maternal vaccination. This would include all babies born prior to 34 weeks gestation.</w:t>
      </w:r>
      <w:r w:rsidRPr="009A3D1D">
        <w:rPr>
          <w:vertAlign w:val="superscript"/>
          <w:lang w:val="en-GB"/>
        </w:rPr>
        <w:t>60</w:t>
      </w:r>
      <w:r w:rsidRPr="009A3D1D">
        <w:rPr>
          <w:lang w:val="en-GB"/>
        </w:rPr>
        <w:t xml:space="preserve"> ACIP also recommends nirsevimab for young children aged 8–19 months at increased risk for severe RSV disease and entering their second RSV season.</w:t>
      </w:r>
    </w:p>
    <w:p w14:paraId="39B33EC3" w14:textId="77777777" w:rsidR="009A3D1D" w:rsidRPr="009A3D1D" w:rsidRDefault="009A3D1D" w:rsidP="009A3D1D">
      <w:pPr>
        <w:rPr>
          <w:lang w:val="en-GB"/>
        </w:rPr>
      </w:pPr>
      <w:r w:rsidRPr="009A3D1D">
        <w:rPr>
          <w:lang w:val="en-GB"/>
        </w:rPr>
        <w:t>The Joint Committee on Vaccination and Immunisation (JCVI) in the UK has provided broad advice on potential RSV immunisation strategies, taking into account relevant cost-effectiveness modelling.</w:t>
      </w:r>
      <w:r w:rsidRPr="009A3D1D">
        <w:rPr>
          <w:vertAlign w:val="superscript"/>
          <w:lang w:val="en-GB"/>
        </w:rPr>
        <w:t>63,64</w:t>
      </w:r>
      <w:r w:rsidRPr="009A3D1D">
        <w:rPr>
          <w:lang w:val="en-GB"/>
        </w:rPr>
        <w:t xml:space="preserve"> A national program of maternal RSV immunisation was commenced in September 2024 for all pregnant women from 28 weeks’ gestation in the UK.</w:t>
      </w:r>
      <w:r w:rsidRPr="009A3D1D">
        <w:rPr>
          <w:vertAlign w:val="superscript"/>
          <w:lang w:val="en-GB"/>
        </w:rPr>
        <w:t>65</w:t>
      </w:r>
      <w:r w:rsidRPr="009A3D1D">
        <w:rPr>
          <w:lang w:val="en-GB"/>
        </w:rPr>
        <w:t xml:space="preserve"> Nirsevimab is recommended for certain high risk children.</w:t>
      </w:r>
      <w:r w:rsidRPr="009A3D1D">
        <w:rPr>
          <w:vertAlign w:val="superscript"/>
          <w:lang w:val="en-GB"/>
        </w:rPr>
        <w:t>58</w:t>
      </w:r>
      <w:r w:rsidRPr="009A3D1D">
        <w:rPr>
          <w:lang w:val="en-GB"/>
        </w:rPr>
        <w:t xml:space="preserve"> Canada’s National Advisory Committee on Immunization (NACI) has recommended an initial infant program, preferentially using nirsevimab over maternal RSV vaccine, targeted at infants with increased risk of severe disease in their first or second season. It has subsequently recommended that nirsevimab be considered for any infant less than 8 months of age entering, or born during, their first RSV season.</w:t>
      </w:r>
      <w:r w:rsidRPr="009A3D1D">
        <w:rPr>
          <w:vertAlign w:val="superscript"/>
          <w:lang w:val="en-GB"/>
        </w:rPr>
        <w:t>56</w:t>
      </w:r>
      <w:r w:rsidRPr="009A3D1D">
        <w:rPr>
          <w:lang w:val="en-GB"/>
        </w:rPr>
        <w:t xml:space="preserve"> Spain implemented a funded nirsevimab program for all children under 6 months of age from the 2023–2024 season to be given at birth for those born during the RSV season or at the beginning of the RSV season if born outside of the RSV season.</w:t>
      </w:r>
      <w:r w:rsidRPr="009A3D1D">
        <w:rPr>
          <w:vertAlign w:val="superscript"/>
          <w:lang w:val="en-GB"/>
        </w:rPr>
        <w:t>66</w:t>
      </w:r>
      <w:r w:rsidRPr="009A3D1D">
        <w:rPr>
          <w:lang w:val="en-GB"/>
        </w:rPr>
        <w:t xml:space="preserve"> </w:t>
      </w:r>
    </w:p>
    <w:p w14:paraId="2C7B9070" w14:textId="77777777" w:rsidR="009A3D1D" w:rsidRPr="009A3D1D" w:rsidRDefault="009A3D1D" w:rsidP="007C322F">
      <w:pPr>
        <w:pStyle w:val="Heading3"/>
        <w:rPr>
          <w:lang w:val="en-GB"/>
        </w:rPr>
      </w:pPr>
      <w:r w:rsidRPr="009A3D1D">
        <w:rPr>
          <w:lang w:val="en-GB"/>
        </w:rPr>
        <w:t>Use of RSV vaccines in older adults</w:t>
      </w:r>
    </w:p>
    <w:p w14:paraId="1B60EB1C" w14:textId="5632EB74" w:rsidR="009A3D1D" w:rsidRPr="009A3D1D" w:rsidRDefault="009A3D1D" w:rsidP="009A3D1D">
      <w:pPr>
        <w:rPr>
          <w:lang w:val="en-GB"/>
        </w:rPr>
      </w:pPr>
      <w:r w:rsidRPr="009A3D1D">
        <w:rPr>
          <w:lang w:val="en-GB"/>
        </w:rPr>
        <w:t>In the USA, ACIP initially recommended RSV vaccination in all older adults aged ≥ 60 years using shared clinical decision-making based on the potential for benefits.</w:t>
      </w:r>
      <w:r w:rsidRPr="009A3D1D">
        <w:rPr>
          <w:vertAlign w:val="superscript"/>
          <w:lang w:val="en-GB"/>
        </w:rPr>
        <w:t>67</w:t>
      </w:r>
      <w:r w:rsidRPr="009A3D1D">
        <w:rPr>
          <w:lang w:val="en-GB"/>
        </w:rPr>
        <w:t xml:space="preserve"> Subsequently, this was updated in June 2024 to all adults aged ≥ 75 years and adults aged 60–74 years who are at increased risk for severe RSV disease, to facilitate easier decision-making for providers.</w:t>
      </w:r>
      <w:r w:rsidRPr="009A3D1D">
        <w:rPr>
          <w:vertAlign w:val="superscript"/>
          <w:lang w:val="en-GB"/>
        </w:rPr>
        <w:t>68</w:t>
      </w:r>
      <w:r w:rsidRPr="009A3D1D">
        <w:rPr>
          <w:lang w:val="en-GB"/>
        </w:rPr>
        <w:t xml:space="preserve"> This</w:t>
      </w:r>
      <w:r w:rsidR="007C322F">
        <w:rPr>
          <w:lang w:val="en-GB"/>
        </w:rPr>
        <w:t> </w:t>
      </w:r>
      <w:r w:rsidRPr="009A3D1D">
        <w:rPr>
          <w:lang w:val="en-GB"/>
        </w:rPr>
        <w:t xml:space="preserve">recommendation now aligns closely with ATAGI’s recommendation in the Australian setting. </w:t>
      </w:r>
    </w:p>
    <w:p w14:paraId="63F12622" w14:textId="77777777" w:rsidR="007C322F" w:rsidRDefault="009A3D1D" w:rsidP="009A3D1D">
      <w:pPr>
        <w:rPr>
          <w:vertAlign w:val="superscript"/>
          <w:lang w:val="en-GB"/>
        </w:rPr>
        <w:sectPr w:rsidR="007C322F" w:rsidSect="001E3ECB">
          <w:footnotePr>
            <w:numFmt w:val="lowerRoman"/>
          </w:footnotePr>
          <w:pgSz w:w="11907" w:h="16840" w:code="9"/>
          <w:pgMar w:top="1134" w:right="1134" w:bottom="1134" w:left="1134" w:header="709" w:footer="567" w:gutter="0"/>
          <w:cols w:space="708"/>
          <w:docGrid w:linePitch="360"/>
        </w:sectPr>
      </w:pPr>
      <w:r w:rsidRPr="009A3D1D">
        <w:rPr>
          <w:lang w:val="en-GB"/>
        </w:rPr>
        <w:t>The UK’s JCVI currently recommends RSV vaccination in older adults aged ≥ 75 years. A</w:t>
      </w:r>
      <w:r w:rsidR="007C322F">
        <w:rPr>
          <w:lang w:val="en-GB"/>
        </w:rPr>
        <w:t> </w:t>
      </w:r>
      <w:r w:rsidRPr="009A3D1D">
        <w:rPr>
          <w:lang w:val="en-GB"/>
        </w:rPr>
        <w:t>nationally funded program commenced in September 2024 for all adults turning 75 years of age, with a one-off single year catch up program for those aged 75–79 years inclusive.</w:t>
      </w:r>
      <w:r w:rsidRPr="009A3D1D">
        <w:rPr>
          <w:vertAlign w:val="superscript"/>
          <w:lang w:val="en-GB"/>
        </w:rPr>
        <w:t>69</w:t>
      </w:r>
    </w:p>
    <w:p w14:paraId="587EB0B1" w14:textId="77777777" w:rsidR="009A3D1D" w:rsidRPr="009A3D1D" w:rsidRDefault="009A3D1D" w:rsidP="007C322F">
      <w:pPr>
        <w:pStyle w:val="CDITable-Title"/>
        <w:spacing w:before="0"/>
        <w:rPr>
          <w:lang w:val="en-GB"/>
        </w:rPr>
      </w:pPr>
      <w:r w:rsidRPr="009A3D1D">
        <w:rPr>
          <w:lang w:val="en-GB"/>
        </w:rPr>
        <w:t>Table 6: Recommendations and advice in the United States of America (USA) and the United Kingdom (UK), as of January 2025</w:t>
      </w:r>
    </w:p>
    <w:tbl>
      <w:tblPr>
        <w:tblW w:w="0" w:type="auto"/>
        <w:tblLayout w:type="fixed"/>
        <w:tblCellMar>
          <w:left w:w="0" w:type="dxa"/>
          <w:right w:w="0" w:type="dxa"/>
        </w:tblCellMar>
        <w:tblLook w:val="0000" w:firstRow="0" w:lastRow="0" w:firstColumn="0" w:lastColumn="0" w:noHBand="0" w:noVBand="0"/>
        <w:tblCaption w:val="Table 6: Recommendations and advice in the United States of America (USA) and the United Kingdom (UK), as of January 2025"/>
        <w:tblDescription w:val="Table 6 describes the current RSV immunisation recommendations in the United States of America and United Kingdom as of January 2025."/>
      </w:tblPr>
      <w:tblGrid>
        <w:gridCol w:w="1417"/>
        <w:gridCol w:w="1985"/>
        <w:gridCol w:w="5612"/>
        <w:gridCol w:w="5329"/>
      </w:tblGrid>
      <w:tr w:rsidR="0083272F" w:rsidRPr="0083272F" w14:paraId="3A7332AD" w14:textId="77777777" w:rsidTr="003670AD">
        <w:trPr>
          <w:trHeight w:val="60"/>
          <w:tblHeader/>
        </w:trPr>
        <w:tc>
          <w:tcPr>
            <w:tcW w:w="1417" w:type="dxa"/>
            <w:shd w:val="clear" w:color="auto" w:fill="1E4496" w:themeFill="text2"/>
            <w:tcMar>
              <w:top w:w="113" w:type="dxa"/>
              <w:left w:w="113" w:type="dxa"/>
              <w:bottom w:w="113" w:type="dxa"/>
              <w:right w:w="113" w:type="dxa"/>
            </w:tcMar>
            <w:vAlign w:val="bottom"/>
          </w:tcPr>
          <w:p w14:paraId="7C3C2ED9" w14:textId="77777777" w:rsidR="0083272F" w:rsidRPr="0083272F" w:rsidRDefault="0083272F" w:rsidP="0083272F">
            <w:pPr>
              <w:pStyle w:val="CDITable-HeaderRowLeft"/>
            </w:pPr>
            <w:r w:rsidRPr="0083272F">
              <w:t>Life stage protected</w:t>
            </w:r>
          </w:p>
        </w:tc>
        <w:tc>
          <w:tcPr>
            <w:tcW w:w="1985" w:type="dxa"/>
            <w:shd w:val="clear" w:color="auto" w:fill="1E4496" w:themeFill="text2"/>
            <w:tcMar>
              <w:top w:w="113" w:type="dxa"/>
              <w:left w:w="113" w:type="dxa"/>
              <w:bottom w:w="113" w:type="dxa"/>
              <w:right w:w="113" w:type="dxa"/>
            </w:tcMar>
            <w:vAlign w:val="bottom"/>
          </w:tcPr>
          <w:p w14:paraId="2BDE4620" w14:textId="77777777" w:rsidR="0083272F" w:rsidRPr="0083272F" w:rsidRDefault="0083272F" w:rsidP="0083272F">
            <w:pPr>
              <w:pStyle w:val="CDITable-HeaderRowLeft"/>
            </w:pPr>
            <w:r w:rsidRPr="0083272F">
              <w:t>Immunisation method</w:t>
            </w:r>
          </w:p>
        </w:tc>
        <w:tc>
          <w:tcPr>
            <w:tcW w:w="5612" w:type="dxa"/>
            <w:shd w:val="clear" w:color="auto" w:fill="1E4496" w:themeFill="text2"/>
            <w:tcMar>
              <w:top w:w="113" w:type="dxa"/>
              <w:left w:w="113" w:type="dxa"/>
              <w:bottom w:w="113" w:type="dxa"/>
              <w:right w:w="113" w:type="dxa"/>
            </w:tcMar>
            <w:vAlign w:val="bottom"/>
          </w:tcPr>
          <w:p w14:paraId="093506E1" w14:textId="77777777" w:rsidR="0083272F" w:rsidRPr="0083272F" w:rsidRDefault="0083272F" w:rsidP="0083272F">
            <w:pPr>
              <w:pStyle w:val="CDITable-HeaderRowLeft"/>
            </w:pPr>
            <w:proofErr w:type="spellStart"/>
            <w:r w:rsidRPr="0083272F">
              <w:t>USA</w:t>
            </w:r>
            <w:r w:rsidRPr="0083272F">
              <w:rPr>
                <w:vertAlign w:val="superscript"/>
              </w:rPr>
              <w:t>a</w:t>
            </w:r>
            <w:proofErr w:type="spellEnd"/>
          </w:p>
        </w:tc>
        <w:tc>
          <w:tcPr>
            <w:tcW w:w="5329" w:type="dxa"/>
            <w:shd w:val="clear" w:color="auto" w:fill="1E4496" w:themeFill="text2"/>
            <w:tcMar>
              <w:top w:w="113" w:type="dxa"/>
              <w:left w:w="113" w:type="dxa"/>
              <w:bottom w:w="113" w:type="dxa"/>
              <w:right w:w="113" w:type="dxa"/>
            </w:tcMar>
            <w:vAlign w:val="bottom"/>
          </w:tcPr>
          <w:p w14:paraId="5255A3A1" w14:textId="77777777" w:rsidR="0083272F" w:rsidRPr="0083272F" w:rsidRDefault="0083272F" w:rsidP="0083272F">
            <w:pPr>
              <w:pStyle w:val="CDITable-HeaderRowLeft"/>
            </w:pPr>
            <w:proofErr w:type="spellStart"/>
            <w:r w:rsidRPr="0083272F">
              <w:t>UK</w:t>
            </w:r>
            <w:r w:rsidRPr="0083272F">
              <w:rPr>
                <w:vertAlign w:val="superscript"/>
              </w:rPr>
              <w:t>b</w:t>
            </w:r>
            <w:proofErr w:type="spellEnd"/>
          </w:p>
        </w:tc>
      </w:tr>
      <w:tr w:rsidR="0083272F" w:rsidRPr="0083272F" w14:paraId="22D35653" w14:textId="77777777" w:rsidTr="003670AD">
        <w:trPr>
          <w:trHeight w:val="60"/>
        </w:trPr>
        <w:tc>
          <w:tcPr>
            <w:tcW w:w="1417" w:type="dxa"/>
            <w:vMerge w:val="restart"/>
            <w:tcBorders>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706BF2DB" w14:textId="77777777" w:rsidR="0083272F" w:rsidRPr="003670AD" w:rsidRDefault="0083272F" w:rsidP="003670AD">
            <w:pPr>
              <w:pStyle w:val="CDITable-RowLeft"/>
              <w:rPr>
                <w:b/>
                <w:bCs/>
                <w:lang w:val="en-GB"/>
              </w:rPr>
            </w:pPr>
            <w:r w:rsidRPr="003670AD">
              <w:rPr>
                <w:b/>
                <w:bCs/>
                <w:lang w:val="en-GB"/>
              </w:rPr>
              <w:t>Infants</w:t>
            </w:r>
          </w:p>
        </w:tc>
        <w:tc>
          <w:tcPr>
            <w:tcW w:w="1985" w:type="dxa"/>
            <w:tcBorders>
              <w:bottom w:val="single" w:sz="6" w:space="0" w:color="1E4496" w:themeColor="text2"/>
            </w:tcBorders>
            <w:shd w:val="solid" w:color="FFFFFF" w:fill="auto"/>
            <w:tcMar>
              <w:top w:w="113" w:type="dxa"/>
              <w:left w:w="113" w:type="dxa"/>
              <w:bottom w:w="113" w:type="dxa"/>
              <w:right w:w="113" w:type="dxa"/>
            </w:tcMar>
            <w:vAlign w:val="center"/>
          </w:tcPr>
          <w:p w14:paraId="7850BDDB" w14:textId="77777777" w:rsidR="0083272F" w:rsidRPr="0083272F" w:rsidRDefault="0083272F" w:rsidP="0083272F">
            <w:pPr>
              <w:pStyle w:val="CDITable-RowLeft"/>
              <w:rPr>
                <w:lang w:val="en-GB"/>
              </w:rPr>
            </w:pPr>
            <w:r w:rsidRPr="0083272F">
              <w:rPr>
                <w:lang w:val="en-GB"/>
              </w:rPr>
              <w:t>Maternal vaccine</w:t>
            </w:r>
          </w:p>
        </w:tc>
        <w:tc>
          <w:tcPr>
            <w:tcW w:w="5612" w:type="dxa"/>
            <w:tcBorders>
              <w:bottom w:val="single" w:sz="6" w:space="0" w:color="1E4496" w:themeColor="text2"/>
            </w:tcBorders>
            <w:shd w:val="solid" w:color="FFFFFF" w:fill="auto"/>
            <w:tcMar>
              <w:top w:w="113" w:type="dxa"/>
              <w:left w:w="113" w:type="dxa"/>
              <w:bottom w:w="113" w:type="dxa"/>
              <w:right w:w="113" w:type="dxa"/>
            </w:tcMar>
            <w:vAlign w:val="center"/>
          </w:tcPr>
          <w:p w14:paraId="4C9075F7" w14:textId="77777777" w:rsidR="0083272F" w:rsidRPr="0083272F" w:rsidRDefault="0083272F" w:rsidP="003670AD">
            <w:pPr>
              <w:pStyle w:val="CDITable-RowBullets"/>
              <w:spacing w:before="0"/>
              <w:rPr>
                <w:lang w:val="en-GB"/>
              </w:rPr>
            </w:pPr>
            <w:r w:rsidRPr="0083272F">
              <w:rPr>
                <w:lang w:val="en-GB"/>
              </w:rPr>
              <w:t xml:space="preserve">32–36 weeks gestation </w:t>
            </w:r>
          </w:p>
          <w:p w14:paraId="5D0A64DD" w14:textId="77777777" w:rsidR="0083272F" w:rsidRPr="0083272F" w:rsidRDefault="0083272F" w:rsidP="003670AD">
            <w:pPr>
              <w:pStyle w:val="CDITable-RowBullets"/>
              <w:rPr>
                <w:lang w:val="en-GB"/>
              </w:rPr>
            </w:pPr>
            <w:r w:rsidRPr="0083272F">
              <w:rPr>
                <w:lang w:val="en-GB"/>
              </w:rPr>
              <w:t>Seasonal program (i.e. September–January)</w:t>
            </w:r>
          </w:p>
        </w:tc>
        <w:tc>
          <w:tcPr>
            <w:tcW w:w="5329" w:type="dxa"/>
            <w:tcBorders>
              <w:bottom w:val="single" w:sz="6" w:space="0" w:color="1E4496" w:themeColor="text2"/>
            </w:tcBorders>
            <w:shd w:val="solid" w:color="FFFFFF" w:fill="auto"/>
            <w:tcMar>
              <w:top w:w="113" w:type="dxa"/>
              <w:left w:w="113" w:type="dxa"/>
              <w:bottom w:w="113" w:type="dxa"/>
              <w:right w:w="113" w:type="dxa"/>
            </w:tcMar>
            <w:vAlign w:val="center"/>
          </w:tcPr>
          <w:p w14:paraId="72CC4DD8" w14:textId="77777777" w:rsidR="0083272F" w:rsidRPr="0083272F" w:rsidRDefault="0083272F" w:rsidP="0083272F">
            <w:pPr>
              <w:pStyle w:val="CDITable-RowLeft"/>
              <w:rPr>
                <w:lang w:val="en-GB"/>
              </w:rPr>
            </w:pPr>
            <w:r w:rsidRPr="0083272F">
              <w:rPr>
                <w:lang w:val="en-GB"/>
              </w:rPr>
              <w:t>All pregnant women from 28 weeks’ gestation</w:t>
            </w:r>
          </w:p>
        </w:tc>
      </w:tr>
      <w:tr w:rsidR="0083272F" w:rsidRPr="0083272F" w14:paraId="131CE538" w14:textId="77777777" w:rsidTr="003670AD">
        <w:trPr>
          <w:trHeight w:val="60"/>
        </w:trPr>
        <w:tc>
          <w:tcPr>
            <w:tcW w:w="1417" w:type="dxa"/>
            <w:vMerge/>
            <w:tcBorders>
              <w:top w:val="single" w:sz="6" w:space="0" w:color="1E4496" w:themeColor="text2"/>
              <w:bottom w:val="single" w:sz="6" w:space="0" w:color="1E4496" w:themeColor="text2"/>
            </w:tcBorders>
            <w:shd w:val="clear" w:color="auto" w:fill="DCF4FC" w:themeFill="background2" w:themeFillTint="33"/>
          </w:tcPr>
          <w:p w14:paraId="20A37590" w14:textId="77777777" w:rsidR="0083272F" w:rsidRPr="003670AD" w:rsidRDefault="0083272F" w:rsidP="003670AD">
            <w:pPr>
              <w:pStyle w:val="CDITable-RowLeft"/>
              <w:rPr>
                <w:b/>
                <w:bCs/>
              </w:rPr>
            </w:pP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39E1CCC3" w14:textId="77777777" w:rsidR="0083272F" w:rsidRPr="0083272F" w:rsidRDefault="0083272F" w:rsidP="0083272F">
            <w:pPr>
              <w:pStyle w:val="CDITable-RowLeft"/>
              <w:rPr>
                <w:lang w:val="en-GB"/>
              </w:rPr>
            </w:pPr>
            <w:r w:rsidRPr="0083272F">
              <w:rPr>
                <w:lang w:val="en-GB"/>
              </w:rPr>
              <w:t>Monoclonal antibody (nirsevimab)</w:t>
            </w:r>
          </w:p>
        </w:tc>
        <w:tc>
          <w:tcPr>
            <w:tcW w:w="56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6791834" w14:textId="77777777" w:rsidR="0083272F" w:rsidRPr="0083272F" w:rsidRDefault="0083272F" w:rsidP="003670AD">
            <w:pPr>
              <w:pStyle w:val="CDITable-RowBullets"/>
              <w:spacing w:before="0"/>
              <w:rPr>
                <w:lang w:val="en-GB"/>
              </w:rPr>
            </w:pPr>
            <w:r w:rsidRPr="0083272F">
              <w:rPr>
                <w:lang w:val="en-GB"/>
              </w:rPr>
              <w:t>All infants born at &lt; 34 weeks gestation</w:t>
            </w:r>
          </w:p>
          <w:p w14:paraId="0EA241AF" w14:textId="77777777" w:rsidR="0083272F" w:rsidRPr="0083272F" w:rsidRDefault="0083272F" w:rsidP="003670AD">
            <w:pPr>
              <w:pStyle w:val="CDITable-RowBullets"/>
              <w:rPr>
                <w:lang w:val="en-GB"/>
              </w:rPr>
            </w:pPr>
            <w:r w:rsidRPr="0083272F">
              <w:rPr>
                <w:lang w:val="en-GB"/>
              </w:rPr>
              <w:t>Infants aged &lt; 8 months born during or entering their first RSV season whose mother did not receive RSV vaccine, whose mother’s receipt of RSV vaccine is unknown, or who were born &lt; 14 days after maternal vaccination</w:t>
            </w:r>
          </w:p>
          <w:p w14:paraId="01BE924C" w14:textId="77777777" w:rsidR="0083272F" w:rsidRPr="0083272F" w:rsidRDefault="0083272F" w:rsidP="003670AD">
            <w:pPr>
              <w:pStyle w:val="CDITable-RowBullets"/>
              <w:rPr>
                <w:lang w:val="en-GB"/>
              </w:rPr>
            </w:pPr>
            <w:r w:rsidRPr="0083272F">
              <w:rPr>
                <w:lang w:val="en-GB"/>
              </w:rPr>
              <w:t>Young children aged 8–19 months at increased risk for severe RSV disease and entering their second RSV season regardless of maternal RSV vaccination</w:t>
            </w:r>
          </w:p>
        </w:tc>
        <w:tc>
          <w:tcPr>
            <w:tcW w:w="532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6FF182C" w14:textId="77777777" w:rsidR="0083272F" w:rsidRPr="0083272F" w:rsidRDefault="0083272F" w:rsidP="003670AD">
            <w:pPr>
              <w:pStyle w:val="CDITable-RowBullets"/>
              <w:spacing w:before="0"/>
              <w:rPr>
                <w:lang w:val="en-GB"/>
              </w:rPr>
            </w:pPr>
            <w:r w:rsidRPr="0083272F">
              <w:rPr>
                <w:lang w:val="en-GB"/>
              </w:rPr>
              <w:t>For the selective immunisation of high-risk infants and children</w:t>
            </w:r>
          </w:p>
          <w:p w14:paraId="034F0A0F" w14:textId="77777777" w:rsidR="0083272F" w:rsidRPr="0083272F" w:rsidRDefault="0083272F" w:rsidP="003670AD">
            <w:pPr>
              <w:pStyle w:val="CDITable-RowBullets"/>
              <w:rPr>
                <w:lang w:val="en-GB"/>
              </w:rPr>
            </w:pPr>
            <w:r w:rsidRPr="0083272F">
              <w:rPr>
                <w:lang w:val="en-GB"/>
              </w:rPr>
              <w:t>Usually in or from around calendar week 40 in early October</w:t>
            </w:r>
          </w:p>
          <w:p w14:paraId="0A41A328" w14:textId="77777777" w:rsidR="0083272F" w:rsidRPr="0083272F" w:rsidRDefault="0083272F" w:rsidP="003670AD">
            <w:pPr>
              <w:pStyle w:val="CDITable-RowBullets"/>
              <w:rPr>
                <w:lang w:val="en-GB"/>
              </w:rPr>
            </w:pPr>
            <w:r w:rsidRPr="0083272F">
              <w:rPr>
                <w:lang w:val="en-GB"/>
              </w:rPr>
              <w:t>Eligible conditions include chronic lung disease of prematurity (CLD), congenital heart disease (CHD), Severe Combined Immunodeficiency Syndrome (SCID). Also dependent on gestational age at birth for some categories</w:t>
            </w:r>
          </w:p>
        </w:tc>
      </w:tr>
      <w:tr w:rsidR="0083272F" w:rsidRPr="0083272F" w14:paraId="67FFEE8C" w14:textId="77777777" w:rsidTr="003670AD">
        <w:trPr>
          <w:trHeight w:val="60"/>
        </w:trPr>
        <w:tc>
          <w:tcPr>
            <w:tcW w:w="1417" w:type="dxa"/>
            <w:vMerge/>
            <w:tcBorders>
              <w:bottom w:val="single" w:sz="6" w:space="0" w:color="1E4496" w:themeColor="text2"/>
            </w:tcBorders>
            <w:shd w:val="clear" w:color="auto" w:fill="DCF4FC" w:themeFill="background2" w:themeFillTint="33"/>
          </w:tcPr>
          <w:p w14:paraId="569254F0" w14:textId="77777777" w:rsidR="0083272F" w:rsidRPr="003670AD" w:rsidRDefault="0083272F" w:rsidP="003670AD">
            <w:pPr>
              <w:pStyle w:val="CDITable-RowLeft"/>
              <w:rPr>
                <w:b/>
                <w:bCs/>
              </w:rPr>
            </w:pP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46D1650B" w14:textId="77777777" w:rsidR="0083272F" w:rsidRPr="0083272F" w:rsidRDefault="0083272F" w:rsidP="0083272F">
            <w:pPr>
              <w:pStyle w:val="CDITable-RowLeft"/>
              <w:rPr>
                <w:lang w:val="en-GB"/>
              </w:rPr>
            </w:pPr>
            <w:r w:rsidRPr="0083272F">
              <w:rPr>
                <w:lang w:val="en-GB"/>
              </w:rPr>
              <w:t>RSV vaccine and nirsevimab</w:t>
            </w:r>
          </w:p>
        </w:tc>
        <w:tc>
          <w:tcPr>
            <w:tcW w:w="56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6A1E2B97" w14:textId="77777777" w:rsidR="0083272F" w:rsidRPr="0083272F" w:rsidRDefault="0083272F" w:rsidP="0083272F">
            <w:pPr>
              <w:pStyle w:val="CDITable-RowLeft"/>
              <w:rPr>
                <w:lang w:val="en-GB"/>
              </w:rPr>
            </w:pPr>
            <w:r w:rsidRPr="0083272F">
              <w:rPr>
                <w:lang w:val="en-GB"/>
              </w:rPr>
              <w:t>Administration of both products is not needed for most infants; however, based on the clinical judgment of the healthcare provider, nirsevimab may be considered for infants born to vaccinated mothers in rare circumstances (e.g. mothers with immunocompromising condition, infants with loss of maternal antibodies)</w:t>
            </w:r>
          </w:p>
        </w:tc>
        <w:tc>
          <w:tcPr>
            <w:tcW w:w="532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27B1C78" w14:textId="77777777" w:rsidR="0083272F" w:rsidRPr="0083272F" w:rsidRDefault="0083272F" w:rsidP="0083272F">
            <w:pPr>
              <w:pStyle w:val="CDITable-RowLeft"/>
              <w:rPr>
                <w:lang w:val="en-GB"/>
              </w:rPr>
            </w:pPr>
            <w:r w:rsidRPr="0083272F">
              <w:rPr>
                <w:lang w:val="en-GB"/>
              </w:rPr>
              <w:t>—</w:t>
            </w:r>
          </w:p>
        </w:tc>
      </w:tr>
      <w:tr w:rsidR="0083272F" w:rsidRPr="0083272F" w14:paraId="0AD71A9E" w14:textId="77777777" w:rsidTr="003670AD">
        <w:trPr>
          <w:trHeight w:val="60"/>
        </w:trPr>
        <w:tc>
          <w:tcPr>
            <w:tcW w:w="1417" w:type="dxa"/>
            <w:tcBorders>
              <w:top w:val="single" w:sz="6" w:space="0" w:color="1E4496" w:themeColor="text2"/>
              <w:bottom w:val="single" w:sz="6" w:space="0" w:color="1E4496" w:themeColor="text2"/>
            </w:tcBorders>
            <w:shd w:val="clear" w:color="auto" w:fill="DCF4FC" w:themeFill="background2" w:themeFillTint="33"/>
            <w:tcMar>
              <w:top w:w="113" w:type="dxa"/>
              <w:left w:w="113" w:type="dxa"/>
              <w:bottom w:w="113" w:type="dxa"/>
              <w:right w:w="113" w:type="dxa"/>
            </w:tcMar>
            <w:vAlign w:val="center"/>
          </w:tcPr>
          <w:p w14:paraId="606F7196" w14:textId="77777777" w:rsidR="0083272F" w:rsidRPr="003670AD" w:rsidRDefault="0083272F" w:rsidP="003670AD">
            <w:pPr>
              <w:pStyle w:val="CDITable-RowLeft"/>
              <w:rPr>
                <w:b/>
                <w:bCs/>
                <w:lang w:val="en-GB"/>
              </w:rPr>
            </w:pPr>
            <w:r w:rsidRPr="003670AD">
              <w:rPr>
                <w:b/>
                <w:bCs/>
                <w:lang w:val="en-GB"/>
              </w:rPr>
              <w:t>Older adults</w:t>
            </w:r>
          </w:p>
        </w:tc>
        <w:tc>
          <w:tcPr>
            <w:tcW w:w="1985"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2E656395" w14:textId="77777777" w:rsidR="0083272F" w:rsidRPr="0083272F" w:rsidRDefault="0083272F" w:rsidP="0083272F">
            <w:pPr>
              <w:pStyle w:val="CDITable-RowLeft"/>
              <w:rPr>
                <w:lang w:val="en-GB"/>
              </w:rPr>
            </w:pPr>
            <w:r w:rsidRPr="0083272F">
              <w:rPr>
                <w:lang w:val="en-GB"/>
              </w:rPr>
              <w:t>RSV vaccine</w:t>
            </w:r>
          </w:p>
        </w:tc>
        <w:tc>
          <w:tcPr>
            <w:tcW w:w="5612"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02AA07AD" w14:textId="77777777" w:rsidR="0083272F" w:rsidRPr="0083272F" w:rsidRDefault="0083272F" w:rsidP="003670AD">
            <w:pPr>
              <w:pStyle w:val="CDITable-RowBullets"/>
              <w:spacing w:before="0"/>
              <w:rPr>
                <w:lang w:val="en-GB"/>
              </w:rPr>
            </w:pPr>
            <w:r w:rsidRPr="0083272F">
              <w:rPr>
                <w:lang w:val="en-GB"/>
              </w:rPr>
              <w:t xml:space="preserve">Adults aged ≥ 75 years </w:t>
            </w:r>
          </w:p>
          <w:p w14:paraId="4FF52255" w14:textId="77777777" w:rsidR="0083272F" w:rsidRPr="0083272F" w:rsidRDefault="0083272F" w:rsidP="003670AD">
            <w:pPr>
              <w:pStyle w:val="CDITable-RowBullets"/>
              <w:rPr>
                <w:lang w:val="en-GB"/>
              </w:rPr>
            </w:pPr>
            <w:r w:rsidRPr="0083272F">
              <w:rPr>
                <w:lang w:val="en-GB"/>
              </w:rPr>
              <w:t>Adults aged 60–74 years who are at increased risk for severe RSV disease</w:t>
            </w:r>
          </w:p>
          <w:p w14:paraId="0A32F059" w14:textId="77777777" w:rsidR="0083272F" w:rsidRPr="0083272F" w:rsidRDefault="0083272F" w:rsidP="003670AD">
            <w:pPr>
              <w:pStyle w:val="CDITable-RowBullets"/>
              <w:rPr>
                <w:lang w:val="en-GB"/>
              </w:rPr>
            </w:pPr>
            <w:r w:rsidRPr="0083272F">
              <w:rPr>
                <w:lang w:val="en-GB"/>
              </w:rPr>
              <w:t>Vaccination optimally before the onset of the RSV season</w:t>
            </w:r>
          </w:p>
        </w:tc>
        <w:tc>
          <w:tcPr>
            <w:tcW w:w="5329" w:type="dxa"/>
            <w:tcBorders>
              <w:top w:val="single" w:sz="6" w:space="0" w:color="1E4496" w:themeColor="text2"/>
              <w:bottom w:val="single" w:sz="6" w:space="0" w:color="1E4496" w:themeColor="text2"/>
            </w:tcBorders>
            <w:tcMar>
              <w:top w:w="113" w:type="dxa"/>
              <w:left w:w="113" w:type="dxa"/>
              <w:bottom w:w="113" w:type="dxa"/>
              <w:right w:w="113" w:type="dxa"/>
            </w:tcMar>
            <w:vAlign w:val="center"/>
          </w:tcPr>
          <w:p w14:paraId="5F3B4C2A" w14:textId="77777777" w:rsidR="0083272F" w:rsidRPr="0083272F" w:rsidRDefault="0083272F" w:rsidP="003670AD">
            <w:pPr>
              <w:pStyle w:val="CDITable-RowBullets"/>
              <w:spacing w:before="0"/>
              <w:rPr>
                <w:lang w:val="en-GB"/>
              </w:rPr>
            </w:pPr>
            <w:r w:rsidRPr="0083272F">
              <w:rPr>
                <w:lang w:val="en-GB"/>
              </w:rPr>
              <w:t>Adults turning 75 years of age</w:t>
            </w:r>
          </w:p>
          <w:p w14:paraId="00E5CC31" w14:textId="77777777" w:rsidR="0083272F" w:rsidRPr="0083272F" w:rsidRDefault="0083272F" w:rsidP="003670AD">
            <w:pPr>
              <w:pStyle w:val="CDITable-RowBullets"/>
              <w:rPr>
                <w:lang w:val="en-GB"/>
              </w:rPr>
            </w:pPr>
            <w:r w:rsidRPr="0083272F">
              <w:rPr>
                <w:lang w:val="en-GB"/>
              </w:rPr>
              <w:t>Catch up for those aged 75–79 years until August 2025</w:t>
            </w:r>
          </w:p>
        </w:tc>
      </w:tr>
    </w:tbl>
    <w:p w14:paraId="094F0684" w14:textId="77777777" w:rsidR="007C322F" w:rsidRPr="007C322F" w:rsidRDefault="007C322F" w:rsidP="007C322F">
      <w:pPr>
        <w:pStyle w:val="CDITable-FirstFootnote"/>
        <w:rPr>
          <w:lang w:val="en-GB"/>
        </w:rPr>
      </w:pPr>
      <w:r w:rsidRPr="007C322F">
        <w:rPr>
          <w:lang w:val="en-GB"/>
        </w:rPr>
        <w:t>a</w:t>
      </w:r>
      <w:r w:rsidRPr="007C322F">
        <w:rPr>
          <w:lang w:val="en-GB"/>
        </w:rPr>
        <w:tab/>
        <w:t>Recommendations/advice as sourced from references 60 and 68.</w:t>
      </w:r>
    </w:p>
    <w:p w14:paraId="747E3585" w14:textId="77777777" w:rsidR="007C322F" w:rsidRDefault="007C322F" w:rsidP="007C322F">
      <w:pPr>
        <w:pStyle w:val="CDITable-Footnote"/>
        <w:rPr>
          <w:lang w:val="en-GB"/>
        </w:rPr>
        <w:sectPr w:rsidR="007C322F" w:rsidSect="007C322F">
          <w:footnotePr>
            <w:numFmt w:val="lowerRoman"/>
          </w:footnotePr>
          <w:pgSz w:w="16840" w:h="11907" w:orient="landscape" w:code="9"/>
          <w:pgMar w:top="1134" w:right="1134" w:bottom="1134" w:left="1134" w:header="709" w:footer="567" w:gutter="0"/>
          <w:cols w:space="708"/>
          <w:docGrid w:linePitch="360"/>
        </w:sectPr>
      </w:pPr>
      <w:r w:rsidRPr="007C322F">
        <w:rPr>
          <w:lang w:val="en-GB"/>
        </w:rPr>
        <w:t>b</w:t>
      </w:r>
      <w:r w:rsidRPr="007C322F">
        <w:rPr>
          <w:lang w:val="en-GB"/>
        </w:rPr>
        <w:tab/>
        <w:t>Recommendations/advice as sourced from reference 63.</w:t>
      </w:r>
    </w:p>
    <w:p w14:paraId="2CEC4622" w14:textId="3F5D9636" w:rsidR="00FE2847" w:rsidRDefault="007C322F" w:rsidP="007C322F">
      <w:pPr>
        <w:pStyle w:val="Heading1-nospacebefore"/>
      </w:pPr>
      <w:bookmarkStart w:id="29" w:name="_Toc229657257"/>
      <w:bookmarkEnd w:id="25"/>
      <w:bookmarkEnd w:id="26"/>
      <w:r w:rsidRPr="007C322F">
        <w:t>Anticipated issues and information gaps/needs</w:t>
      </w:r>
      <w:bookmarkEnd w:id="29"/>
    </w:p>
    <w:p w14:paraId="2A713F35" w14:textId="77777777" w:rsidR="007C322F" w:rsidRPr="007C322F" w:rsidRDefault="007C322F" w:rsidP="007C322F">
      <w:pPr>
        <w:pStyle w:val="Heading2"/>
        <w:rPr>
          <w:lang w:val="en-GB"/>
        </w:rPr>
      </w:pPr>
      <w:bookmarkStart w:id="30" w:name="_Toc229657258"/>
      <w:r w:rsidRPr="007C322F">
        <w:rPr>
          <w:lang w:val="en-GB"/>
        </w:rPr>
        <w:t>Need for robust data on the disease burden in older adults</w:t>
      </w:r>
      <w:bookmarkEnd w:id="30"/>
    </w:p>
    <w:p w14:paraId="55929990" w14:textId="77777777" w:rsidR="007C322F" w:rsidRPr="007C322F" w:rsidRDefault="007C322F" w:rsidP="007C322F">
      <w:pPr>
        <w:rPr>
          <w:lang w:val="en-GB"/>
        </w:rPr>
      </w:pPr>
      <w:r w:rsidRPr="007C322F">
        <w:rPr>
          <w:lang w:val="en-GB"/>
        </w:rPr>
        <w:t xml:space="preserve">Current estimates on the RSV disease burden in Australian adults </w:t>
      </w:r>
      <w:proofErr w:type="gramStart"/>
      <w:r w:rsidRPr="007C322F">
        <w:rPr>
          <w:lang w:val="en-GB"/>
        </w:rPr>
        <w:t>is</w:t>
      </w:r>
      <w:proofErr w:type="gramEnd"/>
      <w:r w:rsidRPr="007C322F">
        <w:rPr>
          <w:lang w:val="en-GB"/>
        </w:rPr>
        <w:t xml:space="preserve"> predominantly derived from health administrative data (AIHW NHMD) identifying relevant RSV hospitalisations based on selected ICD codes. This approach will likely underestimate the true RSV disease burden. Variations in the propensity for clinical testing of people with acute respiratory disease across different healthcare services or settings, and over time, also contribute to variable underestimation and are hard to assess. Additional limitations of the available hospitalisation data include the inability, due to data aggregation, to accurately assess disease burden among medically at-risk populations, and among older First Nations adults aged ≥ 65 years, by specific narrower age bands. The utility of laboratory-confirmed RSV data from the NNDSS is impacted by constraints such as potential variability in testing patterns, incomplete identification of First Nations people and of death as an outcome (noting that most cases are not followed to outcome status for surveillance purposes). </w:t>
      </w:r>
    </w:p>
    <w:p w14:paraId="741A03D3" w14:textId="77777777" w:rsidR="007C322F" w:rsidRPr="007C322F" w:rsidRDefault="007C322F" w:rsidP="007C322F">
      <w:pPr>
        <w:rPr>
          <w:lang w:val="en-GB"/>
        </w:rPr>
      </w:pPr>
      <w:r w:rsidRPr="007C322F">
        <w:rPr>
          <w:lang w:val="en-GB"/>
        </w:rPr>
        <w:t>Alternative methodological approaches to account for under-ascertainment of RSV cases, such as statistical modelling and/or the application of an adjustment factor, may improve reliability of disease burden estimates, especially for adults. Additionally, better quality data about specific populations, particularly First Nations people and medically at-risk individuals, are also needed. Such robust data may be acquired by data linkage with readily available datasets or by the implementation of sentinel active case ascertainment through hospital surveillance with laboratory-confirmed RSV, such as via the Influenza Complications Alert Network (FluCAN) and Paediatric Active Enhanced Disease Surveillance (PAEDS). The Australian National Surveillance Plan for COVID-19, Influenza, and RSV,</w:t>
      </w:r>
      <w:r w:rsidRPr="007C322F">
        <w:rPr>
          <w:vertAlign w:val="superscript"/>
          <w:lang w:val="en-GB"/>
        </w:rPr>
        <w:t>70</w:t>
      </w:r>
      <w:r w:rsidRPr="007C322F">
        <w:rPr>
          <w:lang w:val="en-GB"/>
        </w:rPr>
        <w:t xml:space="preserve"> published in April 2024, describes the approach to more comprehensive surveillance of RSV disease in addition to influenza and COVID-19 in Australia. </w:t>
      </w:r>
    </w:p>
    <w:p w14:paraId="25119FAE" w14:textId="77777777" w:rsidR="007C322F" w:rsidRPr="007C322F" w:rsidRDefault="007C322F" w:rsidP="007C322F">
      <w:pPr>
        <w:pStyle w:val="Heading2"/>
        <w:rPr>
          <w:lang w:val="en-GB"/>
        </w:rPr>
      </w:pPr>
      <w:bookmarkStart w:id="31" w:name="_Toc229657259"/>
      <w:r w:rsidRPr="007C322F">
        <w:rPr>
          <w:lang w:val="en-GB"/>
        </w:rPr>
        <w:t>Need for strengthened disease and safety surveillance and program monitoring</w:t>
      </w:r>
      <w:bookmarkEnd w:id="31"/>
    </w:p>
    <w:p w14:paraId="30278A96" w14:textId="77777777" w:rsidR="007C322F" w:rsidRPr="007C322F" w:rsidRDefault="007C322F" w:rsidP="007C322F">
      <w:pPr>
        <w:rPr>
          <w:lang w:val="en-GB"/>
        </w:rPr>
      </w:pPr>
      <w:r w:rsidRPr="007C322F">
        <w:rPr>
          <w:lang w:val="en-GB"/>
        </w:rPr>
        <w:t>Data linkage will also provide key assets to use for monitoring and assessment of the effectiveness of these RSV prevention strategies and their impact on reducing the disease burden. Well-conducted analyses using this approach can also assist assessments of the safety of RSV vaccines or monoclonal antibodies, including the monitoring of AESI (e.g. inflammatory neurologic events in adults, premature births and other pregnancy outcomes), which clinical trials are not adequately powered to detect. Additionally, any potential inequities in access to or uptake of RSV immunisation products, and in health outcomes following the implementation of an upcoming national program, will need to be carefully evaluated and addressed as they occur.</w:t>
      </w:r>
    </w:p>
    <w:p w14:paraId="77FC750E" w14:textId="77777777" w:rsidR="007C322F" w:rsidRPr="007C322F" w:rsidRDefault="007C322F" w:rsidP="007C322F">
      <w:pPr>
        <w:pStyle w:val="Heading2"/>
        <w:rPr>
          <w:lang w:val="en-GB"/>
        </w:rPr>
      </w:pPr>
      <w:bookmarkStart w:id="32" w:name="_Toc229657260"/>
      <w:r w:rsidRPr="007C322F">
        <w:rPr>
          <w:lang w:val="en-GB"/>
        </w:rPr>
        <w:t>Monitoring immunisation coverage</w:t>
      </w:r>
      <w:bookmarkEnd w:id="32"/>
    </w:p>
    <w:p w14:paraId="2B238EC0" w14:textId="77777777" w:rsidR="007C322F" w:rsidRPr="007C322F" w:rsidRDefault="007C322F" w:rsidP="007C322F">
      <w:pPr>
        <w:rPr>
          <w:lang w:val="en-GB"/>
        </w:rPr>
      </w:pPr>
      <w:r w:rsidRPr="007C322F">
        <w:rPr>
          <w:lang w:val="en-GB"/>
        </w:rPr>
        <w:t>Until recently, nationally representative data on maternal vaccine uptake among pregnant people were lacking, with the best sources of data coming from a limited number of jurisdictional perinatal data collection analyses.</w:t>
      </w:r>
      <w:r w:rsidRPr="007C322F">
        <w:rPr>
          <w:vertAlign w:val="superscript"/>
          <w:lang w:val="en-GB"/>
        </w:rPr>
        <w:t>71</w:t>
      </w:r>
      <w:r w:rsidRPr="007C322F">
        <w:rPr>
          <w:lang w:val="en-GB"/>
        </w:rPr>
        <w:t xml:space="preserve"> As part of recent changes to the Australian Immunisation Registry (AIR), a field indicating whether vaccination occurred during pregnancy, and the potential to record administration of nirsevimab, were introduced in March 2024 and further refined, based on provider feedback, in December 2024.</w:t>
      </w:r>
      <w:r w:rsidRPr="007C322F">
        <w:rPr>
          <w:vertAlign w:val="superscript"/>
          <w:lang w:val="en-GB"/>
        </w:rPr>
        <w:t>72,73</w:t>
      </w:r>
      <w:r w:rsidRPr="007C322F">
        <w:rPr>
          <w:lang w:val="en-GB"/>
        </w:rPr>
        <w:t xml:space="preserve"> This new functionality is aimed at ensuring there are effective strategies to conduct timely monitoring of RSV vaccine uptake in pregnancy alongside coverage of other antenatal vaccines. However, the AIR is still unable to record key data elements such as gestational age, or to adequately link mother-infant pairs, and consistent data entry by vaccination providers will be essential. Linked datasets are likely to be critical to allowing assessment of the safety and effectiveness of maternal RSV vaccination or nirsevimab on infant RSV disease and to aid in informing the relative merits of these strategies, particularly for protecting infants at increased risk of severe RSV disease.</w:t>
      </w:r>
    </w:p>
    <w:p w14:paraId="0E282E8D" w14:textId="77777777" w:rsidR="007C322F" w:rsidRPr="007C322F" w:rsidRDefault="007C322F" w:rsidP="007C322F">
      <w:pPr>
        <w:rPr>
          <w:lang w:val="en-GB"/>
        </w:rPr>
      </w:pPr>
      <w:r w:rsidRPr="007C322F">
        <w:rPr>
          <w:lang w:val="en-GB"/>
        </w:rPr>
        <w:t xml:space="preserve">There are existing challenges in monitoring vaccine uptake among other at-risk populations, such as people with medical conditions and First Nations people, due to the inability to identify all these at-risk individuals on the AIR. Hence, building capacity to link the AIR to other databases that include health outcome data are needed to identify populations at increased risk of poor health outcomes, to evaluate RSV and other vaccine coverage, and to assess vaccine program impact. </w:t>
      </w:r>
    </w:p>
    <w:p w14:paraId="368E7FAF" w14:textId="77777777" w:rsidR="007C322F" w:rsidRPr="007C322F" w:rsidRDefault="007C322F" w:rsidP="007C322F">
      <w:pPr>
        <w:pStyle w:val="Heading2"/>
        <w:rPr>
          <w:lang w:val="en-GB"/>
        </w:rPr>
      </w:pPr>
      <w:bookmarkStart w:id="33" w:name="_Toc229657261"/>
      <w:r w:rsidRPr="007C322F">
        <w:rPr>
          <w:lang w:val="en-GB"/>
        </w:rPr>
        <w:t>Other future considerations for RSV immunisation</w:t>
      </w:r>
      <w:bookmarkEnd w:id="33"/>
    </w:p>
    <w:p w14:paraId="13C539B7" w14:textId="77777777" w:rsidR="007C322F" w:rsidRPr="007C322F" w:rsidRDefault="007C322F" w:rsidP="007C322F">
      <w:pPr>
        <w:rPr>
          <w:lang w:val="en-GB"/>
        </w:rPr>
      </w:pPr>
      <w:r w:rsidRPr="007C322F">
        <w:rPr>
          <w:lang w:val="en-GB"/>
        </w:rPr>
        <w:t>The Australian Immunisation Handbook recommends a single dose of RSV vaccine in older adults, with no current recommendations for further doses, due to absence of clinical data on their incremental benefits and/or safety. For pregnant people who have received their first RSV vaccine dose, data on antibody persistence over time are still needed. Data are also awaited on the immunogenicity, safety and clinical effectiveness of repeat vaccination, in subsequent pregnancies, against severe infant RSV infection.</w:t>
      </w:r>
    </w:p>
    <w:p w14:paraId="1043CC7E" w14:textId="77777777" w:rsidR="007C322F" w:rsidRPr="007C322F" w:rsidRDefault="007C322F" w:rsidP="007C322F">
      <w:pPr>
        <w:rPr>
          <w:lang w:val="en-GB"/>
        </w:rPr>
      </w:pPr>
      <w:r w:rsidRPr="007C322F">
        <w:rPr>
          <w:lang w:val="en-GB"/>
        </w:rPr>
        <w:t xml:space="preserve">Regarding older adults, real-world evidence confirming the effectiveness of a single dose of RSV vaccine is required, as well as data on the duration of protection beyond the third season as shown in clinical trials. If a program of periodic RSV re-vaccination is contemplated and offered seasonally, its potential impact on uptake of the influenza and COVID-19 vaccines, which involve annual seasonal programmatic delivery, needs to be considered. Combination vaccines for RSV and other acute respiratory illnesses (e.g. influenza and COVID-19) in older adults are currently in the pipeline; the future availability of these could simplify immunisation practices and optimise uptake, leading to improved control of several acute respiratory viruses which cause significant respiratory morbidity and mortality in older adults each year. </w:t>
      </w:r>
    </w:p>
    <w:p w14:paraId="056EDAC0" w14:textId="77777777" w:rsidR="00F216F0" w:rsidRDefault="00F216F0" w:rsidP="00F216F0">
      <w:pPr>
        <w:pStyle w:val="Heading1"/>
      </w:pPr>
      <w:bookmarkStart w:id="34" w:name="_Toc195530510"/>
      <w:bookmarkStart w:id="35" w:name="_Toc229657262"/>
      <w:bookmarkStart w:id="36" w:name="_Toc195530508"/>
      <w:r>
        <w:t>Acknowledgments</w:t>
      </w:r>
      <w:bookmarkEnd w:id="34"/>
      <w:bookmarkEnd w:id="35"/>
    </w:p>
    <w:p w14:paraId="08CAA815" w14:textId="56ED097D" w:rsidR="00F216F0" w:rsidRPr="008017B6" w:rsidRDefault="007C322F" w:rsidP="007C322F">
      <w:pPr>
        <w:pStyle w:val="Normal-Opening"/>
      </w:pPr>
      <w:r w:rsidRPr="007C322F">
        <w:rPr>
          <w:lang w:val="en-GB"/>
        </w:rPr>
        <w:t>We thank Dr Gemma Saravanos of Faculty of Medicine and Health, Sydney University, and Drs</w:t>
      </w:r>
      <w:r>
        <w:rPr>
          <w:lang w:val="en-GB"/>
        </w:rPr>
        <w:t> </w:t>
      </w:r>
      <w:r w:rsidRPr="007C322F">
        <w:rPr>
          <w:lang w:val="en-GB"/>
        </w:rPr>
        <w:t>Minda Sarna and Hannah Moore of Telethon Kids Institute, Perth Children's Hospital, for their contributions to the ‘RSV epidemiology in Australia’ section of the review; and the ATAGI secretariat of the Department of Health, Disability and Ageing for the assistance in the development of the manuscript and coordinating the approvals required for the publication of this review.</w:t>
      </w:r>
    </w:p>
    <w:p w14:paraId="619EE72C" w14:textId="77777777" w:rsidR="008A0736" w:rsidRDefault="008A0736" w:rsidP="008A0736">
      <w:pPr>
        <w:pStyle w:val="Heading1"/>
      </w:pPr>
      <w:bookmarkStart w:id="37" w:name="_Toc229657263"/>
      <w:r>
        <w:t>Author details</w:t>
      </w:r>
      <w:bookmarkEnd w:id="36"/>
      <w:bookmarkEnd w:id="37"/>
    </w:p>
    <w:p w14:paraId="2C940E4E" w14:textId="77777777" w:rsidR="007C322F" w:rsidRPr="007C322F" w:rsidRDefault="007C322F" w:rsidP="0083272F">
      <w:pPr>
        <w:pStyle w:val="Normal-Opening"/>
        <w:rPr>
          <w:lang w:val="en-GB"/>
        </w:rPr>
      </w:pPr>
      <w:r w:rsidRPr="007C322F">
        <w:rPr>
          <w:lang w:val="en-GB"/>
        </w:rPr>
        <w:t>Dr Chisato Imai-Boulter</w:t>
      </w:r>
      <w:r w:rsidRPr="007C322F">
        <w:rPr>
          <w:vertAlign w:val="superscript"/>
          <w:lang w:val="en-GB"/>
        </w:rPr>
        <w:t>1,2</w:t>
      </w:r>
    </w:p>
    <w:p w14:paraId="46F5960F" w14:textId="77777777" w:rsidR="007C322F" w:rsidRPr="007C322F" w:rsidRDefault="007C322F" w:rsidP="007C322F">
      <w:pPr>
        <w:pStyle w:val="Normal-lessspace"/>
      </w:pPr>
      <w:r w:rsidRPr="007C322F">
        <w:t>Dr Jean Li-Kim-Moy</w:t>
      </w:r>
      <w:r w:rsidRPr="007C322F">
        <w:rPr>
          <w:vertAlign w:val="superscript"/>
        </w:rPr>
        <w:t>1,2</w:t>
      </w:r>
    </w:p>
    <w:p w14:paraId="568AA17A" w14:textId="77777777" w:rsidR="007C322F" w:rsidRPr="007C322F" w:rsidRDefault="007C322F" w:rsidP="007C322F">
      <w:pPr>
        <w:pStyle w:val="Normal-lessspace"/>
      </w:pPr>
      <w:r w:rsidRPr="007C322F">
        <w:t>Dr Jocelynne McRae</w:t>
      </w:r>
      <w:r w:rsidRPr="007C322F">
        <w:rPr>
          <w:vertAlign w:val="superscript"/>
        </w:rPr>
        <w:t>3</w:t>
      </w:r>
    </w:p>
    <w:p w14:paraId="1F61B1F8" w14:textId="77777777" w:rsidR="007C322F" w:rsidRPr="007C322F" w:rsidRDefault="007C322F" w:rsidP="007C322F">
      <w:pPr>
        <w:pStyle w:val="Normal-lessspace"/>
      </w:pPr>
      <w:r w:rsidRPr="007C322F">
        <w:t>Dr Clayton Chiu</w:t>
      </w:r>
      <w:r w:rsidRPr="007C322F">
        <w:rPr>
          <w:vertAlign w:val="superscript"/>
        </w:rPr>
        <w:t>1,2</w:t>
      </w:r>
    </w:p>
    <w:p w14:paraId="01F5391C" w14:textId="77777777" w:rsidR="007C322F" w:rsidRPr="007C322F" w:rsidRDefault="007C322F" w:rsidP="007C322F">
      <w:pPr>
        <w:pStyle w:val="Normal-lessspace"/>
      </w:pPr>
      <w:r w:rsidRPr="007C322F">
        <w:t>Dr Sanjay Jayasinghe</w:t>
      </w:r>
      <w:r w:rsidRPr="007C322F">
        <w:rPr>
          <w:vertAlign w:val="superscript"/>
        </w:rPr>
        <w:t>1,2</w:t>
      </w:r>
    </w:p>
    <w:p w14:paraId="379C9B9F" w14:textId="77777777" w:rsidR="007C322F" w:rsidRPr="007C322F" w:rsidRDefault="007C322F" w:rsidP="007C322F">
      <w:pPr>
        <w:pStyle w:val="Normal-lessspace"/>
      </w:pPr>
      <w:r w:rsidRPr="007C322F">
        <w:t>Prof. Kristine Macartney</w:t>
      </w:r>
      <w:r w:rsidRPr="007C322F">
        <w:rPr>
          <w:vertAlign w:val="superscript"/>
        </w:rPr>
        <w:t>1,2,4</w:t>
      </w:r>
    </w:p>
    <w:p w14:paraId="0E0B024D" w14:textId="77777777" w:rsidR="007C322F" w:rsidRPr="007C322F" w:rsidRDefault="007C322F" w:rsidP="007C322F">
      <w:pPr>
        <w:pStyle w:val="Normal-lessspace"/>
      </w:pPr>
      <w:r w:rsidRPr="007C322F">
        <w:t>Dr Katherine Gibney</w:t>
      </w:r>
      <w:r w:rsidRPr="007C322F">
        <w:rPr>
          <w:vertAlign w:val="superscript"/>
        </w:rPr>
        <w:t>4,5,6</w:t>
      </w:r>
    </w:p>
    <w:p w14:paraId="5763FECA" w14:textId="77777777" w:rsidR="007C322F" w:rsidRPr="007C322F" w:rsidRDefault="007C322F" w:rsidP="007C322F">
      <w:pPr>
        <w:pStyle w:val="Normal-lessspace"/>
      </w:pPr>
      <w:r w:rsidRPr="007C322F">
        <w:t>Ms Karen Bellamy</w:t>
      </w:r>
      <w:r w:rsidRPr="007C322F">
        <w:rPr>
          <w:vertAlign w:val="superscript"/>
        </w:rPr>
        <w:t>4,7</w:t>
      </w:r>
    </w:p>
    <w:p w14:paraId="32327BC7" w14:textId="77777777" w:rsidR="007C322F" w:rsidRPr="007C322F" w:rsidRDefault="007C322F" w:rsidP="007C322F">
      <w:pPr>
        <w:pStyle w:val="Normal-lessspace"/>
      </w:pPr>
      <w:r w:rsidRPr="007C322F">
        <w:t>Ms Kristy Cooper</w:t>
      </w:r>
      <w:r w:rsidRPr="007C322F">
        <w:rPr>
          <w:vertAlign w:val="superscript"/>
        </w:rPr>
        <w:t>4</w:t>
      </w:r>
    </w:p>
    <w:p w14:paraId="55C34673" w14:textId="77777777" w:rsidR="007C322F" w:rsidRPr="007C322F" w:rsidRDefault="007C322F" w:rsidP="007C322F">
      <w:pPr>
        <w:pStyle w:val="Normal-lessspace"/>
      </w:pPr>
      <w:r w:rsidRPr="007C322F">
        <w:t>Prof. Katie Flanagan</w:t>
      </w:r>
      <w:r w:rsidRPr="007C322F">
        <w:rPr>
          <w:vertAlign w:val="superscript"/>
        </w:rPr>
        <w:t>4,8,9,10</w:t>
      </w:r>
    </w:p>
    <w:p w14:paraId="3F729CB8" w14:textId="77777777" w:rsidR="007C322F" w:rsidRPr="007C322F" w:rsidRDefault="007C322F" w:rsidP="007C322F">
      <w:pPr>
        <w:pStyle w:val="Normal-lessspace"/>
      </w:pPr>
      <w:r w:rsidRPr="007C322F">
        <w:t>Prof. Michelle Giles</w:t>
      </w:r>
      <w:r w:rsidRPr="007C322F">
        <w:rPr>
          <w:vertAlign w:val="superscript"/>
        </w:rPr>
        <w:t>4,11,12</w:t>
      </w:r>
    </w:p>
    <w:p w14:paraId="2AF30ABF" w14:textId="77777777" w:rsidR="007C322F" w:rsidRPr="007C322F" w:rsidRDefault="007C322F" w:rsidP="007C322F">
      <w:pPr>
        <w:pStyle w:val="Normal-lessspace"/>
      </w:pPr>
      <w:r w:rsidRPr="007C322F">
        <w:t>Dr Julia Marshall</w:t>
      </w:r>
      <w:r w:rsidRPr="007C322F">
        <w:rPr>
          <w:vertAlign w:val="superscript"/>
        </w:rPr>
        <w:t>4,13</w:t>
      </w:r>
    </w:p>
    <w:p w14:paraId="48F01B4D" w14:textId="77777777" w:rsidR="007C322F" w:rsidRPr="007C322F" w:rsidRDefault="007C322F" w:rsidP="007C322F">
      <w:pPr>
        <w:pStyle w:val="Normal-lessspace"/>
      </w:pPr>
      <w:r w:rsidRPr="007C322F">
        <w:t>Dr Nicholas Silberstein</w:t>
      </w:r>
      <w:r w:rsidRPr="007C322F">
        <w:rPr>
          <w:vertAlign w:val="superscript"/>
        </w:rPr>
        <w:t>4,14</w:t>
      </w:r>
    </w:p>
    <w:p w14:paraId="3E54319D" w14:textId="77777777" w:rsidR="007C322F" w:rsidRPr="007C322F" w:rsidRDefault="007C322F" w:rsidP="007C322F">
      <w:pPr>
        <w:pStyle w:val="Normal-lessspace"/>
      </w:pPr>
      <w:r w:rsidRPr="007C322F">
        <w:t>A/Prof. Benjamin Teh</w:t>
      </w:r>
      <w:r w:rsidRPr="007C322F">
        <w:rPr>
          <w:vertAlign w:val="superscript"/>
        </w:rPr>
        <w:t>4,15,16</w:t>
      </w:r>
    </w:p>
    <w:p w14:paraId="3F00294E" w14:textId="77777777" w:rsidR="007C322F" w:rsidRPr="007C322F" w:rsidRDefault="007C322F" w:rsidP="007C322F">
      <w:pPr>
        <w:pStyle w:val="Normal-lessspace"/>
      </w:pPr>
      <w:r w:rsidRPr="007C322F">
        <w:t>Dr Rosalind Webby</w:t>
      </w:r>
      <w:r w:rsidRPr="007C322F">
        <w:rPr>
          <w:vertAlign w:val="superscript"/>
        </w:rPr>
        <w:t>4,17</w:t>
      </w:r>
    </w:p>
    <w:p w14:paraId="043D63F1" w14:textId="77777777" w:rsidR="007C322F" w:rsidRPr="007C322F" w:rsidRDefault="007C322F" w:rsidP="00E55A7D">
      <w:pPr>
        <w:pStyle w:val="Normal-lessspace"/>
      </w:pPr>
      <w:r w:rsidRPr="007C322F">
        <w:t>Prof. Nigel W Crawford on behalf of the Australian Technical Advisory Group on Immunisation (ATAGI)</w:t>
      </w:r>
      <w:r w:rsidRPr="007C322F">
        <w:rPr>
          <w:vertAlign w:val="superscript"/>
        </w:rPr>
        <w:t>4,18,19</w:t>
      </w:r>
    </w:p>
    <w:p w14:paraId="422FB66B" w14:textId="77777777" w:rsidR="007C322F" w:rsidRPr="007C322F" w:rsidRDefault="007C322F" w:rsidP="00E55A7D">
      <w:pPr>
        <w:pStyle w:val="CDINumberedList1L1"/>
        <w:ind w:left="397" w:hanging="397"/>
        <w:rPr>
          <w:lang w:val="en-GB"/>
        </w:rPr>
      </w:pPr>
      <w:r w:rsidRPr="007C322F">
        <w:rPr>
          <w:lang w:val="en-GB"/>
        </w:rPr>
        <w:t>National Centre for Immunisation Research and Surveillance, Children’s Hospital at Westmead, Sydney, New South Wales, Australia</w:t>
      </w:r>
    </w:p>
    <w:p w14:paraId="3B76049B" w14:textId="77777777" w:rsidR="007C322F" w:rsidRPr="007C322F" w:rsidRDefault="007C322F" w:rsidP="00E55A7D">
      <w:pPr>
        <w:pStyle w:val="CDINumberedList1L1"/>
        <w:ind w:left="397" w:hanging="397"/>
        <w:rPr>
          <w:lang w:val="en-GB"/>
        </w:rPr>
      </w:pPr>
      <w:r w:rsidRPr="007C322F">
        <w:rPr>
          <w:lang w:val="en-GB"/>
        </w:rPr>
        <w:t>Faculty of Medicine and Health, University of Sydney, Sydney, New South Wales, Australia</w:t>
      </w:r>
    </w:p>
    <w:p w14:paraId="399B9111" w14:textId="77777777" w:rsidR="007C322F" w:rsidRPr="007C322F" w:rsidRDefault="007C322F" w:rsidP="00E55A7D">
      <w:pPr>
        <w:pStyle w:val="CDINumberedList1L1"/>
        <w:ind w:left="397" w:hanging="397"/>
        <w:rPr>
          <w:lang w:val="en-GB"/>
        </w:rPr>
      </w:pPr>
      <w:r w:rsidRPr="007C322F">
        <w:rPr>
          <w:lang w:val="en-GB"/>
        </w:rPr>
        <w:t>School of Population Health, Faculty of Medicine and Health, University of New South Wales, Sydney, New South Wales, Australia</w:t>
      </w:r>
    </w:p>
    <w:p w14:paraId="2018FC17" w14:textId="77777777" w:rsidR="007C322F" w:rsidRPr="007C322F" w:rsidRDefault="007C322F" w:rsidP="00E55A7D">
      <w:pPr>
        <w:pStyle w:val="CDINumberedList1L1"/>
        <w:ind w:left="397" w:hanging="397"/>
        <w:rPr>
          <w:lang w:val="en-GB"/>
        </w:rPr>
      </w:pPr>
      <w:r w:rsidRPr="007C322F">
        <w:rPr>
          <w:lang w:val="en-GB"/>
        </w:rPr>
        <w:t>Australian Technical Advisory Group on Immunisation, Department of Health and Aged Care, Australian Government, Canberra, Australian Capital Territory, Australia</w:t>
      </w:r>
    </w:p>
    <w:p w14:paraId="798BB9B2" w14:textId="77777777" w:rsidR="007C322F" w:rsidRPr="007C322F" w:rsidRDefault="007C322F" w:rsidP="00E55A7D">
      <w:pPr>
        <w:pStyle w:val="CDINumberedList1L1"/>
        <w:ind w:left="397" w:hanging="397"/>
        <w:rPr>
          <w:lang w:val="en-GB"/>
        </w:rPr>
      </w:pPr>
      <w:r w:rsidRPr="007C322F">
        <w:rPr>
          <w:lang w:val="en-GB"/>
        </w:rPr>
        <w:t>Victorian Infectious Diseases Service, The Royal Melbourne Hospital at the Peter Doherty Institute for Infection and Immunity, Melbourne, Victoria, Australia</w:t>
      </w:r>
    </w:p>
    <w:p w14:paraId="005FDC7A" w14:textId="77777777" w:rsidR="007C322F" w:rsidRPr="007C322F" w:rsidRDefault="007C322F" w:rsidP="00E55A7D">
      <w:pPr>
        <w:pStyle w:val="CDINumberedList1L1"/>
        <w:ind w:left="397" w:hanging="397"/>
        <w:rPr>
          <w:lang w:val="en-GB"/>
        </w:rPr>
      </w:pPr>
      <w:r w:rsidRPr="007C322F">
        <w:rPr>
          <w:lang w:val="en-GB"/>
        </w:rPr>
        <w:t>Department of Infectious Diseases, University of Melbourne at the Peter Doherty Institute for Infection and Immunity, Melbourne, Australia</w:t>
      </w:r>
    </w:p>
    <w:p w14:paraId="7899DCB4" w14:textId="77777777" w:rsidR="007C322F" w:rsidRPr="007C322F" w:rsidRDefault="007C322F" w:rsidP="00E55A7D">
      <w:pPr>
        <w:pStyle w:val="CDINumberedList1L1"/>
        <w:ind w:left="397" w:hanging="397"/>
        <w:rPr>
          <w:lang w:val="en-GB"/>
        </w:rPr>
      </w:pPr>
      <w:r w:rsidRPr="007C322F">
        <w:rPr>
          <w:lang w:val="en-GB"/>
        </w:rPr>
        <w:t xml:space="preserve">Monash Health, </w:t>
      </w:r>
      <w:proofErr w:type="gramStart"/>
      <w:r w:rsidRPr="007C322F">
        <w:rPr>
          <w:lang w:val="en-GB"/>
        </w:rPr>
        <w:t>South East</w:t>
      </w:r>
      <w:proofErr w:type="gramEnd"/>
      <w:r w:rsidRPr="007C322F">
        <w:rPr>
          <w:lang w:val="en-GB"/>
        </w:rPr>
        <w:t xml:space="preserve"> Public Health Unit, Clayton, Victoria, Australia</w:t>
      </w:r>
    </w:p>
    <w:p w14:paraId="41B4E1EC" w14:textId="77777777" w:rsidR="007C322F" w:rsidRPr="007C322F" w:rsidRDefault="007C322F" w:rsidP="00E55A7D">
      <w:pPr>
        <w:pStyle w:val="CDINumberedList1L1"/>
        <w:ind w:left="397" w:hanging="397"/>
        <w:rPr>
          <w:lang w:val="en-GB"/>
        </w:rPr>
      </w:pPr>
      <w:r w:rsidRPr="007C322F">
        <w:rPr>
          <w:lang w:val="en-GB"/>
        </w:rPr>
        <w:t>Department of Infectious Diseases, Launceston General Hospital, Launceston, Tasmania, Australia</w:t>
      </w:r>
    </w:p>
    <w:p w14:paraId="534BFE9D" w14:textId="77777777" w:rsidR="007C322F" w:rsidRPr="007C322F" w:rsidRDefault="007C322F" w:rsidP="00E55A7D">
      <w:pPr>
        <w:pStyle w:val="CDINumberedList1L1"/>
        <w:ind w:left="397" w:hanging="397"/>
        <w:rPr>
          <w:lang w:val="en-GB"/>
        </w:rPr>
      </w:pPr>
      <w:r w:rsidRPr="007C322F">
        <w:rPr>
          <w:lang w:val="en-GB"/>
        </w:rPr>
        <w:t>Faculty of Health Sciences and School of Medicine, University of Tasmania, Launceston, Tasmania, Australia</w:t>
      </w:r>
    </w:p>
    <w:p w14:paraId="2573ABBF" w14:textId="65D0E397" w:rsidR="007C322F" w:rsidRPr="007C322F" w:rsidRDefault="007C322F" w:rsidP="00E55A7D">
      <w:pPr>
        <w:pStyle w:val="CDINumberedList1L1"/>
        <w:ind w:left="397" w:hanging="397"/>
        <w:rPr>
          <w:lang w:val="en-GB"/>
        </w:rPr>
      </w:pPr>
      <w:r w:rsidRPr="007C322F">
        <w:rPr>
          <w:lang w:val="en-GB"/>
        </w:rPr>
        <w:t xml:space="preserve">School of Health and Biomedical Science, Royal Melbourne Institute of Technology (RMIT) University, Melbourne, Victoria, Australia </w:t>
      </w:r>
    </w:p>
    <w:p w14:paraId="619088A4" w14:textId="77777777" w:rsidR="007C322F" w:rsidRPr="007C322F" w:rsidRDefault="007C322F" w:rsidP="00E55A7D">
      <w:pPr>
        <w:pStyle w:val="CDINumberedList1L1"/>
        <w:ind w:left="397" w:hanging="397"/>
        <w:rPr>
          <w:lang w:val="en-GB"/>
        </w:rPr>
      </w:pPr>
      <w:r w:rsidRPr="007C322F">
        <w:rPr>
          <w:lang w:val="en-GB"/>
        </w:rPr>
        <w:t xml:space="preserve">Department of Obstetrics and Gynaecology, Monash University, Melbourne, Victoria, Australia </w:t>
      </w:r>
    </w:p>
    <w:p w14:paraId="00D6D5A5" w14:textId="77777777" w:rsidR="007C322F" w:rsidRPr="007C322F" w:rsidRDefault="007C322F" w:rsidP="00E55A7D">
      <w:pPr>
        <w:pStyle w:val="CDINumberedList1L1"/>
        <w:ind w:left="397" w:hanging="397"/>
        <w:rPr>
          <w:lang w:val="en-GB"/>
        </w:rPr>
      </w:pPr>
      <w:r w:rsidRPr="007C322F">
        <w:rPr>
          <w:lang w:val="en-GB"/>
        </w:rPr>
        <w:t xml:space="preserve">Department of Infectious Diseases, University of Melbourne, Melbourne, Victoria, Australia </w:t>
      </w:r>
    </w:p>
    <w:p w14:paraId="4CCEDB28" w14:textId="77777777" w:rsidR="007C322F" w:rsidRPr="007C322F" w:rsidRDefault="007C322F" w:rsidP="00E55A7D">
      <w:pPr>
        <w:pStyle w:val="CDINumberedList1L1"/>
        <w:ind w:left="397" w:hanging="397"/>
        <w:rPr>
          <w:lang w:val="en-GB"/>
        </w:rPr>
      </w:pPr>
      <w:r w:rsidRPr="007C322F">
        <w:rPr>
          <w:lang w:val="en-GB"/>
        </w:rPr>
        <w:t>The Peter Doherty Institute for Infection and Immunity, The University of Melbourne, Melbourne, Victoria, Australia</w:t>
      </w:r>
    </w:p>
    <w:p w14:paraId="36BA5A8F" w14:textId="77777777" w:rsidR="007C322F" w:rsidRPr="007C322F" w:rsidRDefault="007C322F" w:rsidP="00E55A7D">
      <w:pPr>
        <w:pStyle w:val="CDINumberedList1L1"/>
        <w:ind w:left="397" w:hanging="397"/>
        <w:rPr>
          <w:lang w:val="en-GB"/>
        </w:rPr>
      </w:pPr>
      <w:r w:rsidRPr="007C322F">
        <w:rPr>
          <w:lang w:val="en-GB"/>
        </w:rPr>
        <w:t>Equinox Gender Diverse Health Centre, Thorne Harbour Health, Fitzroy, Victoria, Australia</w:t>
      </w:r>
    </w:p>
    <w:p w14:paraId="2630FAC4" w14:textId="77777777" w:rsidR="007C322F" w:rsidRPr="007C322F" w:rsidRDefault="007C322F" w:rsidP="00E55A7D">
      <w:pPr>
        <w:pStyle w:val="CDINumberedList1L1"/>
        <w:ind w:left="397" w:hanging="397"/>
        <w:rPr>
          <w:lang w:val="en-GB"/>
        </w:rPr>
      </w:pPr>
      <w:r w:rsidRPr="007C322F">
        <w:rPr>
          <w:lang w:val="en-GB"/>
        </w:rPr>
        <w:t>Department of Infectious Diseases, Peter MacCallum Cancer Centre, Melbourne, Victoria, Australia</w:t>
      </w:r>
    </w:p>
    <w:p w14:paraId="4010EA60" w14:textId="77777777" w:rsidR="007C322F" w:rsidRPr="007C322F" w:rsidRDefault="007C322F" w:rsidP="00E55A7D">
      <w:pPr>
        <w:pStyle w:val="CDINumberedList1L1"/>
        <w:ind w:left="397" w:hanging="397"/>
        <w:rPr>
          <w:lang w:val="en-GB"/>
        </w:rPr>
      </w:pPr>
      <w:r w:rsidRPr="007C322F">
        <w:rPr>
          <w:lang w:val="en-GB"/>
        </w:rPr>
        <w:t>Sir Peter MacCallum Department of Oncology, University of Melbourne, Melbourne, Victoria, Australia</w:t>
      </w:r>
    </w:p>
    <w:p w14:paraId="63FC2F0D" w14:textId="77777777" w:rsidR="007C322F" w:rsidRPr="007C322F" w:rsidRDefault="007C322F" w:rsidP="00E55A7D">
      <w:pPr>
        <w:pStyle w:val="CDINumberedList1L1"/>
        <w:ind w:left="397" w:hanging="397"/>
        <w:rPr>
          <w:lang w:val="en-GB"/>
        </w:rPr>
      </w:pPr>
      <w:r w:rsidRPr="007C322F">
        <w:rPr>
          <w:lang w:val="en-GB"/>
        </w:rPr>
        <w:t>Centre for Disease Control &amp; Environmental Health, NT Health, Northern Territory Government, Darwin, Northern Territory, Australia</w:t>
      </w:r>
    </w:p>
    <w:p w14:paraId="5CA5FF2E" w14:textId="77777777" w:rsidR="007C322F" w:rsidRPr="007C322F" w:rsidRDefault="007C322F" w:rsidP="00E55A7D">
      <w:pPr>
        <w:pStyle w:val="CDINumberedList1L1"/>
        <w:ind w:left="397" w:hanging="397"/>
        <w:rPr>
          <w:lang w:val="en-GB"/>
        </w:rPr>
      </w:pPr>
      <w:r w:rsidRPr="007C322F">
        <w:rPr>
          <w:lang w:val="en-GB"/>
        </w:rPr>
        <w:t>Immunisation Services, Royal Children’s Hospital, Melbourne, Victoria, Australia</w:t>
      </w:r>
    </w:p>
    <w:p w14:paraId="673B7268" w14:textId="77777777" w:rsidR="007C322F" w:rsidRPr="007C322F" w:rsidRDefault="007C322F" w:rsidP="00E55A7D">
      <w:pPr>
        <w:pStyle w:val="CDINumberedList1L1"/>
        <w:ind w:left="397" w:hanging="397"/>
        <w:rPr>
          <w:lang w:val="en-GB"/>
        </w:rPr>
      </w:pPr>
      <w:r w:rsidRPr="007C322F">
        <w:rPr>
          <w:lang w:val="en-GB"/>
        </w:rPr>
        <w:t>Infection and Immunity, Murdoch Children’s Research Institute and Department of Paediatrics, University of Melbourne, Victoria, Australia</w:t>
      </w:r>
    </w:p>
    <w:p w14:paraId="2630BB38" w14:textId="77777777" w:rsidR="00423436" w:rsidRDefault="00423436" w:rsidP="00423436">
      <w:pPr>
        <w:pStyle w:val="CDICorrespondingauthor"/>
      </w:pPr>
      <w:r>
        <w:t>Corresponding author</w:t>
      </w:r>
    </w:p>
    <w:p w14:paraId="73A07442" w14:textId="77777777" w:rsidR="0083272F" w:rsidRPr="0083272F" w:rsidRDefault="0083272F" w:rsidP="0083272F">
      <w:pPr>
        <w:rPr>
          <w:lang w:val="en-GB"/>
        </w:rPr>
      </w:pPr>
      <w:r w:rsidRPr="0083272F">
        <w:rPr>
          <w:lang w:val="en-GB"/>
        </w:rPr>
        <w:t>Dr. Chisato Imai-Boulter</w:t>
      </w:r>
    </w:p>
    <w:p w14:paraId="6D990567" w14:textId="77777777" w:rsidR="0083272F" w:rsidRPr="0083272F" w:rsidRDefault="0083272F" w:rsidP="0083272F">
      <w:pPr>
        <w:rPr>
          <w:lang w:val="en-GB"/>
        </w:rPr>
      </w:pPr>
      <w:r w:rsidRPr="0083272F">
        <w:rPr>
          <w:lang w:val="en-GB"/>
        </w:rPr>
        <w:t>National Centre for Immunisation Research and Surveillance, Children’s Hospital at Westmead, Sydney, New South Wales, Australia</w:t>
      </w:r>
    </w:p>
    <w:p w14:paraId="22714352" w14:textId="77777777" w:rsidR="0083272F" w:rsidRPr="0083272F" w:rsidRDefault="0083272F" w:rsidP="0083272F">
      <w:pPr>
        <w:rPr>
          <w:lang w:val="en-GB"/>
        </w:rPr>
      </w:pPr>
      <w:r w:rsidRPr="0083272F">
        <w:rPr>
          <w:lang w:val="en-GB"/>
        </w:rPr>
        <w:t xml:space="preserve">Email: </w:t>
      </w:r>
      <w:hyperlink r:id="rId23" w:history="1">
        <w:r w:rsidRPr="0083272F">
          <w:rPr>
            <w:rStyle w:val="Hyperlink"/>
            <w:lang w:val="en-GB"/>
          </w:rPr>
          <w:t>Chisato.Imai@health.nsw.gov.au</w:t>
        </w:r>
      </w:hyperlink>
    </w:p>
    <w:p w14:paraId="368B198D" w14:textId="324246FB" w:rsidR="008A0736" w:rsidRDefault="0083272F" w:rsidP="00423436">
      <w:r w:rsidRPr="0083272F">
        <w:rPr>
          <w:lang w:val="en-GB"/>
        </w:rPr>
        <w:t>Phone: +61 2 9845 1433</w:t>
      </w:r>
    </w:p>
    <w:p w14:paraId="116017A2" w14:textId="77777777" w:rsidR="008A0736" w:rsidRDefault="008A0736" w:rsidP="00122ADA">
      <w:pPr>
        <w:pStyle w:val="Heading1"/>
      </w:pPr>
      <w:bookmarkStart w:id="38" w:name="_Toc195530511"/>
      <w:bookmarkStart w:id="39" w:name="_Toc229657264"/>
      <w:r>
        <w:t>References</w:t>
      </w:r>
      <w:bookmarkEnd w:id="38"/>
      <w:bookmarkEnd w:id="39"/>
    </w:p>
    <w:p w14:paraId="2768CDAF" w14:textId="77777777" w:rsidR="00E55A7D" w:rsidRDefault="00E55A7D" w:rsidP="00274A0E">
      <w:pPr>
        <w:pStyle w:val="CDINumberedList1L1"/>
        <w:numPr>
          <w:ilvl w:val="0"/>
          <w:numId w:val="10"/>
        </w:numPr>
        <w:spacing w:before="360"/>
        <w:ind w:left="397" w:hanging="397"/>
      </w:pPr>
      <w:r>
        <w:t xml:space="preserve">Falsey AR, Walsh EE. Respiratory syncytial virus infection in adults. </w:t>
      </w:r>
      <w:r w:rsidRPr="00E55A7D">
        <w:rPr>
          <w:i/>
          <w:iCs/>
        </w:rPr>
        <w:t>Clin Microbiol Rev</w:t>
      </w:r>
      <w:r>
        <w:t xml:space="preserve">. 2000;13(3):371–84. doi: </w:t>
      </w:r>
      <w:hyperlink r:id="rId24" w:history="1">
        <w:r>
          <w:rPr>
            <w:rStyle w:val="Hyperlink"/>
          </w:rPr>
          <w:t>https://doi.org/10.1128/cmr.13.3.371</w:t>
        </w:r>
      </w:hyperlink>
      <w:r>
        <w:t>.</w:t>
      </w:r>
    </w:p>
    <w:p w14:paraId="7AA787EA" w14:textId="77777777" w:rsidR="00E55A7D" w:rsidRDefault="00E55A7D" w:rsidP="00274A0E">
      <w:pPr>
        <w:pStyle w:val="CDINumberedList1L1"/>
        <w:spacing w:before="160"/>
        <w:ind w:left="397" w:hanging="397"/>
      </w:pPr>
      <w:r>
        <w:t xml:space="preserve">Jain H, Schweitzer JW, Justice NA. Respiratory syncytial virus infection in children. [Online resource.] Treasure Island, Florida: </w:t>
      </w:r>
      <w:proofErr w:type="spellStart"/>
      <w:r>
        <w:t>StatPearls</w:t>
      </w:r>
      <w:proofErr w:type="spellEnd"/>
      <w:r>
        <w:t xml:space="preserve"> LLC Ltd.; 23 June 2023. Available from: </w:t>
      </w:r>
      <w:hyperlink r:id="rId25" w:history="1">
        <w:r>
          <w:rPr>
            <w:rStyle w:val="Hyperlink"/>
          </w:rPr>
          <w:t>https://www.ncbi.nlm.nih.gov/books/NBK459215/</w:t>
        </w:r>
      </w:hyperlink>
      <w:r>
        <w:t>.</w:t>
      </w:r>
    </w:p>
    <w:p w14:paraId="081617F1" w14:textId="77777777" w:rsidR="00E55A7D" w:rsidRDefault="00E55A7D" w:rsidP="00274A0E">
      <w:pPr>
        <w:pStyle w:val="CDINumberedList1L1"/>
        <w:spacing w:before="160"/>
        <w:ind w:left="397" w:hanging="397"/>
      </w:pPr>
      <w:r>
        <w:t xml:space="preserve">Australian Government Department of Health, Disability and Ageing. The Australian Immunisation Handbook: respiratory syncytial virus (RSV). [Webpage.] Canberra: Australian Government Department of Health, Disability and Ageing; 17 January 2025. Available from: </w:t>
      </w:r>
      <w:hyperlink r:id="rId26" w:history="1">
        <w:r>
          <w:rPr>
            <w:rStyle w:val="Hyperlink"/>
          </w:rPr>
          <w:t>https://immunisationhandbook.health.gov.au/contents/vaccine-preventable-diseases/respiratory-syncytial-virus-rsv</w:t>
        </w:r>
      </w:hyperlink>
      <w:r>
        <w:t>.</w:t>
      </w:r>
    </w:p>
    <w:p w14:paraId="52A13CCF" w14:textId="77777777" w:rsidR="00E55A7D" w:rsidRDefault="00E55A7D" w:rsidP="00274A0E">
      <w:pPr>
        <w:pStyle w:val="CDINumberedList1L1"/>
        <w:spacing w:before="160"/>
        <w:ind w:left="397" w:hanging="397"/>
      </w:pPr>
      <w:r>
        <w:t>Australian Government Department of Health, Disability and Ageing; Therapeutic Goods Administration (TGA). SYNAGIS palivizumab (</w:t>
      </w:r>
      <w:proofErr w:type="spellStart"/>
      <w:r>
        <w:t>rmc</w:t>
      </w:r>
      <w:proofErr w:type="spellEnd"/>
      <w:r>
        <w:t xml:space="preserve">) 50 mg / 0.5 mL solution for injection vial (231133). [Webpage.] Canberra: TGA; 24 September 2015. [Accessed on 28 February 2024.] Available from: </w:t>
      </w:r>
      <w:hyperlink r:id="rId27" w:history="1">
        <w:r>
          <w:rPr>
            <w:rStyle w:val="Hyperlink"/>
          </w:rPr>
          <w:t>https://www.tga.gov.au/resources/artg/231133</w:t>
        </w:r>
      </w:hyperlink>
      <w:r>
        <w:t>.</w:t>
      </w:r>
    </w:p>
    <w:p w14:paraId="0EA6BD40" w14:textId="77777777" w:rsidR="00E55A7D" w:rsidRDefault="00E55A7D" w:rsidP="00274A0E">
      <w:pPr>
        <w:pStyle w:val="CDINumberedList1L1"/>
        <w:spacing w:before="160"/>
        <w:ind w:left="397" w:hanging="397"/>
      </w:pPr>
      <w:r>
        <w:t xml:space="preserve">Gebremedhin AT, Hogan AB, Blyth CC, Glass K, Moore HC. Developing a prediction model to estimate the true burden of respiratory syncytial virus (RSV) in hospitalised children in Western Australia. </w:t>
      </w:r>
      <w:r w:rsidRPr="00E55A7D">
        <w:rPr>
          <w:i/>
          <w:iCs/>
        </w:rPr>
        <w:t>Sci Rep</w:t>
      </w:r>
      <w:r>
        <w:t xml:space="preserve">. 2022;12(1):332. doi: </w:t>
      </w:r>
      <w:hyperlink r:id="rId28" w:history="1">
        <w:r>
          <w:rPr>
            <w:rStyle w:val="Hyperlink"/>
          </w:rPr>
          <w:t>https://doi.org/10.1038/s41598-021-04080-3</w:t>
        </w:r>
      </w:hyperlink>
      <w:r>
        <w:t>.</w:t>
      </w:r>
    </w:p>
    <w:p w14:paraId="2DB6F0E1" w14:textId="77777777" w:rsidR="00E55A7D" w:rsidRDefault="00E55A7D" w:rsidP="00274A0E">
      <w:pPr>
        <w:pStyle w:val="CDINumberedList1L1"/>
        <w:spacing w:before="160"/>
        <w:ind w:left="397" w:hanging="397"/>
      </w:pPr>
      <w:r>
        <w:t xml:space="preserve">Homaira N, Oei JL, </w:t>
      </w:r>
      <w:proofErr w:type="spellStart"/>
      <w:r>
        <w:t>Mallitt</w:t>
      </w:r>
      <w:proofErr w:type="spellEnd"/>
      <w:r>
        <w:t xml:space="preserve"> KA, Abdel-Latif ME, Hilder L, Bajuk B et al. High burden of RSV hospitalization in very young children: a data linkage study. </w:t>
      </w:r>
      <w:r w:rsidRPr="00E55A7D">
        <w:rPr>
          <w:i/>
          <w:iCs/>
        </w:rPr>
        <w:t>Epidemiol Infect</w:t>
      </w:r>
      <w:r>
        <w:t xml:space="preserve">. 2016;144(8):1612–21. doi: </w:t>
      </w:r>
      <w:hyperlink r:id="rId29" w:history="1">
        <w:r>
          <w:rPr>
            <w:rStyle w:val="Hyperlink"/>
          </w:rPr>
          <w:t>https://doi.org/10.1017/S0950268815003015</w:t>
        </w:r>
      </w:hyperlink>
      <w:r>
        <w:t>.</w:t>
      </w:r>
    </w:p>
    <w:p w14:paraId="5E43BD28" w14:textId="49F31ED8" w:rsidR="00E55A7D" w:rsidRDefault="00E55A7D" w:rsidP="00274A0E">
      <w:pPr>
        <w:pStyle w:val="CDINumberedList1L1"/>
        <w:spacing w:before="160"/>
        <w:ind w:left="397" w:hanging="397"/>
      </w:pPr>
      <w:r>
        <w:t xml:space="preserve">Nazareno AL, Muscatello DJ, Turner RM, Wood JG, Moore HC, Newall AT. Modelled estimates of hospitalisations attributable to respiratory syncytial virus and influenza in Australia, 2009–2017. </w:t>
      </w:r>
      <w:r w:rsidRPr="00E55A7D">
        <w:rPr>
          <w:i/>
          <w:iCs/>
        </w:rPr>
        <w:t>Influenza Other Respir Viruses</w:t>
      </w:r>
      <w:r>
        <w:t>. 2022;16(6):1082–90. doi: </w:t>
      </w:r>
      <w:hyperlink r:id="rId30" w:history="1">
        <w:r>
          <w:rPr>
            <w:rStyle w:val="Hyperlink"/>
          </w:rPr>
          <w:t>https://doi.org/10.1111/irv.13003</w:t>
        </w:r>
      </w:hyperlink>
      <w:r>
        <w:t>.</w:t>
      </w:r>
    </w:p>
    <w:p w14:paraId="67BC8411" w14:textId="77777777" w:rsidR="00E55A7D" w:rsidRDefault="00E55A7D" w:rsidP="00274A0E">
      <w:pPr>
        <w:pStyle w:val="CDINumberedList1L1"/>
        <w:spacing w:before="160"/>
        <w:ind w:left="397" w:hanging="397"/>
      </w:pPr>
      <w:proofErr w:type="spellStart"/>
      <w:r>
        <w:t>Saravanos</w:t>
      </w:r>
      <w:proofErr w:type="spellEnd"/>
      <w:r>
        <w:t xml:space="preserve"> GL, Sheel M, Homaira N, Dey A, Brown E, Wang H et al. Respiratory syncytial virus-associated hospitalisations in Australia, 2006–2015. </w:t>
      </w:r>
      <w:r w:rsidRPr="00E55A7D">
        <w:rPr>
          <w:i/>
          <w:iCs/>
        </w:rPr>
        <w:t>Med J Aust</w:t>
      </w:r>
      <w:r>
        <w:t xml:space="preserve">. 2019;210(10):447–53. doi: </w:t>
      </w:r>
      <w:hyperlink r:id="rId31" w:history="1">
        <w:r>
          <w:rPr>
            <w:rStyle w:val="Hyperlink"/>
          </w:rPr>
          <w:t>https://doi.org/10.5694/mja2.50159</w:t>
        </w:r>
      </w:hyperlink>
      <w:r>
        <w:t>.</w:t>
      </w:r>
    </w:p>
    <w:p w14:paraId="46236687" w14:textId="21263FA1" w:rsidR="00E55A7D" w:rsidRDefault="00E55A7D" w:rsidP="00274A0E">
      <w:pPr>
        <w:pStyle w:val="CDINumberedList1L1"/>
        <w:spacing w:before="160"/>
        <w:ind w:left="397" w:hanging="397"/>
      </w:pPr>
      <w:r>
        <w:t xml:space="preserve">Cong B, Dighero I, Zhang T, Chung A, Nair H, Li Y. Understanding the age spectrum of respiratory syncytial virus associated hospitalisation and mortality burden based on statistical modelling methods: a systematic analysis. </w:t>
      </w:r>
      <w:r w:rsidRPr="00E55A7D">
        <w:rPr>
          <w:i/>
          <w:iCs/>
        </w:rPr>
        <w:t>BMC Med</w:t>
      </w:r>
      <w:r>
        <w:t>. 2023;21(1):224. doi: </w:t>
      </w:r>
      <w:hyperlink r:id="rId32" w:history="1">
        <w:r>
          <w:rPr>
            <w:rStyle w:val="Hyperlink"/>
          </w:rPr>
          <w:t>https://doi.org/10.1186/s12916-023-02932-5</w:t>
        </w:r>
      </w:hyperlink>
      <w:r>
        <w:t>.</w:t>
      </w:r>
    </w:p>
    <w:p w14:paraId="57212787" w14:textId="77777777" w:rsidR="00E55A7D" w:rsidRDefault="00E55A7D" w:rsidP="00274A0E">
      <w:pPr>
        <w:pStyle w:val="CDINumberedList1L1"/>
        <w:spacing w:before="160"/>
        <w:ind w:left="397" w:hanging="397"/>
      </w:pPr>
      <w:r>
        <w:t xml:space="preserve">Farquharson KA, Anthony D, Menzies R, Homaira N. Burden of respiratory syncytial virus disease across the lifespan in Australia and New Zealand: a scoping review. </w:t>
      </w:r>
      <w:r w:rsidRPr="00E55A7D">
        <w:rPr>
          <w:i/>
          <w:iCs/>
        </w:rPr>
        <w:t>Public Health</w:t>
      </w:r>
      <w:r>
        <w:t xml:space="preserve">. </w:t>
      </w:r>
      <w:proofErr w:type="gramStart"/>
      <w:r>
        <w:t>2023;226:8</w:t>
      </w:r>
      <w:proofErr w:type="gramEnd"/>
      <w:r>
        <w:t xml:space="preserve">–16. doi: </w:t>
      </w:r>
      <w:hyperlink r:id="rId33" w:history="1">
        <w:r>
          <w:rPr>
            <w:rStyle w:val="Hyperlink"/>
          </w:rPr>
          <w:t>https://doi.org/10.1016/j.puhe.2023.10.031</w:t>
        </w:r>
      </w:hyperlink>
      <w:r>
        <w:t>.</w:t>
      </w:r>
    </w:p>
    <w:p w14:paraId="2DF641C2" w14:textId="37B34242" w:rsidR="00E55A7D" w:rsidRDefault="00E55A7D" w:rsidP="00274A0E">
      <w:pPr>
        <w:pStyle w:val="CDINumberedList1L1"/>
        <w:spacing w:before="160"/>
        <w:ind w:left="397" w:hanging="397"/>
      </w:pPr>
      <w:r>
        <w:t xml:space="preserve">Goldman CR, Sieling WD, Alba LR, Silverio Francisco RA, Vargas CY, Barrett AE et al. Severe clinical outcomes among adults hospitalized with respiratory syncytial virus infections, New York City, 2017–2019. </w:t>
      </w:r>
      <w:r w:rsidRPr="00E55A7D">
        <w:rPr>
          <w:i/>
          <w:iCs/>
        </w:rPr>
        <w:t>Public Health Rep</w:t>
      </w:r>
      <w:r>
        <w:t>. 2022;137(5):929–35. doi: </w:t>
      </w:r>
      <w:hyperlink r:id="rId34" w:history="1">
        <w:r>
          <w:rPr>
            <w:rStyle w:val="Hyperlink"/>
          </w:rPr>
          <w:t>https://doi.org/10.1177/00333549211041545</w:t>
        </w:r>
      </w:hyperlink>
      <w:r>
        <w:t>.</w:t>
      </w:r>
    </w:p>
    <w:p w14:paraId="5B456F8A" w14:textId="4C515FC5" w:rsidR="00E55A7D" w:rsidRDefault="00E55A7D" w:rsidP="00274A0E">
      <w:pPr>
        <w:pStyle w:val="CDINumberedList1L1"/>
        <w:spacing w:before="160"/>
        <w:ind w:left="397" w:hanging="397"/>
      </w:pPr>
      <w:r>
        <w:t xml:space="preserve">Sarna M, Gebremedhin A, Richmond P, Levy A, Glass K, Moore HC. Determining the true incidence of seasonal respiratory syncytial virus-confirmed hospitalizations in preterm and term infants in Western Australia. </w:t>
      </w:r>
      <w:r w:rsidRPr="00E55A7D">
        <w:rPr>
          <w:i/>
          <w:iCs/>
        </w:rPr>
        <w:t>Vaccine</w:t>
      </w:r>
      <w:r>
        <w:t>. 2023;41(36):5216–20. doi: </w:t>
      </w:r>
      <w:hyperlink r:id="rId35" w:history="1">
        <w:r>
          <w:rPr>
            <w:rStyle w:val="Hyperlink"/>
          </w:rPr>
          <w:t>https://doi.org/10.1016/j.vaccine.2023.07.014</w:t>
        </w:r>
      </w:hyperlink>
      <w:r>
        <w:t>.</w:t>
      </w:r>
    </w:p>
    <w:p w14:paraId="11D4E697" w14:textId="77777777" w:rsidR="00E55A7D" w:rsidRDefault="00E55A7D" w:rsidP="00274A0E">
      <w:pPr>
        <w:pStyle w:val="CDINumberedList1L1"/>
        <w:spacing w:before="160"/>
        <w:ind w:left="397" w:hanging="397"/>
      </w:pPr>
      <w:r>
        <w:t xml:space="preserve">Prasad N, Walker TA, Waite B, Wood T, Trenholme AA, Baker MG et al. Respiratory syncytial virus-associated hospitalizations among adults with chronic medical conditions. </w:t>
      </w:r>
      <w:r w:rsidRPr="00E55A7D">
        <w:rPr>
          <w:i/>
          <w:iCs/>
        </w:rPr>
        <w:t>Clin Infect Dis</w:t>
      </w:r>
      <w:r>
        <w:t>. 2021;73(1</w:t>
      </w:r>
      <w:proofErr w:type="gramStart"/>
      <w:r>
        <w:t>):e</w:t>
      </w:r>
      <w:proofErr w:type="gramEnd"/>
      <w:r>
        <w:t xml:space="preserve">158–63. doi: </w:t>
      </w:r>
      <w:hyperlink r:id="rId36" w:history="1">
        <w:r>
          <w:rPr>
            <w:rStyle w:val="Hyperlink"/>
          </w:rPr>
          <w:t>https://doi.org/10.1093/cid/ciaa730</w:t>
        </w:r>
      </w:hyperlink>
      <w:r>
        <w:t>.</w:t>
      </w:r>
    </w:p>
    <w:p w14:paraId="2F9EE016" w14:textId="77777777" w:rsidR="00E55A7D" w:rsidRDefault="00E55A7D" w:rsidP="00274A0E">
      <w:pPr>
        <w:pStyle w:val="CDINumberedList1L1"/>
        <w:spacing w:before="160"/>
        <w:ind w:left="397" w:hanging="397"/>
      </w:pPr>
      <w:r>
        <w:t xml:space="preserve">Branche AR, Saiman L, Walsh EE, Falsey AR, Sieling WD, </w:t>
      </w:r>
      <w:proofErr w:type="spellStart"/>
      <w:r>
        <w:t>Greendyke</w:t>
      </w:r>
      <w:proofErr w:type="spellEnd"/>
      <w:r>
        <w:t xml:space="preserve"> W et al. Incidence of respiratory syncytial virus infection among hospitalized adults, 2017–2020. </w:t>
      </w:r>
      <w:r w:rsidRPr="00E55A7D">
        <w:rPr>
          <w:i/>
          <w:iCs/>
        </w:rPr>
        <w:t>Clin Infect Dis</w:t>
      </w:r>
      <w:r>
        <w:t xml:space="preserve">. 2022;74(6):1004–11. doi: </w:t>
      </w:r>
      <w:hyperlink r:id="rId37" w:history="1">
        <w:r>
          <w:rPr>
            <w:rStyle w:val="Hyperlink"/>
          </w:rPr>
          <w:t>https://doi.org/10.1093/cid/ciab595</w:t>
        </w:r>
      </w:hyperlink>
      <w:r>
        <w:t>.</w:t>
      </w:r>
    </w:p>
    <w:p w14:paraId="7D076C6D" w14:textId="77777777" w:rsidR="00E55A7D" w:rsidRDefault="00E55A7D" w:rsidP="00274A0E">
      <w:pPr>
        <w:pStyle w:val="CDINumberedList1L1"/>
        <w:spacing w:before="160"/>
        <w:ind w:left="397" w:hanging="397"/>
      </w:pPr>
      <w:r>
        <w:t xml:space="preserve">Duncan CB, Walsh EE, Peterson DR, Lee FE, Falsey AR. Risk factors for respiratory failure associated with respiratory syncytial virus infection in adults. </w:t>
      </w:r>
      <w:r w:rsidRPr="00E55A7D">
        <w:rPr>
          <w:i/>
          <w:iCs/>
        </w:rPr>
        <w:t>J Infect Dis</w:t>
      </w:r>
      <w:r>
        <w:t xml:space="preserve">. 2009;200(8):1242–6. doi: </w:t>
      </w:r>
      <w:hyperlink r:id="rId38" w:history="1">
        <w:r>
          <w:rPr>
            <w:rStyle w:val="Hyperlink"/>
          </w:rPr>
          <w:t>https://doi.org/10.1086/605948</w:t>
        </w:r>
      </w:hyperlink>
      <w:r>
        <w:t>.</w:t>
      </w:r>
    </w:p>
    <w:p w14:paraId="20D799E5" w14:textId="05642A08" w:rsidR="00E55A7D" w:rsidRDefault="00E55A7D" w:rsidP="00274A0E">
      <w:pPr>
        <w:pStyle w:val="CDINumberedList1L1"/>
        <w:spacing w:before="160"/>
        <w:ind w:left="397" w:hanging="397"/>
      </w:pPr>
      <w:r>
        <w:t xml:space="preserve">Belongia EA, King JP, Kieke BA, Pluta J, Al-Hilli A, Meece JK et al. Clinical features, severity, and incidence of RSV illness during 12 consecutive seasons in a community cohort of adults ≥ 60 years old. </w:t>
      </w:r>
      <w:r w:rsidRPr="00E55A7D">
        <w:rPr>
          <w:i/>
          <w:iCs/>
        </w:rPr>
        <w:t>Open Forum Infect Dis</w:t>
      </w:r>
      <w:r>
        <w:t>. 2018;5(12</w:t>
      </w:r>
      <w:proofErr w:type="gramStart"/>
      <w:r>
        <w:t>):ofy</w:t>
      </w:r>
      <w:proofErr w:type="gramEnd"/>
      <w:r>
        <w:t>316. doi: </w:t>
      </w:r>
      <w:hyperlink r:id="rId39" w:history="1">
        <w:r>
          <w:rPr>
            <w:rStyle w:val="Hyperlink"/>
          </w:rPr>
          <w:t>https://doi.org/10.1093/ofid/ofy316</w:t>
        </w:r>
      </w:hyperlink>
      <w:r>
        <w:t>.</w:t>
      </w:r>
    </w:p>
    <w:p w14:paraId="0A37A941" w14:textId="77777777" w:rsidR="00E55A7D" w:rsidRDefault="00E55A7D" w:rsidP="00274A0E">
      <w:pPr>
        <w:pStyle w:val="CDINumberedList1L1"/>
        <w:spacing w:before="160"/>
        <w:ind w:left="397" w:hanging="397"/>
      </w:pPr>
      <w:proofErr w:type="spellStart"/>
      <w:r>
        <w:t>Boattini</w:t>
      </w:r>
      <w:proofErr w:type="spellEnd"/>
      <w:r>
        <w:t xml:space="preserve"> M, Almeida A, </w:t>
      </w:r>
      <w:proofErr w:type="spellStart"/>
      <w:r>
        <w:t>Christaki</w:t>
      </w:r>
      <w:proofErr w:type="spellEnd"/>
      <w:r>
        <w:t xml:space="preserve"> E, Marques TM, </w:t>
      </w:r>
      <w:proofErr w:type="spellStart"/>
      <w:r>
        <w:t>Tosatto</w:t>
      </w:r>
      <w:proofErr w:type="spellEnd"/>
      <w:r>
        <w:t xml:space="preserve"> V, Bianco G et al. Severity of RSV infection in Southern European elderly patients during two consecutive winter seasons (2017–2018). </w:t>
      </w:r>
      <w:r w:rsidRPr="00E55A7D">
        <w:rPr>
          <w:i/>
          <w:iCs/>
        </w:rPr>
        <w:t xml:space="preserve">J Med </w:t>
      </w:r>
      <w:proofErr w:type="spellStart"/>
      <w:r w:rsidRPr="00E55A7D">
        <w:rPr>
          <w:i/>
          <w:iCs/>
        </w:rPr>
        <w:t>Virol</w:t>
      </w:r>
      <w:proofErr w:type="spellEnd"/>
      <w:r>
        <w:t xml:space="preserve">. 2021;93(8):5152–7. doi: </w:t>
      </w:r>
      <w:hyperlink r:id="rId40" w:history="1">
        <w:r>
          <w:rPr>
            <w:rStyle w:val="Hyperlink"/>
          </w:rPr>
          <w:t>https://doi.org/10.1002/jmv.26938</w:t>
        </w:r>
      </w:hyperlink>
      <w:r>
        <w:t>.</w:t>
      </w:r>
    </w:p>
    <w:p w14:paraId="1464EBE5" w14:textId="0426C6F3" w:rsidR="00E55A7D" w:rsidRDefault="00E55A7D" w:rsidP="00274A0E">
      <w:pPr>
        <w:pStyle w:val="CDINumberedList1L1"/>
        <w:spacing w:before="160"/>
        <w:ind w:left="397" w:hanging="397"/>
      </w:pPr>
      <w:r>
        <w:t xml:space="preserve">Lee N, Lui GC, Wong KT, Li TC, Tse EC, Chan JY et al. High morbidity and mortality in adults hospitalized for respiratory syncytial virus infections. </w:t>
      </w:r>
      <w:r w:rsidRPr="00E55A7D">
        <w:rPr>
          <w:i/>
          <w:iCs/>
        </w:rPr>
        <w:t>Clin Infect Dis</w:t>
      </w:r>
      <w:r>
        <w:t>. 2013;57(8):1069–77. doi: </w:t>
      </w:r>
      <w:hyperlink r:id="rId41" w:history="1">
        <w:r w:rsidRPr="00E55A7D">
          <w:rPr>
            <w:rStyle w:val="Hyperlink"/>
          </w:rPr>
          <w:t>https://doi.org/10.1093/cid/cit471</w:t>
        </w:r>
        <w:r w:rsidRPr="00E55A7D">
          <w:t>.</w:t>
        </w:r>
      </w:hyperlink>
    </w:p>
    <w:p w14:paraId="7EBA7C64" w14:textId="633F392A" w:rsidR="00E55A7D" w:rsidRDefault="00E55A7D" w:rsidP="00274A0E">
      <w:pPr>
        <w:pStyle w:val="CDINumberedList1L1"/>
        <w:spacing w:before="160"/>
        <w:ind w:left="397" w:hanging="397"/>
      </w:pPr>
      <w:r>
        <w:t xml:space="preserve">Walsh E, Lee N, Sander I, Stolper R, Zakar J, Wyffels V et al. RSV-associated hospitalization in adults in the USA: a retrospective chart review investigating burden, management strategies, and outcomes. </w:t>
      </w:r>
      <w:r w:rsidRPr="00E55A7D">
        <w:rPr>
          <w:i/>
          <w:iCs/>
        </w:rPr>
        <w:t>Health Sci Rep</w:t>
      </w:r>
      <w:r>
        <w:t>. 2022;5(3</w:t>
      </w:r>
      <w:proofErr w:type="gramStart"/>
      <w:r>
        <w:t>):e</w:t>
      </w:r>
      <w:proofErr w:type="gramEnd"/>
      <w:r>
        <w:t>556. doi: </w:t>
      </w:r>
      <w:hyperlink r:id="rId42" w:history="1">
        <w:r>
          <w:rPr>
            <w:rStyle w:val="Hyperlink"/>
          </w:rPr>
          <w:t>https://doi.org/10.1002/hsr2.556</w:t>
        </w:r>
      </w:hyperlink>
      <w:r>
        <w:t>.</w:t>
      </w:r>
    </w:p>
    <w:p w14:paraId="5342FE1D" w14:textId="691F040C" w:rsidR="00E55A7D" w:rsidRDefault="00E55A7D" w:rsidP="00274A0E">
      <w:pPr>
        <w:pStyle w:val="CDINumberedList1L1"/>
        <w:spacing w:before="160"/>
        <w:ind w:left="397" w:hanging="397"/>
      </w:pPr>
      <w:r>
        <w:t xml:space="preserve">Kujawski SA, Whitaker M, Ritchey MD, Reingold AL, Chai SJ, Anderson EJ et al. Rates of respiratory syncytial virus (RSV)-associated hospitalization among adults with congestive heart failure-United States, 2015–2017. </w:t>
      </w:r>
      <w:r w:rsidRPr="00E55A7D">
        <w:rPr>
          <w:i/>
          <w:iCs/>
        </w:rPr>
        <w:t>PLoS One</w:t>
      </w:r>
      <w:r>
        <w:t>. 2022;17(3</w:t>
      </w:r>
      <w:proofErr w:type="gramStart"/>
      <w:r>
        <w:t>):e</w:t>
      </w:r>
      <w:proofErr w:type="gramEnd"/>
      <w:r>
        <w:t>0264890. doi: </w:t>
      </w:r>
      <w:hyperlink r:id="rId43" w:history="1">
        <w:r>
          <w:rPr>
            <w:rStyle w:val="Hyperlink"/>
          </w:rPr>
          <w:t>https://doi.org/10.1371/journal.pone.0264890</w:t>
        </w:r>
      </w:hyperlink>
      <w:r>
        <w:t>.</w:t>
      </w:r>
    </w:p>
    <w:p w14:paraId="4C1B8D0E" w14:textId="07B4E411" w:rsidR="00E55A7D" w:rsidRDefault="00E55A7D" w:rsidP="00274A0E">
      <w:pPr>
        <w:pStyle w:val="CDINumberedList1L1"/>
        <w:spacing w:before="160"/>
        <w:ind w:left="397" w:hanging="397"/>
      </w:pPr>
      <w:r>
        <w:t xml:space="preserve">Wyffels V, </w:t>
      </w:r>
      <w:proofErr w:type="spellStart"/>
      <w:r>
        <w:t>Kariburyo</w:t>
      </w:r>
      <w:proofErr w:type="spellEnd"/>
      <w:r>
        <w:t xml:space="preserve"> F, </w:t>
      </w:r>
      <w:proofErr w:type="spellStart"/>
      <w:r>
        <w:t>Gavart</w:t>
      </w:r>
      <w:proofErr w:type="spellEnd"/>
      <w:r>
        <w:t xml:space="preserve"> S, </w:t>
      </w:r>
      <w:proofErr w:type="spellStart"/>
      <w:r>
        <w:t>Fleischhackl</w:t>
      </w:r>
      <w:proofErr w:type="spellEnd"/>
      <w:r>
        <w:t xml:space="preserve"> R, </w:t>
      </w:r>
      <w:proofErr w:type="spellStart"/>
      <w:r>
        <w:t>Yuce</w:t>
      </w:r>
      <w:proofErr w:type="spellEnd"/>
      <w:r>
        <w:t xml:space="preserve"> H. A real-world analysis of patient characteristics and predictors of hospitalization among US Medicare beneficiaries with respiratory syncytial virus infection. </w:t>
      </w:r>
      <w:r w:rsidRPr="00E55A7D">
        <w:rPr>
          <w:i/>
          <w:iCs/>
        </w:rPr>
        <w:t>Adv Ther</w:t>
      </w:r>
      <w:r>
        <w:t>. 2020;37(3):1203–17. doi: </w:t>
      </w:r>
      <w:hyperlink r:id="rId44" w:history="1">
        <w:r>
          <w:rPr>
            <w:rStyle w:val="Hyperlink"/>
          </w:rPr>
          <w:t>https://doi.org/10.1007/s12325-020-01230-3</w:t>
        </w:r>
      </w:hyperlink>
      <w:r>
        <w:t>.</w:t>
      </w:r>
    </w:p>
    <w:p w14:paraId="57FF28DA" w14:textId="77777777" w:rsidR="00E55A7D" w:rsidRDefault="00E55A7D" w:rsidP="00274A0E">
      <w:pPr>
        <w:pStyle w:val="CDINumberedList1L1"/>
        <w:spacing w:before="160"/>
        <w:ind w:left="397" w:hanging="397"/>
      </w:pPr>
      <w:r>
        <w:t xml:space="preserve">Tseng HF, Sy LS, Ackerson B, Solano Z, Slezak J, Luo Y et al. Severe morbidity and short- and mid- to long-term mortality in older adults hospitalized with respiratory syncytial virus infection. </w:t>
      </w:r>
      <w:r w:rsidRPr="00E55A7D">
        <w:rPr>
          <w:i/>
          <w:iCs/>
        </w:rPr>
        <w:t>J Infect Dis</w:t>
      </w:r>
      <w:r>
        <w:t xml:space="preserve">. 2020;222(8):1298–310. doi: </w:t>
      </w:r>
      <w:hyperlink r:id="rId45" w:history="1">
        <w:r>
          <w:rPr>
            <w:rStyle w:val="Hyperlink"/>
          </w:rPr>
          <w:t>https://doi.org/10.1093/infdis/jiaa361</w:t>
        </w:r>
      </w:hyperlink>
      <w:r>
        <w:t>.</w:t>
      </w:r>
    </w:p>
    <w:p w14:paraId="72CF1A12" w14:textId="77777777" w:rsidR="00E55A7D" w:rsidRDefault="00E55A7D" w:rsidP="00274A0E">
      <w:pPr>
        <w:pStyle w:val="CDINumberedList1L1"/>
        <w:spacing w:before="160"/>
        <w:ind w:left="397" w:hanging="397"/>
      </w:pPr>
      <w:r>
        <w:t xml:space="preserve">Fleming-Dutra K. </w:t>
      </w:r>
      <w:r w:rsidRPr="00E55A7D">
        <w:rPr>
          <w:i/>
          <w:iCs/>
        </w:rPr>
        <w:t xml:space="preserve">Evidence to Recommendations </w:t>
      </w:r>
      <w:proofErr w:type="gramStart"/>
      <w:r w:rsidRPr="00E55A7D">
        <w:rPr>
          <w:i/>
          <w:iCs/>
        </w:rPr>
        <w:t>Framework :</w:t>
      </w:r>
      <w:proofErr w:type="gramEnd"/>
      <w:r w:rsidRPr="00E55A7D">
        <w:rPr>
          <w:i/>
          <w:iCs/>
        </w:rPr>
        <w:t xml:space="preserve"> Pfizer maternal </w:t>
      </w:r>
      <w:proofErr w:type="spellStart"/>
      <w:r w:rsidRPr="00E55A7D">
        <w:rPr>
          <w:i/>
          <w:iCs/>
        </w:rPr>
        <w:t>RSVpreF</w:t>
      </w:r>
      <w:proofErr w:type="spellEnd"/>
      <w:r w:rsidRPr="00E55A7D">
        <w:rPr>
          <w:i/>
          <w:iCs/>
        </w:rPr>
        <w:t xml:space="preserve"> vaccine</w:t>
      </w:r>
      <w:r>
        <w:t xml:space="preserve">. [Downloadable online article.] Atlanta: United States Government Department of Health and Human Services, Centers for Disease Control and Prevention (US CDC); 22 June 2023. [Accessed on 9 October 2023.] Available from: </w:t>
      </w:r>
      <w:hyperlink r:id="rId46" w:history="1">
        <w:r>
          <w:rPr>
            <w:rStyle w:val="Hyperlink"/>
          </w:rPr>
          <w:t>https://stacks.cdc.gov/view/cdc/130020</w:t>
        </w:r>
      </w:hyperlink>
      <w:r>
        <w:t>.</w:t>
      </w:r>
    </w:p>
    <w:p w14:paraId="0E280D71" w14:textId="307037A7" w:rsidR="00E55A7D" w:rsidRDefault="00E55A7D" w:rsidP="00274A0E">
      <w:pPr>
        <w:pStyle w:val="CDINumberedList1L1"/>
        <w:spacing w:before="160"/>
        <w:ind w:left="397" w:hanging="397"/>
      </w:pPr>
      <w:r>
        <w:t xml:space="preserve">Loubet P, Lenzi N, Valette M, </w:t>
      </w:r>
      <w:proofErr w:type="spellStart"/>
      <w:r>
        <w:t>Foulongne</w:t>
      </w:r>
      <w:proofErr w:type="spellEnd"/>
      <w:r>
        <w:t xml:space="preserve"> V, Krivine A, Houhou N et al. Clinical characteristics and outcome of respiratory syncytial virus infection among adults hospitalized with influenza-like illness in France. </w:t>
      </w:r>
      <w:r w:rsidRPr="00E55A7D">
        <w:rPr>
          <w:i/>
          <w:iCs/>
        </w:rPr>
        <w:t>Clin Microbiol Infect</w:t>
      </w:r>
      <w:r>
        <w:t>. 2017;23(4):253–9. doi:</w:t>
      </w:r>
      <w:r w:rsidR="00274A0E">
        <w:t> </w:t>
      </w:r>
      <w:hyperlink r:id="rId47" w:history="1">
        <w:r>
          <w:rPr>
            <w:rStyle w:val="Hyperlink"/>
          </w:rPr>
          <w:t>https://doi.org/10.1016/j.cmi.2016.11.014</w:t>
        </w:r>
      </w:hyperlink>
      <w:r>
        <w:t>.</w:t>
      </w:r>
    </w:p>
    <w:p w14:paraId="319866EB" w14:textId="7C720E97" w:rsidR="00E55A7D" w:rsidRDefault="00E55A7D" w:rsidP="00274A0E">
      <w:pPr>
        <w:pStyle w:val="CDINumberedList1L1"/>
        <w:spacing w:before="160"/>
        <w:ind w:left="397" w:hanging="397"/>
      </w:pPr>
      <w:r>
        <w:t xml:space="preserve">Moyes J, Walaza S, Pretorius M, Groome M, von Gottberg A, Wolter N et al. Respiratory syncytial virus in adults with severe acute respiratory illness in a high HIV prevalence setting. </w:t>
      </w:r>
      <w:r w:rsidRPr="00E55A7D">
        <w:rPr>
          <w:i/>
          <w:iCs/>
        </w:rPr>
        <w:t>J</w:t>
      </w:r>
      <w:r w:rsidR="00274A0E">
        <w:rPr>
          <w:i/>
          <w:iCs/>
        </w:rPr>
        <w:t> </w:t>
      </w:r>
      <w:r w:rsidRPr="00E55A7D">
        <w:rPr>
          <w:i/>
          <w:iCs/>
        </w:rPr>
        <w:t>Infect</w:t>
      </w:r>
      <w:r>
        <w:t xml:space="preserve">. 2017;75(4):346–55. doi: </w:t>
      </w:r>
      <w:hyperlink r:id="rId48" w:history="1">
        <w:r>
          <w:rPr>
            <w:rStyle w:val="Hyperlink"/>
          </w:rPr>
          <w:t>https://doi.org/10.1016/j.jinf.2017.06.007</w:t>
        </w:r>
      </w:hyperlink>
      <w:r>
        <w:t>.</w:t>
      </w:r>
    </w:p>
    <w:p w14:paraId="3EB1080F" w14:textId="77777777" w:rsidR="00E55A7D" w:rsidRDefault="00E55A7D" w:rsidP="00274A0E">
      <w:pPr>
        <w:pStyle w:val="CDINumberedList1L1"/>
        <w:spacing w:before="160"/>
        <w:ind w:left="397" w:hanging="397"/>
      </w:pPr>
      <w:r>
        <w:t xml:space="preserve">Yoon JG, Noh JY, Choi WS, Park JJ, Suh YB, Song JY et al. Clinical characteristics and disease burden of respiratory syncytial virus infection among hospitalized adults. </w:t>
      </w:r>
      <w:r w:rsidRPr="00E55A7D">
        <w:rPr>
          <w:i/>
          <w:iCs/>
        </w:rPr>
        <w:t>Sci Rep</w:t>
      </w:r>
      <w:r>
        <w:t xml:space="preserve">. 2020;10(1):12106. doi: </w:t>
      </w:r>
      <w:hyperlink r:id="rId49" w:history="1">
        <w:r>
          <w:rPr>
            <w:rStyle w:val="Hyperlink"/>
          </w:rPr>
          <w:t>https://doi.org/10.1038/s41598-020-69017-8</w:t>
        </w:r>
      </w:hyperlink>
      <w:r>
        <w:t>.</w:t>
      </w:r>
    </w:p>
    <w:p w14:paraId="288EF441" w14:textId="77777777" w:rsidR="00E55A7D" w:rsidRDefault="00E55A7D" w:rsidP="00274A0E">
      <w:pPr>
        <w:pStyle w:val="CDINumberedList1L1"/>
        <w:spacing w:before="160"/>
        <w:ind w:left="397" w:hanging="397"/>
      </w:pPr>
      <w:r>
        <w:t xml:space="preserve">Martino R, Ramila E, Rabella N, Muñoz JM, Peyret M, </w:t>
      </w:r>
      <w:proofErr w:type="spellStart"/>
      <w:r>
        <w:t>Portos</w:t>
      </w:r>
      <w:proofErr w:type="spellEnd"/>
      <w:r>
        <w:t xml:space="preserve"> JM et al. Respiratory virus infections in adults with hematologic malignancies: a prospective study. </w:t>
      </w:r>
      <w:r w:rsidRPr="00E55A7D">
        <w:rPr>
          <w:i/>
          <w:iCs/>
        </w:rPr>
        <w:t>Clin Infect Dis</w:t>
      </w:r>
      <w:r>
        <w:t xml:space="preserve">. 2003;36(1):1–8. doi: </w:t>
      </w:r>
      <w:hyperlink r:id="rId50" w:history="1">
        <w:r>
          <w:rPr>
            <w:rStyle w:val="Hyperlink"/>
          </w:rPr>
          <w:t>https://doi.org/10.1086/344899</w:t>
        </w:r>
      </w:hyperlink>
      <w:r>
        <w:t>.</w:t>
      </w:r>
    </w:p>
    <w:p w14:paraId="0F3D1C10" w14:textId="77777777" w:rsidR="00E55A7D" w:rsidRDefault="00E55A7D" w:rsidP="00274A0E">
      <w:pPr>
        <w:pStyle w:val="CDINumberedList1L1"/>
        <w:spacing w:before="160"/>
        <w:ind w:left="397" w:hanging="397"/>
      </w:pPr>
      <w:r>
        <w:t xml:space="preserve">Hämäläinen A, Savinainen E, Hämäläinen S, </w:t>
      </w:r>
      <w:proofErr w:type="spellStart"/>
      <w:r>
        <w:t>Sivenius</w:t>
      </w:r>
      <w:proofErr w:type="spellEnd"/>
      <w:r>
        <w:t xml:space="preserve"> K, Kauppinen J, Koivula I et al. Disease burden caused by respiratory syncytial virus compared with influenza among adults: a retrospective cohort study from Eastern Finland in 2017–2018. </w:t>
      </w:r>
      <w:r w:rsidRPr="00E55A7D">
        <w:rPr>
          <w:i/>
          <w:iCs/>
        </w:rPr>
        <w:t>BMJ Open</w:t>
      </w:r>
      <w:r>
        <w:t>. 2022;12(12</w:t>
      </w:r>
      <w:proofErr w:type="gramStart"/>
      <w:r>
        <w:t>):e</w:t>
      </w:r>
      <w:proofErr w:type="gramEnd"/>
      <w:r>
        <w:t xml:space="preserve">060805. doi: </w:t>
      </w:r>
      <w:hyperlink r:id="rId51" w:history="1">
        <w:r>
          <w:rPr>
            <w:rStyle w:val="Hyperlink"/>
          </w:rPr>
          <w:t>https://doi.org/10.1136/bmjopen-2022-060805</w:t>
        </w:r>
      </w:hyperlink>
      <w:r>
        <w:t>.</w:t>
      </w:r>
    </w:p>
    <w:p w14:paraId="366A3900" w14:textId="77777777" w:rsidR="00E55A7D" w:rsidRDefault="00E55A7D" w:rsidP="00274A0E">
      <w:pPr>
        <w:pStyle w:val="CDINumberedList1L1"/>
        <w:spacing w:before="160"/>
        <w:ind w:left="397" w:hanging="397"/>
      </w:pPr>
      <w:r>
        <w:t xml:space="preserve">Kampmann B, Madhi SA, Munjal I, Simões EAF, </w:t>
      </w:r>
      <w:proofErr w:type="spellStart"/>
      <w:r>
        <w:t>Pahud</w:t>
      </w:r>
      <w:proofErr w:type="spellEnd"/>
      <w:r>
        <w:t xml:space="preserve"> BA, </w:t>
      </w:r>
      <w:proofErr w:type="spellStart"/>
      <w:r>
        <w:t>Llapur</w:t>
      </w:r>
      <w:proofErr w:type="spellEnd"/>
      <w:r>
        <w:t xml:space="preserve"> C et al. Bivalent prefusion F vaccine in pregnancy to prevent RSV illness in infants. </w:t>
      </w:r>
      <w:r w:rsidRPr="00E55A7D">
        <w:rPr>
          <w:i/>
          <w:iCs/>
        </w:rPr>
        <w:t>N Engl J Med</w:t>
      </w:r>
      <w:r>
        <w:t xml:space="preserve">. 2023;388(16):1451–64. doi: </w:t>
      </w:r>
      <w:hyperlink r:id="rId52" w:history="1">
        <w:r>
          <w:rPr>
            <w:rStyle w:val="Hyperlink"/>
          </w:rPr>
          <w:t>https://doi.org/10.1056/NEJMoa2216480</w:t>
        </w:r>
      </w:hyperlink>
      <w:r>
        <w:t>.</w:t>
      </w:r>
    </w:p>
    <w:p w14:paraId="24198EC4" w14:textId="1D5945BB" w:rsidR="00E55A7D" w:rsidRDefault="00E55A7D" w:rsidP="00274A0E">
      <w:pPr>
        <w:pStyle w:val="CDINumberedList1L1"/>
        <w:spacing w:before="160"/>
        <w:ind w:left="397" w:hanging="397"/>
      </w:pPr>
      <w:r>
        <w:t xml:space="preserve">Stiboy E, Chan M, Islam MS, </w:t>
      </w:r>
      <w:proofErr w:type="spellStart"/>
      <w:r>
        <w:t>Saravanos</w:t>
      </w:r>
      <w:proofErr w:type="spellEnd"/>
      <w:r>
        <w:t xml:space="preserve"> GL, Lui K, Jaffe A et al. Variation in clinical practice guidelines for use of palivizumab in preventing severe respiratory syncytial viral (RSV) disease in high-risk infants. </w:t>
      </w:r>
      <w:proofErr w:type="spellStart"/>
      <w:r w:rsidRPr="00E55A7D">
        <w:rPr>
          <w:i/>
          <w:iCs/>
        </w:rPr>
        <w:t>Pediatr</w:t>
      </w:r>
      <w:proofErr w:type="spellEnd"/>
      <w:r w:rsidRPr="00E55A7D">
        <w:rPr>
          <w:i/>
          <w:iCs/>
        </w:rPr>
        <w:t xml:space="preserve"> Pulmonol</w:t>
      </w:r>
      <w:r>
        <w:t>. 2023;58(4):1210–20. doi:</w:t>
      </w:r>
      <w:r w:rsidR="00274A0E">
        <w:t> </w:t>
      </w:r>
      <w:hyperlink r:id="rId53" w:history="1">
        <w:r>
          <w:rPr>
            <w:rStyle w:val="Hyperlink"/>
          </w:rPr>
          <w:t>https://doi.org/10.1002/ppul.26324</w:t>
        </w:r>
      </w:hyperlink>
      <w:r>
        <w:t>.</w:t>
      </w:r>
    </w:p>
    <w:p w14:paraId="0386BFE9" w14:textId="76FD9AEB" w:rsidR="00E55A7D" w:rsidRDefault="00E55A7D" w:rsidP="00274A0E">
      <w:pPr>
        <w:pStyle w:val="CDINumberedList1L1"/>
        <w:spacing w:before="160"/>
        <w:ind w:left="397" w:hanging="397"/>
      </w:pPr>
      <w:r>
        <w:t xml:space="preserve">Griffin MP, Yuan Y, Takas T, </w:t>
      </w:r>
      <w:proofErr w:type="spellStart"/>
      <w:r>
        <w:t>Domachowske</w:t>
      </w:r>
      <w:proofErr w:type="spellEnd"/>
      <w:r>
        <w:t xml:space="preserve"> JB, Madhi SA, Manzoni P et al. </w:t>
      </w:r>
      <w:proofErr w:type="gramStart"/>
      <w:r>
        <w:t>Single-dose</w:t>
      </w:r>
      <w:proofErr w:type="gramEnd"/>
      <w:r>
        <w:t xml:space="preserve"> nirsevimab for prevention of RSV in preterm infants. </w:t>
      </w:r>
      <w:r w:rsidRPr="00E55A7D">
        <w:rPr>
          <w:i/>
          <w:iCs/>
        </w:rPr>
        <w:t>N Engl J Med</w:t>
      </w:r>
      <w:r>
        <w:t>. 2020;383(5):415–25. doi:</w:t>
      </w:r>
      <w:r w:rsidR="00274A0E">
        <w:t> </w:t>
      </w:r>
      <w:hyperlink r:id="rId54" w:history="1">
        <w:r>
          <w:rPr>
            <w:rStyle w:val="Hyperlink"/>
          </w:rPr>
          <w:t>https://doi.org/10.1056/NEJMoa1913556</w:t>
        </w:r>
      </w:hyperlink>
      <w:r>
        <w:t>.</w:t>
      </w:r>
    </w:p>
    <w:p w14:paraId="637D04CA" w14:textId="77777777" w:rsidR="00E55A7D" w:rsidRDefault="00E55A7D" w:rsidP="00274A0E">
      <w:pPr>
        <w:pStyle w:val="CDINumberedList1L1"/>
        <w:spacing w:before="160"/>
        <w:ind w:left="397" w:hanging="397"/>
      </w:pPr>
      <w:r>
        <w:t xml:space="preserve">Muller WJ, Madhi SA, Seoane Nuñez B, Baca Cots M, </w:t>
      </w:r>
      <w:proofErr w:type="spellStart"/>
      <w:r>
        <w:t>Bosheva</w:t>
      </w:r>
      <w:proofErr w:type="spellEnd"/>
      <w:r>
        <w:t xml:space="preserve"> M, Dagan R et al. Nirsevimab for prevention of RSV in term and late-preterm infants. </w:t>
      </w:r>
      <w:r w:rsidRPr="00E55A7D">
        <w:rPr>
          <w:i/>
          <w:iCs/>
        </w:rPr>
        <w:t>N Engl J Med</w:t>
      </w:r>
      <w:r>
        <w:t xml:space="preserve">. 2023;388(16):1533–4. doi: </w:t>
      </w:r>
      <w:hyperlink r:id="rId55" w:history="1">
        <w:r>
          <w:rPr>
            <w:rStyle w:val="Hyperlink"/>
          </w:rPr>
          <w:t>https://doi.org/10.1056/NEJMc2214773</w:t>
        </w:r>
      </w:hyperlink>
      <w:r>
        <w:t>.</w:t>
      </w:r>
    </w:p>
    <w:p w14:paraId="4E2DAD99" w14:textId="31EE5ABC" w:rsidR="00E55A7D" w:rsidRDefault="00E55A7D" w:rsidP="00274A0E">
      <w:pPr>
        <w:pStyle w:val="CDINumberedList1L1"/>
        <w:spacing w:before="160"/>
        <w:ind w:left="397" w:hanging="397"/>
      </w:pPr>
      <w:r>
        <w:t xml:space="preserve">Ernst C, Bejko D, Gaasch L, </w:t>
      </w:r>
      <w:proofErr w:type="spellStart"/>
      <w:r>
        <w:t>Hannelas</w:t>
      </w:r>
      <w:proofErr w:type="spellEnd"/>
      <w:r>
        <w:t xml:space="preserve"> E, Kahn I, Pierron C et al. Impact of nirsevimab prophylaxis on paediatric respiratory syncytial virus (RSV)-related hospitalisations during the initial 2023/24 season in Luxembourg. </w:t>
      </w:r>
      <w:r w:rsidRPr="00E55A7D">
        <w:rPr>
          <w:i/>
          <w:iCs/>
        </w:rPr>
        <w:t xml:space="preserve">Euro </w:t>
      </w:r>
      <w:proofErr w:type="spellStart"/>
      <w:r w:rsidRPr="00E55A7D">
        <w:rPr>
          <w:i/>
          <w:iCs/>
        </w:rPr>
        <w:t>Surveill</w:t>
      </w:r>
      <w:proofErr w:type="spellEnd"/>
      <w:r>
        <w:t>. 2024;29(4):2400033. doi:</w:t>
      </w:r>
      <w:r w:rsidR="00274A0E">
        <w:t> </w:t>
      </w:r>
      <w:hyperlink r:id="rId56" w:history="1">
        <w:r>
          <w:rPr>
            <w:rStyle w:val="Hyperlink"/>
          </w:rPr>
          <w:t>https://doi.org/10.2807/1560-7917.ES.2024.29.4.2400033</w:t>
        </w:r>
      </w:hyperlink>
      <w:r>
        <w:t>.</w:t>
      </w:r>
    </w:p>
    <w:p w14:paraId="496995DB" w14:textId="5F4F0C99" w:rsidR="00E55A7D" w:rsidRDefault="00E55A7D" w:rsidP="00274A0E">
      <w:pPr>
        <w:pStyle w:val="CDINumberedList1L1"/>
        <w:spacing w:before="160"/>
        <w:ind w:left="397" w:hanging="397"/>
      </w:pPr>
      <w:r>
        <w:t>López-</w:t>
      </w:r>
      <w:proofErr w:type="spellStart"/>
      <w:r>
        <w:t>Lacort</w:t>
      </w:r>
      <w:proofErr w:type="spellEnd"/>
      <w:r>
        <w:t xml:space="preserve"> M, Muñoz-Quiles C, Mira-Iglesias A, López-Labrador FX, </w:t>
      </w:r>
      <w:proofErr w:type="spellStart"/>
      <w:r>
        <w:t>Mengual-Chuliá</w:t>
      </w:r>
      <w:proofErr w:type="spellEnd"/>
      <w:r>
        <w:t xml:space="preserve"> B, Fernández-García C et al. Early estimates of nirsevimab </w:t>
      </w:r>
      <w:proofErr w:type="spellStart"/>
      <w:r>
        <w:t>immunoprophylaxis</w:t>
      </w:r>
      <w:proofErr w:type="spellEnd"/>
      <w:r>
        <w:t xml:space="preserve"> effectiveness against hospital admission for respiratory syncytial virus lower respiratory tract infections in infants, Spain, October 2023 to January 2024. </w:t>
      </w:r>
      <w:r w:rsidRPr="00E55A7D">
        <w:rPr>
          <w:i/>
          <w:iCs/>
        </w:rPr>
        <w:t xml:space="preserve">Euro </w:t>
      </w:r>
      <w:proofErr w:type="spellStart"/>
      <w:r w:rsidRPr="00E55A7D">
        <w:rPr>
          <w:i/>
          <w:iCs/>
        </w:rPr>
        <w:t>Surveill</w:t>
      </w:r>
      <w:proofErr w:type="spellEnd"/>
      <w:r>
        <w:t>. 2024;29(6):2400046. doi:</w:t>
      </w:r>
      <w:r w:rsidR="00274A0E">
        <w:t> </w:t>
      </w:r>
      <w:hyperlink r:id="rId57" w:history="1">
        <w:r>
          <w:rPr>
            <w:rStyle w:val="Hyperlink"/>
          </w:rPr>
          <w:t>https://doi.org/10.2807/1560-7917</w:t>
        </w:r>
      </w:hyperlink>
      <w:r>
        <w:t>.ES.2024.29.6.2400046.</w:t>
      </w:r>
    </w:p>
    <w:p w14:paraId="72A6D323" w14:textId="77777777" w:rsidR="00E55A7D" w:rsidRDefault="00E55A7D" w:rsidP="00274A0E">
      <w:pPr>
        <w:pStyle w:val="CDINumberedList1L1"/>
        <w:spacing w:before="160"/>
        <w:ind w:left="397" w:hanging="397"/>
      </w:pPr>
      <w:r>
        <w:t xml:space="preserve">Moline HL, Tannis A, Toepfer AP, Williams JV, Boom JA, Englund JA et al. Early estimate of nirsevimab effectiveness for prevention of respiratory syncytial virus-associated hospitalization among infants entering their first respiratory syncytial virus season – New Vaccine Surveillance Network, October 2023 – February 2024. </w:t>
      </w:r>
      <w:r w:rsidRPr="00E55A7D">
        <w:rPr>
          <w:i/>
          <w:iCs/>
        </w:rPr>
        <w:t xml:space="preserve">MMWR </w:t>
      </w:r>
      <w:proofErr w:type="spellStart"/>
      <w:r w:rsidRPr="00E55A7D">
        <w:rPr>
          <w:i/>
          <w:iCs/>
        </w:rPr>
        <w:t>Morb</w:t>
      </w:r>
      <w:proofErr w:type="spellEnd"/>
      <w:r w:rsidRPr="00E55A7D">
        <w:rPr>
          <w:i/>
          <w:iCs/>
        </w:rPr>
        <w:t xml:space="preserve"> Mortal </w:t>
      </w:r>
      <w:proofErr w:type="spellStart"/>
      <w:r w:rsidRPr="00E55A7D">
        <w:rPr>
          <w:i/>
          <w:iCs/>
        </w:rPr>
        <w:t>Wkly</w:t>
      </w:r>
      <w:proofErr w:type="spellEnd"/>
      <w:r w:rsidRPr="00E55A7D">
        <w:rPr>
          <w:i/>
          <w:iCs/>
        </w:rPr>
        <w:t xml:space="preserve"> Rep</w:t>
      </w:r>
      <w:r>
        <w:t xml:space="preserve">. 2024;73(9):209–14. doi: </w:t>
      </w:r>
      <w:hyperlink r:id="rId58" w:history="1">
        <w:r>
          <w:rPr>
            <w:rStyle w:val="Hyperlink"/>
          </w:rPr>
          <w:t>https://doi.org/10.15585/mmwr.mm7309a4</w:t>
        </w:r>
      </w:hyperlink>
      <w:r>
        <w:t>.</w:t>
      </w:r>
    </w:p>
    <w:p w14:paraId="04FEEB17" w14:textId="6BF47382" w:rsidR="00E55A7D" w:rsidRDefault="00E55A7D" w:rsidP="00274A0E">
      <w:pPr>
        <w:pStyle w:val="CDINumberedList1L1"/>
        <w:spacing w:before="160"/>
        <w:ind w:left="397" w:hanging="397"/>
      </w:pPr>
      <w:r>
        <w:t xml:space="preserve">Ares-Gómez S, Mallah N, Santiago-Pérez MI, Pardo-Seco J, Pérez-Martínez O, Otero-Barros MT et al. Effectiveness and impact of universal prophylaxis with nirsevimab in infants against hospitalisation for respiratory syncytial virus in Galicia, Spain: initial results of a population-based longitudinal study. </w:t>
      </w:r>
      <w:r w:rsidRPr="00E55A7D">
        <w:rPr>
          <w:i/>
          <w:iCs/>
        </w:rPr>
        <w:t>Lancet Infect Dis</w:t>
      </w:r>
      <w:r>
        <w:t>. 2024;24(8):817–28. doi:</w:t>
      </w:r>
      <w:r w:rsidR="00274A0E">
        <w:t> </w:t>
      </w:r>
      <w:hyperlink r:id="rId59" w:history="1">
        <w:r>
          <w:rPr>
            <w:rStyle w:val="Hyperlink"/>
          </w:rPr>
          <w:t>https://doi.org/10.1016/S1473-3099(24)00215-9</w:t>
        </w:r>
      </w:hyperlink>
      <w:r>
        <w:t>.</w:t>
      </w:r>
    </w:p>
    <w:p w14:paraId="428D911F" w14:textId="77777777" w:rsidR="00E55A7D" w:rsidRDefault="00E55A7D" w:rsidP="00274A0E">
      <w:pPr>
        <w:pStyle w:val="CDINumberedList1L1"/>
        <w:spacing w:before="160"/>
        <w:ind w:left="397" w:hanging="397"/>
      </w:pPr>
      <w:r>
        <w:t xml:space="preserve">Das R. </w:t>
      </w:r>
      <w:r w:rsidRPr="00E55A7D">
        <w:rPr>
          <w:i/>
          <w:iCs/>
        </w:rPr>
        <w:t xml:space="preserve">Update on Moderna’s RSV Vaccine, </w:t>
      </w:r>
      <w:proofErr w:type="spellStart"/>
      <w:r w:rsidRPr="00E55A7D">
        <w:rPr>
          <w:i/>
          <w:iCs/>
        </w:rPr>
        <w:t>mRESVIA</w:t>
      </w:r>
      <w:proofErr w:type="spellEnd"/>
      <w:r w:rsidRPr="00E55A7D">
        <w:rPr>
          <w:i/>
          <w:iCs/>
        </w:rPr>
        <w:t xml:space="preserve"> (mRNA-1345), in </w:t>
      </w:r>
      <w:proofErr w:type="gramStart"/>
      <w:r w:rsidRPr="00E55A7D">
        <w:rPr>
          <w:i/>
          <w:iCs/>
        </w:rPr>
        <w:t>Adults</w:t>
      </w:r>
      <w:proofErr w:type="gramEnd"/>
      <w:r w:rsidRPr="00E55A7D">
        <w:rPr>
          <w:i/>
          <w:iCs/>
        </w:rPr>
        <w:t xml:space="preserve"> ≥60 Years of Age</w:t>
      </w:r>
      <w:r>
        <w:t xml:space="preserve">. Atlanta: US CDC;26 June 2024. [Accessed on 9 September 2024.] Available from: </w:t>
      </w:r>
      <w:hyperlink r:id="rId60" w:history="1">
        <w:r>
          <w:rPr>
            <w:rStyle w:val="Hyperlink"/>
          </w:rPr>
          <w:t>https://www.cdc.gov/acip/downloads/slides-2024-06-26-28/04-RSV-Adult-Das-508.pdf</w:t>
        </w:r>
      </w:hyperlink>
      <w:r>
        <w:t>.</w:t>
      </w:r>
    </w:p>
    <w:p w14:paraId="4C051BD7" w14:textId="77777777" w:rsidR="00E55A7D" w:rsidRDefault="00E55A7D" w:rsidP="00274A0E">
      <w:pPr>
        <w:pStyle w:val="CDINumberedList1L1"/>
        <w:spacing w:before="160"/>
        <w:ind w:left="397" w:hanging="397"/>
      </w:pPr>
      <w:r>
        <w:t xml:space="preserve">Athan E, Baber J, Quan K, Scott RJ, Jaques A, Jiang Q et al. Safety and immunogenicity of bivalent </w:t>
      </w:r>
      <w:proofErr w:type="spellStart"/>
      <w:r>
        <w:t>RSVpreF</w:t>
      </w:r>
      <w:proofErr w:type="spellEnd"/>
      <w:r>
        <w:t xml:space="preserve"> vaccine </w:t>
      </w:r>
      <w:proofErr w:type="spellStart"/>
      <w:r>
        <w:t>coadministered</w:t>
      </w:r>
      <w:proofErr w:type="spellEnd"/>
      <w:r>
        <w:t xml:space="preserve"> with seasonal inactivated influenza vaccine in older adults. </w:t>
      </w:r>
      <w:r w:rsidRPr="00E55A7D">
        <w:rPr>
          <w:i/>
          <w:iCs/>
        </w:rPr>
        <w:t>Clin Infect Dis</w:t>
      </w:r>
      <w:r>
        <w:t xml:space="preserve">. 2024;78(5):1360–8. doi: </w:t>
      </w:r>
      <w:hyperlink r:id="rId61" w:history="1">
        <w:r>
          <w:rPr>
            <w:rStyle w:val="Hyperlink"/>
          </w:rPr>
          <w:t>https://doi.org/10.1093/cid/ciad707</w:t>
        </w:r>
      </w:hyperlink>
      <w:r>
        <w:t>.</w:t>
      </w:r>
    </w:p>
    <w:p w14:paraId="7B09EF2D" w14:textId="78AFA542" w:rsidR="00E55A7D" w:rsidRDefault="00E55A7D" w:rsidP="00274A0E">
      <w:pPr>
        <w:pStyle w:val="CDINumberedList1L1"/>
        <w:spacing w:before="160"/>
        <w:ind w:left="397" w:hanging="397"/>
      </w:pPr>
      <w:proofErr w:type="spellStart"/>
      <w:r>
        <w:t>Gurtman</w:t>
      </w:r>
      <w:proofErr w:type="spellEnd"/>
      <w:r>
        <w:t xml:space="preserve"> A. </w:t>
      </w:r>
      <w:proofErr w:type="spellStart"/>
      <w:r>
        <w:t>RSVpreF</w:t>
      </w:r>
      <w:proofErr w:type="spellEnd"/>
      <w:r>
        <w:t xml:space="preserve"> older </w:t>
      </w:r>
      <w:proofErr w:type="gramStart"/>
      <w:r>
        <w:t>adults :</w:t>
      </w:r>
      <w:proofErr w:type="gramEnd"/>
      <w:r>
        <w:t xml:space="preserve"> clinical development program updates. ACIP meeting Respiratory Syncytial Virus (RSV) Older Adults Vaccine. [Downloadable online article.] Atlanta: US CDC; 21 June 2023. Available from: </w:t>
      </w:r>
      <w:hyperlink r:id="rId62" w:history="1">
        <w:r w:rsidR="00274A0E" w:rsidRPr="00E038A0">
          <w:rPr>
            <w:rStyle w:val="Hyperlink"/>
          </w:rPr>
          <w:t>https://stacks.cdc.gov/view/cdc/129992</w:t>
        </w:r>
      </w:hyperlink>
      <w:r>
        <w:t>.</w:t>
      </w:r>
    </w:p>
    <w:p w14:paraId="47299D04" w14:textId="77777777" w:rsidR="00E55A7D" w:rsidRDefault="00E55A7D" w:rsidP="00274A0E">
      <w:pPr>
        <w:pStyle w:val="CDINumberedList1L1"/>
        <w:spacing w:before="160"/>
        <w:ind w:left="397" w:hanging="397"/>
      </w:pPr>
      <w:r>
        <w:t xml:space="preserve">Das R. </w:t>
      </w:r>
      <w:r w:rsidRPr="00E55A7D">
        <w:rPr>
          <w:i/>
          <w:iCs/>
        </w:rPr>
        <w:t>RSV Vaccine (</w:t>
      </w:r>
      <w:proofErr w:type="spellStart"/>
      <w:r w:rsidRPr="00E55A7D">
        <w:rPr>
          <w:i/>
          <w:iCs/>
        </w:rPr>
        <w:t>mRESVIA</w:t>
      </w:r>
      <w:proofErr w:type="spellEnd"/>
      <w:r w:rsidRPr="00E55A7D">
        <w:rPr>
          <w:i/>
          <w:iCs/>
        </w:rPr>
        <w:t>, mRNA-1345) Concomitant Administration Overview</w:t>
      </w:r>
      <w:r>
        <w:t xml:space="preserve">. Atlanta: US CDC; 24 October 2024. [Accessed on 7 January 2025.] Available from: </w:t>
      </w:r>
      <w:hyperlink r:id="rId63" w:history="1">
        <w:r>
          <w:rPr>
            <w:rStyle w:val="Hyperlink"/>
          </w:rPr>
          <w:t>https://www.cdc.gov/acip/downloads/slides-2024-10-23-24/02-RSV-Adult-Das-508.pdf</w:t>
        </w:r>
      </w:hyperlink>
      <w:r>
        <w:t>.</w:t>
      </w:r>
    </w:p>
    <w:p w14:paraId="22796C1C" w14:textId="77777777" w:rsidR="00E55A7D" w:rsidRDefault="00E55A7D" w:rsidP="00274A0E">
      <w:pPr>
        <w:pStyle w:val="CDINumberedList1L1"/>
        <w:spacing w:before="160"/>
        <w:ind w:left="397" w:hanging="397"/>
      </w:pPr>
      <w:r>
        <w:t xml:space="preserve">Lloyd P. </w:t>
      </w:r>
      <w:r w:rsidRPr="00E55A7D">
        <w:rPr>
          <w:i/>
          <w:iCs/>
        </w:rPr>
        <w:t>Evaluation of Guillain-Barré Syndrome (GBS) following Respiratory Syncytial Virus (RSV) Vaccination Among Adults 65 Years and Older</w:t>
      </w:r>
      <w:r>
        <w:t xml:space="preserve">. Atlanta: US CDC; 24 October 2024. [Accessed on 7 January 2025.] Available from: </w:t>
      </w:r>
      <w:hyperlink r:id="rId64" w:history="1">
        <w:r>
          <w:rPr>
            <w:rStyle w:val="Hyperlink"/>
          </w:rPr>
          <w:t>https://www.cdc.gov/acip/downloads/slides-2024-10-23-24/05-RSV-Adult-Lloyd-508.pdf</w:t>
        </w:r>
      </w:hyperlink>
      <w:r>
        <w:t>.</w:t>
      </w:r>
    </w:p>
    <w:p w14:paraId="273536DB" w14:textId="77777777" w:rsidR="00E55A7D" w:rsidRDefault="00E55A7D" w:rsidP="00274A0E">
      <w:pPr>
        <w:pStyle w:val="CDINumberedList1L1"/>
        <w:spacing w:before="160"/>
        <w:ind w:left="397" w:hanging="397"/>
      </w:pPr>
      <w:r>
        <w:t xml:space="preserve">Walsh EE, Pérez Marc G, Zareba AM, Falsey AR, Jiang Q, Patton M et al. Efficacy and safety of a bivalent RSV prefusion F vaccine in older adults. </w:t>
      </w:r>
      <w:r w:rsidRPr="00E55A7D">
        <w:rPr>
          <w:i/>
          <w:iCs/>
        </w:rPr>
        <w:t>N Engl J Med</w:t>
      </w:r>
      <w:r>
        <w:t xml:space="preserve">. 2023;388(16):1465–77. doi: </w:t>
      </w:r>
      <w:hyperlink r:id="rId65" w:history="1">
        <w:r>
          <w:rPr>
            <w:rStyle w:val="Hyperlink"/>
          </w:rPr>
          <w:t>https://doi.org/10.1056/NEJMoa2213836</w:t>
        </w:r>
      </w:hyperlink>
      <w:r>
        <w:t>.</w:t>
      </w:r>
    </w:p>
    <w:p w14:paraId="3F862A61" w14:textId="604CAA99" w:rsidR="00E55A7D" w:rsidRDefault="00E55A7D" w:rsidP="00274A0E">
      <w:pPr>
        <w:pStyle w:val="CDINumberedList1L1"/>
        <w:spacing w:before="160"/>
        <w:ind w:left="397" w:hanging="397"/>
      </w:pPr>
      <w:r>
        <w:t>Walsh EE, Eiras D, Woodside J, Jiang Q, Patton M, Pérez Marc G et al. Efficacy, immunogenicity, and safety of the bivalent RSV prefusion F (</w:t>
      </w:r>
      <w:proofErr w:type="spellStart"/>
      <w:r>
        <w:t>RSVpreF</w:t>
      </w:r>
      <w:proofErr w:type="spellEnd"/>
      <w:r>
        <w:t xml:space="preserve">) vaccine in older adults over 2 RSV seasons. </w:t>
      </w:r>
      <w:r w:rsidRPr="00E55A7D">
        <w:rPr>
          <w:i/>
          <w:iCs/>
        </w:rPr>
        <w:t>Clin Infect Dis</w:t>
      </w:r>
      <w:r>
        <w:t>. 2026:81(6</w:t>
      </w:r>
      <w:proofErr w:type="gramStart"/>
      <w:r>
        <w:t>):e</w:t>
      </w:r>
      <w:proofErr w:type="gramEnd"/>
      <w:r>
        <w:t>680–9. doi:</w:t>
      </w:r>
      <w:r w:rsidR="00274A0E">
        <w:t> </w:t>
      </w:r>
      <w:hyperlink r:id="rId66" w:history="1">
        <w:r>
          <w:rPr>
            <w:rStyle w:val="Hyperlink"/>
          </w:rPr>
          <w:t>https://doi.org/10.1093/cid/ciaf061</w:t>
        </w:r>
      </w:hyperlink>
      <w:r>
        <w:t>.</w:t>
      </w:r>
    </w:p>
    <w:p w14:paraId="19149545" w14:textId="52BE6161" w:rsidR="00E55A7D" w:rsidRDefault="00E55A7D" w:rsidP="00274A0E">
      <w:pPr>
        <w:pStyle w:val="CDINumberedList1L1"/>
        <w:spacing w:before="160"/>
        <w:ind w:left="397" w:hanging="397"/>
      </w:pPr>
      <w:r>
        <w:t xml:space="preserve">Walsh EE, Pérez Marc G, Falsey AR, Jiang Q, Eiras D, Patton M et al. RENOIR trial — </w:t>
      </w:r>
      <w:proofErr w:type="spellStart"/>
      <w:r>
        <w:t>RSVpreF</w:t>
      </w:r>
      <w:proofErr w:type="spellEnd"/>
      <w:r>
        <w:t xml:space="preserve"> vaccine efficacy over two seasons. </w:t>
      </w:r>
      <w:r w:rsidRPr="00E55A7D">
        <w:rPr>
          <w:i/>
          <w:iCs/>
        </w:rPr>
        <w:t>N Engl J Med</w:t>
      </w:r>
      <w:r>
        <w:t>. 2024;391(15):1459–60. doi:</w:t>
      </w:r>
      <w:r w:rsidR="00274A0E">
        <w:t> </w:t>
      </w:r>
      <w:hyperlink r:id="rId67" w:history="1">
        <w:r>
          <w:rPr>
            <w:rStyle w:val="Hyperlink"/>
          </w:rPr>
          <w:t>https://doi.org/10.1056/NEJMc2311560</w:t>
        </w:r>
      </w:hyperlink>
      <w:r>
        <w:t>.</w:t>
      </w:r>
    </w:p>
    <w:p w14:paraId="45AF3D3A" w14:textId="77777777" w:rsidR="00E55A7D" w:rsidRDefault="00E55A7D" w:rsidP="00274A0E">
      <w:pPr>
        <w:pStyle w:val="CDINumberedList1L1"/>
        <w:spacing w:before="160"/>
        <w:ind w:left="397" w:hanging="397"/>
      </w:pPr>
      <w:r>
        <w:t xml:space="preserve">Ison MG, Papi A, Athan E, Feldman RG, Langley JM, Lee DG et al. Efficacy and safety of respiratory syncytial virus prefusion F protein vaccine (RSVpreF3 OA) in older adults over 2 RSV seasons. </w:t>
      </w:r>
      <w:r w:rsidRPr="00E55A7D">
        <w:rPr>
          <w:i/>
          <w:iCs/>
        </w:rPr>
        <w:t>Clin Infect Dis</w:t>
      </w:r>
      <w:r>
        <w:t xml:space="preserve">. 2024;78(6):1732–44. doi: </w:t>
      </w:r>
      <w:hyperlink r:id="rId68" w:history="1">
        <w:r>
          <w:rPr>
            <w:rStyle w:val="Hyperlink"/>
          </w:rPr>
          <w:t>https://doi.org/10.1093/cid/ciae010</w:t>
        </w:r>
      </w:hyperlink>
      <w:r>
        <w:t>.</w:t>
      </w:r>
    </w:p>
    <w:p w14:paraId="6ECCA6A5" w14:textId="77777777" w:rsidR="00E55A7D" w:rsidRDefault="00E55A7D" w:rsidP="00274A0E">
      <w:pPr>
        <w:pStyle w:val="CDINumberedList1L1"/>
        <w:spacing w:before="160"/>
        <w:ind w:left="397" w:hanging="397"/>
      </w:pPr>
      <w:r>
        <w:t xml:space="preserve">Ison MG, Papi A, Athan E, Feldman RG, Langley JM, Lee DG et al. Efficacy, safety, and immunogenicity of the AS01E-adjuvanted respiratory syncytial virus prefusion F protein vaccine (RSVpreF3 OA) in older adults over three respiratory syncytial virus seasons (AReSVi-006): a multicentre, randomised, observer-blinded, placebo-controlled, phase 3 trial. </w:t>
      </w:r>
      <w:r w:rsidRPr="00E55A7D">
        <w:rPr>
          <w:i/>
          <w:iCs/>
        </w:rPr>
        <w:t>Lancet Respir Med</w:t>
      </w:r>
      <w:r>
        <w:t xml:space="preserve">. 2025;13(6):517–29. doi: </w:t>
      </w:r>
      <w:hyperlink r:id="rId69" w:history="1">
        <w:r>
          <w:rPr>
            <w:rStyle w:val="Hyperlink"/>
          </w:rPr>
          <w:t>https://doi.org/10.1016/S2213-2600(25)00048-7</w:t>
        </w:r>
      </w:hyperlink>
      <w:r>
        <w:t>.</w:t>
      </w:r>
    </w:p>
    <w:p w14:paraId="3C21FA35" w14:textId="77777777" w:rsidR="00E55A7D" w:rsidRDefault="00E55A7D" w:rsidP="00274A0E">
      <w:pPr>
        <w:pStyle w:val="CDINumberedList1L1"/>
        <w:spacing w:before="160"/>
        <w:ind w:left="397" w:hanging="397"/>
      </w:pPr>
      <w:r>
        <w:t xml:space="preserve">TGA. </w:t>
      </w:r>
      <w:r w:rsidRPr="00E55A7D">
        <w:rPr>
          <w:i/>
          <w:iCs/>
        </w:rPr>
        <w:t xml:space="preserve">Australian Product Information: </w:t>
      </w:r>
      <w:proofErr w:type="spellStart"/>
      <w:r w:rsidRPr="00E55A7D">
        <w:rPr>
          <w:i/>
          <w:iCs/>
        </w:rPr>
        <w:t>mRESVIA</w:t>
      </w:r>
      <w:proofErr w:type="spellEnd"/>
      <w:r w:rsidRPr="00E55A7D">
        <w:rPr>
          <w:i/>
          <w:iCs/>
        </w:rPr>
        <w:t xml:space="preserve"> (respiratory syncytial virus F protein mRNA (nucleoside modified)) vaccine</w:t>
      </w:r>
      <w:r>
        <w:t xml:space="preserve">. Canberra: TGA; 7 March 2025. [Accessed on 30 June 2025.] Available from: </w:t>
      </w:r>
      <w:hyperlink r:id="rId70" w:history="1">
        <w:r>
          <w:rPr>
            <w:rStyle w:val="Hyperlink"/>
          </w:rPr>
          <w:t>https://www.tga.gov.au/sites/default/files/2025-04/auspar-mresva-250408-pi.pdf</w:t>
        </w:r>
      </w:hyperlink>
      <w:r>
        <w:t>.</w:t>
      </w:r>
    </w:p>
    <w:p w14:paraId="7E889D3D" w14:textId="77777777" w:rsidR="00E55A7D" w:rsidRDefault="00E55A7D" w:rsidP="00274A0E">
      <w:pPr>
        <w:pStyle w:val="CDINumberedList1L1"/>
        <w:spacing w:before="160"/>
        <w:ind w:left="397" w:hanging="397"/>
      </w:pPr>
      <w:r>
        <w:t xml:space="preserve">State Government of Western Australia Department of Health (WA Health). WA Respiratory Syncytial Virus (RSV) immunisation programs. [Webpage.] Perth: WA Health; 16 May 2025. Available from: </w:t>
      </w:r>
      <w:hyperlink r:id="rId71" w:history="1">
        <w:r>
          <w:rPr>
            <w:rStyle w:val="Hyperlink"/>
          </w:rPr>
          <w:t>https://www.health.wa.gov.au/articles/u_z/wa-respiratory-syncytial-virus-rsv-infant-and-maternal-immunisation-program</w:t>
        </w:r>
      </w:hyperlink>
      <w:r>
        <w:t>.</w:t>
      </w:r>
    </w:p>
    <w:p w14:paraId="5A053321" w14:textId="77777777" w:rsidR="00E55A7D" w:rsidRDefault="00E55A7D" w:rsidP="00274A0E">
      <w:pPr>
        <w:pStyle w:val="CDINumberedList1L1"/>
        <w:spacing w:before="160"/>
        <w:ind w:left="397" w:hanging="397"/>
      </w:pPr>
      <w:r>
        <w:t xml:space="preserve">New South Wales State Government Department of Health (NSW Health). NSW RSV Maternal and Infant Immunisation Program - Information for health professionals. [Webpage.] Sydney: NSW Health; 28 March 2025. Available from: </w:t>
      </w:r>
      <w:hyperlink r:id="rId72" w:history="1">
        <w:r>
          <w:rPr>
            <w:rStyle w:val="Hyperlink"/>
          </w:rPr>
          <w:t>https://www.health.nsw.gov.au/immunisation/Pages/respiratory-syncytial-virus.aspx</w:t>
        </w:r>
      </w:hyperlink>
      <w:r>
        <w:t>.</w:t>
      </w:r>
    </w:p>
    <w:p w14:paraId="14877080" w14:textId="77777777" w:rsidR="00E55A7D" w:rsidRDefault="00E55A7D" w:rsidP="00274A0E">
      <w:pPr>
        <w:pStyle w:val="CDINumberedList1L1"/>
        <w:spacing w:before="160"/>
        <w:ind w:left="397" w:hanging="397"/>
      </w:pPr>
      <w:r>
        <w:t xml:space="preserve">Queensland State Government Department of Health (Queensland Health). RSV immunisations. [Webpage.] Brisbane: Queensland Health; December 2024. Available from: </w:t>
      </w:r>
      <w:hyperlink r:id="rId73" w:history="1">
        <w:r>
          <w:rPr>
            <w:rStyle w:val="Hyperlink"/>
          </w:rPr>
          <w:t>https://www.vaccinate.initiatives.qld.gov.au/what-to-vaccinate-against/rsv-immunisation</w:t>
        </w:r>
      </w:hyperlink>
      <w:r>
        <w:t>.</w:t>
      </w:r>
    </w:p>
    <w:p w14:paraId="2AF3AD7A" w14:textId="77777777" w:rsidR="00E55A7D" w:rsidRDefault="00E55A7D" w:rsidP="00274A0E">
      <w:pPr>
        <w:pStyle w:val="CDINumberedList1L1"/>
        <w:spacing w:before="160"/>
        <w:ind w:left="397" w:hanging="397"/>
      </w:pPr>
      <w:r>
        <w:t xml:space="preserve">Australian Capital Territory Government Department of Health (ACT Health). Respiratory Syncytial Virus (RSV). [Webpage.] Canberra: ACT Health; 2025. Available from: </w:t>
      </w:r>
      <w:hyperlink r:id="rId74" w:history="1">
        <w:r>
          <w:rPr>
            <w:rStyle w:val="Hyperlink"/>
          </w:rPr>
          <w:t>https://www.act.gov.au/health/diseases-and-conditions/respiratory-syncytial-virus-rsv</w:t>
        </w:r>
      </w:hyperlink>
      <w:r>
        <w:t>.</w:t>
      </w:r>
    </w:p>
    <w:p w14:paraId="6152E607" w14:textId="6CAAA8EB" w:rsidR="00E55A7D" w:rsidRDefault="00E55A7D" w:rsidP="00274A0E">
      <w:pPr>
        <w:pStyle w:val="CDINumberedList1L1"/>
        <w:spacing w:before="160"/>
        <w:ind w:left="397" w:hanging="397"/>
      </w:pPr>
      <w:r>
        <w:t>Tasmanian State Gover</w:t>
      </w:r>
      <w:r w:rsidR="00274A0E">
        <w:t>n</w:t>
      </w:r>
      <w:r>
        <w:t xml:space="preserve">ment Department of Health (Tasmania Health). RSV maternal and infant protection program. [Webpage.] Hobart: Tasmania Health; 23 January 2025. Available from: </w:t>
      </w:r>
      <w:hyperlink r:id="rId75" w:history="1">
        <w:r>
          <w:rPr>
            <w:rStyle w:val="Hyperlink"/>
          </w:rPr>
          <w:t>https://www.health.tas.gov.au/health-topics/immunisation/rsv-maternal-and-infant-protection-program-2025</w:t>
        </w:r>
      </w:hyperlink>
      <w:r>
        <w:t>.</w:t>
      </w:r>
    </w:p>
    <w:p w14:paraId="444F8A09" w14:textId="77777777" w:rsidR="00E55A7D" w:rsidRDefault="00E55A7D" w:rsidP="00274A0E">
      <w:pPr>
        <w:pStyle w:val="CDINumberedList1L1"/>
        <w:spacing w:before="160"/>
        <w:ind w:left="397" w:hanging="397"/>
      </w:pPr>
      <w:r>
        <w:t xml:space="preserve">Australian Government Department of Health, Disability and Ageing; Pharmaceutical Benefits Scheme. Recommendations made by the PBAC – November 2024. [Webpage.] Canberra: Australian Government Department of Health, Disability and Ageing; 20 December 2024. Available from: </w:t>
      </w:r>
      <w:hyperlink r:id="rId76" w:history="1">
        <w:r>
          <w:rPr>
            <w:rStyle w:val="Hyperlink"/>
          </w:rPr>
          <w:t>https://www.pbs.gov.au/info/industry/listing/elements/pbac-meetings/pbac-outcomes/recommendations-made-by-the-pbac-november-2024</w:t>
        </w:r>
      </w:hyperlink>
      <w:r>
        <w:t>.</w:t>
      </w:r>
    </w:p>
    <w:p w14:paraId="3A6F5FE6" w14:textId="77777777" w:rsidR="00E55A7D" w:rsidRDefault="00E55A7D" w:rsidP="00274A0E">
      <w:pPr>
        <w:pStyle w:val="CDINumberedList1L1"/>
        <w:spacing w:before="160"/>
        <w:ind w:left="397" w:hanging="397"/>
      </w:pPr>
      <w:r>
        <w:t xml:space="preserve">Australian Government Department of Health, Disability and Ageing; Australian Technical Advisory Group on Immunisation (ATAGI). </w:t>
      </w:r>
      <w:r w:rsidRPr="00E55A7D">
        <w:rPr>
          <w:i/>
          <w:iCs/>
        </w:rPr>
        <w:t xml:space="preserve">ATAGI statement on the clinical use Of </w:t>
      </w:r>
      <w:proofErr w:type="spellStart"/>
      <w:r w:rsidRPr="00E55A7D">
        <w:rPr>
          <w:i/>
          <w:iCs/>
        </w:rPr>
        <w:t>Arexvy</w:t>
      </w:r>
      <w:proofErr w:type="spellEnd"/>
      <w:r w:rsidRPr="00E55A7D">
        <w:rPr>
          <w:i/>
          <w:iCs/>
        </w:rPr>
        <w:t xml:space="preserve"> (RSV PRE-F3) vaccine for RSV</w:t>
      </w:r>
      <w:r>
        <w:t xml:space="preserve">. Canberra: Australian Government Department of Health, Disability and Ageing; 30 April 2024. Available from: </w:t>
      </w:r>
      <w:hyperlink r:id="rId77" w:history="1">
        <w:r>
          <w:rPr>
            <w:rStyle w:val="Hyperlink"/>
          </w:rPr>
          <w:t>https://www.health.gov.au/resources/publications/atagi-statement-on-the-clinical-use-of-arexvy-rsv-pre-f3-vaccine-for-rsv</w:t>
        </w:r>
      </w:hyperlink>
      <w:r>
        <w:t>.</w:t>
      </w:r>
    </w:p>
    <w:p w14:paraId="5DBED238" w14:textId="475BCFAD" w:rsidR="00E55A7D" w:rsidRDefault="00E55A7D" w:rsidP="00274A0E">
      <w:pPr>
        <w:pStyle w:val="CDINumberedList1L1"/>
        <w:spacing w:before="160"/>
        <w:ind w:left="397" w:hanging="397"/>
      </w:pPr>
      <w:r>
        <w:t xml:space="preserve">Australian Government Department of Health, Disability and Ageing; ATAGI. </w:t>
      </w:r>
      <w:r w:rsidRPr="00E55A7D">
        <w:rPr>
          <w:i/>
          <w:iCs/>
        </w:rPr>
        <w:t>Statement on the use of nirsevimab for prevention of severe disease due to respiratory syncytial virus (RSV) in infants</w:t>
      </w:r>
      <w:r>
        <w:t>. Canberra: Australian Government Department of Health, Disability and Ageing; 26</w:t>
      </w:r>
      <w:r w:rsidR="00274A0E">
        <w:t> </w:t>
      </w:r>
      <w:r>
        <w:t xml:space="preserve">March 2024. [Accessed on 16 April 2024.] Available from: </w:t>
      </w:r>
      <w:hyperlink r:id="rId78" w:history="1">
        <w:r>
          <w:rPr>
            <w:rStyle w:val="Hyperlink"/>
          </w:rPr>
          <w:t>https://www.nitag-resource.org/sites/default/files/2024-04/atagi-statement-on-nirsevimab-2024.pdf</w:t>
        </w:r>
      </w:hyperlink>
      <w:r>
        <w:t>.</w:t>
      </w:r>
    </w:p>
    <w:p w14:paraId="7C939C1C" w14:textId="77777777" w:rsidR="00E55A7D" w:rsidRDefault="00E55A7D" w:rsidP="00274A0E">
      <w:pPr>
        <w:pStyle w:val="CDINumberedList1L1"/>
        <w:spacing w:before="160"/>
        <w:ind w:left="397" w:hanging="397"/>
      </w:pPr>
      <w:r>
        <w:t xml:space="preserve">Public Health Agency of Canada (PHAC) National Advisory Committee on Immunization (NACI). </w:t>
      </w:r>
      <w:r w:rsidRPr="00E55A7D">
        <w:rPr>
          <w:i/>
          <w:iCs/>
        </w:rPr>
        <w:t>Statement on the prevention of respiratory syncytial virus (RSV) disease in infants</w:t>
      </w:r>
      <w:r>
        <w:t>. Ottawa: Government of Canada, PHAC; May 17</w:t>
      </w:r>
      <w:proofErr w:type="gramStart"/>
      <w:r>
        <w:t xml:space="preserve"> 2024</w:t>
      </w:r>
      <w:proofErr w:type="gramEnd"/>
      <w:r>
        <w:t xml:space="preserve">. [Accessed on 21 May 2024.] Available from: </w:t>
      </w:r>
      <w:hyperlink r:id="rId79" w:history="1">
        <w:r>
          <w:rPr>
            <w:rStyle w:val="Hyperlink"/>
          </w:rPr>
          <w:t>https://www.canada.ca/content/dam/phac-aspc/documents/services/publications/vaccines-immunization/national-advisory-committee-immunization-statement-prevention-respiratory-syncytial-virus-disease-infants/naci-statement-2024-05-17.pdf</w:t>
        </w:r>
      </w:hyperlink>
      <w:r>
        <w:t>.</w:t>
      </w:r>
    </w:p>
    <w:p w14:paraId="45D8E258" w14:textId="77777777" w:rsidR="00E55A7D" w:rsidRDefault="00E55A7D" w:rsidP="00274A0E">
      <w:pPr>
        <w:pStyle w:val="CDINumberedList1L1"/>
        <w:spacing w:before="160"/>
        <w:ind w:left="397" w:hanging="397"/>
      </w:pPr>
      <w:r>
        <w:t xml:space="preserve">PHAC NACI. Statement on the prevention of respiratory syncytial virus disease in older adults. [Webpage.] Ottawa: Government of Canada, PHAC; 9 August 2024. Available from: </w:t>
      </w:r>
      <w:hyperlink r:id="rId80" w:history="1">
        <w:r>
          <w:rPr>
            <w:rStyle w:val="Hyperlink"/>
          </w:rPr>
          <w:t>https://www.canada.ca/en/public-health/services/publications/vaccines-immunization/national-advisory-committee-immunization-statement-prevention-rsv-disease-older-adults.html</w:t>
        </w:r>
      </w:hyperlink>
      <w:r>
        <w:t>.</w:t>
      </w:r>
    </w:p>
    <w:p w14:paraId="2C7033B2" w14:textId="77777777" w:rsidR="00E55A7D" w:rsidRDefault="00E55A7D" w:rsidP="00274A0E">
      <w:pPr>
        <w:pStyle w:val="CDINumberedList1L1"/>
        <w:spacing w:before="160"/>
        <w:ind w:left="397" w:hanging="397"/>
      </w:pPr>
      <w:r>
        <w:t xml:space="preserve">Government of the United Kingdom Health Security Agency (UK Health Security Agency). </w:t>
      </w:r>
      <w:r w:rsidRPr="00E55A7D">
        <w:rPr>
          <w:i/>
          <w:iCs/>
        </w:rPr>
        <w:t>Respiratory syncytial virus (RSV): The Green Book, chapter 27a</w:t>
      </w:r>
      <w:r>
        <w:t xml:space="preserve">. London: UK Health Security Agency; 30 September 2024. [Accessed on 7 January 2025.] Available from: </w:t>
      </w:r>
      <w:hyperlink r:id="rId81" w:history="1">
        <w:r>
          <w:rPr>
            <w:rStyle w:val="Hyperlink"/>
          </w:rPr>
          <w:t>https://assets.publishing.service.gov.uk/media/66fbe7693b919067bb482a1b/Green_Book_Chapter_27a_RSV_30_9_24.pdf</w:t>
        </w:r>
      </w:hyperlink>
      <w:r>
        <w:t>.</w:t>
      </w:r>
    </w:p>
    <w:p w14:paraId="677BF274" w14:textId="77777777" w:rsidR="00E55A7D" w:rsidRDefault="00E55A7D" w:rsidP="00274A0E">
      <w:pPr>
        <w:pStyle w:val="CDINumberedList1L1"/>
        <w:spacing w:before="160"/>
        <w:ind w:left="397" w:hanging="397"/>
      </w:pPr>
      <w:r>
        <w:t xml:space="preserve">Consejo Interterritorial del Sistema Nacional de Salud (CISNS). </w:t>
      </w:r>
      <w:proofErr w:type="spellStart"/>
      <w:r>
        <w:t>Recomendaciones</w:t>
      </w:r>
      <w:proofErr w:type="spellEnd"/>
      <w:r>
        <w:t xml:space="preserve"> de </w:t>
      </w:r>
      <w:proofErr w:type="spellStart"/>
      <w:r>
        <w:t>utilización</w:t>
      </w:r>
      <w:proofErr w:type="spellEnd"/>
      <w:r>
        <w:t xml:space="preserve"> de nirsevimab para la </w:t>
      </w:r>
      <w:proofErr w:type="spellStart"/>
      <w:r>
        <w:t>temporada</w:t>
      </w:r>
      <w:proofErr w:type="spellEnd"/>
      <w:r>
        <w:t xml:space="preserve"> 2024-2025 </w:t>
      </w:r>
      <w:proofErr w:type="spellStart"/>
      <w:r>
        <w:t>en</w:t>
      </w:r>
      <w:proofErr w:type="spellEnd"/>
      <w:r>
        <w:t xml:space="preserve"> España. [Webpage.]. Madrid: Government of Spain Ministry of Health and Social Policy, CISNS; 14 March 2024. Available from: </w:t>
      </w:r>
      <w:hyperlink r:id="rId82" w:history="1">
        <w:r>
          <w:rPr>
            <w:rStyle w:val="Hyperlink"/>
          </w:rPr>
          <w:t>https://www.sanidad.gob.es/areas/promocionPrevencion/vacunaciones/comoTrabajamos/docs/Nirsevimab.pdf</w:t>
        </w:r>
      </w:hyperlink>
      <w:r>
        <w:t>.</w:t>
      </w:r>
    </w:p>
    <w:p w14:paraId="19112E39" w14:textId="77777777" w:rsidR="00E55A7D" w:rsidRDefault="00E55A7D" w:rsidP="00274A0E">
      <w:pPr>
        <w:pStyle w:val="CDINumberedList1L1"/>
        <w:spacing w:before="160"/>
        <w:ind w:left="397" w:hanging="397"/>
      </w:pPr>
      <w:r>
        <w:t xml:space="preserve">Fleming-Dutra KE, Jones JM, Roper LE, Prill MM, Ortega-Sanchez IR, </w:t>
      </w:r>
      <w:proofErr w:type="spellStart"/>
      <w:r>
        <w:t>Moulia</w:t>
      </w:r>
      <w:proofErr w:type="spellEnd"/>
      <w:r>
        <w:t xml:space="preserve"> DL et al. Use of the Pfizer respiratory syncytial virus vaccine during pregnancy for the prevention of respiratory syncytial virus-associated lower respiratory tract disease in infants: recommendations of the Advisory Committee on Immunization Practices – United States, 2023. </w:t>
      </w:r>
      <w:r w:rsidRPr="00E55A7D">
        <w:rPr>
          <w:i/>
          <w:iCs/>
        </w:rPr>
        <w:t xml:space="preserve">MMWR </w:t>
      </w:r>
      <w:proofErr w:type="spellStart"/>
      <w:r w:rsidRPr="00E55A7D">
        <w:rPr>
          <w:i/>
          <w:iCs/>
        </w:rPr>
        <w:t>Morb</w:t>
      </w:r>
      <w:proofErr w:type="spellEnd"/>
      <w:r w:rsidRPr="00E55A7D">
        <w:rPr>
          <w:i/>
          <w:iCs/>
        </w:rPr>
        <w:t xml:space="preserve"> Mortal </w:t>
      </w:r>
      <w:proofErr w:type="spellStart"/>
      <w:r w:rsidRPr="00E55A7D">
        <w:rPr>
          <w:i/>
          <w:iCs/>
        </w:rPr>
        <w:t>Wkly</w:t>
      </w:r>
      <w:proofErr w:type="spellEnd"/>
      <w:r w:rsidRPr="00E55A7D">
        <w:rPr>
          <w:i/>
          <w:iCs/>
        </w:rPr>
        <w:t xml:space="preserve"> Rep</w:t>
      </w:r>
      <w:r>
        <w:t xml:space="preserve">. 2023;72(41):1115–22. doi: </w:t>
      </w:r>
      <w:hyperlink r:id="rId83" w:history="1">
        <w:r>
          <w:rPr>
            <w:rStyle w:val="Hyperlink"/>
          </w:rPr>
          <w:t>https://doi.org/10.15585/mmwr.mm7241e1</w:t>
        </w:r>
      </w:hyperlink>
      <w:r>
        <w:t>.</w:t>
      </w:r>
    </w:p>
    <w:p w14:paraId="432711A1" w14:textId="77777777" w:rsidR="00E55A7D" w:rsidRDefault="00E55A7D" w:rsidP="00274A0E">
      <w:pPr>
        <w:pStyle w:val="CDINumberedList1L1"/>
        <w:spacing w:before="160"/>
        <w:ind w:left="397" w:hanging="397"/>
      </w:pPr>
      <w:r>
        <w:t xml:space="preserve">Advisory Committee on Immunization Practices (ACIP). Grading of Recommendations, Assessment, Development, and Evaluation (GRADE): Pfizer Maternal RSV Vaccine. [Webpage.] Atlanta: United States Government Department of Health and Human Services, US CDC; 2023. Available from: </w:t>
      </w:r>
      <w:hyperlink r:id="rId84" w:anchor="table-1" w:history="1">
        <w:r>
          <w:rPr>
            <w:rStyle w:val="Hyperlink"/>
          </w:rPr>
          <w:t>https://www.cdc.gov/vaccines/acip/recs/grade/pfizer-RSVpreF-pregnant-people.html#table-1</w:t>
        </w:r>
      </w:hyperlink>
      <w:r>
        <w:t>.</w:t>
      </w:r>
    </w:p>
    <w:p w14:paraId="4CDC2DEC" w14:textId="77777777" w:rsidR="00E55A7D" w:rsidRDefault="00E55A7D" w:rsidP="00274A0E">
      <w:pPr>
        <w:pStyle w:val="CDINumberedList1L1"/>
        <w:spacing w:before="160"/>
        <w:ind w:left="397" w:hanging="397"/>
      </w:pPr>
      <w:r>
        <w:t xml:space="preserve">Son M, Riley LE, </w:t>
      </w:r>
      <w:proofErr w:type="spellStart"/>
      <w:r>
        <w:t>Staniczenko</w:t>
      </w:r>
      <w:proofErr w:type="spellEnd"/>
      <w:r>
        <w:t xml:space="preserve"> AP, Cron J, Yen S, Thomas C et al. Nonadjuvanted bivalent respiratory syncytial virus vaccination and perinatal outcomes. </w:t>
      </w:r>
      <w:r w:rsidRPr="00E55A7D">
        <w:rPr>
          <w:i/>
          <w:iCs/>
        </w:rPr>
        <w:t xml:space="preserve">JAMA </w:t>
      </w:r>
      <w:proofErr w:type="spellStart"/>
      <w:r w:rsidRPr="00E55A7D">
        <w:rPr>
          <w:i/>
          <w:iCs/>
        </w:rPr>
        <w:t>Netw</w:t>
      </w:r>
      <w:proofErr w:type="spellEnd"/>
      <w:r w:rsidRPr="00E55A7D">
        <w:rPr>
          <w:i/>
          <w:iCs/>
        </w:rPr>
        <w:t xml:space="preserve"> Open</w:t>
      </w:r>
      <w:r>
        <w:t>. 2024;7(7</w:t>
      </w:r>
      <w:proofErr w:type="gramStart"/>
      <w:r>
        <w:t>):e</w:t>
      </w:r>
      <w:proofErr w:type="gramEnd"/>
      <w:r>
        <w:t xml:space="preserve">2419268. doi: </w:t>
      </w:r>
      <w:hyperlink r:id="rId85" w:history="1">
        <w:r>
          <w:rPr>
            <w:rStyle w:val="Hyperlink"/>
          </w:rPr>
          <w:t>https://doi.org/10.1001/jamanetworkopen.2024.19268</w:t>
        </w:r>
      </w:hyperlink>
      <w:r>
        <w:t>.</w:t>
      </w:r>
    </w:p>
    <w:p w14:paraId="35DA87CF" w14:textId="77777777" w:rsidR="00E55A7D" w:rsidRDefault="00E55A7D" w:rsidP="00274A0E">
      <w:pPr>
        <w:pStyle w:val="CDINumberedList1L1"/>
        <w:spacing w:before="160"/>
        <w:ind w:left="397" w:hanging="397"/>
      </w:pPr>
      <w:r>
        <w:t xml:space="preserve">Government of the United Kingdom Department of Health and Social Care. Respiratory syncytial virus (RSV) immunisation programme for infants and older adults: JCVI full statement, 11 September 2023. [Webpage.] London: Government of the United Kingdom Department of Health and Social Care; 11 September 2023. Available from: </w:t>
      </w:r>
      <w:hyperlink r:id="rId86" w:history="1">
        <w:r>
          <w:rPr>
            <w:rStyle w:val="Hyperlink"/>
          </w:rPr>
          <w:t>https://www.gov.uk/government/publications/rsv-immunisation-programme-jcvi-advice-7-june-2023/respiratory-syncytial-virus-rsv-immunisation-programme-for-infants-and-older-adults-jcvi-full-statement-11-september-2023</w:t>
        </w:r>
      </w:hyperlink>
      <w:r>
        <w:t>.</w:t>
      </w:r>
    </w:p>
    <w:p w14:paraId="1B98D835" w14:textId="78AC5090" w:rsidR="00E55A7D" w:rsidRDefault="00E55A7D" w:rsidP="00274A0E">
      <w:pPr>
        <w:pStyle w:val="CDINumberedList1L1"/>
        <w:spacing w:before="160"/>
        <w:ind w:left="397" w:hanging="397"/>
      </w:pPr>
      <w:r>
        <w:t xml:space="preserve">Hodgson D, Wilkins N, van Leeuwen E, Watson CH, Crofts J, Flasche S et al. Protecting infants against RSV disease: an impact and cost-effectiveness comparison of long-acting monoclonal antibodies and maternal vaccination. </w:t>
      </w:r>
      <w:r w:rsidRPr="00E55A7D">
        <w:rPr>
          <w:i/>
          <w:iCs/>
        </w:rPr>
        <w:t>Lancet Reg Health Eur</w:t>
      </w:r>
      <w:r>
        <w:t xml:space="preserve">. </w:t>
      </w:r>
      <w:proofErr w:type="gramStart"/>
      <w:r>
        <w:t>2024;38:100829</w:t>
      </w:r>
      <w:proofErr w:type="gramEnd"/>
      <w:r>
        <w:t>. doi:</w:t>
      </w:r>
      <w:r w:rsidR="00274A0E">
        <w:t> </w:t>
      </w:r>
      <w:hyperlink r:id="rId87" w:history="1">
        <w:r>
          <w:rPr>
            <w:rStyle w:val="Hyperlink"/>
          </w:rPr>
          <w:t>https://doi.org/10.1016/j.lanepe.2023.100829</w:t>
        </w:r>
      </w:hyperlink>
      <w:r>
        <w:t>.</w:t>
      </w:r>
    </w:p>
    <w:p w14:paraId="51AB3215" w14:textId="77777777" w:rsidR="00E55A7D" w:rsidRDefault="00E55A7D" w:rsidP="00274A0E">
      <w:pPr>
        <w:pStyle w:val="CDINumberedList1L1"/>
        <w:spacing w:before="160"/>
        <w:ind w:left="397" w:hanging="397"/>
      </w:pPr>
      <w:r>
        <w:t xml:space="preserve">UK Health Security Agency. Introduction of new NHS vaccination programmes against respiratory syncytial virus (RSV). [Webpage.] London: UK Health Security Agency; 24 June 2024. Available from: </w:t>
      </w:r>
      <w:hyperlink r:id="rId88" w:history="1">
        <w:r>
          <w:rPr>
            <w:rStyle w:val="Hyperlink"/>
          </w:rPr>
          <w:t>https://www.gov.uk/government/publications/respiratory-syncytial-virus-rsv-vaccination-programmes-letter/introduction-of-new-nhs-vaccination-programmes-against-respiratory-syncytial-virus-rsv</w:t>
        </w:r>
      </w:hyperlink>
      <w:r>
        <w:t>.</w:t>
      </w:r>
    </w:p>
    <w:p w14:paraId="2FAD3EC0" w14:textId="77777777" w:rsidR="00E55A7D" w:rsidRDefault="00E55A7D" w:rsidP="00274A0E">
      <w:pPr>
        <w:pStyle w:val="CDINumberedList1L1"/>
        <w:spacing w:before="160"/>
        <w:ind w:left="397" w:hanging="397"/>
      </w:pPr>
      <w:r>
        <w:t xml:space="preserve">Government of Spain Ministry of Health and Social Policy. Vaccines and the vaccination program: respiratory syncytial virus. Current immunization recommendations agreed upon in the Interterritorial Council of the National Health System (CISNS) for the 2023-2024 season. [Webpage.] Madrid: Government of Spain Ministry of Health and Social Policy; 2024. Available from: </w:t>
      </w:r>
      <w:hyperlink r:id="rId89" w:history="1">
        <w:r>
          <w:rPr>
            <w:rStyle w:val="Hyperlink"/>
          </w:rPr>
          <w:t>https://www.sanidad.gob.es/areas/promocionPrevencion/vacunaciones/vacunas/ciudadanos/vrs.htm</w:t>
        </w:r>
      </w:hyperlink>
      <w:r>
        <w:t>.</w:t>
      </w:r>
    </w:p>
    <w:p w14:paraId="244D0D8A" w14:textId="77777777" w:rsidR="00E55A7D" w:rsidRDefault="00E55A7D" w:rsidP="00274A0E">
      <w:pPr>
        <w:pStyle w:val="CDINumberedList1L1"/>
        <w:spacing w:before="160"/>
        <w:ind w:left="397" w:hanging="397"/>
      </w:pPr>
      <w:r>
        <w:t xml:space="preserve">Melgar M, Britton A, Roper LE, Talbot HK, Long SS, Kotton CN et al. Use of respiratory syncytial virus vaccines in older adults: recommendations of the Advisory Committee on Immunization Practices – United States, 2023. </w:t>
      </w:r>
      <w:r w:rsidRPr="00E55A7D">
        <w:rPr>
          <w:i/>
          <w:iCs/>
        </w:rPr>
        <w:t xml:space="preserve">MMWR </w:t>
      </w:r>
      <w:proofErr w:type="spellStart"/>
      <w:r w:rsidRPr="00E55A7D">
        <w:rPr>
          <w:i/>
          <w:iCs/>
        </w:rPr>
        <w:t>Morb</w:t>
      </w:r>
      <w:proofErr w:type="spellEnd"/>
      <w:r w:rsidRPr="00E55A7D">
        <w:rPr>
          <w:i/>
          <w:iCs/>
        </w:rPr>
        <w:t xml:space="preserve"> Mortal </w:t>
      </w:r>
      <w:proofErr w:type="spellStart"/>
      <w:r w:rsidRPr="00E55A7D">
        <w:rPr>
          <w:i/>
          <w:iCs/>
        </w:rPr>
        <w:t>Wkly</w:t>
      </w:r>
      <w:proofErr w:type="spellEnd"/>
      <w:r w:rsidRPr="00E55A7D">
        <w:rPr>
          <w:i/>
          <w:iCs/>
        </w:rPr>
        <w:t xml:space="preserve"> Rep</w:t>
      </w:r>
      <w:r>
        <w:t xml:space="preserve">. 2023;72(29):793–801. doi: </w:t>
      </w:r>
      <w:hyperlink r:id="rId90" w:history="1">
        <w:r>
          <w:rPr>
            <w:rStyle w:val="Hyperlink"/>
          </w:rPr>
          <w:t>https://doi.org/10.15585/mmwr.mm7229a4</w:t>
        </w:r>
      </w:hyperlink>
      <w:r>
        <w:t>.</w:t>
      </w:r>
    </w:p>
    <w:p w14:paraId="3B0D2D0B" w14:textId="77777777" w:rsidR="00E55A7D" w:rsidRDefault="00E55A7D" w:rsidP="00274A0E">
      <w:pPr>
        <w:pStyle w:val="CDINumberedList1L1"/>
        <w:spacing w:before="160"/>
        <w:ind w:left="397" w:hanging="397"/>
      </w:pPr>
      <w:r>
        <w:t xml:space="preserve">Britton A, Roper LE, Kotton CN, Hutton DW, Fleming-Dutra KE, Godfrey M et al. Use of respiratory syncytial virus vaccines in adults aged ≥ 60 years: updated recommendations of the Advisory Committee on Immunization Practices – United States, 2024. </w:t>
      </w:r>
      <w:r w:rsidRPr="00E55A7D">
        <w:rPr>
          <w:i/>
          <w:iCs/>
        </w:rPr>
        <w:t xml:space="preserve">MMWR </w:t>
      </w:r>
      <w:proofErr w:type="spellStart"/>
      <w:r w:rsidRPr="00E55A7D">
        <w:rPr>
          <w:i/>
          <w:iCs/>
        </w:rPr>
        <w:t>Morb</w:t>
      </w:r>
      <w:proofErr w:type="spellEnd"/>
      <w:r w:rsidRPr="00E55A7D">
        <w:rPr>
          <w:i/>
          <w:iCs/>
        </w:rPr>
        <w:t xml:space="preserve"> Mortal </w:t>
      </w:r>
      <w:proofErr w:type="spellStart"/>
      <w:r w:rsidRPr="00E55A7D">
        <w:rPr>
          <w:i/>
          <w:iCs/>
        </w:rPr>
        <w:t>Wkly</w:t>
      </w:r>
      <w:proofErr w:type="spellEnd"/>
      <w:r w:rsidRPr="00E55A7D">
        <w:rPr>
          <w:i/>
          <w:iCs/>
        </w:rPr>
        <w:t xml:space="preserve"> Rep</w:t>
      </w:r>
      <w:r>
        <w:t xml:space="preserve">. 2024;73(32):696–702. doi: </w:t>
      </w:r>
      <w:hyperlink r:id="rId91" w:history="1">
        <w:r>
          <w:rPr>
            <w:rStyle w:val="Hyperlink"/>
          </w:rPr>
          <w:t>https://doi.org/10.15585/mmwr.mm7332e1</w:t>
        </w:r>
      </w:hyperlink>
      <w:r>
        <w:t>.</w:t>
      </w:r>
    </w:p>
    <w:p w14:paraId="0385C489" w14:textId="77777777" w:rsidR="00E55A7D" w:rsidRDefault="00E55A7D" w:rsidP="00274A0E">
      <w:pPr>
        <w:pStyle w:val="CDINumberedList1L1"/>
        <w:spacing w:before="160"/>
        <w:ind w:left="397" w:hanging="397"/>
      </w:pPr>
      <w:r>
        <w:t xml:space="preserve">UK Health Security Agency. Guidance: RSV vaccination of older adults: information for healthcare practitioners. [Webpage.] London: UK Health Security Agency; 25 February 2025. Available from: </w:t>
      </w:r>
      <w:hyperlink r:id="rId92" w:history="1">
        <w:r>
          <w:rPr>
            <w:rStyle w:val="Hyperlink"/>
          </w:rPr>
          <w:t>https://www.gov.uk/government/publications/respiratory-syncytial-virus-rsv-programme-information-for-healthcare-professionals/rsv-vaccination-of-older-adults-information-for-healthcare-practioners</w:t>
        </w:r>
      </w:hyperlink>
      <w:r>
        <w:t>.</w:t>
      </w:r>
    </w:p>
    <w:p w14:paraId="3DD15E76" w14:textId="40817C6D" w:rsidR="00E55A7D" w:rsidRDefault="00E55A7D" w:rsidP="00274A0E">
      <w:pPr>
        <w:pStyle w:val="CDINumberedList1L1"/>
        <w:spacing w:before="160"/>
        <w:ind w:left="397" w:hanging="397"/>
      </w:pPr>
      <w:r>
        <w:t>Australian Centre for Disease Control (Australian CDC). Australian National Surveillance Plan for COVID-19, Influenza, and RSV. Canberra: Australian CDC; 17 April 2024. [Accessed on 4</w:t>
      </w:r>
      <w:r w:rsidR="00274A0E">
        <w:t> </w:t>
      </w:r>
      <w:r>
        <w:t xml:space="preserve">June 2024.] Available from: </w:t>
      </w:r>
      <w:hyperlink r:id="rId93" w:history="1">
        <w:r>
          <w:rPr>
            <w:rStyle w:val="Hyperlink"/>
          </w:rPr>
          <w:t>https://www.cdc.gov.au/resources/publications/national-surveillance-plan-covid-19-influenza-rsv</w:t>
        </w:r>
      </w:hyperlink>
      <w:r>
        <w:t>.</w:t>
      </w:r>
    </w:p>
    <w:p w14:paraId="2421B288" w14:textId="77777777" w:rsidR="00E55A7D" w:rsidRDefault="00E55A7D" w:rsidP="00274A0E">
      <w:pPr>
        <w:pStyle w:val="CDINumberedList1L1"/>
        <w:spacing w:before="160"/>
        <w:ind w:left="397" w:hanging="397"/>
      </w:pPr>
      <w:r>
        <w:t xml:space="preserve">McRae JE, McHugh L, King C, Beard FH, Blyth CC, </w:t>
      </w:r>
      <w:proofErr w:type="spellStart"/>
      <w:r>
        <w:t>Danchin</w:t>
      </w:r>
      <w:proofErr w:type="spellEnd"/>
      <w:r>
        <w:t xml:space="preserve"> MH et al. Influenza and pertussis vaccine coverage in pregnancy in Australia, 2016–2021. </w:t>
      </w:r>
      <w:r w:rsidRPr="00E55A7D">
        <w:rPr>
          <w:i/>
          <w:iCs/>
        </w:rPr>
        <w:t>Med J Aust</w:t>
      </w:r>
      <w:r>
        <w:t xml:space="preserve">. 2023;218(11):528–41. doi: </w:t>
      </w:r>
      <w:hyperlink r:id="rId94" w:history="1">
        <w:r>
          <w:rPr>
            <w:rStyle w:val="Hyperlink"/>
          </w:rPr>
          <w:t>https://doi.org/10.5694/mja2.51989</w:t>
        </w:r>
      </w:hyperlink>
      <w:r>
        <w:t>.</w:t>
      </w:r>
    </w:p>
    <w:p w14:paraId="3BCAC0D5" w14:textId="77777777" w:rsidR="00E55A7D" w:rsidRDefault="00E55A7D" w:rsidP="00274A0E">
      <w:pPr>
        <w:pStyle w:val="CDINumberedList1L1"/>
        <w:spacing w:before="160"/>
        <w:ind w:left="397" w:hanging="397"/>
      </w:pPr>
      <w:r>
        <w:t xml:space="preserve">Australian Government Department of Health, Disability and Ageing. Mandatory reporting changes to the Australian Immunisation Register (AIR) from 1 March 2024. [Media release.] Canberra: Australian Government Department of Health, Disability and Ageing; 28 February 2024. Available from: </w:t>
      </w:r>
      <w:hyperlink r:id="rId95" w:history="1">
        <w:r>
          <w:rPr>
            <w:rStyle w:val="Hyperlink"/>
          </w:rPr>
          <w:t>https://www.health.gov.au/news/mandatory-reporting-changes-to-the-australian-immunisation-register-from-1-March-2024</w:t>
        </w:r>
      </w:hyperlink>
      <w:r>
        <w:t>.</w:t>
      </w:r>
    </w:p>
    <w:p w14:paraId="1DACD408" w14:textId="4E1CF5C4" w:rsidR="004973B4" w:rsidRPr="0058264F" w:rsidRDefault="00E55A7D" w:rsidP="00274A0E">
      <w:pPr>
        <w:pStyle w:val="CDINumberedList1L1"/>
        <w:spacing w:before="160"/>
        <w:ind w:left="397" w:hanging="397"/>
      </w:pPr>
      <w:r>
        <w:t>National Centre for Immunisation Research and Surveillance (NCIRS). AIR Update – 17</w:t>
      </w:r>
      <w:r w:rsidR="00274A0E">
        <w:t> </w:t>
      </w:r>
      <w:r>
        <w:t>December 2024. [Webpage.] Sydney: Sydney Children’s Hospital Network, NCIRS; 17</w:t>
      </w:r>
      <w:r w:rsidR="00274A0E">
        <w:t> </w:t>
      </w:r>
      <w:r>
        <w:t xml:space="preserve">December 2024. Available from: </w:t>
      </w:r>
      <w:hyperlink r:id="rId96" w:history="1">
        <w:r>
          <w:rPr>
            <w:rStyle w:val="Hyperlink"/>
          </w:rPr>
          <w:t>https://ncirs.org.au/using-australian-immunisation-register-air/air-update-17-december-2024</w:t>
        </w:r>
      </w:hyperlink>
      <w:r>
        <w:t>.</w:t>
      </w:r>
    </w:p>
    <w:sectPr w:rsidR="004973B4" w:rsidRPr="0058264F" w:rsidSect="001E3ECB">
      <w:footnotePr>
        <w:numFmt w:val="lowerRoman"/>
      </w:footnotePr>
      <w:pgSz w:w="11907" w:h="16840"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16EB1" w14:textId="77777777" w:rsidR="00B23EE2" w:rsidRDefault="00B23EE2" w:rsidP="00E54DBA">
      <w:r>
        <w:separator/>
      </w:r>
    </w:p>
    <w:p w14:paraId="79203060" w14:textId="77777777" w:rsidR="00B23EE2" w:rsidRDefault="00B23EE2"/>
    <w:p w14:paraId="62ECC16E" w14:textId="77777777" w:rsidR="00B23EE2" w:rsidRDefault="00B23EE2" w:rsidP="008714B0"/>
  </w:endnote>
  <w:endnote w:type="continuationSeparator" w:id="0">
    <w:p w14:paraId="47C31243" w14:textId="77777777" w:rsidR="00B23EE2" w:rsidRDefault="00B23EE2" w:rsidP="00E54DBA">
      <w:r>
        <w:continuationSeparator/>
      </w:r>
    </w:p>
    <w:p w14:paraId="21A06830" w14:textId="77777777" w:rsidR="00B23EE2" w:rsidRDefault="00B23EE2"/>
    <w:p w14:paraId="21C9B6BB" w14:textId="77777777" w:rsidR="00B23EE2" w:rsidRDefault="00B23EE2"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rope ExtraLight">
    <w:altName w:val="Calibri"/>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E2B37" w14:textId="77777777" w:rsidR="00B87589" w:rsidRDefault="00271616">
    <w:r>
      <w:rPr>
        <w:noProof/>
        <w14:ligatures w14:val="none"/>
      </w:rPr>
      <mc:AlternateContent>
        <mc:Choice Requires="wps">
          <w:drawing>
            <wp:anchor distT="0" distB="0" distL="0" distR="0" simplePos="0" relativeHeight="251667456" behindDoc="0" locked="0" layoutInCell="1" allowOverlap="1" wp14:anchorId="77D0CF78" wp14:editId="6DA7AAE2">
              <wp:simplePos x="635" y="635"/>
              <wp:positionH relativeFrom="page">
                <wp:align>center</wp:align>
              </wp:positionH>
              <wp:positionV relativeFrom="page">
                <wp:align>bottom</wp:align>
              </wp:positionV>
              <wp:extent cx="551815" cy="518795"/>
              <wp:effectExtent l="0" t="0" r="635" b="0"/>
              <wp:wrapNone/>
              <wp:docPr id="18445740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78929DB"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D0CF78" id="_x0000_t202" coordsize="21600,21600" o:spt="202" path="m,l,21600r21600,l21600,xe">
              <v:stroke joinstyle="miter"/>
              <v:path gradientshapeok="t" o:connecttype="rect"/>
            </v:shapetype>
            <v:shape id="Text Box 5" o:spid="_x0000_s1027" type="#_x0000_t202" alt="OFFICIAL" style="position:absolute;margin-left:0;margin-top:0;width:43.45pt;height:40.8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" filled="f" stroked="f">
              <v:textbox style="mso-fit-shape-to-text:t" inset="0,0,0,15pt">
                <w:txbxContent>
                  <w:p w14:paraId="478929DB"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14C15" w14:textId="76E3610F" w:rsidR="00AB3C13" w:rsidRPr="00800288" w:rsidRDefault="00AB3C13" w:rsidP="00800288">
    <w:pPr>
      <w:pStyle w:val="CDIFooter"/>
    </w:pPr>
    <w:hyperlink r:id="rId1" w:history="1"/>
    <w:r w:rsidR="00385655" w:rsidRPr="00385655">
      <w:rPr>
        <w:rStyle w:val="CDIFooteritalicChar"/>
      </w:rPr>
      <w:t>Commun Dis Intell (2018)</w:t>
    </w:r>
    <w:r w:rsidR="00385655" w:rsidRPr="001D0612">
      <w:t xml:space="preserve">  </w:t>
    </w:r>
    <w:fldSimple w:instr=" DOCPROPERTY  Year  \* MERGEFORMAT ">
      <w:r w:rsidR="00BA61E3">
        <w:t>2026</w:t>
      </w:r>
    </w:fldSimple>
    <w:r w:rsidR="009B78A9">
      <w:t>;</w:t>
    </w:r>
    <w:fldSimple w:instr=" DOCPROPERTY  Vol  \* MERGEFORMAT ">
      <w:r w:rsidR="00BA61E3">
        <w:t>50</w:t>
      </w:r>
    </w:fldSimple>
    <w:r w:rsidR="00385655" w:rsidRPr="001D0612">
      <w:t xml:space="preserve"> </w:t>
    </w:r>
    <w:r w:rsidR="00385655" w:rsidRPr="00B85B74">
      <w:t>•</w:t>
    </w:r>
    <w:r w:rsidR="00385655">
      <w:t xml:space="preserve"> </w:t>
    </w:r>
    <w:fldSimple w:instr=" DOCPROPERTY  DOI  \* MERGEFORMAT ">
      <w:r w:rsidR="00BA61E3">
        <w:t>doi.org/10.33321/cdi.2026.50.034</w:t>
      </w:r>
    </w:fldSimple>
    <w:r w:rsidR="00343991" w:rsidRPr="00800288">
      <w:t xml:space="preserve"> </w:t>
    </w:r>
    <w:r w:rsidR="00343991" w:rsidRPr="00800288">
      <w:rPr>
        <w:rStyle w:val="CDICopyrighttextbullet"/>
        <w:rFonts w:cstheme="minorBidi"/>
        <w:color w:val="auto"/>
      </w:rPr>
      <w:t>•</w:t>
    </w:r>
    <w:r w:rsidR="00343991" w:rsidRPr="00800288">
      <w:t xml:space="preserve"> Epub</w:t>
    </w:r>
    <w:r w:rsidR="00C735E0">
      <w:t xml:space="preserve"> date:</w:t>
    </w:r>
    <w:r w:rsidR="00343991" w:rsidRPr="00800288">
      <w:t xml:space="preserve"> </w:t>
    </w:r>
    <w:fldSimple w:instr=" DOCPROPERTY  ePubDate  \* MERGEFORMAT ">
      <w:r w:rsidR="00BA61E3">
        <w:t>26.05.2026</w:t>
      </w:r>
    </w:fldSimple>
    <w:r w:rsidR="00040B99" w:rsidRPr="00800288">
      <w:ptab w:relativeTo="margin" w:alignment="right" w:leader="none"/>
    </w:r>
    <w:r w:rsidR="00343991" w:rsidRPr="00800288">
      <w:fldChar w:fldCharType="begin"/>
    </w:r>
    <w:r w:rsidR="00343991" w:rsidRPr="00800288">
      <w:instrText xml:space="preserve"> PAGE   \* MERGEFORMAT </w:instrText>
    </w:r>
    <w:r w:rsidR="00343991" w:rsidRPr="00800288">
      <w:fldChar w:fldCharType="separate"/>
    </w:r>
    <w:r w:rsidR="00343991" w:rsidRPr="00800288">
      <w:t>3</w:t>
    </w:r>
    <w:r w:rsidR="00343991" w:rsidRPr="00800288">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EBF4E" w14:textId="77777777" w:rsidR="00B87589" w:rsidRDefault="00271616">
    <w:r>
      <w:rPr>
        <w:noProof/>
        <w14:ligatures w14:val="none"/>
      </w:rPr>
      <mc:AlternateContent>
        <mc:Choice Requires="wps">
          <w:drawing>
            <wp:anchor distT="0" distB="0" distL="0" distR="0" simplePos="0" relativeHeight="251666432" behindDoc="0" locked="0" layoutInCell="1" allowOverlap="1" wp14:anchorId="59D007ED" wp14:editId="5067EAE1">
              <wp:simplePos x="635" y="635"/>
              <wp:positionH relativeFrom="page">
                <wp:align>center</wp:align>
              </wp:positionH>
              <wp:positionV relativeFrom="page">
                <wp:align>bottom</wp:align>
              </wp:positionV>
              <wp:extent cx="551815" cy="518795"/>
              <wp:effectExtent l="0" t="0" r="635" b="0"/>
              <wp:wrapNone/>
              <wp:docPr id="94273972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261CE4B"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007ED" id="_x0000_t202" coordsize="21600,21600" o:spt="202" path="m,l,21600r21600,l21600,xe">
              <v:stroke joinstyle="miter"/>
              <v:path gradientshapeok="t" o:connecttype="rect"/>
            </v:shapetype>
            <v:shape id="Text Box 4" o:spid="_x0000_s1029" type="#_x0000_t202" alt="OFFICIAL" style="position:absolute;margin-left:0;margin-top:0;width:43.45pt;height:40.8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" filled="f" stroked="f">
              <v:textbox style="mso-fit-shape-to-text:t" inset="0,0,0,15pt">
                <w:txbxContent>
                  <w:p w14:paraId="5261CE4B"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37BA" w14:textId="77777777" w:rsidR="00B23EE2" w:rsidRPr="00B91FB5" w:rsidRDefault="00B23EE2" w:rsidP="00B91FB5">
      <w:pPr>
        <w:spacing w:line="240" w:lineRule="auto"/>
        <w:rPr>
          <w:sz w:val="18"/>
          <w:szCs w:val="18"/>
        </w:rPr>
      </w:pPr>
      <w:r w:rsidRPr="00B91FB5">
        <w:rPr>
          <w:sz w:val="18"/>
          <w:szCs w:val="18"/>
        </w:rPr>
        <w:separator/>
      </w:r>
    </w:p>
  </w:footnote>
  <w:footnote w:type="continuationSeparator" w:id="0">
    <w:p w14:paraId="40BAEC88" w14:textId="77777777" w:rsidR="00B23EE2" w:rsidRDefault="00B23EE2" w:rsidP="00E54DBA">
      <w:r>
        <w:continuationSeparator/>
      </w:r>
    </w:p>
  </w:footnote>
  <w:footnote w:type="continuationNotice" w:id="1">
    <w:p w14:paraId="4A858D98" w14:textId="77777777" w:rsidR="00B23EE2" w:rsidRPr="00224EFF" w:rsidRDefault="00B23EE2" w:rsidP="00224E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0862" w14:textId="77777777" w:rsidR="00B87589" w:rsidRDefault="00271616">
    <w:pPr>
      <w:pStyle w:val="Header"/>
    </w:pPr>
    <w:r>
      <w:rPr>
        <w:noProof/>
        <w14:ligatures w14:val="none"/>
      </w:rPr>
      <mc:AlternateContent>
        <mc:Choice Requires="wps">
          <w:drawing>
            <wp:anchor distT="0" distB="0" distL="0" distR="0" simplePos="0" relativeHeight="251664384" behindDoc="0" locked="0" layoutInCell="1" allowOverlap="1" wp14:anchorId="17D8A147" wp14:editId="3BD03A82">
              <wp:simplePos x="635" y="635"/>
              <wp:positionH relativeFrom="page">
                <wp:align>center</wp:align>
              </wp:positionH>
              <wp:positionV relativeFrom="page">
                <wp:align>top</wp:align>
              </wp:positionV>
              <wp:extent cx="551815" cy="518795"/>
              <wp:effectExtent l="0" t="0" r="635" b="14605"/>
              <wp:wrapNone/>
              <wp:docPr id="46544460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5F3E7C9C"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D8A147" id="_x0000_t202" coordsize="21600,21600" o:spt="202" path="m,l,21600r21600,l21600,xe">
              <v:stroke joinstyle="miter"/>
              <v:path gradientshapeok="t" o:connecttype="rect"/>
            </v:shapetype>
            <v:shape id="Text Box 2" o:spid="_x0000_s1026" type="#_x0000_t202" alt="OFFICIAL" style="position:absolute;margin-left:0;margin-top:0;width:43.45pt;height:40.8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" filled="f" stroked="f">
              <v:textbox style="mso-fit-shape-to-text:t" inset="0,15pt,0,0">
                <w:txbxContent>
                  <w:p w14:paraId="5F3E7C9C"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CB74" w14:textId="77777777" w:rsidR="00B87589" w:rsidRDefault="00271616">
    <w:pPr>
      <w:pStyle w:val="Header"/>
    </w:pPr>
    <w:r>
      <w:rPr>
        <w:noProof/>
        <w14:ligatures w14:val="none"/>
      </w:rPr>
      <mc:AlternateContent>
        <mc:Choice Requires="wps">
          <w:drawing>
            <wp:anchor distT="0" distB="0" distL="0" distR="0" simplePos="0" relativeHeight="251663360" behindDoc="0" locked="0" layoutInCell="1" allowOverlap="1" wp14:anchorId="7389ABCF" wp14:editId="731460BD">
              <wp:simplePos x="635" y="635"/>
              <wp:positionH relativeFrom="page">
                <wp:align>center</wp:align>
              </wp:positionH>
              <wp:positionV relativeFrom="page">
                <wp:align>top</wp:align>
              </wp:positionV>
              <wp:extent cx="551815" cy="518795"/>
              <wp:effectExtent l="0" t="0" r="635" b="14605"/>
              <wp:wrapNone/>
              <wp:docPr id="169664966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518795"/>
                      </a:xfrm>
                      <a:prstGeom prst="rect">
                        <a:avLst/>
                      </a:prstGeom>
                      <a:noFill/>
                      <a:ln>
                        <a:noFill/>
                      </a:ln>
                    </wps:spPr>
                    <wps:txbx>
                      <w:txbxContent>
                        <w:p w14:paraId="447088BB"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9ABCF" id="_x0000_t202" coordsize="21600,21600" o:spt="202" path="m,l,21600r21600,l21600,xe">
              <v:stroke joinstyle="miter"/>
              <v:path gradientshapeok="t" o:connecttype="rect"/>
            </v:shapetype>
            <v:shape id="Text Box 1" o:spid="_x0000_s1028" type="#_x0000_t202" alt="OFFICIAL" style="position:absolute;margin-left:0;margin-top:0;width:43.45pt;height:40.8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" filled="f" stroked="f">
              <v:textbox style="mso-fit-shape-to-text:t" inset="0,15pt,0,0">
                <w:txbxContent>
                  <w:p w14:paraId="447088BB" w14:textId="77777777" w:rsidR="00271616" w:rsidRPr="00271616" w:rsidRDefault="00271616" w:rsidP="00271616">
                    <w:pPr>
                      <w:rPr>
                        <w:rFonts w:ascii="Calibri" w:eastAsia="Calibri" w:hAnsi="Calibri" w:cs="Calibri"/>
                        <w:noProof/>
                        <w:color w:val="FF0000"/>
                        <w:sz w:val="24"/>
                        <w:szCs w:val="24"/>
                      </w:rPr>
                    </w:pPr>
                    <w:r w:rsidRPr="00271616">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5F1EF6"/>
    <w:multiLevelType w:val="hybridMultilevel"/>
    <w:tmpl w:val="8918FC9A"/>
    <w:lvl w:ilvl="0" w:tplc="B0D0A176">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9CB7B26"/>
    <w:multiLevelType w:val="hybridMultilevel"/>
    <w:tmpl w:val="5C0EEDE2"/>
    <w:lvl w:ilvl="0" w:tplc="8318AE78">
      <w:start w:val="1"/>
      <w:numFmt w:val="bullet"/>
      <w:pStyle w:val="CDIBullets"/>
      <w:lvlText w:val=""/>
      <w:lvlJc w:val="left"/>
      <w:pPr>
        <w:ind w:left="717"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A15146"/>
    <w:multiLevelType w:val="multilevel"/>
    <w:tmpl w:val="65E20FA4"/>
    <w:styleLink w:val="CDInavybullet"/>
    <w:lvl w:ilvl="0">
      <w:start w:val="1"/>
      <w:numFmt w:val="bullet"/>
      <w:lvlText w:val=""/>
      <w:lvlJc w:val="left"/>
      <w:pPr>
        <w:ind w:left="720" w:hanging="360"/>
      </w:pPr>
      <w:rPr>
        <w:rFonts w:ascii="Symbol" w:hAnsi="Symbol" w:hint="default"/>
        <w:color w:val="083E9C"/>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E56707"/>
    <w:multiLevelType w:val="hybridMultilevel"/>
    <w:tmpl w:val="CB20149E"/>
    <w:lvl w:ilvl="0" w:tplc="AF84EEEE">
      <w:start w:val="1"/>
      <w:numFmt w:val="bullet"/>
      <w:pStyle w:val="CDICopyright-lessspac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E560A59"/>
    <w:multiLevelType w:val="multilevel"/>
    <w:tmpl w:val="39B67F0C"/>
    <w:lvl w:ilvl="0">
      <w:start w:val="1"/>
      <w:numFmt w:val="bullet"/>
      <w:pStyle w:val="CDICopyrightBullets"/>
      <w:lvlText w:val=""/>
      <w:lvlJc w:val="left"/>
      <w:pPr>
        <w:ind w:left="717" w:hanging="360"/>
      </w:pPr>
      <w:rPr>
        <w:rFonts w:ascii="Symbol" w:hAnsi="Symbol" w:hint="default"/>
        <w:color w:val="auto"/>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608516B"/>
    <w:multiLevelType w:val="hybridMultilevel"/>
    <w:tmpl w:val="40B0EB26"/>
    <w:lvl w:ilvl="0" w:tplc="91CE0806">
      <w:start w:val="1"/>
      <w:numFmt w:val="bullet"/>
      <w:pStyle w:val="CDIBoxBullet"/>
      <w:lvlText w:val=""/>
      <w:lvlJc w:val="left"/>
      <w:pPr>
        <w:ind w:left="360" w:hanging="360"/>
      </w:pPr>
      <w:rPr>
        <w:rFonts w:ascii="Symbol" w:hAnsi="Symbol" w:hint="default"/>
        <w:color w:val="1E4496"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A90445D"/>
    <w:multiLevelType w:val="hybridMultilevel"/>
    <w:tmpl w:val="5ED80582"/>
    <w:lvl w:ilvl="0" w:tplc="67BC335E">
      <w:start w:val="1"/>
      <w:numFmt w:val="bullet"/>
      <w:pStyle w:val="CDIBulletsL2"/>
      <w:lvlText w:val=""/>
      <w:lvlJc w:val="left"/>
      <w:pPr>
        <w:ind w:left="1074" w:hanging="360"/>
      </w:pPr>
      <w:rPr>
        <w:rFonts w:ascii="Symbol" w:hAnsi="Symbol" w:hint="default"/>
        <w:color w:val="auto"/>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num w:numId="1" w16cid:durableId="479153694">
    <w:abstractNumId w:val="1"/>
  </w:num>
  <w:num w:numId="2" w16cid:durableId="283313819">
    <w:abstractNumId w:val="2"/>
  </w:num>
  <w:num w:numId="3" w16cid:durableId="528883462">
    <w:abstractNumId w:val="0"/>
  </w:num>
  <w:num w:numId="4" w16cid:durableId="1956327888">
    <w:abstractNumId w:val="1"/>
    <w:lvlOverride w:ilvl="0">
      <w:startOverride w:val="1"/>
    </w:lvlOverride>
  </w:num>
  <w:num w:numId="5" w16cid:durableId="1590312649">
    <w:abstractNumId w:val="6"/>
  </w:num>
  <w:num w:numId="6" w16cid:durableId="1497988032">
    <w:abstractNumId w:val="4"/>
  </w:num>
  <w:num w:numId="7" w16cid:durableId="682168431">
    <w:abstractNumId w:val="3"/>
  </w:num>
  <w:num w:numId="8" w16cid:durableId="972060625">
    <w:abstractNumId w:val="5"/>
  </w:num>
  <w:num w:numId="9" w16cid:durableId="786123373">
    <w:abstractNumId w:val="7"/>
  </w:num>
  <w:num w:numId="10" w16cid:durableId="1329939444">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savePreviewPicture/>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E3"/>
    <w:rsid w:val="00000B5B"/>
    <w:rsid w:val="00001611"/>
    <w:rsid w:val="00002B8D"/>
    <w:rsid w:val="000073ED"/>
    <w:rsid w:val="0001020A"/>
    <w:rsid w:val="000104A8"/>
    <w:rsid w:val="0001246E"/>
    <w:rsid w:val="000124B1"/>
    <w:rsid w:val="00013B65"/>
    <w:rsid w:val="000147ED"/>
    <w:rsid w:val="00014B0F"/>
    <w:rsid w:val="00015416"/>
    <w:rsid w:val="0001562E"/>
    <w:rsid w:val="00016FE6"/>
    <w:rsid w:val="0002314E"/>
    <w:rsid w:val="0002642D"/>
    <w:rsid w:val="000264AB"/>
    <w:rsid w:val="00026D55"/>
    <w:rsid w:val="000306B9"/>
    <w:rsid w:val="00031064"/>
    <w:rsid w:val="00031692"/>
    <w:rsid w:val="00032531"/>
    <w:rsid w:val="000325A0"/>
    <w:rsid w:val="00032BCB"/>
    <w:rsid w:val="00034DCB"/>
    <w:rsid w:val="00040B99"/>
    <w:rsid w:val="000420DA"/>
    <w:rsid w:val="00043B80"/>
    <w:rsid w:val="00045035"/>
    <w:rsid w:val="000471BF"/>
    <w:rsid w:val="00047B68"/>
    <w:rsid w:val="000522C6"/>
    <w:rsid w:val="00052600"/>
    <w:rsid w:val="0005643C"/>
    <w:rsid w:val="0006264A"/>
    <w:rsid w:val="00065A6B"/>
    <w:rsid w:val="00066764"/>
    <w:rsid w:val="000705FF"/>
    <w:rsid w:val="000733B3"/>
    <w:rsid w:val="00073D77"/>
    <w:rsid w:val="0007479B"/>
    <w:rsid w:val="00074D39"/>
    <w:rsid w:val="00080A4B"/>
    <w:rsid w:val="000810E8"/>
    <w:rsid w:val="00081655"/>
    <w:rsid w:val="00084BAB"/>
    <w:rsid w:val="000864E0"/>
    <w:rsid w:val="00087301"/>
    <w:rsid w:val="000879D8"/>
    <w:rsid w:val="00087CC4"/>
    <w:rsid w:val="00090F9D"/>
    <w:rsid w:val="000969B3"/>
    <w:rsid w:val="000A26CA"/>
    <w:rsid w:val="000A5F42"/>
    <w:rsid w:val="000A7822"/>
    <w:rsid w:val="000B4AE0"/>
    <w:rsid w:val="000B4B63"/>
    <w:rsid w:val="000C34E2"/>
    <w:rsid w:val="000C3D48"/>
    <w:rsid w:val="000C3FB4"/>
    <w:rsid w:val="000C6D3B"/>
    <w:rsid w:val="000D38EE"/>
    <w:rsid w:val="000D4B4D"/>
    <w:rsid w:val="000D6A8E"/>
    <w:rsid w:val="000E1322"/>
    <w:rsid w:val="000E6C4C"/>
    <w:rsid w:val="000F223B"/>
    <w:rsid w:val="000F32C7"/>
    <w:rsid w:val="000F44BA"/>
    <w:rsid w:val="000F73D7"/>
    <w:rsid w:val="0010033C"/>
    <w:rsid w:val="001020EE"/>
    <w:rsid w:val="00102232"/>
    <w:rsid w:val="0010368E"/>
    <w:rsid w:val="0011050E"/>
    <w:rsid w:val="00110B7D"/>
    <w:rsid w:val="00112E44"/>
    <w:rsid w:val="00113D58"/>
    <w:rsid w:val="001173C2"/>
    <w:rsid w:val="001176D5"/>
    <w:rsid w:val="001200CB"/>
    <w:rsid w:val="00122ADA"/>
    <w:rsid w:val="00126546"/>
    <w:rsid w:val="0013546A"/>
    <w:rsid w:val="001371D9"/>
    <w:rsid w:val="001378A3"/>
    <w:rsid w:val="00137C98"/>
    <w:rsid w:val="00142578"/>
    <w:rsid w:val="00144F10"/>
    <w:rsid w:val="00146435"/>
    <w:rsid w:val="00153D94"/>
    <w:rsid w:val="00155582"/>
    <w:rsid w:val="00161590"/>
    <w:rsid w:val="00161C85"/>
    <w:rsid w:val="00162FE6"/>
    <w:rsid w:val="00163BE3"/>
    <w:rsid w:val="001704D1"/>
    <w:rsid w:val="0017056E"/>
    <w:rsid w:val="00171CC0"/>
    <w:rsid w:val="001723AC"/>
    <w:rsid w:val="00175494"/>
    <w:rsid w:val="00175629"/>
    <w:rsid w:val="00182456"/>
    <w:rsid w:val="001830EC"/>
    <w:rsid w:val="00183534"/>
    <w:rsid w:val="0018758E"/>
    <w:rsid w:val="00194A12"/>
    <w:rsid w:val="00197A4A"/>
    <w:rsid w:val="00197ACB"/>
    <w:rsid w:val="001A26DD"/>
    <w:rsid w:val="001A4A96"/>
    <w:rsid w:val="001A5900"/>
    <w:rsid w:val="001A5D05"/>
    <w:rsid w:val="001A796C"/>
    <w:rsid w:val="001B0E7B"/>
    <w:rsid w:val="001B248E"/>
    <w:rsid w:val="001B2614"/>
    <w:rsid w:val="001B37B8"/>
    <w:rsid w:val="001B4B8D"/>
    <w:rsid w:val="001B552F"/>
    <w:rsid w:val="001C0893"/>
    <w:rsid w:val="001C1303"/>
    <w:rsid w:val="001C1643"/>
    <w:rsid w:val="001C1BD1"/>
    <w:rsid w:val="001C2B4B"/>
    <w:rsid w:val="001C2C3A"/>
    <w:rsid w:val="001C5BB1"/>
    <w:rsid w:val="001C5F09"/>
    <w:rsid w:val="001C70B2"/>
    <w:rsid w:val="001C7CE1"/>
    <w:rsid w:val="001D0612"/>
    <w:rsid w:val="001D37C7"/>
    <w:rsid w:val="001D5B20"/>
    <w:rsid w:val="001D6888"/>
    <w:rsid w:val="001E3ECB"/>
    <w:rsid w:val="001E4E1D"/>
    <w:rsid w:val="001E562B"/>
    <w:rsid w:val="001E5D4C"/>
    <w:rsid w:val="001F0D9D"/>
    <w:rsid w:val="001F6248"/>
    <w:rsid w:val="002006BA"/>
    <w:rsid w:val="002212C9"/>
    <w:rsid w:val="00221481"/>
    <w:rsid w:val="00223F42"/>
    <w:rsid w:val="00224EFF"/>
    <w:rsid w:val="0022524E"/>
    <w:rsid w:val="0022732D"/>
    <w:rsid w:val="002276DC"/>
    <w:rsid w:val="00227E00"/>
    <w:rsid w:val="00227F05"/>
    <w:rsid w:val="002307CB"/>
    <w:rsid w:val="00231046"/>
    <w:rsid w:val="0023151F"/>
    <w:rsid w:val="00234F21"/>
    <w:rsid w:val="002368EA"/>
    <w:rsid w:val="00236A5F"/>
    <w:rsid w:val="00242659"/>
    <w:rsid w:val="002428F7"/>
    <w:rsid w:val="00242A9E"/>
    <w:rsid w:val="0024315F"/>
    <w:rsid w:val="00245439"/>
    <w:rsid w:val="0024631C"/>
    <w:rsid w:val="00252C9A"/>
    <w:rsid w:val="00254E56"/>
    <w:rsid w:val="00256309"/>
    <w:rsid w:val="002571C9"/>
    <w:rsid w:val="00257484"/>
    <w:rsid w:val="00260636"/>
    <w:rsid w:val="00262EA6"/>
    <w:rsid w:val="00264B29"/>
    <w:rsid w:val="00271616"/>
    <w:rsid w:val="00271AFA"/>
    <w:rsid w:val="00272A9B"/>
    <w:rsid w:val="00274A0E"/>
    <w:rsid w:val="00275C5C"/>
    <w:rsid w:val="00275C78"/>
    <w:rsid w:val="00275F5D"/>
    <w:rsid w:val="00280594"/>
    <w:rsid w:val="00281EE3"/>
    <w:rsid w:val="00282B56"/>
    <w:rsid w:val="0028429F"/>
    <w:rsid w:val="00284E4A"/>
    <w:rsid w:val="00290E04"/>
    <w:rsid w:val="002A3799"/>
    <w:rsid w:val="002A3BCC"/>
    <w:rsid w:val="002A4516"/>
    <w:rsid w:val="002A569F"/>
    <w:rsid w:val="002A5B2C"/>
    <w:rsid w:val="002A7066"/>
    <w:rsid w:val="002B001E"/>
    <w:rsid w:val="002B09B7"/>
    <w:rsid w:val="002B3482"/>
    <w:rsid w:val="002B3A40"/>
    <w:rsid w:val="002B493C"/>
    <w:rsid w:val="002B75A9"/>
    <w:rsid w:val="002B7779"/>
    <w:rsid w:val="002C0D4F"/>
    <w:rsid w:val="002C21B0"/>
    <w:rsid w:val="002C3003"/>
    <w:rsid w:val="002C4CD7"/>
    <w:rsid w:val="002C4DD8"/>
    <w:rsid w:val="002C5D55"/>
    <w:rsid w:val="002D74C3"/>
    <w:rsid w:val="002E12D6"/>
    <w:rsid w:val="002E2FB3"/>
    <w:rsid w:val="002E5438"/>
    <w:rsid w:val="002F327B"/>
    <w:rsid w:val="00301626"/>
    <w:rsid w:val="003052F5"/>
    <w:rsid w:val="003059EC"/>
    <w:rsid w:val="00316727"/>
    <w:rsid w:val="00316CCD"/>
    <w:rsid w:val="003230B3"/>
    <w:rsid w:val="00324F7E"/>
    <w:rsid w:val="0032526F"/>
    <w:rsid w:val="00325841"/>
    <w:rsid w:val="003316F4"/>
    <w:rsid w:val="003323BC"/>
    <w:rsid w:val="00336729"/>
    <w:rsid w:val="003370A9"/>
    <w:rsid w:val="0034063D"/>
    <w:rsid w:val="0034139B"/>
    <w:rsid w:val="00341720"/>
    <w:rsid w:val="00343991"/>
    <w:rsid w:val="003452F7"/>
    <w:rsid w:val="00345738"/>
    <w:rsid w:val="00346D42"/>
    <w:rsid w:val="00346E11"/>
    <w:rsid w:val="00350D1D"/>
    <w:rsid w:val="00351337"/>
    <w:rsid w:val="00351364"/>
    <w:rsid w:val="00351A5A"/>
    <w:rsid w:val="003601C0"/>
    <w:rsid w:val="00360B3A"/>
    <w:rsid w:val="003635F5"/>
    <w:rsid w:val="003670AD"/>
    <w:rsid w:val="00367D5A"/>
    <w:rsid w:val="00371080"/>
    <w:rsid w:val="0037146D"/>
    <w:rsid w:val="00372A88"/>
    <w:rsid w:val="00373D51"/>
    <w:rsid w:val="00374F80"/>
    <w:rsid w:val="00381A0F"/>
    <w:rsid w:val="00381E8E"/>
    <w:rsid w:val="00385655"/>
    <w:rsid w:val="003858B4"/>
    <w:rsid w:val="00390F66"/>
    <w:rsid w:val="00392D07"/>
    <w:rsid w:val="00393B4D"/>
    <w:rsid w:val="003A1B3A"/>
    <w:rsid w:val="003A25A3"/>
    <w:rsid w:val="003A40F5"/>
    <w:rsid w:val="003A5BF3"/>
    <w:rsid w:val="003B2BF2"/>
    <w:rsid w:val="003B3487"/>
    <w:rsid w:val="003B5B8C"/>
    <w:rsid w:val="003B7ADD"/>
    <w:rsid w:val="003C02BF"/>
    <w:rsid w:val="003C2299"/>
    <w:rsid w:val="003C23C9"/>
    <w:rsid w:val="003C554E"/>
    <w:rsid w:val="003C5E16"/>
    <w:rsid w:val="003C7841"/>
    <w:rsid w:val="003D0190"/>
    <w:rsid w:val="003D15AE"/>
    <w:rsid w:val="003D18AF"/>
    <w:rsid w:val="003D2AE3"/>
    <w:rsid w:val="003D5EAA"/>
    <w:rsid w:val="003D79B1"/>
    <w:rsid w:val="003E3A4E"/>
    <w:rsid w:val="003E4B09"/>
    <w:rsid w:val="003E74EE"/>
    <w:rsid w:val="003F0552"/>
    <w:rsid w:val="003F2AC2"/>
    <w:rsid w:val="003F3BC2"/>
    <w:rsid w:val="003F5172"/>
    <w:rsid w:val="003F6268"/>
    <w:rsid w:val="003F725B"/>
    <w:rsid w:val="00401ED1"/>
    <w:rsid w:val="0040224C"/>
    <w:rsid w:val="00403F8B"/>
    <w:rsid w:val="004101DC"/>
    <w:rsid w:val="00410513"/>
    <w:rsid w:val="00411852"/>
    <w:rsid w:val="004118D0"/>
    <w:rsid w:val="00413397"/>
    <w:rsid w:val="00413EE1"/>
    <w:rsid w:val="00415494"/>
    <w:rsid w:val="004164BB"/>
    <w:rsid w:val="00417EF2"/>
    <w:rsid w:val="0042000E"/>
    <w:rsid w:val="00421A14"/>
    <w:rsid w:val="00421ECE"/>
    <w:rsid w:val="004228F2"/>
    <w:rsid w:val="00422FEB"/>
    <w:rsid w:val="00423436"/>
    <w:rsid w:val="0042435E"/>
    <w:rsid w:val="00425757"/>
    <w:rsid w:val="004315F5"/>
    <w:rsid w:val="00432ADD"/>
    <w:rsid w:val="00433456"/>
    <w:rsid w:val="00433DFA"/>
    <w:rsid w:val="00435D67"/>
    <w:rsid w:val="0043642C"/>
    <w:rsid w:val="0043704E"/>
    <w:rsid w:val="00437680"/>
    <w:rsid w:val="004427FD"/>
    <w:rsid w:val="00452C2E"/>
    <w:rsid w:val="004568FC"/>
    <w:rsid w:val="00461653"/>
    <w:rsid w:val="00464A58"/>
    <w:rsid w:val="00464E0D"/>
    <w:rsid w:val="00470721"/>
    <w:rsid w:val="00470C19"/>
    <w:rsid w:val="00471494"/>
    <w:rsid w:val="00472B68"/>
    <w:rsid w:val="00473D2D"/>
    <w:rsid w:val="00481503"/>
    <w:rsid w:val="00484919"/>
    <w:rsid w:val="004914F7"/>
    <w:rsid w:val="00491C26"/>
    <w:rsid w:val="00492014"/>
    <w:rsid w:val="004973B4"/>
    <w:rsid w:val="004A19B8"/>
    <w:rsid w:val="004A2125"/>
    <w:rsid w:val="004A2E24"/>
    <w:rsid w:val="004A38F6"/>
    <w:rsid w:val="004B0C95"/>
    <w:rsid w:val="004B0E96"/>
    <w:rsid w:val="004B1266"/>
    <w:rsid w:val="004B4EB6"/>
    <w:rsid w:val="004B4F34"/>
    <w:rsid w:val="004C04D3"/>
    <w:rsid w:val="004C083C"/>
    <w:rsid w:val="004C2636"/>
    <w:rsid w:val="004C3BDE"/>
    <w:rsid w:val="004C62AA"/>
    <w:rsid w:val="004C67C6"/>
    <w:rsid w:val="004D1D6A"/>
    <w:rsid w:val="004D29DE"/>
    <w:rsid w:val="004E1094"/>
    <w:rsid w:val="004E2E81"/>
    <w:rsid w:val="004E5103"/>
    <w:rsid w:val="004F5434"/>
    <w:rsid w:val="004F55C9"/>
    <w:rsid w:val="00505184"/>
    <w:rsid w:val="0050662A"/>
    <w:rsid w:val="00510EAC"/>
    <w:rsid w:val="005138AF"/>
    <w:rsid w:val="00514F40"/>
    <w:rsid w:val="005226F2"/>
    <w:rsid w:val="00526875"/>
    <w:rsid w:val="0052708C"/>
    <w:rsid w:val="00532189"/>
    <w:rsid w:val="00536DD8"/>
    <w:rsid w:val="00542A57"/>
    <w:rsid w:val="00543294"/>
    <w:rsid w:val="00545068"/>
    <w:rsid w:val="0054635D"/>
    <w:rsid w:val="005608D4"/>
    <w:rsid w:val="005635C8"/>
    <w:rsid w:val="00565974"/>
    <w:rsid w:val="005665CA"/>
    <w:rsid w:val="00570913"/>
    <w:rsid w:val="00572200"/>
    <w:rsid w:val="005732C0"/>
    <w:rsid w:val="0057336D"/>
    <w:rsid w:val="0057489A"/>
    <w:rsid w:val="00574ACF"/>
    <w:rsid w:val="00581588"/>
    <w:rsid w:val="0058264F"/>
    <w:rsid w:val="0058540B"/>
    <w:rsid w:val="00587C87"/>
    <w:rsid w:val="00590B80"/>
    <w:rsid w:val="00592A94"/>
    <w:rsid w:val="005A4E9D"/>
    <w:rsid w:val="005B14C5"/>
    <w:rsid w:val="005B3134"/>
    <w:rsid w:val="005B4E61"/>
    <w:rsid w:val="005B595A"/>
    <w:rsid w:val="005B66C2"/>
    <w:rsid w:val="005B7A44"/>
    <w:rsid w:val="005C1AA0"/>
    <w:rsid w:val="005C3CE9"/>
    <w:rsid w:val="005C485F"/>
    <w:rsid w:val="005C4923"/>
    <w:rsid w:val="005C66A6"/>
    <w:rsid w:val="005C7FD1"/>
    <w:rsid w:val="005D2465"/>
    <w:rsid w:val="005D304C"/>
    <w:rsid w:val="005D4A40"/>
    <w:rsid w:val="005D79A5"/>
    <w:rsid w:val="005E33DD"/>
    <w:rsid w:val="005E3E4C"/>
    <w:rsid w:val="005E4229"/>
    <w:rsid w:val="005E5181"/>
    <w:rsid w:val="005E540E"/>
    <w:rsid w:val="005E55FB"/>
    <w:rsid w:val="005E709A"/>
    <w:rsid w:val="005E78FD"/>
    <w:rsid w:val="005F16BB"/>
    <w:rsid w:val="005F58C4"/>
    <w:rsid w:val="00600103"/>
    <w:rsid w:val="006018F5"/>
    <w:rsid w:val="00602AC1"/>
    <w:rsid w:val="00604098"/>
    <w:rsid w:val="00605B0B"/>
    <w:rsid w:val="00606DFF"/>
    <w:rsid w:val="00607115"/>
    <w:rsid w:val="006108F2"/>
    <w:rsid w:val="00611DAB"/>
    <w:rsid w:val="00620509"/>
    <w:rsid w:val="00620768"/>
    <w:rsid w:val="006221DD"/>
    <w:rsid w:val="00624477"/>
    <w:rsid w:val="0062594B"/>
    <w:rsid w:val="00627997"/>
    <w:rsid w:val="006306A8"/>
    <w:rsid w:val="006307C1"/>
    <w:rsid w:val="00631406"/>
    <w:rsid w:val="006324FF"/>
    <w:rsid w:val="00632787"/>
    <w:rsid w:val="00632B07"/>
    <w:rsid w:val="006351D6"/>
    <w:rsid w:val="00636E0D"/>
    <w:rsid w:val="0064142F"/>
    <w:rsid w:val="00643CB4"/>
    <w:rsid w:val="00644B9D"/>
    <w:rsid w:val="00647DEA"/>
    <w:rsid w:val="0065219D"/>
    <w:rsid w:val="00656427"/>
    <w:rsid w:val="00656FDA"/>
    <w:rsid w:val="00660255"/>
    <w:rsid w:val="00661FE1"/>
    <w:rsid w:val="00662078"/>
    <w:rsid w:val="0066362A"/>
    <w:rsid w:val="00663EA5"/>
    <w:rsid w:val="00666D94"/>
    <w:rsid w:val="00676161"/>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5B50"/>
    <w:rsid w:val="006C74A3"/>
    <w:rsid w:val="006C76D0"/>
    <w:rsid w:val="006C7D54"/>
    <w:rsid w:val="006D1381"/>
    <w:rsid w:val="006D31BC"/>
    <w:rsid w:val="006D4979"/>
    <w:rsid w:val="006D508B"/>
    <w:rsid w:val="006D6625"/>
    <w:rsid w:val="006E0B0E"/>
    <w:rsid w:val="006E222D"/>
    <w:rsid w:val="006E7943"/>
    <w:rsid w:val="006E7AC3"/>
    <w:rsid w:val="006F24EA"/>
    <w:rsid w:val="006F540F"/>
    <w:rsid w:val="006F5FEC"/>
    <w:rsid w:val="00700338"/>
    <w:rsid w:val="0070113C"/>
    <w:rsid w:val="00702D05"/>
    <w:rsid w:val="00703009"/>
    <w:rsid w:val="00704CA9"/>
    <w:rsid w:val="0071048D"/>
    <w:rsid w:val="00710F86"/>
    <w:rsid w:val="007111A8"/>
    <w:rsid w:val="007114BA"/>
    <w:rsid w:val="00714CD2"/>
    <w:rsid w:val="0071536A"/>
    <w:rsid w:val="007179BE"/>
    <w:rsid w:val="00723B5F"/>
    <w:rsid w:val="00725C33"/>
    <w:rsid w:val="00725C7E"/>
    <w:rsid w:val="00726C6A"/>
    <w:rsid w:val="00731BC3"/>
    <w:rsid w:val="00731FF7"/>
    <w:rsid w:val="00733216"/>
    <w:rsid w:val="00734159"/>
    <w:rsid w:val="007401FD"/>
    <w:rsid w:val="00741192"/>
    <w:rsid w:val="007430BF"/>
    <w:rsid w:val="007439DE"/>
    <w:rsid w:val="00743A33"/>
    <w:rsid w:val="00743DF3"/>
    <w:rsid w:val="00745AE2"/>
    <w:rsid w:val="00746080"/>
    <w:rsid w:val="0075144A"/>
    <w:rsid w:val="00760A97"/>
    <w:rsid w:val="0076543B"/>
    <w:rsid w:val="00771313"/>
    <w:rsid w:val="00774BA6"/>
    <w:rsid w:val="00775C3B"/>
    <w:rsid w:val="007804A4"/>
    <w:rsid w:val="00780C3D"/>
    <w:rsid w:val="00781AEF"/>
    <w:rsid w:val="00781C54"/>
    <w:rsid w:val="007828D7"/>
    <w:rsid w:val="007852D0"/>
    <w:rsid w:val="00786329"/>
    <w:rsid w:val="007918B3"/>
    <w:rsid w:val="00792C7D"/>
    <w:rsid w:val="00794293"/>
    <w:rsid w:val="00794A4D"/>
    <w:rsid w:val="00796FC4"/>
    <w:rsid w:val="007A159E"/>
    <w:rsid w:val="007A2D74"/>
    <w:rsid w:val="007A33B9"/>
    <w:rsid w:val="007A35A0"/>
    <w:rsid w:val="007A39B4"/>
    <w:rsid w:val="007A4B9B"/>
    <w:rsid w:val="007A5234"/>
    <w:rsid w:val="007A764D"/>
    <w:rsid w:val="007B119B"/>
    <w:rsid w:val="007B537E"/>
    <w:rsid w:val="007B617C"/>
    <w:rsid w:val="007B7854"/>
    <w:rsid w:val="007C1CF5"/>
    <w:rsid w:val="007C322F"/>
    <w:rsid w:val="007C457F"/>
    <w:rsid w:val="007C482B"/>
    <w:rsid w:val="007C56A1"/>
    <w:rsid w:val="007C6454"/>
    <w:rsid w:val="007D5B5D"/>
    <w:rsid w:val="007D6F3B"/>
    <w:rsid w:val="007E01E0"/>
    <w:rsid w:val="007E0C24"/>
    <w:rsid w:val="007E5CA0"/>
    <w:rsid w:val="007E610C"/>
    <w:rsid w:val="007E6297"/>
    <w:rsid w:val="007E7486"/>
    <w:rsid w:val="007F0B93"/>
    <w:rsid w:val="007F21B9"/>
    <w:rsid w:val="007F2B27"/>
    <w:rsid w:val="007F2ECA"/>
    <w:rsid w:val="007F7B26"/>
    <w:rsid w:val="00800288"/>
    <w:rsid w:val="008017B6"/>
    <w:rsid w:val="008019B9"/>
    <w:rsid w:val="00802960"/>
    <w:rsid w:val="0080547B"/>
    <w:rsid w:val="00805663"/>
    <w:rsid w:val="00811675"/>
    <w:rsid w:val="00811708"/>
    <w:rsid w:val="00813007"/>
    <w:rsid w:val="0081404B"/>
    <w:rsid w:val="00814759"/>
    <w:rsid w:val="00816B90"/>
    <w:rsid w:val="00817799"/>
    <w:rsid w:val="00821796"/>
    <w:rsid w:val="00822F5F"/>
    <w:rsid w:val="00823A5D"/>
    <w:rsid w:val="00824FD3"/>
    <w:rsid w:val="008261E4"/>
    <w:rsid w:val="00826589"/>
    <w:rsid w:val="00830070"/>
    <w:rsid w:val="00830AEA"/>
    <w:rsid w:val="00830F91"/>
    <w:rsid w:val="0083272F"/>
    <w:rsid w:val="00834BCC"/>
    <w:rsid w:val="008355D9"/>
    <w:rsid w:val="00836451"/>
    <w:rsid w:val="00845F68"/>
    <w:rsid w:val="00850D54"/>
    <w:rsid w:val="00852E2B"/>
    <w:rsid w:val="00854079"/>
    <w:rsid w:val="00856EC6"/>
    <w:rsid w:val="00856FF3"/>
    <w:rsid w:val="00862150"/>
    <w:rsid w:val="0086228F"/>
    <w:rsid w:val="00862C50"/>
    <w:rsid w:val="00863F8D"/>
    <w:rsid w:val="008673F6"/>
    <w:rsid w:val="00867976"/>
    <w:rsid w:val="008714B0"/>
    <w:rsid w:val="00872A7F"/>
    <w:rsid w:val="0087374B"/>
    <w:rsid w:val="00876331"/>
    <w:rsid w:val="008766FF"/>
    <w:rsid w:val="00877B90"/>
    <w:rsid w:val="00880726"/>
    <w:rsid w:val="008863B2"/>
    <w:rsid w:val="0089025E"/>
    <w:rsid w:val="00895527"/>
    <w:rsid w:val="00897881"/>
    <w:rsid w:val="008A0736"/>
    <w:rsid w:val="008A3532"/>
    <w:rsid w:val="008A3544"/>
    <w:rsid w:val="008B48B8"/>
    <w:rsid w:val="008B5348"/>
    <w:rsid w:val="008B58F8"/>
    <w:rsid w:val="008B5BAA"/>
    <w:rsid w:val="008B62FF"/>
    <w:rsid w:val="008B70C2"/>
    <w:rsid w:val="008C0712"/>
    <w:rsid w:val="008C4520"/>
    <w:rsid w:val="008C536D"/>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11D1"/>
    <w:rsid w:val="00904CC1"/>
    <w:rsid w:val="009066AF"/>
    <w:rsid w:val="00906D66"/>
    <w:rsid w:val="00910578"/>
    <w:rsid w:val="00912050"/>
    <w:rsid w:val="00912A31"/>
    <w:rsid w:val="00912DD2"/>
    <w:rsid w:val="00912E48"/>
    <w:rsid w:val="00912E68"/>
    <w:rsid w:val="00913840"/>
    <w:rsid w:val="00920F4E"/>
    <w:rsid w:val="00923159"/>
    <w:rsid w:val="0092746F"/>
    <w:rsid w:val="00933DE2"/>
    <w:rsid w:val="00935DC9"/>
    <w:rsid w:val="00937F3C"/>
    <w:rsid w:val="009446C0"/>
    <w:rsid w:val="00947BAF"/>
    <w:rsid w:val="00947D0A"/>
    <w:rsid w:val="00951883"/>
    <w:rsid w:val="009527E3"/>
    <w:rsid w:val="009533E1"/>
    <w:rsid w:val="00955A0C"/>
    <w:rsid w:val="009572C6"/>
    <w:rsid w:val="0096082E"/>
    <w:rsid w:val="00961347"/>
    <w:rsid w:val="00962C2F"/>
    <w:rsid w:val="00964753"/>
    <w:rsid w:val="00965AD4"/>
    <w:rsid w:val="009666BE"/>
    <w:rsid w:val="00967410"/>
    <w:rsid w:val="00967D73"/>
    <w:rsid w:val="00970B9A"/>
    <w:rsid w:val="00971C4F"/>
    <w:rsid w:val="009745B6"/>
    <w:rsid w:val="0098119A"/>
    <w:rsid w:val="009823EE"/>
    <w:rsid w:val="0098426C"/>
    <w:rsid w:val="00984AAF"/>
    <w:rsid w:val="00985521"/>
    <w:rsid w:val="00987E68"/>
    <w:rsid w:val="00991B09"/>
    <w:rsid w:val="0099319C"/>
    <w:rsid w:val="00993CB2"/>
    <w:rsid w:val="0099796D"/>
    <w:rsid w:val="009A0251"/>
    <w:rsid w:val="009A218B"/>
    <w:rsid w:val="009A3D1D"/>
    <w:rsid w:val="009A5166"/>
    <w:rsid w:val="009A76F8"/>
    <w:rsid w:val="009B2B11"/>
    <w:rsid w:val="009B2B83"/>
    <w:rsid w:val="009B720F"/>
    <w:rsid w:val="009B78A9"/>
    <w:rsid w:val="009C31B2"/>
    <w:rsid w:val="009C49F8"/>
    <w:rsid w:val="009D0F93"/>
    <w:rsid w:val="009D56E7"/>
    <w:rsid w:val="009D77CC"/>
    <w:rsid w:val="009D797A"/>
    <w:rsid w:val="009E07CF"/>
    <w:rsid w:val="009E0F9D"/>
    <w:rsid w:val="009E2423"/>
    <w:rsid w:val="009E491D"/>
    <w:rsid w:val="009E5490"/>
    <w:rsid w:val="009E55D7"/>
    <w:rsid w:val="009E703E"/>
    <w:rsid w:val="009F4150"/>
    <w:rsid w:val="009F5151"/>
    <w:rsid w:val="009F5665"/>
    <w:rsid w:val="009F5DAD"/>
    <w:rsid w:val="009F71CB"/>
    <w:rsid w:val="009F752C"/>
    <w:rsid w:val="00A01BCA"/>
    <w:rsid w:val="00A01FD5"/>
    <w:rsid w:val="00A06C73"/>
    <w:rsid w:val="00A07088"/>
    <w:rsid w:val="00A10458"/>
    <w:rsid w:val="00A104E5"/>
    <w:rsid w:val="00A14629"/>
    <w:rsid w:val="00A153B6"/>
    <w:rsid w:val="00A164D5"/>
    <w:rsid w:val="00A20C2D"/>
    <w:rsid w:val="00A20E4F"/>
    <w:rsid w:val="00A24E95"/>
    <w:rsid w:val="00A25601"/>
    <w:rsid w:val="00A2678D"/>
    <w:rsid w:val="00A273C3"/>
    <w:rsid w:val="00A30C37"/>
    <w:rsid w:val="00A31091"/>
    <w:rsid w:val="00A34275"/>
    <w:rsid w:val="00A3671B"/>
    <w:rsid w:val="00A36C65"/>
    <w:rsid w:val="00A37AE9"/>
    <w:rsid w:val="00A37B04"/>
    <w:rsid w:val="00A40894"/>
    <w:rsid w:val="00A41BBE"/>
    <w:rsid w:val="00A443E3"/>
    <w:rsid w:val="00A45BDD"/>
    <w:rsid w:val="00A46060"/>
    <w:rsid w:val="00A46A0A"/>
    <w:rsid w:val="00A51E0E"/>
    <w:rsid w:val="00A53F60"/>
    <w:rsid w:val="00A553F8"/>
    <w:rsid w:val="00A5606F"/>
    <w:rsid w:val="00A56852"/>
    <w:rsid w:val="00A56D0C"/>
    <w:rsid w:val="00A571EC"/>
    <w:rsid w:val="00A623E8"/>
    <w:rsid w:val="00A649E7"/>
    <w:rsid w:val="00A65082"/>
    <w:rsid w:val="00A65DFA"/>
    <w:rsid w:val="00A6708F"/>
    <w:rsid w:val="00A709F0"/>
    <w:rsid w:val="00A71BF6"/>
    <w:rsid w:val="00A72AF9"/>
    <w:rsid w:val="00A74050"/>
    <w:rsid w:val="00A8036A"/>
    <w:rsid w:val="00A86837"/>
    <w:rsid w:val="00A86F9A"/>
    <w:rsid w:val="00A925D6"/>
    <w:rsid w:val="00A95A81"/>
    <w:rsid w:val="00AA075C"/>
    <w:rsid w:val="00AA3329"/>
    <w:rsid w:val="00AA35E6"/>
    <w:rsid w:val="00AA50B6"/>
    <w:rsid w:val="00AA78FF"/>
    <w:rsid w:val="00AB1606"/>
    <w:rsid w:val="00AB3472"/>
    <w:rsid w:val="00AB3C13"/>
    <w:rsid w:val="00AB7613"/>
    <w:rsid w:val="00AC0F5D"/>
    <w:rsid w:val="00AC27EF"/>
    <w:rsid w:val="00AC3843"/>
    <w:rsid w:val="00AC3AD3"/>
    <w:rsid w:val="00AC4595"/>
    <w:rsid w:val="00AC46DC"/>
    <w:rsid w:val="00AC659C"/>
    <w:rsid w:val="00AC66D9"/>
    <w:rsid w:val="00AC69D8"/>
    <w:rsid w:val="00AC7CD7"/>
    <w:rsid w:val="00AD0762"/>
    <w:rsid w:val="00AD3C9E"/>
    <w:rsid w:val="00AD631D"/>
    <w:rsid w:val="00AE0209"/>
    <w:rsid w:val="00AE3DCF"/>
    <w:rsid w:val="00AE4452"/>
    <w:rsid w:val="00AE6604"/>
    <w:rsid w:val="00AE7C38"/>
    <w:rsid w:val="00AF1538"/>
    <w:rsid w:val="00AF1FAC"/>
    <w:rsid w:val="00AF2679"/>
    <w:rsid w:val="00AF2814"/>
    <w:rsid w:val="00AF5008"/>
    <w:rsid w:val="00AF6920"/>
    <w:rsid w:val="00B01F99"/>
    <w:rsid w:val="00B02B37"/>
    <w:rsid w:val="00B05276"/>
    <w:rsid w:val="00B0666B"/>
    <w:rsid w:val="00B132DB"/>
    <w:rsid w:val="00B14264"/>
    <w:rsid w:val="00B15F5B"/>
    <w:rsid w:val="00B20A91"/>
    <w:rsid w:val="00B23214"/>
    <w:rsid w:val="00B23EE2"/>
    <w:rsid w:val="00B24295"/>
    <w:rsid w:val="00B24C05"/>
    <w:rsid w:val="00B26F80"/>
    <w:rsid w:val="00B31427"/>
    <w:rsid w:val="00B3166B"/>
    <w:rsid w:val="00B32FF9"/>
    <w:rsid w:val="00B33861"/>
    <w:rsid w:val="00B33E0B"/>
    <w:rsid w:val="00B404EB"/>
    <w:rsid w:val="00B40DE2"/>
    <w:rsid w:val="00B4377A"/>
    <w:rsid w:val="00B45F1C"/>
    <w:rsid w:val="00B4641C"/>
    <w:rsid w:val="00B50210"/>
    <w:rsid w:val="00B5057E"/>
    <w:rsid w:val="00B50D8D"/>
    <w:rsid w:val="00B52457"/>
    <w:rsid w:val="00B53955"/>
    <w:rsid w:val="00B53BFC"/>
    <w:rsid w:val="00B63C79"/>
    <w:rsid w:val="00B6408A"/>
    <w:rsid w:val="00B6478A"/>
    <w:rsid w:val="00B7014D"/>
    <w:rsid w:val="00B714B8"/>
    <w:rsid w:val="00B716E8"/>
    <w:rsid w:val="00B73144"/>
    <w:rsid w:val="00B814CF"/>
    <w:rsid w:val="00B82C2C"/>
    <w:rsid w:val="00B85B74"/>
    <w:rsid w:val="00B85F35"/>
    <w:rsid w:val="00B8720B"/>
    <w:rsid w:val="00B87589"/>
    <w:rsid w:val="00B876EF"/>
    <w:rsid w:val="00B87887"/>
    <w:rsid w:val="00B91551"/>
    <w:rsid w:val="00B91FB5"/>
    <w:rsid w:val="00B9572B"/>
    <w:rsid w:val="00B96233"/>
    <w:rsid w:val="00BA2598"/>
    <w:rsid w:val="00BA4697"/>
    <w:rsid w:val="00BA5893"/>
    <w:rsid w:val="00BA61E3"/>
    <w:rsid w:val="00BB0C53"/>
    <w:rsid w:val="00BB3320"/>
    <w:rsid w:val="00BB5378"/>
    <w:rsid w:val="00BB589B"/>
    <w:rsid w:val="00BB6F53"/>
    <w:rsid w:val="00BC086C"/>
    <w:rsid w:val="00BC0BD3"/>
    <w:rsid w:val="00BC4B9A"/>
    <w:rsid w:val="00BC4EAA"/>
    <w:rsid w:val="00BC5BA6"/>
    <w:rsid w:val="00BD0107"/>
    <w:rsid w:val="00BD2220"/>
    <w:rsid w:val="00BD4DBE"/>
    <w:rsid w:val="00BE0C33"/>
    <w:rsid w:val="00BE0FE9"/>
    <w:rsid w:val="00BE262C"/>
    <w:rsid w:val="00BE479F"/>
    <w:rsid w:val="00BE4C25"/>
    <w:rsid w:val="00BE6C3D"/>
    <w:rsid w:val="00BE73E6"/>
    <w:rsid w:val="00BF1476"/>
    <w:rsid w:val="00BF42FE"/>
    <w:rsid w:val="00C02B29"/>
    <w:rsid w:val="00C06DA4"/>
    <w:rsid w:val="00C07606"/>
    <w:rsid w:val="00C12542"/>
    <w:rsid w:val="00C130EE"/>
    <w:rsid w:val="00C230DA"/>
    <w:rsid w:val="00C245C5"/>
    <w:rsid w:val="00C24725"/>
    <w:rsid w:val="00C30BA9"/>
    <w:rsid w:val="00C314A3"/>
    <w:rsid w:val="00C32396"/>
    <w:rsid w:val="00C32715"/>
    <w:rsid w:val="00C3541E"/>
    <w:rsid w:val="00C36A8F"/>
    <w:rsid w:val="00C401C8"/>
    <w:rsid w:val="00C42834"/>
    <w:rsid w:val="00C42FFA"/>
    <w:rsid w:val="00C43021"/>
    <w:rsid w:val="00C47780"/>
    <w:rsid w:val="00C47C8C"/>
    <w:rsid w:val="00C47CC2"/>
    <w:rsid w:val="00C507D8"/>
    <w:rsid w:val="00C51F5A"/>
    <w:rsid w:val="00C526D3"/>
    <w:rsid w:val="00C57018"/>
    <w:rsid w:val="00C62EAC"/>
    <w:rsid w:val="00C63F9F"/>
    <w:rsid w:val="00C6558E"/>
    <w:rsid w:val="00C66F97"/>
    <w:rsid w:val="00C722FD"/>
    <w:rsid w:val="00C735E0"/>
    <w:rsid w:val="00C7723C"/>
    <w:rsid w:val="00C81439"/>
    <w:rsid w:val="00C82027"/>
    <w:rsid w:val="00C8292E"/>
    <w:rsid w:val="00C838F5"/>
    <w:rsid w:val="00C841C0"/>
    <w:rsid w:val="00C91F37"/>
    <w:rsid w:val="00C94309"/>
    <w:rsid w:val="00C97898"/>
    <w:rsid w:val="00CA07E5"/>
    <w:rsid w:val="00CA1AF4"/>
    <w:rsid w:val="00CA4725"/>
    <w:rsid w:val="00CA6068"/>
    <w:rsid w:val="00CA757A"/>
    <w:rsid w:val="00CB15E1"/>
    <w:rsid w:val="00CB3460"/>
    <w:rsid w:val="00CB3D46"/>
    <w:rsid w:val="00CB3D75"/>
    <w:rsid w:val="00CC0771"/>
    <w:rsid w:val="00CC3648"/>
    <w:rsid w:val="00CC7AF8"/>
    <w:rsid w:val="00CD1A87"/>
    <w:rsid w:val="00CD35F3"/>
    <w:rsid w:val="00CD4362"/>
    <w:rsid w:val="00CD5C93"/>
    <w:rsid w:val="00CD69CD"/>
    <w:rsid w:val="00CE2CC7"/>
    <w:rsid w:val="00CE342B"/>
    <w:rsid w:val="00CE4961"/>
    <w:rsid w:val="00CE63A5"/>
    <w:rsid w:val="00CE6CCC"/>
    <w:rsid w:val="00CF131F"/>
    <w:rsid w:val="00CF320C"/>
    <w:rsid w:val="00CF3A4B"/>
    <w:rsid w:val="00CF4001"/>
    <w:rsid w:val="00CF75DF"/>
    <w:rsid w:val="00D05837"/>
    <w:rsid w:val="00D11736"/>
    <w:rsid w:val="00D12D8A"/>
    <w:rsid w:val="00D13E0C"/>
    <w:rsid w:val="00D20FB5"/>
    <w:rsid w:val="00D22CC8"/>
    <w:rsid w:val="00D25896"/>
    <w:rsid w:val="00D26EE6"/>
    <w:rsid w:val="00D26FF6"/>
    <w:rsid w:val="00D32A59"/>
    <w:rsid w:val="00D33918"/>
    <w:rsid w:val="00D34AAF"/>
    <w:rsid w:val="00D36033"/>
    <w:rsid w:val="00D373A1"/>
    <w:rsid w:val="00D37C0F"/>
    <w:rsid w:val="00D4113F"/>
    <w:rsid w:val="00D43E8E"/>
    <w:rsid w:val="00D45661"/>
    <w:rsid w:val="00D45943"/>
    <w:rsid w:val="00D47D22"/>
    <w:rsid w:val="00D50346"/>
    <w:rsid w:val="00D50368"/>
    <w:rsid w:val="00D51865"/>
    <w:rsid w:val="00D51D0C"/>
    <w:rsid w:val="00D52ECE"/>
    <w:rsid w:val="00D54734"/>
    <w:rsid w:val="00D55D13"/>
    <w:rsid w:val="00D56C54"/>
    <w:rsid w:val="00D6364B"/>
    <w:rsid w:val="00D63E60"/>
    <w:rsid w:val="00D6407A"/>
    <w:rsid w:val="00D64A19"/>
    <w:rsid w:val="00D666A7"/>
    <w:rsid w:val="00D7189B"/>
    <w:rsid w:val="00D7327C"/>
    <w:rsid w:val="00D74140"/>
    <w:rsid w:val="00D74EC3"/>
    <w:rsid w:val="00D80045"/>
    <w:rsid w:val="00D8087F"/>
    <w:rsid w:val="00D842AC"/>
    <w:rsid w:val="00D84FBE"/>
    <w:rsid w:val="00D93AD4"/>
    <w:rsid w:val="00DA2E9E"/>
    <w:rsid w:val="00DA6D25"/>
    <w:rsid w:val="00DA6E56"/>
    <w:rsid w:val="00DA78DD"/>
    <w:rsid w:val="00DB0DF2"/>
    <w:rsid w:val="00DB1C65"/>
    <w:rsid w:val="00DC0C4C"/>
    <w:rsid w:val="00DC127D"/>
    <w:rsid w:val="00DC24E5"/>
    <w:rsid w:val="00DC3B05"/>
    <w:rsid w:val="00DC5542"/>
    <w:rsid w:val="00DC6705"/>
    <w:rsid w:val="00DD1EF6"/>
    <w:rsid w:val="00DD2DE8"/>
    <w:rsid w:val="00DD3928"/>
    <w:rsid w:val="00DD6220"/>
    <w:rsid w:val="00DD717B"/>
    <w:rsid w:val="00DE04B8"/>
    <w:rsid w:val="00DE1C81"/>
    <w:rsid w:val="00DE2BFC"/>
    <w:rsid w:val="00DE38B4"/>
    <w:rsid w:val="00DE4482"/>
    <w:rsid w:val="00DE5D02"/>
    <w:rsid w:val="00DF1E91"/>
    <w:rsid w:val="00DF2102"/>
    <w:rsid w:val="00DF3918"/>
    <w:rsid w:val="00DF48CC"/>
    <w:rsid w:val="00DF4E62"/>
    <w:rsid w:val="00DF78F3"/>
    <w:rsid w:val="00E005A9"/>
    <w:rsid w:val="00E03579"/>
    <w:rsid w:val="00E040CF"/>
    <w:rsid w:val="00E065BA"/>
    <w:rsid w:val="00E115A8"/>
    <w:rsid w:val="00E1166E"/>
    <w:rsid w:val="00E15CF6"/>
    <w:rsid w:val="00E2299C"/>
    <w:rsid w:val="00E24DC0"/>
    <w:rsid w:val="00E2519C"/>
    <w:rsid w:val="00E25229"/>
    <w:rsid w:val="00E25F2A"/>
    <w:rsid w:val="00E271F7"/>
    <w:rsid w:val="00E30C30"/>
    <w:rsid w:val="00E34468"/>
    <w:rsid w:val="00E35EB1"/>
    <w:rsid w:val="00E363D2"/>
    <w:rsid w:val="00E41455"/>
    <w:rsid w:val="00E42AD2"/>
    <w:rsid w:val="00E50856"/>
    <w:rsid w:val="00E51949"/>
    <w:rsid w:val="00E538CC"/>
    <w:rsid w:val="00E54BBD"/>
    <w:rsid w:val="00E54DBA"/>
    <w:rsid w:val="00E55A7D"/>
    <w:rsid w:val="00E57DB7"/>
    <w:rsid w:val="00E61A68"/>
    <w:rsid w:val="00E61FEF"/>
    <w:rsid w:val="00E62A74"/>
    <w:rsid w:val="00E62A9E"/>
    <w:rsid w:val="00E63D7C"/>
    <w:rsid w:val="00E640D5"/>
    <w:rsid w:val="00E64C4F"/>
    <w:rsid w:val="00E66E2E"/>
    <w:rsid w:val="00E67691"/>
    <w:rsid w:val="00E6790C"/>
    <w:rsid w:val="00E714F6"/>
    <w:rsid w:val="00E734F1"/>
    <w:rsid w:val="00E80F90"/>
    <w:rsid w:val="00E8436D"/>
    <w:rsid w:val="00E87669"/>
    <w:rsid w:val="00E877F0"/>
    <w:rsid w:val="00E91ABD"/>
    <w:rsid w:val="00E92237"/>
    <w:rsid w:val="00E9313B"/>
    <w:rsid w:val="00E94D1B"/>
    <w:rsid w:val="00E951EF"/>
    <w:rsid w:val="00E969B0"/>
    <w:rsid w:val="00E96FA4"/>
    <w:rsid w:val="00E97D6E"/>
    <w:rsid w:val="00EA1A80"/>
    <w:rsid w:val="00EA387D"/>
    <w:rsid w:val="00EA3D54"/>
    <w:rsid w:val="00EA42F9"/>
    <w:rsid w:val="00EA487F"/>
    <w:rsid w:val="00EA5244"/>
    <w:rsid w:val="00EA56D9"/>
    <w:rsid w:val="00EA5CE3"/>
    <w:rsid w:val="00EA6586"/>
    <w:rsid w:val="00EA6AD8"/>
    <w:rsid w:val="00EA7AB8"/>
    <w:rsid w:val="00EB51C1"/>
    <w:rsid w:val="00EB5AE1"/>
    <w:rsid w:val="00EB5E0B"/>
    <w:rsid w:val="00EB7247"/>
    <w:rsid w:val="00EB7C2A"/>
    <w:rsid w:val="00EC05A3"/>
    <w:rsid w:val="00EC2171"/>
    <w:rsid w:val="00ED14CC"/>
    <w:rsid w:val="00ED3E32"/>
    <w:rsid w:val="00ED442D"/>
    <w:rsid w:val="00ED70C2"/>
    <w:rsid w:val="00EE155D"/>
    <w:rsid w:val="00EE18FF"/>
    <w:rsid w:val="00EE1D64"/>
    <w:rsid w:val="00EE3E29"/>
    <w:rsid w:val="00EE489F"/>
    <w:rsid w:val="00EE558A"/>
    <w:rsid w:val="00EF082D"/>
    <w:rsid w:val="00EF55AE"/>
    <w:rsid w:val="00F04552"/>
    <w:rsid w:val="00F051E5"/>
    <w:rsid w:val="00F0647F"/>
    <w:rsid w:val="00F07FA0"/>
    <w:rsid w:val="00F10CE3"/>
    <w:rsid w:val="00F12006"/>
    <w:rsid w:val="00F13443"/>
    <w:rsid w:val="00F14F3B"/>
    <w:rsid w:val="00F16362"/>
    <w:rsid w:val="00F165AE"/>
    <w:rsid w:val="00F207C7"/>
    <w:rsid w:val="00F216F0"/>
    <w:rsid w:val="00F24CCA"/>
    <w:rsid w:val="00F25C00"/>
    <w:rsid w:val="00F26301"/>
    <w:rsid w:val="00F27185"/>
    <w:rsid w:val="00F34C4E"/>
    <w:rsid w:val="00F35D78"/>
    <w:rsid w:val="00F36B6D"/>
    <w:rsid w:val="00F41618"/>
    <w:rsid w:val="00F4166D"/>
    <w:rsid w:val="00F43FA3"/>
    <w:rsid w:val="00F4712F"/>
    <w:rsid w:val="00F4772B"/>
    <w:rsid w:val="00F510E5"/>
    <w:rsid w:val="00F538A0"/>
    <w:rsid w:val="00F55648"/>
    <w:rsid w:val="00F568F7"/>
    <w:rsid w:val="00F5766B"/>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067"/>
    <w:rsid w:val="00F90D76"/>
    <w:rsid w:val="00F94055"/>
    <w:rsid w:val="00F95581"/>
    <w:rsid w:val="00FA4A4C"/>
    <w:rsid w:val="00FB17AB"/>
    <w:rsid w:val="00FB48CF"/>
    <w:rsid w:val="00FC002E"/>
    <w:rsid w:val="00FC4C23"/>
    <w:rsid w:val="00FC6204"/>
    <w:rsid w:val="00FC642E"/>
    <w:rsid w:val="00FD2E5E"/>
    <w:rsid w:val="00FD6229"/>
    <w:rsid w:val="00FD7675"/>
    <w:rsid w:val="00FD7AA0"/>
    <w:rsid w:val="00FE081C"/>
    <w:rsid w:val="00FE2847"/>
    <w:rsid w:val="00FE2AE4"/>
    <w:rsid w:val="00FE3ED6"/>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064F6D"/>
  <w15:docId w15:val="{7A406E78-2608-4279-B554-AC1FFCB9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3C2"/>
    <w:pPr>
      <w:spacing w:before="180" w:after="0"/>
    </w:pPr>
    <w:rPr>
      <w14:ligatures w14:val="standardContextual"/>
    </w:rPr>
  </w:style>
  <w:style w:type="paragraph" w:styleId="Heading1">
    <w:name w:val="heading 1"/>
    <w:basedOn w:val="Normal"/>
    <w:next w:val="Normal"/>
    <w:link w:val="Heading1Char"/>
    <w:uiPriority w:val="9"/>
    <w:qFormat/>
    <w:rsid w:val="00E94D1B"/>
    <w:pPr>
      <w:keepNext/>
      <w:keepLines/>
      <w:pageBreakBefore/>
      <w:pBdr>
        <w:bottom w:val="single" w:sz="12" w:space="4" w:color="53C9F1" w:themeColor="background2"/>
      </w:pBdr>
      <w:autoSpaceDE w:val="0"/>
      <w:autoSpaceDN w:val="0"/>
      <w:adjustRightInd w:val="0"/>
      <w:spacing w:before="480"/>
      <w:textAlignment w:val="center"/>
      <w:outlineLvl w:val="0"/>
    </w:pPr>
    <w:rPr>
      <w:rFonts w:asciiTheme="majorHAnsi" w:hAnsiTheme="majorHAnsi" w:cs="Manrope ExtraLight"/>
      <w:b/>
      <w:color w:val="1E4496" w:themeColor="text2"/>
      <w:sz w:val="48"/>
      <w:szCs w:val="32"/>
    </w:rPr>
  </w:style>
  <w:style w:type="paragraph" w:styleId="Heading2">
    <w:name w:val="heading 2"/>
    <w:basedOn w:val="Normal"/>
    <w:next w:val="Normal"/>
    <w:link w:val="Heading2Char"/>
    <w:uiPriority w:val="9"/>
    <w:unhideWhenUsed/>
    <w:qFormat/>
    <w:rsid w:val="00920F4E"/>
    <w:pPr>
      <w:keepNext/>
      <w:autoSpaceDE w:val="0"/>
      <w:autoSpaceDN w:val="0"/>
      <w:adjustRightInd w:val="0"/>
      <w:spacing w:before="360" w:line="240" w:lineRule="auto"/>
      <w:textAlignment w:val="center"/>
      <w:outlineLvl w:val="1"/>
    </w:pPr>
    <w:rPr>
      <w:rFonts w:asciiTheme="majorHAnsi" w:hAnsiTheme="majorHAnsi" w:cs="MyriadPro-Bold"/>
      <w:b/>
      <w:bCs/>
      <w:color w:val="1E4496" w:themeColor="text2"/>
      <w:sz w:val="38"/>
      <w:szCs w:val="28"/>
    </w:rPr>
  </w:style>
  <w:style w:type="paragraph" w:styleId="Heading3">
    <w:name w:val="heading 3"/>
    <w:basedOn w:val="Normal"/>
    <w:next w:val="Normal"/>
    <w:link w:val="Heading3Char"/>
    <w:uiPriority w:val="9"/>
    <w:unhideWhenUsed/>
    <w:qFormat/>
    <w:rsid w:val="00920F4E"/>
    <w:pPr>
      <w:keepNext/>
      <w:keepLines/>
      <w:autoSpaceDE w:val="0"/>
      <w:autoSpaceDN w:val="0"/>
      <w:adjustRightInd w:val="0"/>
      <w:spacing w:before="360" w:line="240" w:lineRule="auto"/>
      <w:textAlignment w:val="center"/>
      <w:outlineLvl w:val="2"/>
    </w:pPr>
    <w:rPr>
      <w:rFonts w:asciiTheme="majorHAnsi" w:hAnsiTheme="majorHAnsi" w:cs="MyriadPro-Regular"/>
      <w:bCs/>
      <w:color w:val="1E4496" w:themeColor="text2"/>
      <w:sz w:val="32"/>
      <w:szCs w:val="26"/>
    </w:rPr>
  </w:style>
  <w:style w:type="paragraph" w:styleId="Heading4">
    <w:name w:val="heading 4"/>
    <w:basedOn w:val="Normal"/>
    <w:next w:val="Normal"/>
    <w:link w:val="Heading4Char"/>
    <w:uiPriority w:val="9"/>
    <w:unhideWhenUsed/>
    <w:qFormat/>
    <w:rsid w:val="005138AF"/>
    <w:pPr>
      <w:keepNext/>
      <w:keepLines/>
      <w:spacing w:before="360" w:line="240" w:lineRule="auto"/>
      <w:outlineLvl w:val="3"/>
    </w:pPr>
    <w:rPr>
      <w:rFonts w:asciiTheme="majorHAnsi" w:eastAsiaTheme="majorEastAsia" w:hAnsiTheme="majorHAnsi" w:cstheme="majorBidi"/>
      <w:bCs/>
      <w:iCs/>
      <w:sz w:val="28"/>
    </w:rPr>
  </w:style>
  <w:style w:type="paragraph" w:styleId="Heading5">
    <w:name w:val="heading 5"/>
    <w:basedOn w:val="Normal"/>
    <w:next w:val="Normal"/>
    <w:link w:val="Heading5Char"/>
    <w:uiPriority w:val="9"/>
    <w:unhideWhenUsed/>
    <w:rsid w:val="005138AF"/>
    <w:pPr>
      <w:keepNext/>
      <w:spacing w:before="360" w:line="240" w:lineRule="auto"/>
      <w:outlineLvl w:val="4"/>
    </w:pPr>
    <w:rPr>
      <w:rFonts w:asciiTheme="majorHAnsi" w:eastAsiaTheme="majorEastAsia" w:hAnsiTheme="majorHAnsi" w:cstheme="majorBidi"/>
      <w:b/>
      <w:bCs/>
      <w:sz w:val="24"/>
    </w:rPr>
  </w:style>
  <w:style w:type="paragraph" w:styleId="Heading6">
    <w:name w:val="heading 6"/>
    <w:basedOn w:val="Normal"/>
    <w:next w:val="Normal"/>
    <w:link w:val="Heading6Char"/>
    <w:uiPriority w:val="9"/>
    <w:unhideWhenUsed/>
    <w:rsid w:val="005138AF"/>
    <w:pPr>
      <w:keepNext/>
      <w:keepLines/>
      <w:spacing w:before="240" w:line="240" w:lineRule="auto"/>
      <w:outlineLvl w:val="5"/>
    </w:pPr>
    <w:rPr>
      <w:rFonts w:asciiTheme="majorHAnsi" w:eastAsiaTheme="majorEastAsia" w:hAnsiTheme="majorHAnsi" w:cstheme="majorBidi"/>
      <w:b/>
      <w:bCs/>
      <w:i/>
      <w:iCs/>
      <w:sz w:val="24"/>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D1B"/>
    <w:rPr>
      <w:rFonts w:asciiTheme="majorHAnsi" w:hAnsiTheme="majorHAnsi" w:cs="Manrope ExtraLight"/>
      <w:b/>
      <w:color w:val="1E4496" w:themeColor="text2"/>
      <w:sz w:val="48"/>
      <w:szCs w:val="32"/>
      <w14:ligatures w14:val="standardContextual"/>
    </w:rPr>
  </w:style>
  <w:style w:type="paragraph" w:customStyle="1" w:styleId="CDIFooter">
    <w:name w:val="CDI Footer"/>
    <w:basedOn w:val="Normal"/>
    <w:link w:val="CDIFooterChar"/>
    <w:rsid w:val="00E94D1B"/>
    <w:pPr>
      <w:spacing w:before="0" w:line="240" w:lineRule="auto"/>
    </w:pPr>
    <w:rPr>
      <w:sz w:val="18"/>
      <w:szCs w:val="18"/>
    </w:rPr>
  </w:style>
  <w:style w:type="character" w:customStyle="1" w:styleId="Heading2Char">
    <w:name w:val="Heading 2 Char"/>
    <w:basedOn w:val="DefaultParagraphFont"/>
    <w:link w:val="Heading2"/>
    <w:uiPriority w:val="9"/>
    <w:rsid w:val="00920F4E"/>
    <w:rPr>
      <w:rFonts w:asciiTheme="majorHAnsi" w:hAnsiTheme="majorHAnsi" w:cs="MyriadPro-Bold"/>
      <w:b/>
      <w:bCs/>
      <w:color w:val="1E4496" w:themeColor="text2"/>
      <w:sz w:val="38"/>
      <w:szCs w:val="28"/>
      <w14:ligatures w14:val="standardContextual"/>
    </w:rPr>
  </w:style>
  <w:style w:type="paragraph" w:customStyle="1" w:styleId="CDIBoxH1Heading">
    <w:name w:val="CDI Box H1 Heading"/>
    <w:basedOn w:val="CDIBoxHeading"/>
    <w:next w:val="Normal"/>
    <w:rsid w:val="006C5B50"/>
    <w:rPr>
      <w:b/>
      <w:bCs/>
      <w:sz w:val="48"/>
    </w:rPr>
  </w:style>
  <w:style w:type="paragraph" w:styleId="Title">
    <w:name w:val="Title"/>
    <w:basedOn w:val="Normal"/>
    <w:next w:val="Normal"/>
    <w:link w:val="TitleChar"/>
    <w:uiPriority w:val="10"/>
    <w:qFormat/>
    <w:rsid w:val="00BA61E3"/>
    <w:pPr>
      <w:spacing w:before="360"/>
    </w:pPr>
    <w:rPr>
      <w:rFonts w:asciiTheme="majorHAnsi" w:hAnsiTheme="majorHAnsi" w:cs="Arial"/>
      <w:b/>
      <w:bCs/>
      <w:sz w:val="52"/>
      <w:szCs w:val="54"/>
    </w:rPr>
  </w:style>
  <w:style w:type="character" w:customStyle="1" w:styleId="TitleChar">
    <w:name w:val="Title Char"/>
    <w:basedOn w:val="DefaultParagraphFont"/>
    <w:link w:val="Title"/>
    <w:uiPriority w:val="10"/>
    <w:rsid w:val="00BA61E3"/>
    <w:rPr>
      <w:rFonts w:asciiTheme="majorHAnsi" w:hAnsiTheme="majorHAnsi" w:cs="Arial"/>
      <w:b/>
      <w:bCs/>
      <w:sz w:val="52"/>
      <w:szCs w:val="54"/>
      <w14:ligatures w14:val="standardContextual"/>
    </w:rPr>
  </w:style>
  <w:style w:type="character" w:customStyle="1" w:styleId="Heading3Char">
    <w:name w:val="Heading 3 Char"/>
    <w:basedOn w:val="DefaultParagraphFont"/>
    <w:link w:val="Heading3"/>
    <w:uiPriority w:val="9"/>
    <w:rsid w:val="00920F4E"/>
    <w:rPr>
      <w:rFonts w:asciiTheme="majorHAnsi" w:hAnsiTheme="majorHAnsi" w:cs="MyriadPro-Regular"/>
      <w:bCs/>
      <w:color w:val="1E4496" w:themeColor="text2"/>
      <w:sz w:val="32"/>
      <w:szCs w:val="26"/>
      <w14:ligatures w14:val="standardContextual"/>
    </w:rPr>
  </w:style>
  <w:style w:type="character" w:customStyle="1" w:styleId="Heading4Char">
    <w:name w:val="Heading 4 Char"/>
    <w:basedOn w:val="DefaultParagraphFont"/>
    <w:link w:val="Heading4"/>
    <w:uiPriority w:val="9"/>
    <w:rsid w:val="005138AF"/>
    <w:rPr>
      <w:rFonts w:asciiTheme="majorHAnsi" w:eastAsiaTheme="majorEastAsia" w:hAnsiTheme="majorHAnsi" w:cstheme="majorBidi"/>
      <w:bCs/>
      <w:iCs/>
      <w:sz w:val="28"/>
      <w14:ligatures w14:val="standardContextual"/>
    </w:rPr>
  </w:style>
  <w:style w:type="character" w:customStyle="1" w:styleId="Heading5Char">
    <w:name w:val="Heading 5 Char"/>
    <w:basedOn w:val="DefaultParagraphFont"/>
    <w:link w:val="Heading5"/>
    <w:uiPriority w:val="9"/>
    <w:rsid w:val="005138AF"/>
    <w:rPr>
      <w:rFonts w:asciiTheme="majorHAnsi" w:eastAsiaTheme="majorEastAsia" w:hAnsiTheme="majorHAnsi" w:cstheme="majorBidi"/>
      <w:b/>
      <w:bCs/>
      <w:sz w:val="24"/>
      <w14:ligatures w14:val="standardContextual"/>
    </w:rPr>
  </w:style>
  <w:style w:type="character" w:customStyle="1" w:styleId="Heading6Char">
    <w:name w:val="Heading 6 Char"/>
    <w:basedOn w:val="DefaultParagraphFont"/>
    <w:link w:val="Heading6"/>
    <w:uiPriority w:val="9"/>
    <w:rsid w:val="005138AF"/>
    <w:rPr>
      <w:rFonts w:asciiTheme="majorHAnsi" w:eastAsiaTheme="majorEastAsia" w:hAnsiTheme="majorHAnsi" w:cstheme="majorBidi"/>
      <w:b/>
      <w:bCs/>
      <w:i/>
      <w:iCs/>
      <w:sz w:val="24"/>
      <w14:ligatures w14:val="standardContextual"/>
    </w:rPr>
  </w:style>
  <w:style w:type="paragraph" w:styleId="Subtitle">
    <w:name w:val="Subtitle"/>
    <w:basedOn w:val="Normal"/>
    <w:next w:val="Normal"/>
    <w:link w:val="SubtitleChar"/>
    <w:uiPriority w:val="11"/>
    <w:qFormat/>
    <w:rsid w:val="00BA61E3"/>
    <w:rPr>
      <w:rFonts w:asciiTheme="majorHAnsi" w:hAnsiTheme="majorHAnsi"/>
      <w:sz w:val="28"/>
    </w:rPr>
  </w:style>
  <w:style w:type="character" w:customStyle="1" w:styleId="SubtitleChar">
    <w:name w:val="Subtitle Char"/>
    <w:basedOn w:val="DefaultParagraphFont"/>
    <w:link w:val="Subtitle"/>
    <w:uiPriority w:val="11"/>
    <w:rsid w:val="00BA61E3"/>
    <w:rPr>
      <w:rFonts w:asciiTheme="majorHAnsi" w:hAnsiTheme="majorHAnsi"/>
      <w:sz w:val="28"/>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customStyle="1" w:styleId="CDIFigure-Title">
    <w:name w:val="CDI Figure - Title"/>
    <w:basedOn w:val="CDITable-Title"/>
    <w:rsid w:val="00425757"/>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nhideWhenUsed/>
    <w:rsid w:val="00800288"/>
    <w:pPr>
      <w:spacing w:before="60"/>
      <w:ind w:left="397" w:hanging="397"/>
    </w:pPr>
    <w:rPr>
      <w:sz w:val="18"/>
      <w:szCs w:val="20"/>
    </w:rPr>
  </w:style>
  <w:style w:type="character" w:customStyle="1" w:styleId="FootnoteTextChar">
    <w:name w:val="Footnote Text Char"/>
    <w:basedOn w:val="DefaultParagraphFont"/>
    <w:link w:val="FootnoteText"/>
    <w:rsid w:val="00800288"/>
    <w:rPr>
      <w:sz w:val="18"/>
      <w:szCs w:val="20"/>
      <w14:ligatures w14:val="standardContextual"/>
    </w:rPr>
  </w:style>
  <w:style w:type="character" w:styleId="FootnoteReference">
    <w:name w:val="footnote reference"/>
    <w:basedOn w:val="DefaultParagraphFont"/>
    <w:unhideWhenUsed/>
    <w:rsid w:val="00224EFF"/>
    <w:rPr>
      <w:vertAlign w:val="superscript"/>
    </w:rPr>
  </w:style>
  <w:style w:type="paragraph" w:customStyle="1" w:styleId="Heading2-nospacebefore">
    <w:name w:val="Heading 2 - no space before"/>
    <w:basedOn w:val="Heading2"/>
    <w:link w:val="Heading2-nospacebeforeChar"/>
    <w:rsid w:val="004C62AA"/>
    <w:pPr>
      <w:spacing w:before="0"/>
    </w:pPr>
    <w:rPr>
      <w:lang w:val="en-GB"/>
    </w:rPr>
  </w:style>
  <w:style w:type="paragraph" w:customStyle="1" w:styleId="CDITable-Title">
    <w:name w:val="CDI Table - Title"/>
    <w:basedOn w:val="Normal"/>
    <w:next w:val="Normal"/>
    <w:uiPriority w:val="99"/>
    <w:rsid w:val="002571C9"/>
    <w:pPr>
      <w:keepNext/>
      <w:suppressAutoHyphens/>
      <w:autoSpaceDE w:val="0"/>
      <w:autoSpaceDN w:val="0"/>
      <w:adjustRightInd w:val="0"/>
      <w:spacing w:before="360" w:after="180"/>
      <w:textAlignment w:val="center"/>
    </w:pPr>
    <w:rPr>
      <w:rFonts w:cs="Minion3-Bold"/>
      <w:b/>
      <w:bCs/>
      <w:szCs w:val="23"/>
    </w:rPr>
  </w:style>
  <w:style w:type="paragraph" w:customStyle="1" w:styleId="CDITable-Footnote">
    <w:name w:val="CDI Table - Footnote"/>
    <w:basedOn w:val="Normal"/>
    <w:link w:val="CDITable-FootnoteChar"/>
    <w:uiPriority w:val="99"/>
    <w:rsid w:val="0052708C"/>
    <w:pPr>
      <w:autoSpaceDE w:val="0"/>
      <w:autoSpaceDN w:val="0"/>
      <w:adjustRightInd w:val="0"/>
      <w:spacing w:before="60"/>
      <w:ind w:left="284" w:hanging="284"/>
      <w:textAlignment w:val="center"/>
    </w:pPr>
    <w:rPr>
      <w:rFonts w:cs="Minion3Caption-Regular"/>
      <w:sz w:val="17"/>
      <w:szCs w:val="16"/>
    </w:rPr>
  </w:style>
  <w:style w:type="paragraph" w:customStyle="1" w:styleId="CDIAbouttext">
    <w:name w:val="CDI About text"/>
    <w:basedOn w:val="CDIBoxText"/>
    <w:rsid w:val="00423436"/>
    <w:rPr>
      <w:sz w:val="18"/>
      <w:szCs w:val="20"/>
    </w:rPr>
  </w:style>
  <w:style w:type="paragraph" w:styleId="TOCHeading">
    <w:name w:val="TOC Heading"/>
    <w:basedOn w:val="Heading1"/>
    <w:next w:val="Normal"/>
    <w:uiPriority w:val="39"/>
    <w:unhideWhenUsed/>
    <w:rsid w:val="00913840"/>
    <w:pPr>
      <w:autoSpaceDE/>
      <w:autoSpaceDN/>
      <w:adjustRightInd/>
      <w:textAlignment w:val="auto"/>
      <w:outlineLvl w:val="9"/>
    </w:pPr>
    <w:rPr>
      <w:rFonts w:eastAsiaTheme="majorEastAsia" w:cstheme="majorBidi"/>
      <w:bCs/>
      <w:kern w:val="28"/>
      <w:szCs w:val="28"/>
      <w:lang w:val="en-US" w:eastAsia="en-US"/>
    </w:rPr>
  </w:style>
  <w:style w:type="paragraph" w:customStyle="1" w:styleId="Heading3-nospacebefore">
    <w:name w:val="Heading 3 - no space before"/>
    <w:basedOn w:val="Heading3"/>
    <w:next w:val="Normal"/>
    <w:link w:val="Heading3-nospacebeforeChar"/>
    <w:rsid w:val="00BA2598"/>
    <w:pPr>
      <w:spacing w:before="0"/>
    </w:pPr>
    <w:rPr>
      <w:lang w:val="en-GB"/>
    </w:rPr>
  </w:style>
  <w:style w:type="character" w:customStyle="1" w:styleId="CDITable-FootnoteChar">
    <w:name w:val="CDI Table - Footnote Char"/>
    <w:basedOn w:val="DefaultParagraphFont"/>
    <w:link w:val="CDITable-Footnote"/>
    <w:uiPriority w:val="99"/>
    <w:rsid w:val="0052708C"/>
    <w:rPr>
      <w:rFonts w:cs="Minion3Caption-Regular"/>
      <w:sz w:val="17"/>
      <w:szCs w:val="16"/>
      <w14:ligatures w14:val="standardContextual"/>
    </w:rPr>
  </w:style>
  <w:style w:type="paragraph" w:customStyle="1" w:styleId="CDIBullets">
    <w:name w:val="CDI Bullets"/>
    <w:basedOn w:val="Normal"/>
    <w:uiPriority w:val="99"/>
    <w:rsid w:val="007179BE"/>
    <w:pPr>
      <w:numPr>
        <w:numId w:val="2"/>
      </w:numPr>
      <w:suppressAutoHyphens/>
      <w:autoSpaceDE w:val="0"/>
      <w:autoSpaceDN w:val="0"/>
      <w:adjustRightInd w:val="0"/>
      <w:ind w:left="794" w:hanging="397"/>
      <w:textAlignment w:val="center"/>
    </w:pPr>
    <w:rPr>
      <w:rFonts w:cs="Minion3-Regular"/>
      <w:szCs w:val="23"/>
    </w:rPr>
  </w:style>
  <w:style w:type="paragraph" w:customStyle="1" w:styleId="CDINumberedList1L1">
    <w:name w:val="CDI Numbered List (1.) L1"/>
    <w:basedOn w:val="Normal"/>
    <w:uiPriority w:val="99"/>
    <w:rsid w:val="00C735E0"/>
    <w:pPr>
      <w:keepLines/>
      <w:numPr>
        <w:numId w:val="1"/>
      </w:numPr>
      <w:autoSpaceDE w:val="0"/>
      <w:autoSpaceDN w:val="0"/>
      <w:adjustRightInd w:val="0"/>
      <w:textAlignment w:val="center"/>
    </w:pPr>
    <w:rPr>
      <w:rFonts w:cs="Minion3-Regular"/>
      <w:szCs w:val="23"/>
    </w:rPr>
  </w:style>
  <w:style w:type="paragraph" w:customStyle="1" w:styleId="CDIBoxBullet">
    <w:name w:val="CDI Box Bullet"/>
    <w:basedOn w:val="Normal"/>
    <w:rsid w:val="007179BE"/>
    <w:pPr>
      <w:numPr>
        <w:numId w:val="5"/>
      </w:num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spacing w:before="120"/>
      <w:ind w:left="397" w:hanging="397"/>
    </w:pPr>
    <w:rPr>
      <w:rFonts w:eastAsia="Arial"/>
      <w:szCs w:val="24"/>
      <w:lang w:eastAsia="en-US"/>
    </w:rPr>
  </w:style>
  <w:style w:type="paragraph" w:customStyle="1" w:styleId="CDIBoxHeading">
    <w:name w:val="CDI Box Heading"/>
    <w:basedOn w:val="Normal"/>
    <w:rsid w:val="006C5B50"/>
    <w:pPr>
      <w:keepNext/>
      <w:keepLines/>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outlineLvl w:val="1"/>
    </w:pPr>
    <w:rPr>
      <w:rFonts w:eastAsia="Times New Roman" w:cs="Times New Roman"/>
      <w:color w:val="1E4496" w:themeColor="text2"/>
      <w:sz w:val="28"/>
      <w:szCs w:val="24"/>
      <w:lang w:eastAsia="en-US"/>
    </w:rPr>
  </w:style>
  <w:style w:type="paragraph" w:customStyle="1" w:styleId="CDIBoxText">
    <w:name w:val="CDI Box Text"/>
    <w:basedOn w:val="Normal"/>
    <w:rsid w:val="003E4B09"/>
    <w:pPr>
      <w:pBdr>
        <w:top w:val="single" w:sz="6" w:space="4" w:color="53C9F1" w:themeColor="background2"/>
        <w:left w:val="single" w:sz="6" w:space="4" w:color="53C9F1" w:themeColor="background2"/>
        <w:bottom w:val="single" w:sz="6" w:space="4" w:color="53C9F1" w:themeColor="background2"/>
        <w:right w:val="single" w:sz="6" w:space="4" w:color="53C9F1" w:themeColor="background2"/>
      </w:pBdr>
    </w:pPr>
  </w:style>
  <w:style w:type="paragraph" w:customStyle="1" w:styleId="CDIPublicationstring">
    <w:name w:val="CDI Publication string"/>
    <w:basedOn w:val="Normal"/>
    <w:link w:val="CDIPublicationstringChar"/>
    <w:rsid w:val="007B617C"/>
    <w:pPr>
      <w:spacing w:before="2400"/>
    </w:pPr>
    <w:rPr>
      <w:rFonts w:ascii="Arial" w:hAnsi="Arial"/>
      <w:sz w:val="20"/>
    </w:rPr>
  </w:style>
  <w:style w:type="paragraph" w:customStyle="1" w:styleId="CDIFigure-Placeholder">
    <w:name w:val="CDI Figure - Placeholder"/>
    <w:basedOn w:val="Normal"/>
    <w:rsid w:val="00BB589B"/>
    <w:pPr>
      <w:spacing w:before="240" w:after="240"/>
      <w:jc w:val="center"/>
    </w:pPr>
  </w:style>
  <w:style w:type="paragraph" w:customStyle="1" w:styleId="CDITable-FirstFootnote">
    <w:name w:val="CDI Table - First Footnote"/>
    <w:basedOn w:val="CDITable-Footnote"/>
    <w:rsid w:val="0052708C"/>
    <w:pPr>
      <w:spacing w:before="180"/>
    </w:pPr>
  </w:style>
  <w:style w:type="paragraph" w:customStyle="1" w:styleId="CDIAbout">
    <w:name w:val="CDI About"/>
    <w:basedOn w:val="CDIBoxHeading"/>
    <w:rsid w:val="00423436"/>
    <w:pPr>
      <w:spacing w:before="360"/>
      <w:outlineLvl w:val="9"/>
    </w:pPr>
    <w:rPr>
      <w:sz w:val="24"/>
    </w:rPr>
  </w:style>
  <w:style w:type="character" w:customStyle="1" w:styleId="CDICopyrighttextbullet">
    <w:name w:val="CDI Copyright text bullet"/>
    <w:basedOn w:val="DefaultParagraphFont"/>
    <w:uiPriority w:val="1"/>
    <w:rsid w:val="00734159"/>
    <w:rPr>
      <w:rFonts w:cs="Arial"/>
      <w:color w:val="1E4496" w:themeColor="text2"/>
    </w:rPr>
  </w:style>
  <w:style w:type="paragraph" w:customStyle="1" w:styleId="CDICopyrightHeading">
    <w:name w:val="CDI Copyright Heading"/>
    <w:basedOn w:val="CDICopyright"/>
    <w:rsid w:val="00CC3648"/>
    <w:pPr>
      <w:spacing w:before="180"/>
    </w:pPr>
    <w:rPr>
      <w:b/>
      <w:bCs/>
    </w:rPr>
  </w:style>
  <w:style w:type="character" w:styleId="Hyperlink">
    <w:name w:val="Hyperlink"/>
    <w:basedOn w:val="DefaultParagraphFont"/>
    <w:uiPriority w:val="99"/>
    <w:unhideWhenUsed/>
    <w:rsid w:val="00423436"/>
    <w:rPr>
      <w:color w:val="1E4496" w:themeColor="text2"/>
      <w:u w:val="singl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before">
    <w:name w:val="Normal - more space before"/>
    <w:basedOn w:val="Normal"/>
    <w:rsid w:val="00662078"/>
    <w:pPr>
      <w:spacing w:before="360"/>
    </w:pPr>
  </w:style>
  <w:style w:type="paragraph" w:customStyle="1" w:styleId="CDITable-HeaderRowLeft">
    <w:name w:val="CDI Table - Header Row Left"/>
    <w:basedOn w:val="CDITable-Title"/>
    <w:rsid w:val="00987E68"/>
    <w:pPr>
      <w:spacing w:beforeAutospacing="1" w:afterAutospacing="1" w:line="240" w:lineRule="auto"/>
    </w:pPr>
    <w:rPr>
      <w:color w:val="FFFFFF" w:themeColor="background1"/>
      <w:sz w:val="18"/>
    </w:rPr>
  </w:style>
  <w:style w:type="paragraph" w:customStyle="1" w:styleId="CDITable-RowLeft">
    <w:name w:val="CDI Table - Row Left"/>
    <w:basedOn w:val="Normal"/>
    <w:rsid w:val="002571C9"/>
    <w:pPr>
      <w:spacing w:before="100" w:beforeAutospacing="1" w:after="100" w:afterAutospacing="1" w:line="240" w:lineRule="auto"/>
    </w:pPr>
    <w:rPr>
      <w:sz w:val="18"/>
    </w:rPr>
  </w:style>
  <w:style w:type="paragraph" w:customStyle="1" w:styleId="CDITable-TotalRowLeft">
    <w:name w:val="CDI Table - Total Row Left"/>
    <w:basedOn w:val="Normal"/>
    <w:rsid w:val="00AC46DC"/>
    <w:pPr>
      <w:spacing w:before="100" w:beforeAutospacing="1" w:after="100" w:afterAutospacing="1" w:line="240" w:lineRule="auto"/>
    </w:pPr>
    <w:rPr>
      <w:b/>
      <w:sz w:val="18"/>
    </w:rPr>
  </w:style>
  <w:style w:type="paragraph" w:customStyle="1" w:styleId="CDITable-TotalRowCentre">
    <w:name w:val="CDI Table - Total Row Centre"/>
    <w:basedOn w:val="CDITable-TotalRowLeft"/>
    <w:rsid w:val="00734159"/>
    <w:pPr>
      <w:jc w:val="center"/>
    </w:pPr>
  </w:style>
  <w:style w:type="paragraph" w:customStyle="1" w:styleId="CDITable-RowCentre">
    <w:name w:val="CDI Table - Row Centre"/>
    <w:basedOn w:val="CDITable-RowLeft"/>
    <w:rsid w:val="002571C9"/>
    <w:pPr>
      <w:jc w:val="center"/>
    </w:pPr>
  </w:style>
  <w:style w:type="paragraph" w:customStyle="1" w:styleId="CDITable-HeaderRowCentre">
    <w:name w:val="CDI Table - Header Row Centre"/>
    <w:basedOn w:val="Normal"/>
    <w:rsid w:val="00987E68"/>
    <w:pPr>
      <w:spacing w:beforeAutospacing="1" w:afterAutospacing="1" w:line="240" w:lineRule="auto"/>
      <w:jc w:val="center"/>
    </w:pPr>
    <w:rPr>
      <w:b/>
      <w:color w:val="FFFFFF" w:themeColor="background1"/>
      <w:sz w:val="18"/>
      <w:lang w:val="en-GB"/>
    </w:rPr>
  </w:style>
  <w:style w:type="paragraph" w:customStyle="1" w:styleId="Normal-lessspace">
    <w:name w:val="Normal - less space"/>
    <w:basedOn w:val="Normal"/>
    <w:rsid w:val="00F8130F"/>
    <w:pPr>
      <w:spacing w:before="120"/>
    </w:pPr>
    <w:rPr>
      <w:lang w:val="en-GB"/>
    </w:rPr>
  </w:style>
  <w:style w:type="paragraph" w:customStyle="1" w:styleId="Normal-nospace">
    <w:name w:val="Normal - no space"/>
    <w:basedOn w:val="Normal"/>
    <w:rsid w:val="00962C2F"/>
    <w:pPr>
      <w:spacing w:before="0"/>
    </w:pPr>
    <w:rPr>
      <w:noProof/>
    </w:rPr>
  </w:style>
  <w:style w:type="paragraph" w:customStyle="1" w:styleId="CDIShadedBoxText">
    <w:name w:val="CDI Shaded Box Text"/>
    <w:basedOn w:val="CDIBoxTex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ShadedBoxHeading">
    <w:name w:val="CDI Shaded Box Heading"/>
    <w:basedOn w:val="CDIBoxHeading"/>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customStyle="1" w:styleId="CDINumberedList1-L1lessspace">
    <w:name w:val="CDI Numbered List (1.) - L1 less space"/>
    <w:basedOn w:val="CDINumberedList1L1"/>
    <w:rsid w:val="00343991"/>
    <w:pPr>
      <w:spacing w:before="120"/>
    </w:pPr>
  </w:style>
  <w:style w:type="paragraph" w:customStyle="1" w:styleId="CDITable-RowBullets">
    <w:name w:val="CDI Table - Row Bullets"/>
    <w:basedOn w:val="CDITable-RowLeft"/>
    <w:rsid w:val="00E51949"/>
    <w:pPr>
      <w:numPr>
        <w:numId w:val="3"/>
      </w:numPr>
      <w:spacing w:before="60" w:beforeAutospacing="0" w:after="0" w:afterAutospacing="0"/>
      <w:ind w:left="284" w:hanging="284"/>
    </w:pPr>
  </w:style>
  <w:style w:type="paragraph" w:customStyle="1" w:styleId="CDIShadedBoxBullets">
    <w:name w:val="CDI Shaded Box Bullets"/>
    <w:basedOn w:val="CDIBoxBullet"/>
    <w:rsid w:val="00CD4362"/>
    <w:pPr>
      <w:pBdr>
        <w:top w:val="single" w:sz="6" w:space="4" w:color="DCF4FC" w:themeColor="background2" w:themeTint="33"/>
        <w:left w:val="single" w:sz="6" w:space="4" w:color="DCF4FC" w:themeColor="background2" w:themeTint="33"/>
        <w:bottom w:val="single" w:sz="6" w:space="4" w:color="DCF4FC" w:themeColor="background2" w:themeTint="33"/>
        <w:right w:val="single" w:sz="6" w:space="4" w:color="DCF4FC" w:themeColor="background2" w:themeTint="33"/>
      </w:pBdr>
      <w:shd w:val="clear" w:color="auto" w:fill="DCF4FC" w:themeFill="background2" w:themeFillTint="33"/>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
    <w:name w:val="CDI Copyright"/>
    <w:basedOn w:val="Normal"/>
    <w:rsid w:val="00CC3648"/>
    <w:pPr>
      <w:spacing w:before="120"/>
    </w:pPr>
    <w:rPr>
      <w:sz w:val="18"/>
    </w:rPr>
  </w:style>
  <w:style w:type="paragraph" w:customStyle="1" w:styleId="Heading1-nospacebefore">
    <w:name w:val="Heading 1 - no space before"/>
    <w:basedOn w:val="Heading1"/>
    <w:next w:val="Normal"/>
    <w:link w:val="Heading1-nospacebeforeChar"/>
    <w:rsid w:val="00122ADA"/>
    <w:pPr>
      <w:spacing w:before="0"/>
    </w:pPr>
  </w:style>
  <w:style w:type="paragraph" w:customStyle="1" w:styleId="Heading1-lessspacebefore">
    <w:name w:val="Heading 1 - less space before"/>
    <w:basedOn w:val="Heading1"/>
    <w:link w:val="Heading1-lessspacebeforeChar"/>
    <w:rsid w:val="00B87887"/>
    <w:pPr>
      <w:spacing w:before="180"/>
    </w:pPr>
    <w:rPr>
      <w:lang w:val="en-GB"/>
    </w:rPr>
  </w:style>
  <w:style w:type="character" w:customStyle="1" w:styleId="Heading1-lessspacebeforeChar">
    <w:name w:val="Heading 1 - less space before Char"/>
    <w:basedOn w:val="Heading1Char"/>
    <w:link w:val="Heading1-lessspacebefore"/>
    <w:rsid w:val="00B87887"/>
    <w:rPr>
      <w:rFonts w:asciiTheme="majorHAnsi" w:hAnsiTheme="majorHAnsi" w:cs="Manrope ExtraLight"/>
      <w:b/>
      <w:color w:val="1E449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1E4496" w:themeColor="text2"/>
      <w:kern w:val="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1E449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rsid w:val="00B87887"/>
    <w:pPr>
      <w:spacing w:before="180"/>
    </w:pPr>
  </w:style>
  <w:style w:type="character" w:customStyle="1" w:styleId="Heading2-lessspacebeforeChar">
    <w:name w:val="Heading 2 - less space before Char"/>
    <w:basedOn w:val="Heading2Char"/>
    <w:link w:val="Heading2-lessspacebefore"/>
    <w:rsid w:val="00B87887"/>
    <w:rPr>
      <w:rFonts w:asciiTheme="majorHAnsi" w:hAnsiTheme="majorHAnsi" w:cs="MyriadPro-Bold"/>
      <w:b/>
      <w:bCs/>
      <w:color w:val="1E449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1E449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rsid w:val="00B87887"/>
    <w:pPr>
      <w:spacing w:before="180"/>
    </w:pPr>
  </w:style>
  <w:style w:type="character" w:customStyle="1" w:styleId="Heading3-lessspacebeforeChar">
    <w:name w:val="Heading 3 - less space before Char"/>
    <w:basedOn w:val="Heading3Char"/>
    <w:link w:val="Heading3-lessspacebefore"/>
    <w:rsid w:val="00B87887"/>
    <w:rPr>
      <w:rFonts w:asciiTheme="majorHAnsi" w:hAnsiTheme="majorHAnsi" w:cs="MyriadPro-Regular"/>
      <w:bCs/>
      <w:color w:val="1E4496" w:themeColor="text2"/>
      <w:sz w:val="32"/>
      <w:szCs w:val="26"/>
      <w14:ligatures w14:val="standardContextual"/>
    </w:rPr>
  </w:style>
  <w:style w:type="paragraph" w:customStyle="1" w:styleId="CDICorrespondingauthor">
    <w:name w:val="CDI Corresponding author"/>
    <w:basedOn w:val="Heading4"/>
    <w:next w:val="Normal"/>
    <w:link w:val="CDICorrespondingauthorChar"/>
    <w:rsid w:val="003E4B09"/>
    <w:pPr>
      <w:outlineLvl w:val="1"/>
    </w:pPr>
  </w:style>
  <w:style w:type="character" w:customStyle="1" w:styleId="CDICorrespondingauthorChar">
    <w:name w:val="CDI Corresponding author Char"/>
    <w:basedOn w:val="Heading4Char"/>
    <w:link w:val="CDICorrespondingauthor"/>
    <w:rsid w:val="003E4B09"/>
    <w:rPr>
      <w:rFonts w:asciiTheme="majorHAnsi" w:eastAsiaTheme="majorEastAsia" w:hAnsiTheme="majorHAnsi" w:cstheme="majorBidi"/>
      <w:bCs/>
      <w:iCs/>
      <w:color w:val="1E4496" w:themeColor="text2"/>
      <w:sz w:val="28"/>
      <w:lang w:val="en-GB"/>
      <w14:ligatures w14:val="standardContextual"/>
    </w:rPr>
  </w:style>
  <w:style w:type="character" w:customStyle="1" w:styleId="CDIFooterChar">
    <w:name w:val="CDI Footer Char"/>
    <w:basedOn w:val="DefaultParagraphFont"/>
    <w:link w:val="CDIFooter"/>
    <w:rsid w:val="00E94D1B"/>
    <w:rPr>
      <w:sz w:val="18"/>
      <w:szCs w:val="18"/>
      <w14:ligatures w14:val="standardContextual"/>
    </w:rPr>
  </w:style>
  <w:style w:type="paragraph" w:customStyle="1" w:styleId="CDIDOIInformation-nospace">
    <w:name w:val="CDI DOI Information - no space"/>
    <w:basedOn w:val="CDIPublicationstring"/>
    <w:rsid w:val="003C02BF"/>
    <w:pPr>
      <w:spacing w:before="0"/>
    </w:pPr>
  </w:style>
  <w:style w:type="character" w:customStyle="1" w:styleId="CDIPublicationstringChar">
    <w:name w:val="CDI Publication string Char"/>
    <w:basedOn w:val="DefaultParagraphFont"/>
    <w:link w:val="CDIPublicationstring"/>
    <w:rsid w:val="007B617C"/>
    <w:rPr>
      <w:rFonts w:ascii="Arial" w:hAnsi="Arial"/>
      <w:sz w:val="20"/>
      <w14:ligatures w14:val="standardContextual"/>
    </w:rPr>
  </w:style>
  <w:style w:type="paragraph" w:customStyle="1" w:styleId="CDIName">
    <w:name w:val="CDI Name"/>
    <w:basedOn w:val="CDIPublicationstring"/>
    <w:link w:val="CDINameChar"/>
    <w:rsid w:val="00867976"/>
    <w:rPr>
      <w:rFonts w:cs="Arial"/>
      <w:bCs/>
      <w:spacing w:val="-5"/>
      <w:szCs w:val="21"/>
    </w:rPr>
  </w:style>
  <w:style w:type="character" w:customStyle="1" w:styleId="CDINameChar">
    <w:name w:val="CDI Name Char"/>
    <w:basedOn w:val="CDIPublicationstringChar"/>
    <w:link w:val="CDIName"/>
    <w:rsid w:val="00867976"/>
    <w:rPr>
      <w:rFonts w:ascii="Arial" w:hAnsi="Arial" w:cs="Arial"/>
      <w:bCs/>
      <w:spacing w:val="-5"/>
      <w:sz w:val="21"/>
      <w:szCs w:val="21"/>
      <w14:ligatures w14:val="standardContextual"/>
    </w:rPr>
  </w:style>
  <w:style w:type="paragraph" w:customStyle="1" w:styleId="CDIAbouttextLess">
    <w:name w:val="CDI About text Less"/>
    <w:basedOn w:val="CDIAbouttext"/>
    <w:rsid w:val="00B87589"/>
    <w:pPr>
      <w:spacing w:before="60"/>
    </w:pPr>
  </w:style>
  <w:style w:type="paragraph" w:customStyle="1" w:styleId="CDICopyright-lessspace">
    <w:name w:val="CDI Copyright - less space"/>
    <w:basedOn w:val="CDICopyright"/>
    <w:rsid w:val="00D8087F"/>
    <w:pPr>
      <w:numPr>
        <w:numId w:val="6"/>
      </w:numPr>
      <w:spacing w:before="60"/>
    </w:pPr>
  </w:style>
  <w:style w:type="paragraph" w:styleId="TOC1">
    <w:name w:val="toc 1"/>
    <w:basedOn w:val="Normal"/>
    <w:next w:val="Normal"/>
    <w:autoRedefine/>
    <w:uiPriority w:val="39"/>
    <w:unhideWhenUsed/>
    <w:rsid w:val="003E4B09"/>
    <w:pPr>
      <w:tabs>
        <w:tab w:val="right" w:leader="dot" w:pos="9629"/>
      </w:tabs>
    </w:pPr>
    <w:rPr>
      <w:rFonts w:eastAsiaTheme="minorHAnsi" w:cstheme="minorHAnsi"/>
      <w:b/>
      <w:bCs/>
      <w:iCs/>
      <w:szCs w:val="24"/>
      <w:lang w:eastAsia="en-US"/>
    </w:rPr>
  </w:style>
  <w:style w:type="paragraph" w:styleId="TOC2">
    <w:name w:val="toc 2"/>
    <w:basedOn w:val="Normal"/>
    <w:next w:val="Normal"/>
    <w:autoRedefine/>
    <w:uiPriority w:val="39"/>
    <w:unhideWhenUsed/>
    <w:rsid w:val="007B617C"/>
    <w:pPr>
      <w:tabs>
        <w:tab w:val="right" w:leader="dot" w:pos="9629"/>
      </w:tabs>
      <w:spacing w:before="120"/>
      <w:ind w:left="284"/>
    </w:pPr>
    <w:rPr>
      <w:rFonts w:eastAsiaTheme="minorHAnsi" w:cstheme="minorHAnsi"/>
      <w:bCs/>
      <w:lang w:eastAsia="en-US"/>
    </w:rPr>
  </w:style>
  <w:style w:type="character" w:styleId="UnresolvedMention">
    <w:name w:val="Unresolved Mention"/>
    <w:basedOn w:val="DefaultParagraphFont"/>
    <w:uiPriority w:val="99"/>
    <w:semiHidden/>
    <w:unhideWhenUsed/>
    <w:rsid w:val="00B87887"/>
    <w:rPr>
      <w:color w:val="605E5C"/>
      <w:shd w:val="clear" w:color="auto" w:fill="E1DFDD"/>
    </w:rPr>
  </w:style>
  <w:style w:type="paragraph" w:customStyle="1" w:styleId="Heading1-noline">
    <w:name w:val="Heading 1 - no line"/>
    <w:basedOn w:val="Heading1"/>
    <w:next w:val="Normal"/>
    <w:rsid w:val="0098426C"/>
    <w:pPr>
      <w:pageBreakBefore w:val="0"/>
      <w:pBdr>
        <w:bottom w:val="none" w:sz="0" w:space="0" w:color="auto"/>
      </w:pBdr>
    </w:pPr>
    <w:rPr>
      <w:lang w:val="en-GB"/>
    </w:rPr>
  </w:style>
  <w:style w:type="paragraph" w:customStyle="1" w:styleId="CDICopyrightBullets">
    <w:name w:val="CDI Copyright Bullets"/>
    <w:basedOn w:val="CDICopyright"/>
    <w:rsid w:val="00BB3320"/>
    <w:pPr>
      <w:numPr>
        <w:numId w:val="8"/>
      </w:numPr>
    </w:pPr>
  </w:style>
  <w:style w:type="paragraph" w:customStyle="1" w:styleId="Heading2-newpage">
    <w:name w:val="Heading 2 - new page"/>
    <w:basedOn w:val="Heading2"/>
    <w:next w:val="Normal"/>
    <w:rsid w:val="003A25A3"/>
    <w:pPr>
      <w:pageBreakBefore/>
    </w:pPr>
  </w:style>
  <w:style w:type="numbering" w:customStyle="1" w:styleId="CDInavybullet">
    <w:name w:val="CDI navy bullet"/>
    <w:basedOn w:val="NoList"/>
    <w:rsid w:val="00E62A74"/>
    <w:pPr>
      <w:numPr>
        <w:numId w:val="7"/>
      </w:numPr>
    </w:pPr>
  </w:style>
  <w:style w:type="paragraph" w:styleId="TableofFigures">
    <w:name w:val="table of figures"/>
    <w:basedOn w:val="Normal"/>
    <w:next w:val="Normal"/>
    <w:uiPriority w:val="99"/>
    <w:unhideWhenUsed/>
    <w:rsid w:val="00FD7AA0"/>
  </w:style>
  <w:style w:type="paragraph" w:styleId="BodyText">
    <w:name w:val="Body Text"/>
    <w:basedOn w:val="Normal"/>
    <w:link w:val="BodyTextChar"/>
    <w:uiPriority w:val="99"/>
    <w:semiHidden/>
    <w:unhideWhenUsed/>
    <w:rsid w:val="000F44BA"/>
    <w:pPr>
      <w:spacing w:after="120"/>
    </w:pPr>
  </w:style>
  <w:style w:type="character" w:customStyle="1" w:styleId="BodyTextChar">
    <w:name w:val="Body Text Char"/>
    <w:basedOn w:val="DefaultParagraphFont"/>
    <w:link w:val="BodyText"/>
    <w:uiPriority w:val="99"/>
    <w:semiHidden/>
    <w:rsid w:val="000F44BA"/>
    <w:rPr>
      <w14:ligatures w14:val="standardContextual"/>
    </w:rPr>
  </w:style>
  <w:style w:type="character" w:styleId="CommentReference">
    <w:name w:val="annotation reference"/>
    <w:basedOn w:val="DefaultParagraphFont"/>
    <w:uiPriority w:val="99"/>
    <w:semiHidden/>
    <w:unhideWhenUsed/>
    <w:rsid w:val="007B537E"/>
    <w:rPr>
      <w:sz w:val="16"/>
      <w:szCs w:val="16"/>
    </w:rPr>
  </w:style>
  <w:style w:type="paragraph" w:styleId="CommentSubject">
    <w:name w:val="annotation subject"/>
    <w:basedOn w:val="Normal"/>
    <w:next w:val="Normal"/>
    <w:link w:val="CommentSubjectChar"/>
    <w:uiPriority w:val="99"/>
    <w:semiHidden/>
    <w:unhideWhenUsed/>
    <w:rsid w:val="00BE479F"/>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BE479F"/>
    <w:rPr>
      <w:b/>
      <w:bCs/>
      <w:sz w:val="20"/>
      <w:szCs w:val="20"/>
      <w14:ligatures w14:val="standardContextual"/>
    </w:rPr>
  </w:style>
  <w:style w:type="paragraph" w:customStyle="1" w:styleId="CDIFooteritalic">
    <w:name w:val="CDI Footer italic"/>
    <w:basedOn w:val="CDIFooter"/>
    <w:next w:val="CDIFooter"/>
    <w:link w:val="CDIFooteritalicChar"/>
    <w:rsid w:val="00385655"/>
    <w:rPr>
      <w:i/>
    </w:rPr>
  </w:style>
  <w:style w:type="table" w:styleId="TableGrid">
    <w:name w:val="Table Grid"/>
    <w:basedOn w:val="TableNormal"/>
    <w:uiPriority w:val="59"/>
    <w:rsid w:val="00BB3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DIFooteritalicChar">
    <w:name w:val="CDI Footer italic Char"/>
    <w:basedOn w:val="CDIFooterChar"/>
    <w:link w:val="CDIFooteritalic"/>
    <w:rsid w:val="00385655"/>
    <w:rPr>
      <w:i/>
      <w:sz w:val="18"/>
      <w:szCs w:val="18"/>
      <w14:ligatures w14:val="standardContextual"/>
    </w:rPr>
  </w:style>
  <w:style w:type="paragraph" w:customStyle="1" w:styleId="CDIBulletsL2">
    <w:name w:val="CDI Bullets L2"/>
    <w:basedOn w:val="CDIBullets"/>
    <w:rsid w:val="007179BE"/>
    <w:pPr>
      <w:numPr>
        <w:numId w:val="9"/>
      </w:numPr>
      <w:ind w:left="1191" w:hanging="397"/>
    </w:pPr>
  </w:style>
  <w:style w:type="paragraph" w:customStyle="1" w:styleId="CDINumberedListL2">
    <w:name w:val="CDI Numbered List L2"/>
    <w:basedOn w:val="Normal"/>
    <w:rsid w:val="005A4E9D"/>
    <w:pPr>
      <w:ind w:left="794" w:hanging="397"/>
    </w:pPr>
  </w:style>
  <w:style w:type="paragraph" w:customStyle="1" w:styleId="CDINumberedListL3">
    <w:name w:val="CDI Numbered List L3"/>
    <w:basedOn w:val="CDINumberedListL2"/>
    <w:rsid w:val="000522C6"/>
    <w:pPr>
      <w:ind w:left="1191"/>
    </w:pPr>
  </w:style>
  <w:style w:type="paragraph" w:customStyle="1" w:styleId="Normal-Opening">
    <w:name w:val="Normal - Opening"/>
    <w:basedOn w:val="Normal"/>
    <w:rsid w:val="003858B4"/>
    <w:pPr>
      <w:spacing w:before="360"/>
    </w:pPr>
  </w:style>
  <w:style w:type="paragraph" w:customStyle="1" w:styleId="Normal-morespaceafter">
    <w:name w:val="Normal - more space after"/>
    <w:basedOn w:val="Normal"/>
    <w:rsid w:val="00662078"/>
    <w:pPr>
      <w:spacing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mmunisationhandbook.health.gov.au/contents/vaccine-preventable-diseases/respiratory-syncytial-virus-rsv" TargetMode="External"/><Relationship Id="rId21" Type="http://schemas.openxmlformats.org/officeDocument/2006/relationships/header" Target="header2.xml"/><Relationship Id="rId42" Type="http://schemas.openxmlformats.org/officeDocument/2006/relationships/hyperlink" Target="https://doi.org/10.1002/hsr2.556" TargetMode="External"/><Relationship Id="rId47" Type="http://schemas.openxmlformats.org/officeDocument/2006/relationships/hyperlink" Target="https://doi.org/10.1016/j.cmi.2016.11.014" TargetMode="External"/><Relationship Id="rId63" Type="http://schemas.openxmlformats.org/officeDocument/2006/relationships/hyperlink" Target="https://www.cdc.gov/acip/downloads/slides-2024-10-23-24/02-RSV-Adult-Das-508.pdf" TargetMode="External"/><Relationship Id="rId68" Type="http://schemas.openxmlformats.org/officeDocument/2006/relationships/hyperlink" Target="https://doi.org/10.1093/cid/ciae010" TargetMode="External"/><Relationship Id="rId84" Type="http://schemas.openxmlformats.org/officeDocument/2006/relationships/hyperlink" Target="https://www.cdc.gov/vaccines/acip/recs/grade/pfizer-RSVpreF-pregnant-people.html" TargetMode="External"/><Relationship Id="rId89" Type="http://schemas.openxmlformats.org/officeDocument/2006/relationships/hyperlink" Target="https://www.sanidad.gob.es/areas/promocionPrevencion/vacunaciones/vacunas/ciudadanos/vrs.htm" TargetMode="External"/><Relationship Id="rId16" Type="http://schemas.openxmlformats.org/officeDocument/2006/relationships/hyperlink" Target="https://www.cdc.gov.au/cdi" TargetMode="External"/><Relationship Id="rId11" Type="http://schemas.openxmlformats.org/officeDocument/2006/relationships/hyperlink" Target="https://creativecommons.org/licenses/by-nc-nd/4.0/legalcode" TargetMode="External"/><Relationship Id="rId32" Type="http://schemas.openxmlformats.org/officeDocument/2006/relationships/hyperlink" Target="https://doi.org/10.1186/s12916-023-02932-5" TargetMode="External"/><Relationship Id="rId37" Type="http://schemas.openxmlformats.org/officeDocument/2006/relationships/hyperlink" Target="https://doi.org/10.1093/cid/ciab595" TargetMode="External"/><Relationship Id="rId53" Type="http://schemas.openxmlformats.org/officeDocument/2006/relationships/hyperlink" Target="https://doi.org/10.1002/ppul.26324" TargetMode="External"/><Relationship Id="rId58" Type="http://schemas.openxmlformats.org/officeDocument/2006/relationships/hyperlink" Target="https://doi.org/10.15585/mmwr.mm7309a4" TargetMode="External"/><Relationship Id="rId74" Type="http://schemas.openxmlformats.org/officeDocument/2006/relationships/hyperlink" Target="https://www.act.gov.au/health/diseases-and-conditions/respiratory-syncytial-virus-rsv" TargetMode="External"/><Relationship Id="rId79" Type="http://schemas.openxmlformats.org/officeDocument/2006/relationships/hyperlink" Target="https://www.canada.ca/content/dam/phac-aspc/documents/services/publications/vaccines-immunization/national-advisory-committee-immunization-statement-prevention-respiratory-syncytial-virus-disease-infants/naci-statement-2024-05-17.pdf" TargetMode="External"/><Relationship Id="rId5" Type="http://schemas.openxmlformats.org/officeDocument/2006/relationships/settings" Target="settings.xml"/><Relationship Id="rId90" Type="http://schemas.openxmlformats.org/officeDocument/2006/relationships/hyperlink" Target="https://doi.org/10.15585/mmwr.mm7229a4" TargetMode="External"/><Relationship Id="rId95" Type="http://schemas.openxmlformats.org/officeDocument/2006/relationships/hyperlink" Target="https://www.health.gov.au/news/mandatory-reporting-changes-to-the-australian-immunisation-register-from-1-March-2024" TargetMode="External"/><Relationship Id="rId22" Type="http://schemas.openxmlformats.org/officeDocument/2006/relationships/footer" Target="footer3.xml"/><Relationship Id="rId27" Type="http://schemas.openxmlformats.org/officeDocument/2006/relationships/hyperlink" Target="https://www.tga.gov.au/resources/artg/231133" TargetMode="External"/><Relationship Id="rId43" Type="http://schemas.openxmlformats.org/officeDocument/2006/relationships/hyperlink" Target="https://doi.org/10.1371/journal.pone.0264890" TargetMode="External"/><Relationship Id="rId48" Type="http://schemas.openxmlformats.org/officeDocument/2006/relationships/hyperlink" Target="https://doi.org/10.1016/j.jinf.2017.06.007" TargetMode="External"/><Relationship Id="rId64" Type="http://schemas.openxmlformats.org/officeDocument/2006/relationships/hyperlink" Target="https://www.cdc.gov/acip/downloads/slides-2024-10-23-24/05-RSV-Adult-Lloyd-508.pdf" TargetMode="External"/><Relationship Id="rId69" Type="http://schemas.openxmlformats.org/officeDocument/2006/relationships/hyperlink" Target="https://doi.org/10.1016/S2213-2600(25)00048-7" TargetMode="External"/><Relationship Id="rId80" Type="http://schemas.openxmlformats.org/officeDocument/2006/relationships/hyperlink" Target="https://www.canada.ca/en/public-health/services/publications/vaccines-immunization/national-advisory-committee-immunization-statement-prevention-rsv-disease-older-adults.html" TargetMode="External"/><Relationship Id="rId85" Type="http://schemas.openxmlformats.org/officeDocument/2006/relationships/hyperlink" Target="https://doi.org/10.1001/jamanetworkopen.2024.19268" TargetMode="External"/><Relationship Id="rId3" Type="http://schemas.openxmlformats.org/officeDocument/2006/relationships/numbering" Target="numbering.xml"/><Relationship Id="rId12" Type="http://schemas.openxmlformats.org/officeDocument/2006/relationships/hyperlink" Target="mailto:cdi.editor@cdc.gov.au" TargetMode="External"/><Relationship Id="rId17" Type="http://schemas.openxmlformats.org/officeDocument/2006/relationships/hyperlink" Target="mailto:cdi.editor@cdc.gov.au" TargetMode="External"/><Relationship Id="rId25" Type="http://schemas.openxmlformats.org/officeDocument/2006/relationships/hyperlink" Target="https://www.ncbi.nlm.nih.gov/books/NBK459215/" TargetMode="External"/><Relationship Id="rId33" Type="http://schemas.openxmlformats.org/officeDocument/2006/relationships/hyperlink" Target="https://doi.org/10.1016/j.puhe.2023.10.031" TargetMode="External"/><Relationship Id="rId38" Type="http://schemas.openxmlformats.org/officeDocument/2006/relationships/hyperlink" Target="https://doi.org/10.1086/605948" TargetMode="External"/><Relationship Id="rId46" Type="http://schemas.openxmlformats.org/officeDocument/2006/relationships/hyperlink" Target="https://stacks.cdc.gov/view/cdc/130020" TargetMode="External"/><Relationship Id="rId59" Type="http://schemas.openxmlformats.org/officeDocument/2006/relationships/hyperlink" Target="https://doi.org/10.1016/S1473-3099(24)00215-9" TargetMode="External"/><Relationship Id="rId67" Type="http://schemas.openxmlformats.org/officeDocument/2006/relationships/hyperlink" Target="https://doi.org/10.1056/NEJMc2311560" TargetMode="External"/><Relationship Id="rId20" Type="http://schemas.openxmlformats.org/officeDocument/2006/relationships/footer" Target="footer2.xml"/><Relationship Id="rId41" Type="http://schemas.openxmlformats.org/officeDocument/2006/relationships/hyperlink" Target="https://doi.org/10.1093/cid/cit471." TargetMode="External"/><Relationship Id="rId54" Type="http://schemas.openxmlformats.org/officeDocument/2006/relationships/hyperlink" Target="https://doi.org/10.1056/NEJMoa1913556" TargetMode="External"/><Relationship Id="rId62" Type="http://schemas.openxmlformats.org/officeDocument/2006/relationships/hyperlink" Target="https://stacks.cdc.gov/view/cdc/129992" TargetMode="External"/><Relationship Id="rId70" Type="http://schemas.openxmlformats.org/officeDocument/2006/relationships/hyperlink" Target="https://www.tga.gov.au/sites/default/files/2025-04/auspar-mresva-250408-pi.pdf" TargetMode="External"/><Relationship Id="rId75" Type="http://schemas.openxmlformats.org/officeDocument/2006/relationships/hyperlink" Target="https://www.health.tas.gov.au/health-topics/immunisation/rsv-maternal-and-infant-protection-program-2025" TargetMode="External"/><Relationship Id="rId83" Type="http://schemas.openxmlformats.org/officeDocument/2006/relationships/hyperlink" Target="https://doi.org/10.15585/mmwr.mm7241e1" TargetMode="External"/><Relationship Id="rId88" Type="http://schemas.openxmlformats.org/officeDocument/2006/relationships/hyperlink" Target="https://www.gov.uk/government/publications/respiratory-syncytial-virus-rsv-vaccination-programmes-letter/introduction-of-new-nhs-vaccination-programmes-against-respiratory-syncytial-virus-rsv" TargetMode="External"/><Relationship Id="rId91" Type="http://schemas.openxmlformats.org/officeDocument/2006/relationships/hyperlink" Target="https://doi.org/10.15585/mmwr.mm7332e1" TargetMode="External"/><Relationship Id="rId96" Type="http://schemas.openxmlformats.org/officeDocument/2006/relationships/hyperlink" Target="https://ncirs.org.au/using-australian-immunisation-register-air/air-update-17-december-202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cdi.editor@cdc.gov.au" TargetMode="External"/><Relationship Id="rId23" Type="http://schemas.openxmlformats.org/officeDocument/2006/relationships/hyperlink" Target="mailto:Chisato.Imai@health.nsw.gov.au" TargetMode="External"/><Relationship Id="rId28" Type="http://schemas.openxmlformats.org/officeDocument/2006/relationships/hyperlink" Target="https://doi.org/10.1038/s41598-021-04080-3" TargetMode="External"/><Relationship Id="rId36" Type="http://schemas.openxmlformats.org/officeDocument/2006/relationships/hyperlink" Target="https://doi.org/10.1093/cid/ciaa730" TargetMode="External"/><Relationship Id="rId49" Type="http://schemas.openxmlformats.org/officeDocument/2006/relationships/hyperlink" Target="https://doi.org/10.1038/s41598-020-69017-8" TargetMode="External"/><Relationship Id="rId57" Type="http://schemas.openxmlformats.org/officeDocument/2006/relationships/hyperlink" Target="https://doi.org/10.2807/1560-7917" TargetMode="External"/><Relationship Id="rId10" Type="http://schemas.openxmlformats.org/officeDocument/2006/relationships/hyperlink" Target="https://www.cdc.gov.au/cdi" TargetMode="External"/><Relationship Id="rId31" Type="http://schemas.openxmlformats.org/officeDocument/2006/relationships/hyperlink" Target="https://doi.org/10.5694/mja2.50159" TargetMode="External"/><Relationship Id="rId44" Type="http://schemas.openxmlformats.org/officeDocument/2006/relationships/hyperlink" Target="https://doi.org/10.1007/s12325-020-01230-3" TargetMode="External"/><Relationship Id="rId52" Type="http://schemas.openxmlformats.org/officeDocument/2006/relationships/hyperlink" Target="https://doi.org/10.1056/NEJMoa2216480" TargetMode="External"/><Relationship Id="rId60" Type="http://schemas.openxmlformats.org/officeDocument/2006/relationships/hyperlink" Target="https://www.cdc.gov/acip/downloads/slides-2024-06-26-28/04-RSV-Adult-Das-508.pdf" TargetMode="External"/><Relationship Id="rId65" Type="http://schemas.openxmlformats.org/officeDocument/2006/relationships/hyperlink" Target="https://doi.org/10.1056/NEJMoa2213836" TargetMode="External"/><Relationship Id="rId73" Type="http://schemas.openxmlformats.org/officeDocument/2006/relationships/hyperlink" Target="https://www.vaccinate.initiatives.qld.gov.au/what-to-vaccinate-against/rsv-immunisation" TargetMode="External"/><Relationship Id="rId78" Type="http://schemas.openxmlformats.org/officeDocument/2006/relationships/hyperlink" Target="https://www.nitag-resource.org/sites/default/files/2024-04/atagi-statement-on-nirsevimab-2024.pdf" TargetMode="External"/><Relationship Id="rId81" Type="http://schemas.openxmlformats.org/officeDocument/2006/relationships/hyperlink" Target="https://assets.publishing.service.gov.uk/media/66fbe7693b919067bb482a1b/Green_Book_Chapter_27a_RSV_30_9_24.pdf" TargetMode="External"/><Relationship Id="rId86" Type="http://schemas.openxmlformats.org/officeDocument/2006/relationships/hyperlink" Target="https://www.gov.uk/government/publications/rsv-immunisation-programme-jcvi-advice-7-june-2023/respiratory-syncytial-virus-rsv-immunisation-programme-for-infants-and-older-adults-jcvi-full-statement-11-september-2023" TargetMode="External"/><Relationship Id="rId94" Type="http://schemas.openxmlformats.org/officeDocument/2006/relationships/hyperlink" Target="https://doi.org/10.5694/mja2.51989" TargetMode="External"/><Relationship Id="rId4" Type="http://schemas.openxmlformats.org/officeDocument/2006/relationships/styles" Target="styles.xml"/><Relationship Id="rId9" Type="http://schemas.openxmlformats.org/officeDocument/2006/relationships/image" Target="media/image1.jpg"/><Relationship Id="rId13" Type="http://schemas.openxmlformats.org/officeDocument/2006/relationships/hyperlink" Target="https://www.cdc.gov.au/resources/communicable-diseases-intelligence/cdi-editorial-advisory-board-biographies" TargetMode="External"/><Relationship Id="rId18" Type="http://schemas.openxmlformats.org/officeDocument/2006/relationships/header" Target="header1.xml"/><Relationship Id="rId39" Type="http://schemas.openxmlformats.org/officeDocument/2006/relationships/hyperlink" Target="https://doi.org/10.1093/ofid/ofy316" TargetMode="External"/><Relationship Id="rId34" Type="http://schemas.openxmlformats.org/officeDocument/2006/relationships/hyperlink" Target="https://doi.org/10.1177/00333549211041545" TargetMode="External"/><Relationship Id="rId50" Type="http://schemas.openxmlformats.org/officeDocument/2006/relationships/hyperlink" Target="https://doi.org/10.1086/344899" TargetMode="External"/><Relationship Id="rId55" Type="http://schemas.openxmlformats.org/officeDocument/2006/relationships/hyperlink" Target="https://doi.org/10.1056/NEJMc2214773" TargetMode="External"/><Relationship Id="rId76" Type="http://schemas.openxmlformats.org/officeDocument/2006/relationships/hyperlink" Target="https://www.pbs.gov.au/info/industry/listing/elements/pbac-meetings/pbac-outcomes/recommendations-made-by-the-pbac-november-2024" TargetMode="External"/><Relationship Id="rId97"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www.health.wa.gov.au/articles/u_z/wa-respiratory-syncytial-virus-rsv-infant-and-maternal-immunisation-program" TargetMode="External"/><Relationship Id="rId92" Type="http://schemas.openxmlformats.org/officeDocument/2006/relationships/hyperlink" Target="https://www.gov.uk/government/publications/respiratory-syncytial-virus-rsv-programme-information-for-healthcare-professionals/rsv-vaccination-of-older-adults-information-for-healthcare-practioners" TargetMode="External"/><Relationship Id="rId2" Type="http://schemas.openxmlformats.org/officeDocument/2006/relationships/customXml" Target="../customXml/item2.xml"/><Relationship Id="rId29" Type="http://schemas.openxmlformats.org/officeDocument/2006/relationships/hyperlink" Target="https://doi.org/10.1017/S0950268815003015" TargetMode="External"/><Relationship Id="rId24" Type="http://schemas.openxmlformats.org/officeDocument/2006/relationships/hyperlink" Target="https://doi.org/10.1128/cmr.13.3.371" TargetMode="External"/><Relationship Id="rId40" Type="http://schemas.openxmlformats.org/officeDocument/2006/relationships/hyperlink" Target="https://doi.org/10.1002/jmv.26938" TargetMode="External"/><Relationship Id="rId45" Type="http://schemas.openxmlformats.org/officeDocument/2006/relationships/hyperlink" Target="https://doi.org/10.1093/infdis/jiaa361" TargetMode="External"/><Relationship Id="rId66" Type="http://schemas.openxmlformats.org/officeDocument/2006/relationships/hyperlink" Target="https://doi.org/10.1093/cid/ciaf061" TargetMode="External"/><Relationship Id="rId87" Type="http://schemas.openxmlformats.org/officeDocument/2006/relationships/hyperlink" Target="https://doi.org/10.1016/j.lanepe.2023.100829" TargetMode="External"/><Relationship Id="rId61" Type="http://schemas.openxmlformats.org/officeDocument/2006/relationships/hyperlink" Target="https://doi.org/10.1093/cid/ciad707" TargetMode="External"/><Relationship Id="rId82" Type="http://schemas.openxmlformats.org/officeDocument/2006/relationships/hyperlink" Target="https://www.sanidad.gob.es/areas/promocionPrevencion/vacunaciones/comoTrabajamos/docs/Nirsevimab.pdf" TargetMode="External"/><Relationship Id="rId19" Type="http://schemas.openxmlformats.org/officeDocument/2006/relationships/footer" Target="footer1.xml"/><Relationship Id="rId14" Type="http://schemas.openxmlformats.org/officeDocument/2006/relationships/hyperlink" Target="https://www.cdc.gov.au/resources/communicable-diseases-intelligence/guidelines-cdi-authors" TargetMode="External"/><Relationship Id="rId30" Type="http://schemas.openxmlformats.org/officeDocument/2006/relationships/hyperlink" Target="https://doi.org/10.1111/irv.13003" TargetMode="External"/><Relationship Id="rId35" Type="http://schemas.openxmlformats.org/officeDocument/2006/relationships/hyperlink" Target="https://doi.org/10.1016/j.vaccine.2023.07.014" TargetMode="External"/><Relationship Id="rId56" Type="http://schemas.openxmlformats.org/officeDocument/2006/relationships/hyperlink" Target="https://doi.org/10.2807/1560-7917.ES.2024.29.4.2400033" TargetMode="External"/><Relationship Id="rId77" Type="http://schemas.openxmlformats.org/officeDocument/2006/relationships/hyperlink" Target="https://www.health.gov.au/resources/publications/atagi-statement-on-the-clinical-use-of-arexvy-rsv-pre-f3-vaccine-for-rsv" TargetMode="External"/><Relationship Id="rId8" Type="http://schemas.openxmlformats.org/officeDocument/2006/relationships/endnotes" Target="endnotes.xml"/><Relationship Id="rId51" Type="http://schemas.openxmlformats.org/officeDocument/2006/relationships/hyperlink" Target="https://doi.org/10.1136/bmjopen-2022-060805" TargetMode="External"/><Relationship Id="rId72" Type="http://schemas.openxmlformats.org/officeDocument/2006/relationships/hyperlink" Target="https://www.health.nsw.gov.au/immunisation/Pages/respiratory-syncytial-virus.aspx" TargetMode="External"/><Relationship Id="rId93" Type="http://schemas.openxmlformats.org/officeDocument/2006/relationships/hyperlink" Target="https://www.cdc.gov.au/resources/publications/national-surveillance-plan-covid-19-influenza-rsv" TargetMode="External"/><Relationship Id="rId9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cdc.gov.au/topics/communicable-diseases/cd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2026\CDI-long-report-template-2026.dotx" TargetMode="External"/></Relationships>
</file>

<file path=word/theme/theme1.xml><?xml version="1.0" encoding="utf-8"?>
<a:theme xmlns:a="http://schemas.openxmlformats.org/drawingml/2006/main" name="Office Theme">
  <a:themeElements>
    <a:clrScheme name="CDI 2025">
      <a:dk1>
        <a:srgbClr val="000000"/>
      </a:dk1>
      <a:lt1>
        <a:srgbClr val="FFFFFF"/>
      </a:lt1>
      <a:dk2>
        <a:srgbClr val="1E4496"/>
      </a:dk2>
      <a:lt2>
        <a:srgbClr val="53C9F1"/>
      </a:lt2>
      <a:accent1>
        <a:srgbClr val="003936"/>
      </a:accent1>
      <a:accent2>
        <a:srgbClr val="52BE96"/>
      </a:accent2>
      <a:accent3>
        <a:srgbClr val="C45727"/>
      </a:accent3>
      <a:accent4>
        <a:srgbClr val="FFD133"/>
      </a:accent4>
      <a:accent5>
        <a:srgbClr val="9F1D20"/>
      </a:accent5>
      <a:accent6>
        <a:srgbClr val="9B91C6"/>
      </a:accent6>
      <a:hlink>
        <a:srgbClr val="1E4496"/>
      </a:hlink>
      <a:folHlink>
        <a:srgbClr val="522C7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CDI-long-report-template-2026.dotx</Template>
  <TotalTime>0</TotalTime>
  <Pages>33</Pages>
  <Words>12252</Words>
  <Characters>76087</Characters>
  <Application>Microsoft Office Word</Application>
  <DocSecurity>0</DocSecurity>
  <Lines>1654</Lines>
  <Paragraphs>748</Paragraphs>
  <ScaleCrop>false</ScaleCrop>
  <HeadingPairs>
    <vt:vector size="2" baseType="variant">
      <vt:variant>
        <vt:lpstr>Title</vt:lpstr>
      </vt:variant>
      <vt:variant>
        <vt:i4>1</vt:i4>
      </vt:variant>
    </vt:vector>
  </HeadingPairs>
  <TitlesOfParts>
    <vt:vector size="1" baseType="lpstr">
      <vt:lpstr>Communicable Diseases Intelligence - ATAGI Targeted Review 2024: Immunisation strategies for prevention and control of respiratory syncytial virus disease in Australia</vt:lpstr>
    </vt:vector>
  </TitlesOfParts>
  <Company/>
  <LinksUpToDate>false</LinksUpToDate>
  <CharactersWithSpaces>87591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ATAGI Targeted Review 2024: Immunisation strategies for prevention and control of respiratory syncytial virus disease in Australia</dc:title>
  <dc:subject>This targeted review outlines the Australian Technical Advisory Group on Immunisation’s considerations and the evidence informing policy decisions on an RSV prevention strategy for Australia.</dc:subject>
  <dc:creator>Chisato Imai-Boulter;Jean Li-Kim-Moy;Jocelynne McRae;Clayton Chiu;Sanjay Jayasinghe;Kristine Macartney;Katherine Gibney;Karen Bellamy;Kristy Cooper;Katie Flanagan;Michelle Giles;Julia Marshall;Nicholas Silberstein;Benjamin Teh;Rosalind Webby;Nigel W Crawford;Australian Technical Advisory Group on Immunisation (ATAGI)</dc:creator>
  <cp:keywords>respiratory syncytial virus (RSV); Australian Technical Advisory Group on Immunisation (ATAGI); National Immunisation Technical Advisory Group (NITAG); immunisation; Australia</cp:keywords>
  <dc:description>© 2026 Commonwealth of Australia as represented by the Australian Centre for Disease Control. This publication is licenced under a CC BY-NC-ND licence.</dc:description>
  <cp:revision>2</cp:revision>
  <cp:lastPrinted>2024-03-07T01:06:00Z</cp:lastPrinted>
  <dcterms:created xsi:type="dcterms:W3CDTF">2026-05-27T01:46:00Z</dcterms:created>
  <dcterms:modified xsi:type="dcterms:W3CDTF">2026-05-27T01:46:00Z</dcterms:modified>
  <cp:category>Review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2026</vt:lpwstr>
  </property>
  <property fmtid="{D5CDD505-2E9C-101B-9397-08002B2CF9AE}" pid="3" name="Vol">
    <vt:i4>50</vt:i4>
  </property>
  <property fmtid="{D5CDD505-2E9C-101B-9397-08002B2CF9AE}" pid="4" name="ePubDate">
    <vt:lpwstr>26.05.2026</vt:lpwstr>
  </property>
  <property fmtid="{D5CDD505-2E9C-101B-9397-08002B2CF9AE}" pid="5" name="DOI">
    <vt:lpwstr>doi.org/10.33321/cdi.2026.50.034</vt:lpwstr>
  </property>
  <property fmtid="{D5CDD505-2E9C-101B-9397-08002B2CF9AE}" pid="6" name="ClassificationContentMarkingHeaderShapeIds">
    <vt:lpwstr>6520d1bd,1bbe1eff,6affb1e4</vt:lpwstr>
  </property>
  <property fmtid="{D5CDD505-2E9C-101B-9397-08002B2CF9AE}" pid="7" name="ClassificationContentMarkingHeaderFontProps">
    <vt:lpwstr>#ff0000,12,Calibri</vt:lpwstr>
  </property>
  <property fmtid="{D5CDD505-2E9C-101B-9397-08002B2CF9AE}" pid="8" name="ClassificationContentMarkingHeaderText">
    <vt:lpwstr>OFFICIAL</vt:lpwstr>
  </property>
  <property fmtid="{D5CDD505-2E9C-101B-9397-08002B2CF9AE}" pid="9" name="ClassificationContentMarkingFooterShapeIds">
    <vt:lpwstr>3831110b,6df1f75b,3cfbd6bf</vt:lpwstr>
  </property>
  <property fmtid="{D5CDD505-2E9C-101B-9397-08002B2CF9AE}" pid="10" name="ClassificationContentMarkingFooterFontProps">
    <vt:lpwstr>#ff0000,12,Calibri</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2025-11-21T03:40:04Z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3d130504-3f00-4302-9cfc-b9df9a1005dc</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