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B060C" w14:textId="6508DD0C"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3CFA1BDA">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3E5FB5">
          <w:t>2026</w:t>
        </w:r>
      </w:fldSimple>
      <w:r w:rsidR="00D22CC8" w:rsidRPr="00B85B74">
        <w:t xml:space="preserve"> • Volume </w:t>
      </w:r>
      <w:fldSimple w:instr=" DOCPROPERTY  Vol  \* MERGEFORMAT ">
        <w:r w:rsidR="003E5FB5">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443E44">
          <w:t>28.04.2026</w:t>
        </w:r>
      </w:fldSimple>
      <w:r w:rsidR="00700338">
        <w:t xml:space="preserve"> </w:t>
      </w:r>
      <w:r w:rsidR="00700338" w:rsidRPr="00B85B74">
        <w:t xml:space="preserve">• </w:t>
      </w:r>
      <w:fldSimple w:instr=" DOCPROPERTY  DOI  \* MERGEFORMAT ">
        <w:r w:rsidR="00443E44">
          <w:t>doi.org/10.33321/cdi.2026.50.028</w:t>
        </w:r>
      </w:fldSimple>
    </w:p>
    <w:p w14:paraId="2A781B3B" w14:textId="77777777" w:rsidR="003E5FB5" w:rsidRPr="003E5FB5" w:rsidRDefault="003E5FB5" w:rsidP="003E5FB5">
      <w:pPr>
        <w:pStyle w:val="Title"/>
      </w:pPr>
      <w:r w:rsidRPr="003E5FB5">
        <w:t xml:space="preserve">Epidemiology of </w:t>
      </w:r>
      <w:r w:rsidRPr="003E5FB5">
        <w:rPr>
          <w:i/>
          <w:iCs/>
        </w:rPr>
        <w:t>Staphylococcus aureus</w:t>
      </w:r>
      <w:r w:rsidRPr="003E5FB5">
        <w:t xml:space="preserve"> infections in Timor-Leste, January–July 2020</w:t>
      </w:r>
    </w:p>
    <w:p w14:paraId="159401F6" w14:textId="71B6C2C5" w:rsidR="00013B65" w:rsidRDefault="003E5FB5" w:rsidP="00BB3320">
      <w:pPr>
        <w:pStyle w:val="Subtitle"/>
      </w:pPr>
      <w:r w:rsidRPr="003E5FB5">
        <w:t>Virginia de L da Conceição, Nevio da C Sarmento, Edson B Matoso, Narcisio</w:t>
      </w:r>
      <w:r>
        <w:t> </w:t>
      </w:r>
      <w:r w:rsidRPr="003E5FB5">
        <w:t xml:space="preserve">Soares, Tessa M Oakley, Ian M Marr, </w:t>
      </w:r>
      <w:proofErr w:type="spellStart"/>
      <w:r w:rsidRPr="003E5FB5">
        <w:t>Lucsendar</w:t>
      </w:r>
      <w:proofErr w:type="spellEnd"/>
      <w:r w:rsidRPr="003E5FB5">
        <w:t xml:space="preserve"> Alves, Jennifer</w:t>
      </w:r>
      <w:r>
        <w:t> </w:t>
      </w:r>
      <w:r w:rsidRPr="003E5FB5">
        <w:t>Yan, Joshua R Francis, Teresa M Wozniak</w:t>
      </w:r>
      <w:r w:rsidR="00013B65">
        <w:br w:type="page"/>
      </w:r>
    </w:p>
    <w:p w14:paraId="6A1BFE7A"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3E5FB5">
          <w:t>2026</w:t>
        </w:r>
      </w:fldSimple>
      <w:r w:rsidRPr="0089025E">
        <w:t xml:space="preserve"> Commonwealth of Australia as represented by the </w:t>
      </w:r>
      <w:r w:rsidR="00C722FD">
        <w:t>Australian Centre for Disease Control</w:t>
      </w:r>
    </w:p>
    <w:p w14:paraId="4EFE6C6E" w14:textId="77777777" w:rsidR="00B52457" w:rsidRPr="0089025E" w:rsidRDefault="00B52457" w:rsidP="00087CC4">
      <w:pPr>
        <w:pStyle w:val="CDICopyright"/>
      </w:pPr>
      <w:r w:rsidRPr="0089025E">
        <w:t>ISSN: 2209-6051 Online</w:t>
      </w:r>
    </w:p>
    <w:p w14:paraId="11929733" w14:textId="77777777" w:rsidR="00B52457" w:rsidRDefault="00B52457" w:rsidP="00087CC4">
      <w:pPr>
        <w:pStyle w:val="CDICopyright"/>
      </w:pPr>
      <w:r w:rsidRPr="0089025E">
        <w:t>This journal is indexed by Index Medicus and Medline.</w:t>
      </w:r>
    </w:p>
    <w:p w14:paraId="3FBF2DD5" w14:textId="77777777" w:rsidR="00B52457" w:rsidRPr="007F2B27" w:rsidRDefault="00B52457" w:rsidP="00CC3648">
      <w:pPr>
        <w:pStyle w:val="CDICopyrightHeading"/>
      </w:pPr>
      <w:r w:rsidRPr="007F2B27">
        <w:t>Creative Commons Licence</w:t>
      </w:r>
    </w:p>
    <w:p w14:paraId="244E27F6"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655FCB34" w14:textId="77777777" w:rsidR="00B52457" w:rsidRPr="007F2B27" w:rsidRDefault="00B52457" w:rsidP="00CC3648">
      <w:pPr>
        <w:pStyle w:val="CDICopyrightHeading"/>
      </w:pPr>
      <w:r w:rsidRPr="007F2B27">
        <w:t>Restrictions</w:t>
      </w:r>
    </w:p>
    <w:p w14:paraId="270364A1"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8384D0E"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32F0E063"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5DDD08AF" w14:textId="77777777" w:rsidR="00B52457" w:rsidRPr="00E9313B" w:rsidRDefault="00B52457" w:rsidP="00E9313B">
      <w:pPr>
        <w:pStyle w:val="CDICopyrightBullets"/>
      </w:pPr>
      <w:r w:rsidRPr="00E9313B">
        <w:t xml:space="preserve">any photographs and images; </w:t>
      </w:r>
    </w:p>
    <w:p w14:paraId="03A30FCC" w14:textId="77777777" w:rsidR="00B52457" w:rsidRPr="00E9313B" w:rsidRDefault="00B52457" w:rsidP="00E9313B">
      <w:pPr>
        <w:pStyle w:val="CDICopyrightBullets"/>
      </w:pPr>
      <w:r w:rsidRPr="00E9313B">
        <w:t>any signatures; and</w:t>
      </w:r>
    </w:p>
    <w:p w14:paraId="21A1C001" w14:textId="77777777" w:rsidR="00B52457" w:rsidRPr="003C23C9" w:rsidRDefault="00B52457" w:rsidP="00E9313B">
      <w:pPr>
        <w:pStyle w:val="CDICopyrightBullets"/>
      </w:pPr>
      <w:r w:rsidRPr="00E9313B">
        <w:t>any</w:t>
      </w:r>
      <w:r w:rsidRPr="003C23C9">
        <w:t xml:space="preserve"> material belonging to third parties.</w:t>
      </w:r>
    </w:p>
    <w:p w14:paraId="554FB75C" w14:textId="77777777" w:rsidR="00B52457" w:rsidRPr="00CC3648" w:rsidRDefault="00B52457" w:rsidP="00CC3648">
      <w:pPr>
        <w:pStyle w:val="CDICopyrightHeading"/>
      </w:pPr>
      <w:r w:rsidRPr="00CC3648">
        <w:t>Disclaimer</w:t>
      </w:r>
    </w:p>
    <w:p w14:paraId="6E3A2BD2"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48B00A9A" w14:textId="77777777" w:rsidR="00B52457" w:rsidRPr="007F2B27" w:rsidRDefault="00B52457" w:rsidP="00CC3648">
      <w:pPr>
        <w:pStyle w:val="CDICopyrightHeading"/>
      </w:pPr>
      <w:r w:rsidRPr="007F2B27">
        <w:t>Enquiries</w:t>
      </w:r>
    </w:p>
    <w:p w14:paraId="2493A4C4"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4F24BF7B" w14:textId="77777777" w:rsidR="00B52457" w:rsidRPr="00A65DFA" w:rsidRDefault="00B52457" w:rsidP="00B52457">
      <w:pPr>
        <w:pStyle w:val="CDIAbout"/>
      </w:pPr>
      <w:bookmarkStart w:id="1" w:name="_Toc190257376"/>
      <w:r>
        <w:t xml:space="preserve">About </w:t>
      </w:r>
      <w:bookmarkEnd w:id="1"/>
      <w:r w:rsidR="0022524E">
        <w:t>CDI</w:t>
      </w:r>
    </w:p>
    <w:p w14:paraId="4FD2A813"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5F86CB4D"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5132201D"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0B06DBE5"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212E8E20"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120F225E"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69A62139" w14:textId="77777777" w:rsidR="00B52457" w:rsidRPr="00B87589" w:rsidRDefault="00B52457" w:rsidP="00B87589">
      <w:pPr>
        <w:pStyle w:val="CDIAbouttext"/>
        <w:rPr>
          <w:b/>
          <w:bCs/>
        </w:rPr>
      </w:pPr>
      <w:r w:rsidRPr="00B87589">
        <w:rPr>
          <w:b/>
          <w:bCs/>
        </w:rPr>
        <w:t>Contact us</w:t>
      </w:r>
    </w:p>
    <w:p w14:paraId="255586F0" w14:textId="77777777" w:rsidR="00B52457" w:rsidRPr="00087CC4" w:rsidRDefault="00B52457" w:rsidP="00360B3A">
      <w:pPr>
        <w:pStyle w:val="CDIAbouttextLess"/>
      </w:pPr>
      <w:r w:rsidRPr="009572C6">
        <w:t>Communicable Diseases Intelligence</w:t>
      </w:r>
      <w:r w:rsidRPr="00087CC4">
        <w:t xml:space="preserve"> (CDI)</w:t>
      </w:r>
    </w:p>
    <w:p w14:paraId="5D2668FF" w14:textId="77777777" w:rsidR="00B52457" w:rsidRPr="00087CC4" w:rsidRDefault="009572C6" w:rsidP="00360B3A">
      <w:pPr>
        <w:pStyle w:val="CDIAbouttextLess"/>
      </w:pPr>
      <w:r>
        <w:t>Australian Centre for Disease Control</w:t>
      </w:r>
    </w:p>
    <w:p w14:paraId="2596E73D"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2931D884"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784C131F"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585C58A7" w14:textId="340D6840" w:rsidR="00442142" w:rsidRDefault="00442142" w:rsidP="00A24E95">
      <w:pPr>
        <w:pStyle w:val="Heading1"/>
      </w:pPr>
      <w:bookmarkStart w:id="2" w:name="_Toc227567830"/>
      <w:bookmarkStart w:id="3" w:name="_Toc195530498"/>
      <w:r>
        <w:lastRenderedPageBreak/>
        <w:t>Contents</w:t>
      </w:r>
      <w:bookmarkEnd w:id="2"/>
    </w:p>
    <w:p w14:paraId="433A5352" w14:textId="5D57DE86" w:rsidR="00442142" w:rsidRPr="00442142" w:rsidRDefault="00442142" w:rsidP="00443E44">
      <w:pPr>
        <w:pStyle w:val="TOC1"/>
        <w:spacing w:before="360"/>
        <w:rPr>
          <w:noProof/>
        </w:rPr>
      </w:pPr>
      <w:r>
        <w:fldChar w:fldCharType="begin"/>
      </w:r>
      <w:r>
        <w:instrText xml:space="preserve"> TOC \o "1-1" \h \z \t "Heading 2,2,Heading 2 - no space before,2,Heading 2 - less space before,2,Heading 2 - new page,2" </w:instrText>
      </w:r>
      <w:r>
        <w:fldChar w:fldCharType="separate"/>
      </w:r>
      <w:hyperlink w:anchor="_Toc227567831" w:history="1">
        <w:r w:rsidRPr="00B9011D">
          <w:rPr>
            <w:rStyle w:val="Hyperlink"/>
            <w:noProof/>
          </w:rPr>
          <w:t>Abstract</w:t>
        </w:r>
        <w:r>
          <w:rPr>
            <w:noProof/>
            <w:webHidden/>
          </w:rPr>
          <w:tab/>
        </w:r>
        <w:r>
          <w:rPr>
            <w:noProof/>
            <w:webHidden/>
          </w:rPr>
          <w:fldChar w:fldCharType="begin"/>
        </w:r>
        <w:r>
          <w:rPr>
            <w:noProof/>
            <w:webHidden/>
          </w:rPr>
          <w:instrText xml:space="preserve"> PAGEREF _Toc227567831 \h </w:instrText>
        </w:r>
        <w:r>
          <w:rPr>
            <w:noProof/>
            <w:webHidden/>
          </w:rPr>
        </w:r>
        <w:r>
          <w:rPr>
            <w:noProof/>
            <w:webHidden/>
          </w:rPr>
          <w:fldChar w:fldCharType="separate"/>
        </w:r>
        <w:r w:rsidR="00DF7BC0">
          <w:rPr>
            <w:noProof/>
            <w:webHidden/>
          </w:rPr>
          <w:t>4</w:t>
        </w:r>
        <w:r>
          <w:rPr>
            <w:noProof/>
            <w:webHidden/>
          </w:rPr>
          <w:fldChar w:fldCharType="end"/>
        </w:r>
      </w:hyperlink>
    </w:p>
    <w:p w14:paraId="1EF1C21D" w14:textId="6ED09CDE" w:rsidR="00442142" w:rsidRPr="00442142" w:rsidRDefault="00442142">
      <w:pPr>
        <w:pStyle w:val="TOC1"/>
        <w:rPr>
          <w:noProof/>
        </w:rPr>
      </w:pPr>
      <w:hyperlink w:anchor="_Toc227567836" w:history="1">
        <w:r w:rsidRPr="00B9011D">
          <w:rPr>
            <w:rStyle w:val="Hyperlink"/>
            <w:noProof/>
          </w:rPr>
          <w:t>Introduction</w:t>
        </w:r>
        <w:r>
          <w:rPr>
            <w:noProof/>
            <w:webHidden/>
          </w:rPr>
          <w:tab/>
        </w:r>
        <w:r>
          <w:rPr>
            <w:noProof/>
            <w:webHidden/>
          </w:rPr>
          <w:fldChar w:fldCharType="begin"/>
        </w:r>
        <w:r>
          <w:rPr>
            <w:noProof/>
            <w:webHidden/>
          </w:rPr>
          <w:instrText xml:space="preserve"> PAGEREF _Toc227567836 \h </w:instrText>
        </w:r>
        <w:r>
          <w:rPr>
            <w:noProof/>
            <w:webHidden/>
          </w:rPr>
        </w:r>
        <w:r>
          <w:rPr>
            <w:noProof/>
            <w:webHidden/>
          </w:rPr>
          <w:fldChar w:fldCharType="separate"/>
        </w:r>
        <w:r w:rsidR="00DF7BC0">
          <w:rPr>
            <w:noProof/>
            <w:webHidden/>
          </w:rPr>
          <w:t>5</w:t>
        </w:r>
        <w:r>
          <w:rPr>
            <w:noProof/>
            <w:webHidden/>
          </w:rPr>
          <w:fldChar w:fldCharType="end"/>
        </w:r>
      </w:hyperlink>
    </w:p>
    <w:p w14:paraId="3BB08F4D" w14:textId="5256BCF2" w:rsidR="00442142" w:rsidRPr="00442142" w:rsidRDefault="00442142">
      <w:pPr>
        <w:pStyle w:val="TOC1"/>
        <w:rPr>
          <w:noProof/>
        </w:rPr>
      </w:pPr>
      <w:hyperlink w:anchor="_Toc227567837" w:history="1">
        <w:r w:rsidRPr="00B9011D">
          <w:rPr>
            <w:rStyle w:val="Hyperlink"/>
            <w:noProof/>
            <w:lang w:val="en-GB"/>
          </w:rPr>
          <w:t>Methods</w:t>
        </w:r>
        <w:r>
          <w:rPr>
            <w:noProof/>
            <w:webHidden/>
          </w:rPr>
          <w:tab/>
        </w:r>
        <w:r>
          <w:rPr>
            <w:noProof/>
            <w:webHidden/>
          </w:rPr>
          <w:fldChar w:fldCharType="begin"/>
        </w:r>
        <w:r>
          <w:rPr>
            <w:noProof/>
            <w:webHidden/>
          </w:rPr>
          <w:instrText xml:space="preserve"> PAGEREF _Toc227567837 \h </w:instrText>
        </w:r>
        <w:r>
          <w:rPr>
            <w:noProof/>
            <w:webHidden/>
          </w:rPr>
        </w:r>
        <w:r>
          <w:rPr>
            <w:noProof/>
            <w:webHidden/>
          </w:rPr>
          <w:fldChar w:fldCharType="separate"/>
        </w:r>
        <w:r w:rsidR="00DF7BC0">
          <w:rPr>
            <w:noProof/>
            <w:webHidden/>
          </w:rPr>
          <w:t>6</w:t>
        </w:r>
        <w:r>
          <w:rPr>
            <w:noProof/>
            <w:webHidden/>
          </w:rPr>
          <w:fldChar w:fldCharType="end"/>
        </w:r>
      </w:hyperlink>
    </w:p>
    <w:p w14:paraId="7F7662B9" w14:textId="703DBB56" w:rsidR="00442142" w:rsidRPr="00442142" w:rsidRDefault="00442142">
      <w:pPr>
        <w:pStyle w:val="TOC2"/>
        <w:tabs>
          <w:tab w:val="right" w:leader="dot" w:pos="9629"/>
        </w:tabs>
        <w:rPr>
          <w:noProof/>
        </w:rPr>
      </w:pPr>
      <w:hyperlink w:anchor="_Toc227567838" w:history="1">
        <w:r w:rsidRPr="00B9011D">
          <w:rPr>
            <w:rStyle w:val="Hyperlink"/>
            <w:noProof/>
            <w:lang w:val="en-GB"/>
          </w:rPr>
          <w:t>Study population and sample criteria</w:t>
        </w:r>
        <w:r>
          <w:rPr>
            <w:noProof/>
            <w:webHidden/>
          </w:rPr>
          <w:tab/>
        </w:r>
        <w:r>
          <w:rPr>
            <w:noProof/>
            <w:webHidden/>
          </w:rPr>
          <w:fldChar w:fldCharType="begin"/>
        </w:r>
        <w:r>
          <w:rPr>
            <w:noProof/>
            <w:webHidden/>
          </w:rPr>
          <w:instrText xml:space="preserve"> PAGEREF _Toc227567838 \h </w:instrText>
        </w:r>
        <w:r>
          <w:rPr>
            <w:noProof/>
            <w:webHidden/>
          </w:rPr>
        </w:r>
        <w:r>
          <w:rPr>
            <w:noProof/>
            <w:webHidden/>
          </w:rPr>
          <w:fldChar w:fldCharType="separate"/>
        </w:r>
        <w:r w:rsidR="00DF7BC0">
          <w:rPr>
            <w:noProof/>
            <w:webHidden/>
          </w:rPr>
          <w:t>6</w:t>
        </w:r>
        <w:r>
          <w:rPr>
            <w:noProof/>
            <w:webHidden/>
          </w:rPr>
          <w:fldChar w:fldCharType="end"/>
        </w:r>
      </w:hyperlink>
    </w:p>
    <w:p w14:paraId="7BB646AB" w14:textId="3DE2F161" w:rsidR="00442142" w:rsidRPr="00442142" w:rsidRDefault="00442142">
      <w:pPr>
        <w:pStyle w:val="TOC2"/>
        <w:tabs>
          <w:tab w:val="right" w:leader="dot" w:pos="9629"/>
        </w:tabs>
        <w:rPr>
          <w:noProof/>
        </w:rPr>
      </w:pPr>
      <w:hyperlink w:anchor="_Toc227567839" w:history="1">
        <w:r w:rsidRPr="00B9011D">
          <w:rPr>
            <w:rStyle w:val="Hyperlink"/>
            <w:noProof/>
            <w:lang w:val="en-GB"/>
          </w:rPr>
          <w:t>Definitions</w:t>
        </w:r>
        <w:r>
          <w:rPr>
            <w:noProof/>
            <w:webHidden/>
          </w:rPr>
          <w:tab/>
        </w:r>
        <w:r>
          <w:rPr>
            <w:noProof/>
            <w:webHidden/>
          </w:rPr>
          <w:fldChar w:fldCharType="begin"/>
        </w:r>
        <w:r>
          <w:rPr>
            <w:noProof/>
            <w:webHidden/>
          </w:rPr>
          <w:instrText xml:space="preserve"> PAGEREF _Toc227567839 \h </w:instrText>
        </w:r>
        <w:r>
          <w:rPr>
            <w:noProof/>
            <w:webHidden/>
          </w:rPr>
        </w:r>
        <w:r>
          <w:rPr>
            <w:noProof/>
            <w:webHidden/>
          </w:rPr>
          <w:fldChar w:fldCharType="separate"/>
        </w:r>
        <w:r w:rsidR="00DF7BC0">
          <w:rPr>
            <w:noProof/>
            <w:webHidden/>
          </w:rPr>
          <w:t>6</w:t>
        </w:r>
        <w:r>
          <w:rPr>
            <w:noProof/>
            <w:webHidden/>
          </w:rPr>
          <w:fldChar w:fldCharType="end"/>
        </w:r>
      </w:hyperlink>
    </w:p>
    <w:p w14:paraId="1AC20AE1" w14:textId="3F795354" w:rsidR="00442142" w:rsidRPr="00442142" w:rsidRDefault="00442142">
      <w:pPr>
        <w:pStyle w:val="TOC2"/>
        <w:tabs>
          <w:tab w:val="right" w:leader="dot" w:pos="9629"/>
        </w:tabs>
        <w:rPr>
          <w:noProof/>
        </w:rPr>
      </w:pPr>
      <w:hyperlink w:anchor="_Toc227567840" w:history="1">
        <w:r w:rsidRPr="00B9011D">
          <w:rPr>
            <w:rStyle w:val="Hyperlink"/>
            <w:noProof/>
            <w:lang w:val="en-GB"/>
          </w:rPr>
          <w:t>Sample processing and identification</w:t>
        </w:r>
        <w:r>
          <w:rPr>
            <w:noProof/>
            <w:webHidden/>
          </w:rPr>
          <w:tab/>
        </w:r>
        <w:r>
          <w:rPr>
            <w:noProof/>
            <w:webHidden/>
          </w:rPr>
          <w:fldChar w:fldCharType="begin"/>
        </w:r>
        <w:r>
          <w:rPr>
            <w:noProof/>
            <w:webHidden/>
          </w:rPr>
          <w:instrText xml:space="preserve"> PAGEREF _Toc227567840 \h </w:instrText>
        </w:r>
        <w:r>
          <w:rPr>
            <w:noProof/>
            <w:webHidden/>
          </w:rPr>
        </w:r>
        <w:r>
          <w:rPr>
            <w:noProof/>
            <w:webHidden/>
          </w:rPr>
          <w:fldChar w:fldCharType="separate"/>
        </w:r>
        <w:r w:rsidR="00DF7BC0">
          <w:rPr>
            <w:noProof/>
            <w:webHidden/>
          </w:rPr>
          <w:t>6</w:t>
        </w:r>
        <w:r>
          <w:rPr>
            <w:noProof/>
            <w:webHidden/>
          </w:rPr>
          <w:fldChar w:fldCharType="end"/>
        </w:r>
      </w:hyperlink>
    </w:p>
    <w:p w14:paraId="21281DDA" w14:textId="35FC79CC" w:rsidR="00442142" w:rsidRPr="00442142" w:rsidRDefault="00442142">
      <w:pPr>
        <w:pStyle w:val="TOC2"/>
        <w:tabs>
          <w:tab w:val="right" w:leader="dot" w:pos="9629"/>
        </w:tabs>
        <w:rPr>
          <w:noProof/>
        </w:rPr>
      </w:pPr>
      <w:hyperlink w:anchor="_Toc227567841" w:history="1">
        <w:r w:rsidRPr="00B9011D">
          <w:rPr>
            <w:rStyle w:val="Hyperlink"/>
            <w:noProof/>
            <w:lang w:val="en-GB"/>
          </w:rPr>
          <w:t>Data analysis</w:t>
        </w:r>
        <w:r>
          <w:rPr>
            <w:noProof/>
            <w:webHidden/>
          </w:rPr>
          <w:tab/>
        </w:r>
        <w:r>
          <w:rPr>
            <w:noProof/>
            <w:webHidden/>
          </w:rPr>
          <w:fldChar w:fldCharType="begin"/>
        </w:r>
        <w:r>
          <w:rPr>
            <w:noProof/>
            <w:webHidden/>
          </w:rPr>
          <w:instrText xml:space="preserve"> PAGEREF _Toc227567841 \h </w:instrText>
        </w:r>
        <w:r>
          <w:rPr>
            <w:noProof/>
            <w:webHidden/>
          </w:rPr>
        </w:r>
        <w:r>
          <w:rPr>
            <w:noProof/>
            <w:webHidden/>
          </w:rPr>
          <w:fldChar w:fldCharType="separate"/>
        </w:r>
        <w:r w:rsidR="00DF7BC0">
          <w:rPr>
            <w:noProof/>
            <w:webHidden/>
          </w:rPr>
          <w:t>7</w:t>
        </w:r>
        <w:r>
          <w:rPr>
            <w:noProof/>
            <w:webHidden/>
          </w:rPr>
          <w:fldChar w:fldCharType="end"/>
        </w:r>
      </w:hyperlink>
    </w:p>
    <w:p w14:paraId="1B0DEBF2" w14:textId="6241B79C" w:rsidR="00442142" w:rsidRPr="00442142" w:rsidRDefault="00442142">
      <w:pPr>
        <w:pStyle w:val="TOC1"/>
        <w:rPr>
          <w:noProof/>
        </w:rPr>
      </w:pPr>
      <w:hyperlink w:anchor="_Toc227567842" w:history="1">
        <w:r w:rsidRPr="00B9011D">
          <w:rPr>
            <w:rStyle w:val="Hyperlink"/>
            <w:noProof/>
          </w:rPr>
          <w:t>Results</w:t>
        </w:r>
        <w:r>
          <w:rPr>
            <w:noProof/>
            <w:webHidden/>
          </w:rPr>
          <w:tab/>
        </w:r>
        <w:r>
          <w:rPr>
            <w:noProof/>
            <w:webHidden/>
          </w:rPr>
          <w:fldChar w:fldCharType="begin"/>
        </w:r>
        <w:r>
          <w:rPr>
            <w:noProof/>
            <w:webHidden/>
          </w:rPr>
          <w:instrText xml:space="preserve"> PAGEREF _Toc227567842 \h </w:instrText>
        </w:r>
        <w:r>
          <w:rPr>
            <w:noProof/>
            <w:webHidden/>
          </w:rPr>
        </w:r>
        <w:r>
          <w:rPr>
            <w:noProof/>
            <w:webHidden/>
          </w:rPr>
          <w:fldChar w:fldCharType="separate"/>
        </w:r>
        <w:r w:rsidR="00DF7BC0">
          <w:rPr>
            <w:noProof/>
            <w:webHidden/>
          </w:rPr>
          <w:t>8</w:t>
        </w:r>
        <w:r>
          <w:rPr>
            <w:noProof/>
            <w:webHidden/>
          </w:rPr>
          <w:fldChar w:fldCharType="end"/>
        </w:r>
      </w:hyperlink>
    </w:p>
    <w:p w14:paraId="00215BCA" w14:textId="44924204" w:rsidR="00442142" w:rsidRPr="00442142" w:rsidRDefault="00442142">
      <w:pPr>
        <w:pStyle w:val="TOC2"/>
        <w:tabs>
          <w:tab w:val="right" w:leader="dot" w:pos="9629"/>
        </w:tabs>
        <w:rPr>
          <w:noProof/>
        </w:rPr>
      </w:pPr>
      <w:hyperlink w:anchor="_Toc227567843" w:history="1">
        <w:r w:rsidRPr="00B9011D">
          <w:rPr>
            <w:rStyle w:val="Hyperlink"/>
            <w:noProof/>
            <w:lang w:val="en-GB"/>
          </w:rPr>
          <w:t>Clinical characteristics</w:t>
        </w:r>
        <w:r>
          <w:rPr>
            <w:noProof/>
            <w:webHidden/>
          </w:rPr>
          <w:tab/>
        </w:r>
        <w:r>
          <w:rPr>
            <w:noProof/>
            <w:webHidden/>
          </w:rPr>
          <w:fldChar w:fldCharType="begin"/>
        </w:r>
        <w:r>
          <w:rPr>
            <w:noProof/>
            <w:webHidden/>
          </w:rPr>
          <w:instrText xml:space="preserve"> PAGEREF _Toc227567843 \h </w:instrText>
        </w:r>
        <w:r>
          <w:rPr>
            <w:noProof/>
            <w:webHidden/>
          </w:rPr>
        </w:r>
        <w:r>
          <w:rPr>
            <w:noProof/>
            <w:webHidden/>
          </w:rPr>
          <w:fldChar w:fldCharType="separate"/>
        </w:r>
        <w:r w:rsidR="00DF7BC0">
          <w:rPr>
            <w:noProof/>
            <w:webHidden/>
          </w:rPr>
          <w:t>10</w:t>
        </w:r>
        <w:r>
          <w:rPr>
            <w:noProof/>
            <w:webHidden/>
          </w:rPr>
          <w:fldChar w:fldCharType="end"/>
        </w:r>
      </w:hyperlink>
    </w:p>
    <w:p w14:paraId="1ACB02B1" w14:textId="1FE55027" w:rsidR="00442142" w:rsidRPr="00442142" w:rsidRDefault="00442142">
      <w:pPr>
        <w:pStyle w:val="TOC1"/>
        <w:rPr>
          <w:noProof/>
        </w:rPr>
      </w:pPr>
      <w:hyperlink w:anchor="_Toc227567844" w:history="1">
        <w:r w:rsidRPr="00B9011D">
          <w:rPr>
            <w:rStyle w:val="Hyperlink"/>
            <w:noProof/>
          </w:rPr>
          <w:t>Discussion</w:t>
        </w:r>
        <w:r>
          <w:rPr>
            <w:noProof/>
            <w:webHidden/>
          </w:rPr>
          <w:tab/>
        </w:r>
        <w:r>
          <w:rPr>
            <w:noProof/>
            <w:webHidden/>
          </w:rPr>
          <w:fldChar w:fldCharType="begin"/>
        </w:r>
        <w:r>
          <w:rPr>
            <w:noProof/>
            <w:webHidden/>
          </w:rPr>
          <w:instrText xml:space="preserve"> PAGEREF _Toc227567844 \h </w:instrText>
        </w:r>
        <w:r>
          <w:rPr>
            <w:noProof/>
            <w:webHidden/>
          </w:rPr>
        </w:r>
        <w:r>
          <w:rPr>
            <w:noProof/>
            <w:webHidden/>
          </w:rPr>
          <w:fldChar w:fldCharType="separate"/>
        </w:r>
        <w:r w:rsidR="00DF7BC0">
          <w:rPr>
            <w:noProof/>
            <w:webHidden/>
          </w:rPr>
          <w:t>12</w:t>
        </w:r>
        <w:r>
          <w:rPr>
            <w:noProof/>
            <w:webHidden/>
          </w:rPr>
          <w:fldChar w:fldCharType="end"/>
        </w:r>
      </w:hyperlink>
    </w:p>
    <w:p w14:paraId="3434A88A" w14:textId="460C1187" w:rsidR="00442142" w:rsidRPr="00442142" w:rsidRDefault="00442142">
      <w:pPr>
        <w:pStyle w:val="TOC1"/>
        <w:rPr>
          <w:noProof/>
        </w:rPr>
      </w:pPr>
      <w:hyperlink w:anchor="_Toc227567846" w:history="1">
        <w:r w:rsidRPr="00B9011D">
          <w:rPr>
            <w:rStyle w:val="Hyperlink"/>
            <w:noProof/>
          </w:rPr>
          <w:t>Conclusion</w:t>
        </w:r>
        <w:r>
          <w:rPr>
            <w:noProof/>
            <w:webHidden/>
          </w:rPr>
          <w:tab/>
        </w:r>
        <w:r>
          <w:rPr>
            <w:noProof/>
            <w:webHidden/>
          </w:rPr>
          <w:fldChar w:fldCharType="begin"/>
        </w:r>
        <w:r>
          <w:rPr>
            <w:noProof/>
            <w:webHidden/>
          </w:rPr>
          <w:instrText xml:space="preserve"> PAGEREF _Toc227567846 \h </w:instrText>
        </w:r>
        <w:r>
          <w:rPr>
            <w:noProof/>
            <w:webHidden/>
          </w:rPr>
        </w:r>
        <w:r>
          <w:rPr>
            <w:noProof/>
            <w:webHidden/>
          </w:rPr>
          <w:fldChar w:fldCharType="separate"/>
        </w:r>
        <w:r w:rsidR="00DF7BC0">
          <w:rPr>
            <w:noProof/>
            <w:webHidden/>
          </w:rPr>
          <w:t>13</w:t>
        </w:r>
        <w:r>
          <w:rPr>
            <w:noProof/>
            <w:webHidden/>
          </w:rPr>
          <w:fldChar w:fldCharType="end"/>
        </w:r>
      </w:hyperlink>
    </w:p>
    <w:p w14:paraId="715F48EB" w14:textId="2A621C55" w:rsidR="00442142" w:rsidRPr="00442142" w:rsidRDefault="00442142">
      <w:pPr>
        <w:pStyle w:val="TOC1"/>
        <w:rPr>
          <w:noProof/>
        </w:rPr>
      </w:pPr>
      <w:hyperlink w:anchor="_Toc227567850" w:history="1">
        <w:r w:rsidRPr="00B9011D">
          <w:rPr>
            <w:rStyle w:val="Hyperlink"/>
            <w:noProof/>
            <w:lang w:val="en-GB"/>
          </w:rPr>
          <w:t>Acknowledgments</w:t>
        </w:r>
        <w:r>
          <w:rPr>
            <w:noProof/>
            <w:webHidden/>
          </w:rPr>
          <w:tab/>
        </w:r>
        <w:r>
          <w:rPr>
            <w:noProof/>
            <w:webHidden/>
          </w:rPr>
          <w:fldChar w:fldCharType="begin"/>
        </w:r>
        <w:r>
          <w:rPr>
            <w:noProof/>
            <w:webHidden/>
          </w:rPr>
          <w:instrText xml:space="preserve"> PAGEREF _Toc227567850 \h </w:instrText>
        </w:r>
        <w:r>
          <w:rPr>
            <w:noProof/>
            <w:webHidden/>
          </w:rPr>
        </w:r>
        <w:r>
          <w:rPr>
            <w:noProof/>
            <w:webHidden/>
          </w:rPr>
          <w:fldChar w:fldCharType="separate"/>
        </w:r>
        <w:r w:rsidR="00DF7BC0">
          <w:rPr>
            <w:noProof/>
            <w:webHidden/>
          </w:rPr>
          <w:t>13</w:t>
        </w:r>
        <w:r>
          <w:rPr>
            <w:noProof/>
            <w:webHidden/>
          </w:rPr>
          <w:fldChar w:fldCharType="end"/>
        </w:r>
      </w:hyperlink>
    </w:p>
    <w:p w14:paraId="6F7D48CB" w14:textId="4912011A" w:rsidR="00442142" w:rsidRPr="00442142" w:rsidRDefault="00442142">
      <w:pPr>
        <w:pStyle w:val="TOC1"/>
        <w:rPr>
          <w:noProof/>
        </w:rPr>
      </w:pPr>
      <w:hyperlink w:anchor="_Toc227567851" w:history="1">
        <w:r w:rsidRPr="00B9011D">
          <w:rPr>
            <w:rStyle w:val="Hyperlink"/>
            <w:noProof/>
          </w:rPr>
          <w:t>Author details</w:t>
        </w:r>
        <w:r>
          <w:rPr>
            <w:noProof/>
            <w:webHidden/>
          </w:rPr>
          <w:tab/>
        </w:r>
        <w:r>
          <w:rPr>
            <w:noProof/>
            <w:webHidden/>
          </w:rPr>
          <w:fldChar w:fldCharType="begin"/>
        </w:r>
        <w:r>
          <w:rPr>
            <w:noProof/>
            <w:webHidden/>
          </w:rPr>
          <w:instrText xml:space="preserve"> PAGEREF _Toc227567851 \h </w:instrText>
        </w:r>
        <w:r>
          <w:rPr>
            <w:noProof/>
            <w:webHidden/>
          </w:rPr>
        </w:r>
        <w:r>
          <w:rPr>
            <w:noProof/>
            <w:webHidden/>
          </w:rPr>
          <w:fldChar w:fldCharType="separate"/>
        </w:r>
        <w:r w:rsidR="00DF7BC0">
          <w:rPr>
            <w:noProof/>
            <w:webHidden/>
          </w:rPr>
          <w:t>14</w:t>
        </w:r>
        <w:r>
          <w:rPr>
            <w:noProof/>
            <w:webHidden/>
          </w:rPr>
          <w:fldChar w:fldCharType="end"/>
        </w:r>
      </w:hyperlink>
    </w:p>
    <w:p w14:paraId="345E8377" w14:textId="67434680" w:rsidR="00442142" w:rsidRPr="00442142" w:rsidRDefault="00442142">
      <w:pPr>
        <w:pStyle w:val="TOC1"/>
        <w:rPr>
          <w:noProof/>
        </w:rPr>
      </w:pPr>
      <w:hyperlink w:anchor="_Toc227567852" w:history="1">
        <w:r w:rsidRPr="00B9011D">
          <w:rPr>
            <w:rStyle w:val="Hyperlink"/>
            <w:noProof/>
          </w:rPr>
          <w:t>References</w:t>
        </w:r>
        <w:r>
          <w:rPr>
            <w:noProof/>
            <w:webHidden/>
          </w:rPr>
          <w:tab/>
        </w:r>
        <w:r>
          <w:rPr>
            <w:noProof/>
            <w:webHidden/>
          </w:rPr>
          <w:fldChar w:fldCharType="begin"/>
        </w:r>
        <w:r>
          <w:rPr>
            <w:noProof/>
            <w:webHidden/>
          </w:rPr>
          <w:instrText xml:space="preserve"> PAGEREF _Toc227567852 \h </w:instrText>
        </w:r>
        <w:r>
          <w:rPr>
            <w:noProof/>
            <w:webHidden/>
          </w:rPr>
        </w:r>
        <w:r>
          <w:rPr>
            <w:noProof/>
            <w:webHidden/>
          </w:rPr>
          <w:fldChar w:fldCharType="separate"/>
        </w:r>
        <w:r w:rsidR="00DF7BC0">
          <w:rPr>
            <w:noProof/>
            <w:webHidden/>
          </w:rPr>
          <w:t>15</w:t>
        </w:r>
        <w:r>
          <w:rPr>
            <w:noProof/>
            <w:webHidden/>
          </w:rPr>
          <w:fldChar w:fldCharType="end"/>
        </w:r>
      </w:hyperlink>
    </w:p>
    <w:p w14:paraId="14D2B383" w14:textId="28E63F7A" w:rsidR="00442142" w:rsidRPr="00442142" w:rsidRDefault="00442142" w:rsidP="00442142">
      <w:r>
        <w:rPr>
          <w:rFonts w:eastAsiaTheme="minorHAnsi" w:cstheme="minorHAnsi"/>
          <w:szCs w:val="24"/>
          <w:lang w:eastAsia="en-US"/>
        </w:rPr>
        <w:fldChar w:fldCharType="end"/>
      </w:r>
    </w:p>
    <w:p w14:paraId="29BB53B6" w14:textId="5C2025F0" w:rsidR="00F25C00" w:rsidRDefault="0098426C" w:rsidP="00A24E95">
      <w:pPr>
        <w:pStyle w:val="Heading1"/>
      </w:pPr>
      <w:bookmarkStart w:id="4" w:name="_Toc227567831"/>
      <w:r>
        <w:lastRenderedPageBreak/>
        <w:t>Abstract</w:t>
      </w:r>
      <w:bookmarkEnd w:id="3"/>
      <w:bookmarkEnd w:id="4"/>
    </w:p>
    <w:p w14:paraId="02238C6E" w14:textId="77777777" w:rsidR="003E5FB5" w:rsidRPr="003E5FB5" w:rsidRDefault="003E5FB5" w:rsidP="003E5FB5">
      <w:pPr>
        <w:pStyle w:val="Heading2"/>
        <w:rPr>
          <w:lang w:val="en-GB"/>
        </w:rPr>
      </w:pPr>
      <w:bookmarkStart w:id="5" w:name="_Toc227567832"/>
      <w:r w:rsidRPr="003E5FB5">
        <w:rPr>
          <w:lang w:val="en-GB"/>
        </w:rPr>
        <w:t>Background</w:t>
      </w:r>
      <w:bookmarkEnd w:id="5"/>
    </w:p>
    <w:p w14:paraId="28CF121B" w14:textId="77777777" w:rsidR="003E5FB5" w:rsidRPr="003E5FB5" w:rsidRDefault="003E5FB5" w:rsidP="003E5FB5">
      <w:pPr>
        <w:rPr>
          <w:lang w:val="en-GB"/>
        </w:rPr>
      </w:pPr>
      <w:r w:rsidRPr="003E5FB5">
        <w:rPr>
          <w:lang w:val="en-GB"/>
        </w:rPr>
        <w:t xml:space="preserve">The nation of Timor-Leste has a significant burden of infectious disease but has historically had limited diagnostic capacity and limited availability of microbiology data on human health. Recent developments in the diagnosis and reporting of key pathogens including </w:t>
      </w:r>
      <w:r w:rsidRPr="003E5FB5">
        <w:rPr>
          <w:i/>
          <w:iCs/>
          <w:lang w:val="en-GB"/>
        </w:rPr>
        <w:t>Staphylococcus aureus</w:t>
      </w:r>
      <w:r w:rsidRPr="003E5FB5">
        <w:rPr>
          <w:lang w:val="en-GB"/>
        </w:rPr>
        <w:t xml:space="preserve"> have allowed better understanding of the burden of key infectious diseases and their impact on the population of Timor-Leste.</w:t>
      </w:r>
    </w:p>
    <w:p w14:paraId="2AF66DDA" w14:textId="77777777" w:rsidR="003E5FB5" w:rsidRPr="003E5FB5" w:rsidRDefault="003E5FB5" w:rsidP="003E5FB5">
      <w:pPr>
        <w:pStyle w:val="Heading2"/>
        <w:rPr>
          <w:lang w:val="en-GB"/>
        </w:rPr>
      </w:pPr>
      <w:bookmarkStart w:id="6" w:name="_Toc227567833"/>
      <w:r w:rsidRPr="003E5FB5">
        <w:rPr>
          <w:lang w:val="en-GB"/>
        </w:rPr>
        <w:t>Methods</w:t>
      </w:r>
      <w:bookmarkEnd w:id="6"/>
    </w:p>
    <w:p w14:paraId="4AE11F15" w14:textId="77777777" w:rsidR="003E5FB5" w:rsidRPr="003E5FB5" w:rsidRDefault="003E5FB5" w:rsidP="003E5FB5">
      <w:pPr>
        <w:rPr>
          <w:lang w:val="en-GB"/>
        </w:rPr>
      </w:pPr>
      <w:r w:rsidRPr="003E5FB5">
        <w:rPr>
          <w:lang w:val="en-GB"/>
        </w:rPr>
        <w:t xml:space="preserve">A prospective observational study was performed on clinical isolates of </w:t>
      </w:r>
      <w:r w:rsidRPr="003E5FB5">
        <w:rPr>
          <w:i/>
          <w:iCs/>
          <w:lang w:val="en-GB"/>
        </w:rPr>
        <w:t>S. aureus</w:t>
      </w:r>
      <w:r w:rsidRPr="003E5FB5">
        <w:rPr>
          <w:lang w:val="en-GB"/>
        </w:rPr>
        <w:t xml:space="preserve"> received at </w:t>
      </w:r>
      <w:proofErr w:type="spellStart"/>
      <w:r w:rsidRPr="003E5FB5">
        <w:rPr>
          <w:lang w:val="en-GB"/>
        </w:rPr>
        <w:t>Laboratório</w:t>
      </w:r>
      <w:proofErr w:type="spellEnd"/>
      <w:r w:rsidRPr="003E5FB5">
        <w:rPr>
          <w:lang w:val="en-GB"/>
        </w:rPr>
        <w:t xml:space="preserve"> da </w:t>
      </w:r>
      <w:proofErr w:type="spellStart"/>
      <w:r w:rsidRPr="003E5FB5">
        <w:rPr>
          <w:lang w:val="en-GB"/>
        </w:rPr>
        <w:t>Saúde</w:t>
      </w:r>
      <w:proofErr w:type="spellEnd"/>
      <w:r w:rsidRPr="003E5FB5">
        <w:rPr>
          <w:lang w:val="en-GB"/>
        </w:rPr>
        <w:t xml:space="preserve"> in Dili, Timor-Leste between January 2020 and July 2020. Clinical samples were obtained from patients living in 11 of the 13 municipalities in Timor-Leste. Standard microbiology culture, identification, and antimicrobial susceptibility testing were performed, and clinical and demographic data were collected on laboratory-confirmed </w:t>
      </w:r>
      <w:r w:rsidRPr="003E5FB5">
        <w:rPr>
          <w:i/>
          <w:iCs/>
          <w:lang w:val="en-GB"/>
        </w:rPr>
        <w:t>S. aureus</w:t>
      </w:r>
      <w:r w:rsidRPr="003E5FB5">
        <w:rPr>
          <w:lang w:val="en-GB"/>
        </w:rPr>
        <w:t xml:space="preserve"> isolates.</w:t>
      </w:r>
    </w:p>
    <w:p w14:paraId="39724F22" w14:textId="77777777" w:rsidR="003E5FB5" w:rsidRPr="003E5FB5" w:rsidRDefault="003E5FB5" w:rsidP="003E5FB5">
      <w:pPr>
        <w:pStyle w:val="Heading2"/>
        <w:rPr>
          <w:lang w:val="en-GB"/>
        </w:rPr>
      </w:pPr>
      <w:bookmarkStart w:id="7" w:name="_Toc227567834"/>
      <w:r w:rsidRPr="003E5FB5">
        <w:rPr>
          <w:lang w:val="en-GB"/>
        </w:rPr>
        <w:t>Results</w:t>
      </w:r>
      <w:bookmarkEnd w:id="7"/>
    </w:p>
    <w:p w14:paraId="71529168" w14:textId="77777777" w:rsidR="003E5FB5" w:rsidRPr="003E5FB5" w:rsidRDefault="003E5FB5" w:rsidP="003E5FB5">
      <w:pPr>
        <w:rPr>
          <w:lang w:val="en-GB"/>
        </w:rPr>
      </w:pPr>
      <w:r w:rsidRPr="003E5FB5">
        <w:rPr>
          <w:lang w:val="en-GB"/>
        </w:rPr>
        <w:t xml:space="preserve">A total of 59 clinical isolates of </w:t>
      </w:r>
      <w:r w:rsidRPr="003E5FB5">
        <w:rPr>
          <w:i/>
          <w:iCs/>
          <w:lang w:val="en-GB"/>
        </w:rPr>
        <w:t>S. aureus</w:t>
      </w:r>
      <w:r w:rsidRPr="003E5FB5">
        <w:rPr>
          <w:lang w:val="en-GB"/>
        </w:rPr>
        <w:t xml:space="preserve"> were identified. Most patients in our study were found to have community-acquired </w:t>
      </w:r>
      <w:r w:rsidRPr="003E5FB5">
        <w:rPr>
          <w:i/>
          <w:iCs/>
          <w:lang w:val="en-GB"/>
        </w:rPr>
        <w:t>S. aureus</w:t>
      </w:r>
      <w:r w:rsidRPr="003E5FB5">
        <w:rPr>
          <w:lang w:val="en-GB"/>
        </w:rPr>
        <w:t xml:space="preserve"> (75%), whilst the remaining 25% were hospital-associated infections. Of </w:t>
      </w:r>
      <w:r w:rsidRPr="003E5FB5">
        <w:rPr>
          <w:i/>
          <w:iCs/>
          <w:lang w:val="en-GB"/>
        </w:rPr>
        <w:t>S. aureus</w:t>
      </w:r>
      <w:r w:rsidRPr="003E5FB5">
        <w:rPr>
          <w:lang w:val="en-GB"/>
        </w:rPr>
        <w:t xml:space="preserve"> isolates, 25% were found to be </w:t>
      </w:r>
      <w:proofErr w:type="gramStart"/>
      <w:r w:rsidRPr="003E5FB5">
        <w:rPr>
          <w:lang w:val="en-GB"/>
        </w:rPr>
        <w:t>methicillin-resistant</w:t>
      </w:r>
      <w:proofErr w:type="gramEnd"/>
      <w:r w:rsidRPr="003E5FB5">
        <w:rPr>
          <w:lang w:val="en-GB"/>
        </w:rPr>
        <w:t>.</w:t>
      </w:r>
    </w:p>
    <w:p w14:paraId="07A13C9E" w14:textId="77777777" w:rsidR="003E5FB5" w:rsidRPr="003E5FB5" w:rsidRDefault="003E5FB5" w:rsidP="003E5FB5">
      <w:pPr>
        <w:pStyle w:val="Heading2"/>
        <w:rPr>
          <w:lang w:val="en-GB"/>
        </w:rPr>
      </w:pPr>
      <w:bookmarkStart w:id="8" w:name="_Toc227567835"/>
      <w:r w:rsidRPr="003E5FB5">
        <w:rPr>
          <w:lang w:val="en-GB"/>
        </w:rPr>
        <w:t>Conclusion</w:t>
      </w:r>
      <w:bookmarkEnd w:id="8"/>
    </w:p>
    <w:p w14:paraId="4F9F3A5C" w14:textId="77777777" w:rsidR="003E5FB5" w:rsidRPr="003E5FB5" w:rsidRDefault="003E5FB5" w:rsidP="003E5FB5">
      <w:pPr>
        <w:pStyle w:val="Normal-morespaceafter"/>
        <w:rPr>
          <w:lang w:val="en-GB"/>
        </w:rPr>
      </w:pPr>
      <w:r w:rsidRPr="003E5FB5">
        <w:rPr>
          <w:lang w:val="en-GB"/>
        </w:rPr>
        <w:t xml:space="preserve">This is the first description of </w:t>
      </w:r>
      <w:r w:rsidRPr="003E5FB5">
        <w:rPr>
          <w:i/>
          <w:iCs/>
          <w:lang w:val="en-GB"/>
        </w:rPr>
        <w:t>S. aureus</w:t>
      </w:r>
      <w:r w:rsidRPr="003E5FB5">
        <w:rPr>
          <w:lang w:val="en-GB"/>
        </w:rPr>
        <w:t xml:space="preserve"> infections in Timor-Leste. The high MRSA rates identified in this study can be used to better inform guidelines for the empirical treatment of </w:t>
      </w:r>
      <w:r w:rsidRPr="003E5FB5">
        <w:rPr>
          <w:i/>
          <w:iCs/>
          <w:lang w:val="en-GB"/>
        </w:rPr>
        <w:t>S. aureus</w:t>
      </w:r>
      <w:r w:rsidRPr="003E5FB5">
        <w:rPr>
          <w:lang w:val="en-GB"/>
        </w:rPr>
        <w:t xml:space="preserve"> infection. Continuous investment in detecting clinically important pathogens and understanding their susceptibility profiles is critical for the development of treatment guidelines and antibiotic stewardship activities.</w:t>
      </w:r>
    </w:p>
    <w:p w14:paraId="2EBD3CB7" w14:textId="26640183" w:rsidR="00B73144" w:rsidRDefault="00B73144" w:rsidP="00E61A68">
      <w:pPr>
        <w:pStyle w:val="CDIBoxText"/>
        <w:rPr>
          <w:lang w:val="en-GB"/>
        </w:rPr>
      </w:pPr>
      <w:r w:rsidRPr="00E61A68">
        <w:t>Keywords</w:t>
      </w:r>
      <w:r w:rsidR="00BF1476">
        <w:t xml:space="preserve">: </w:t>
      </w:r>
      <w:r w:rsidR="003E5FB5" w:rsidRPr="003E5FB5">
        <w:rPr>
          <w:i/>
          <w:iCs/>
          <w:lang w:val="en-GB"/>
        </w:rPr>
        <w:t>Staphylococcus aureus</w:t>
      </w:r>
      <w:r w:rsidR="003E5FB5" w:rsidRPr="003E5FB5">
        <w:rPr>
          <w:lang w:val="en-GB"/>
        </w:rPr>
        <w:t>; MSSA; MRSA; antibiotic resistance; Timor-Leste</w:t>
      </w:r>
    </w:p>
    <w:p w14:paraId="2CCF141F" w14:textId="77777777" w:rsidR="0037146D" w:rsidRDefault="00B73144" w:rsidP="00B73144">
      <w:pPr>
        <w:pStyle w:val="Heading1"/>
      </w:pPr>
      <w:bookmarkStart w:id="9" w:name="_Toc195530501"/>
      <w:bookmarkStart w:id="10" w:name="_Toc227567836"/>
      <w:r>
        <w:lastRenderedPageBreak/>
        <w:t>Introduction</w:t>
      </w:r>
      <w:bookmarkEnd w:id="9"/>
      <w:bookmarkEnd w:id="10"/>
    </w:p>
    <w:p w14:paraId="431A183F" w14:textId="77777777" w:rsidR="003E5FB5" w:rsidRPr="003E5FB5" w:rsidRDefault="003E5FB5" w:rsidP="00E12E32">
      <w:pPr>
        <w:pStyle w:val="Normal-morespacebefore"/>
        <w:rPr>
          <w:lang w:val="en-GB"/>
        </w:rPr>
      </w:pPr>
      <w:r w:rsidRPr="003E5FB5">
        <w:rPr>
          <w:lang w:val="en-GB"/>
        </w:rPr>
        <w:t>Antimicrobial resistance (AMR) poses a major threat to human health globally. It is a leading cause of death around the world, with 4·95 million deaths associated with bacterial AMR in 2019.</w:t>
      </w:r>
      <w:r w:rsidRPr="003E5FB5">
        <w:rPr>
          <w:vertAlign w:val="superscript"/>
          <w:lang w:val="en-GB"/>
        </w:rPr>
        <w:t>1</w:t>
      </w:r>
      <w:r w:rsidRPr="003E5FB5">
        <w:rPr>
          <w:lang w:val="en-GB"/>
        </w:rPr>
        <w:t xml:space="preserve"> AMR affects all countries, but the burden is disproportionately higher in low- and middle-income countries (LMIC).</w:t>
      </w:r>
      <w:r w:rsidRPr="003E5FB5">
        <w:rPr>
          <w:vertAlign w:val="superscript"/>
          <w:lang w:val="en-GB"/>
        </w:rPr>
        <w:t>2</w:t>
      </w:r>
      <w:r w:rsidRPr="003E5FB5">
        <w:rPr>
          <w:lang w:val="en-GB"/>
        </w:rPr>
        <w:t xml:space="preserve"> Contributing factors include widespread use of antibiotics, a lack of investment in diagnostic microbiology,</w:t>
      </w:r>
      <w:r w:rsidRPr="003E5FB5">
        <w:rPr>
          <w:vertAlign w:val="superscript"/>
          <w:lang w:val="en-GB"/>
        </w:rPr>
        <w:t>3,4</w:t>
      </w:r>
      <w:r w:rsidRPr="003E5FB5">
        <w:rPr>
          <w:lang w:val="en-GB"/>
        </w:rPr>
        <w:t xml:space="preserve"> and limited access to clean water and sanitation.</w:t>
      </w:r>
      <w:r w:rsidRPr="003E5FB5">
        <w:rPr>
          <w:vertAlign w:val="superscript"/>
          <w:lang w:val="en-GB"/>
        </w:rPr>
        <w:t>5</w:t>
      </w:r>
      <w:r w:rsidRPr="003E5FB5">
        <w:rPr>
          <w:lang w:val="en-GB"/>
        </w:rPr>
        <w:t xml:space="preserve"> In addition, there are significant data gaps in many low-income settings, emphasising the need to expand microbiology laboratory capacity and AMR surveillance, to better understand the magnitude of the AMR threat and to develop programs to reduce the impact.</w:t>
      </w:r>
      <w:r w:rsidRPr="003E5FB5">
        <w:rPr>
          <w:vertAlign w:val="superscript"/>
          <w:lang w:val="en-GB"/>
        </w:rPr>
        <w:t>1</w:t>
      </w:r>
    </w:p>
    <w:p w14:paraId="1F43A25C" w14:textId="26B33A20" w:rsidR="00AC46DC" w:rsidRPr="00AC46DC" w:rsidRDefault="003E5FB5" w:rsidP="00AC46DC">
      <w:r w:rsidRPr="003E5FB5">
        <w:rPr>
          <w:lang w:val="en-GB"/>
        </w:rPr>
        <w:t>Timor-Leste is a resource-poor country located in Southeast Asia with a population of 1.3 million and a high burden of infectious disease. Due to previously limited laboratory capacity to identify infections and determine antimicrobial susceptibility, the AMR burden is not well described. The recent establishment of microbiological diagnostic capacity has permitted substantial improvement in both diagnosis and understanding of the antibiotic susceptibility profiles of key clinically relevant pathogens.</w:t>
      </w:r>
      <w:r w:rsidRPr="003E5FB5">
        <w:rPr>
          <w:vertAlign w:val="superscript"/>
          <w:lang w:val="en-GB"/>
        </w:rPr>
        <w:t>6,7</w:t>
      </w:r>
      <w:r w:rsidRPr="003E5FB5">
        <w:rPr>
          <w:lang w:val="en-GB"/>
        </w:rPr>
        <w:t xml:space="preserve"> To date, there is one published study of urine, skin, and soft tissue infection in Timor-Leste, from patients presenting to the Hospital Nacional Guido Valadares (HNGV) in Dili.</w:t>
      </w:r>
      <w:r w:rsidRPr="003E5FB5">
        <w:rPr>
          <w:vertAlign w:val="superscript"/>
          <w:lang w:val="en-GB"/>
        </w:rPr>
        <w:t>8</w:t>
      </w:r>
      <w:r w:rsidRPr="003E5FB5">
        <w:rPr>
          <w:lang w:val="en-GB"/>
        </w:rPr>
        <w:t xml:space="preserve"> This prior study showed a moderately high proportion of </w:t>
      </w:r>
      <w:r w:rsidRPr="003E5FB5">
        <w:rPr>
          <w:i/>
          <w:iCs/>
          <w:lang w:val="en-GB"/>
        </w:rPr>
        <w:t>Klebsiella pneumoniae</w:t>
      </w:r>
      <w:r w:rsidRPr="003E5FB5">
        <w:rPr>
          <w:lang w:val="en-GB"/>
        </w:rPr>
        <w:t xml:space="preserve"> (56%; n = 10/18) and </w:t>
      </w:r>
      <w:r w:rsidRPr="003E5FB5">
        <w:rPr>
          <w:i/>
          <w:iCs/>
          <w:lang w:val="en-GB"/>
        </w:rPr>
        <w:t>Escherichia coli</w:t>
      </w:r>
      <w:r w:rsidRPr="003E5FB5">
        <w:rPr>
          <w:lang w:val="en-GB"/>
        </w:rPr>
        <w:t xml:space="preserve"> (29%; n = 14/49) isolates with an extended-spectrum β-lactamase (ESBL)-producing phenotype, and a relatively low proportion (11%; n = 4/35) of methicillin-resistant </w:t>
      </w:r>
      <w:r w:rsidRPr="003E5FB5">
        <w:rPr>
          <w:i/>
          <w:iCs/>
          <w:lang w:val="en-GB"/>
        </w:rPr>
        <w:t>Staphylococcus aureus</w:t>
      </w:r>
      <w:r w:rsidRPr="003E5FB5">
        <w:rPr>
          <w:lang w:val="en-GB"/>
        </w:rPr>
        <w:t xml:space="preserve"> (MRSA).</w:t>
      </w:r>
      <w:r w:rsidRPr="003E5FB5">
        <w:rPr>
          <w:vertAlign w:val="superscript"/>
          <w:lang w:val="en-GB"/>
        </w:rPr>
        <w:t>8</w:t>
      </w:r>
      <w:r w:rsidRPr="003E5FB5">
        <w:rPr>
          <w:lang w:val="en-GB"/>
        </w:rPr>
        <w:t xml:space="preserve"> There is currently no published evidence describing the AMR impact in patients from other geographical locations of Timor-Leste, or for other sites of infection. This study aims to describe the epidemiology and antibiotic susceptibility of patients with </w:t>
      </w:r>
      <w:r w:rsidRPr="003E5FB5">
        <w:rPr>
          <w:i/>
          <w:iCs/>
          <w:lang w:val="en-GB"/>
        </w:rPr>
        <w:t>S. aureus</w:t>
      </w:r>
      <w:r w:rsidRPr="003E5FB5">
        <w:rPr>
          <w:lang w:val="en-GB"/>
        </w:rPr>
        <w:t xml:space="preserve"> infection across 11 of the 13 municipalities of Timor-Leste.</w:t>
      </w:r>
    </w:p>
    <w:p w14:paraId="00B866A3" w14:textId="77777777" w:rsidR="00A24E95" w:rsidRDefault="00B73144" w:rsidP="00B73144">
      <w:pPr>
        <w:pStyle w:val="Heading1"/>
        <w:rPr>
          <w:lang w:val="en-GB"/>
        </w:rPr>
      </w:pPr>
      <w:bookmarkStart w:id="11" w:name="_Toc195530502"/>
      <w:bookmarkStart w:id="12" w:name="_Toc227567837"/>
      <w:r>
        <w:rPr>
          <w:lang w:val="en-GB"/>
        </w:rPr>
        <w:lastRenderedPageBreak/>
        <w:t>Methods</w:t>
      </w:r>
      <w:bookmarkEnd w:id="11"/>
      <w:bookmarkEnd w:id="12"/>
    </w:p>
    <w:p w14:paraId="0EBBF6FF" w14:textId="77777777" w:rsidR="0065096F" w:rsidRPr="0065096F" w:rsidRDefault="0065096F" w:rsidP="0065096F">
      <w:pPr>
        <w:pStyle w:val="Heading2"/>
        <w:rPr>
          <w:lang w:val="en-GB"/>
        </w:rPr>
      </w:pPr>
      <w:bookmarkStart w:id="13" w:name="_Toc227567838"/>
      <w:r w:rsidRPr="0065096F">
        <w:rPr>
          <w:lang w:val="en-GB"/>
        </w:rPr>
        <w:t>Study population and sample criteria</w:t>
      </w:r>
      <w:bookmarkEnd w:id="13"/>
    </w:p>
    <w:p w14:paraId="5BFF3CA6" w14:textId="77777777" w:rsidR="0065096F" w:rsidRPr="0065096F" w:rsidRDefault="0065096F" w:rsidP="0065096F">
      <w:pPr>
        <w:rPr>
          <w:lang w:val="en-GB"/>
        </w:rPr>
      </w:pPr>
      <w:r w:rsidRPr="0065096F">
        <w:rPr>
          <w:lang w:val="en-GB"/>
        </w:rPr>
        <w:t xml:space="preserve">This prospective observational study was designed to collect all clinically relevant and laboratory-confirmed </w:t>
      </w:r>
      <w:r w:rsidRPr="0065096F">
        <w:rPr>
          <w:i/>
          <w:iCs/>
          <w:lang w:val="en-GB"/>
        </w:rPr>
        <w:t>S. aureus</w:t>
      </w:r>
      <w:r w:rsidRPr="0065096F">
        <w:rPr>
          <w:lang w:val="en-GB"/>
        </w:rPr>
        <w:t xml:space="preserve"> isolates from the </w:t>
      </w:r>
      <w:proofErr w:type="spellStart"/>
      <w:r w:rsidRPr="0065096F">
        <w:rPr>
          <w:lang w:val="en-GB"/>
        </w:rPr>
        <w:t>Laboratório</w:t>
      </w:r>
      <w:proofErr w:type="spellEnd"/>
      <w:r w:rsidRPr="0065096F">
        <w:rPr>
          <w:lang w:val="en-GB"/>
        </w:rPr>
        <w:t xml:space="preserve"> da </w:t>
      </w:r>
      <w:proofErr w:type="spellStart"/>
      <w:r w:rsidRPr="0065096F">
        <w:rPr>
          <w:lang w:val="en-GB"/>
        </w:rPr>
        <w:t>Saúde</w:t>
      </w:r>
      <w:proofErr w:type="spellEnd"/>
      <w:r w:rsidRPr="0065096F">
        <w:rPr>
          <w:lang w:val="en-GB"/>
        </w:rPr>
        <w:t xml:space="preserve"> (</w:t>
      </w:r>
      <w:proofErr w:type="spellStart"/>
      <w:r w:rsidRPr="0065096F">
        <w:rPr>
          <w:lang w:val="en-GB"/>
        </w:rPr>
        <w:t>LdS</w:t>
      </w:r>
      <w:proofErr w:type="spellEnd"/>
      <w:r w:rsidRPr="0065096F">
        <w:rPr>
          <w:lang w:val="en-GB"/>
        </w:rPr>
        <w:t xml:space="preserve">), Timor-Leste, between January 2020 and July 2020. Samples were collected from both inpatients and outpatients. Outpatients were classified as patients from HNGV outpatient departments; from private clinics; from community health </w:t>
      </w:r>
      <w:proofErr w:type="spellStart"/>
      <w:r w:rsidRPr="0065096F">
        <w:rPr>
          <w:lang w:val="en-GB"/>
        </w:rPr>
        <w:t>centers</w:t>
      </w:r>
      <w:proofErr w:type="spellEnd"/>
      <w:r w:rsidRPr="0065096F">
        <w:rPr>
          <w:lang w:val="en-GB"/>
        </w:rPr>
        <w:t xml:space="preserve"> (CHCs); and from five referral hospitals in Timor-Leste. Inpatients were classified as patients admitted to HNGV at the time of sample collection. Where patients had more than one isolate culture positive for </w:t>
      </w:r>
      <w:r w:rsidRPr="0065096F">
        <w:rPr>
          <w:i/>
          <w:iCs/>
          <w:lang w:val="en-GB"/>
        </w:rPr>
        <w:t>S. aureus</w:t>
      </w:r>
      <w:r w:rsidRPr="0065096F">
        <w:rPr>
          <w:lang w:val="en-GB"/>
        </w:rPr>
        <w:t xml:space="preserve"> (within the same two-week period), only one isolate per patient was included, with the sterile site sample included in preference where applicable.</w:t>
      </w:r>
    </w:p>
    <w:p w14:paraId="69C685FE" w14:textId="77777777" w:rsidR="0065096F" w:rsidRPr="0065096F" w:rsidRDefault="0065096F" w:rsidP="0065096F">
      <w:pPr>
        <w:pStyle w:val="Heading2"/>
        <w:rPr>
          <w:lang w:val="en-GB"/>
        </w:rPr>
      </w:pPr>
      <w:bookmarkStart w:id="14" w:name="_Toc227567839"/>
      <w:r w:rsidRPr="0065096F">
        <w:rPr>
          <w:lang w:val="en-GB"/>
        </w:rPr>
        <w:t>Definitions</w:t>
      </w:r>
      <w:bookmarkEnd w:id="14"/>
    </w:p>
    <w:p w14:paraId="000F4B60" w14:textId="77777777" w:rsidR="0065096F" w:rsidRPr="0065096F" w:rsidRDefault="0065096F" w:rsidP="0065096F">
      <w:pPr>
        <w:rPr>
          <w:lang w:val="en-GB"/>
        </w:rPr>
      </w:pPr>
      <w:r w:rsidRPr="0065096F">
        <w:rPr>
          <w:lang w:val="en-GB"/>
        </w:rPr>
        <w:t>Hospital-associated infection (HAI) was defined as an infection occurring 48 hours or more after admission to HNGV (inpatients) or to another health care facility. In cases where the isolate was grown from a sample collected within 48 hours of hospital admission, these were considered community-acquired infection (CAI). Urine infection was defined as a growth of &gt; 10</w:t>
      </w:r>
      <w:r w:rsidRPr="0065096F">
        <w:rPr>
          <w:vertAlign w:val="superscript"/>
          <w:lang w:val="en-GB"/>
        </w:rPr>
        <w:t>6</w:t>
      </w:r>
      <w:r w:rsidRPr="0065096F">
        <w:rPr>
          <w:lang w:val="en-GB"/>
        </w:rPr>
        <w:t xml:space="preserve"> colony forming units per millilitre.</w:t>
      </w:r>
    </w:p>
    <w:p w14:paraId="65CB5D24" w14:textId="72BB6693" w:rsidR="0065096F" w:rsidRPr="0065096F" w:rsidRDefault="0065096F" w:rsidP="0065096F">
      <w:pPr>
        <w:rPr>
          <w:lang w:val="en-GB"/>
        </w:rPr>
      </w:pPr>
      <w:r w:rsidRPr="0065096F">
        <w:rPr>
          <w:lang w:val="en-GB"/>
        </w:rPr>
        <w:t xml:space="preserve">Bloodstream infection was defined as a positive blood culture in bottles that grew </w:t>
      </w:r>
      <w:r w:rsidRPr="0065096F">
        <w:rPr>
          <w:i/>
          <w:iCs/>
          <w:lang w:val="en-GB"/>
        </w:rPr>
        <w:t>S. aureus</w:t>
      </w:r>
      <w:r w:rsidRPr="0065096F">
        <w:rPr>
          <w:lang w:val="en-GB"/>
        </w:rPr>
        <w:t xml:space="preserve">. Methicillin resistance was assessed through disc diffusion using cefoxitin 30 µg, with a diameter of ≤ 21 mm defining MRSA and a diameter of &gt; 21 mm defining methicillin-sensitive </w:t>
      </w:r>
      <w:r w:rsidRPr="0065096F">
        <w:rPr>
          <w:i/>
          <w:iCs/>
          <w:lang w:val="en-GB"/>
        </w:rPr>
        <w:t>S. aureus</w:t>
      </w:r>
      <w:r w:rsidRPr="0065096F">
        <w:rPr>
          <w:lang w:val="en-GB"/>
        </w:rPr>
        <w:t xml:space="preserve"> (MSSA). Penicillin-sensitive </w:t>
      </w:r>
      <w:r w:rsidRPr="0065096F">
        <w:rPr>
          <w:i/>
          <w:iCs/>
          <w:lang w:val="en-GB"/>
        </w:rPr>
        <w:t>S. aureus</w:t>
      </w:r>
      <w:r w:rsidRPr="0065096F">
        <w:rPr>
          <w:lang w:val="en-GB"/>
        </w:rPr>
        <w:t xml:space="preserve"> (PSSA) was defined as </w:t>
      </w:r>
      <w:r w:rsidRPr="0065096F">
        <w:rPr>
          <w:i/>
          <w:iCs/>
          <w:lang w:val="en-GB"/>
        </w:rPr>
        <w:t>S. aureus</w:t>
      </w:r>
      <w:r w:rsidRPr="0065096F">
        <w:rPr>
          <w:lang w:val="en-GB"/>
        </w:rPr>
        <w:t xml:space="preserve"> sensitive to penicillin (1</w:t>
      </w:r>
      <w:r>
        <w:rPr>
          <w:lang w:val="en-GB"/>
        </w:rPr>
        <w:t> </w:t>
      </w:r>
      <w:r w:rsidRPr="0065096F">
        <w:rPr>
          <w:lang w:val="en-GB"/>
        </w:rPr>
        <w:t>µg) with a disc of zone size ≥ 26 mm and a fuzzy (or ‘beach’) zone edge as per EUCAST recommended interpretation guidelines.</w:t>
      </w:r>
      <w:r w:rsidRPr="0065096F">
        <w:rPr>
          <w:vertAlign w:val="superscript"/>
          <w:lang w:val="en-GB"/>
        </w:rPr>
        <w:t>9</w:t>
      </w:r>
    </w:p>
    <w:p w14:paraId="45C121EB" w14:textId="77777777" w:rsidR="0065096F" w:rsidRPr="0065096F" w:rsidRDefault="0065096F" w:rsidP="0065096F">
      <w:pPr>
        <w:pStyle w:val="Heading2"/>
        <w:rPr>
          <w:lang w:val="en-GB"/>
        </w:rPr>
      </w:pPr>
      <w:bookmarkStart w:id="15" w:name="_Toc227567840"/>
      <w:r w:rsidRPr="0065096F">
        <w:rPr>
          <w:lang w:val="en-GB"/>
        </w:rPr>
        <w:t>Sample processing and identification</w:t>
      </w:r>
      <w:bookmarkEnd w:id="15"/>
    </w:p>
    <w:p w14:paraId="1D3F14CE" w14:textId="77777777" w:rsidR="0065096F" w:rsidRPr="0065096F" w:rsidRDefault="0065096F" w:rsidP="0065096F">
      <w:pPr>
        <w:rPr>
          <w:lang w:val="en-GB"/>
        </w:rPr>
      </w:pPr>
      <w:r w:rsidRPr="0065096F">
        <w:rPr>
          <w:lang w:val="en-GB"/>
        </w:rPr>
        <w:t xml:space="preserve">All samples received into the Microbiology Laboratory at </w:t>
      </w:r>
      <w:proofErr w:type="spellStart"/>
      <w:r w:rsidRPr="0065096F">
        <w:rPr>
          <w:lang w:val="en-GB"/>
        </w:rPr>
        <w:t>LdS</w:t>
      </w:r>
      <w:proofErr w:type="spellEnd"/>
      <w:r w:rsidRPr="0065096F">
        <w:rPr>
          <w:lang w:val="en-GB"/>
        </w:rPr>
        <w:t xml:space="preserve">, including blood, sputum, swabs, mid-stream urine and sterile site fluids, were tested. Swab samples included eye swab, skin, soft tissue, wound or surgical site, and sterile site fluids (pleural fluid, aspirate, cerebrospinal fluid, and swab from brain abscesses). Standard microbiology procedures were performed in adherence to the standard operating procedures (SOPs) at </w:t>
      </w:r>
      <w:proofErr w:type="spellStart"/>
      <w:r w:rsidRPr="0065096F">
        <w:rPr>
          <w:lang w:val="en-GB"/>
        </w:rPr>
        <w:t>LdS</w:t>
      </w:r>
      <w:proofErr w:type="spellEnd"/>
      <w:r w:rsidRPr="0065096F">
        <w:rPr>
          <w:lang w:val="en-GB"/>
        </w:rPr>
        <w:t>. Samples were inoculated into horse blood agar (HBA), chocolate agar (CA), and chromogenic agar.</w:t>
      </w:r>
    </w:p>
    <w:p w14:paraId="180DF3E9" w14:textId="77777777" w:rsidR="0065096F" w:rsidRPr="0065096F" w:rsidRDefault="0065096F" w:rsidP="0065096F">
      <w:pPr>
        <w:rPr>
          <w:lang w:val="en-GB"/>
        </w:rPr>
      </w:pPr>
      <w:r w:rsidRPr="0065096F">
        <w:rPr>
          <w:lang w:val="en-GB"/>
        </w:rPr>
        <w:t>All HBA and CA were incubated under 5% CO</w:t>
      </w:r>
      <w:r w:rsidRPr="0065096F">
        <w:rPr>
          <w:vertAlign w:val="subscript"/>
          <w:lang w:val="en-GB"/>
        </w:rPr>
        <w:t>2</w:t>
      </w:r>
      <w:r w:rsidRPr="0065096F">
        <w:rPr>
          <w:lang w:val="en-GB"/>
        </w:rPr>
        <w:t>, and chromogenic agar at 37 °C under O</w:t>
      </w:r>
      <w:r w:rsidRPr="0065096F">
        <w:rPr>
          <w:vertAlign w:val="subscript"/>
          <w:lang w:val="en-GB"/>
        </w:rPr>
        <w:t>2</w:t>
      </w:r>
      <w:r w:rsidRPr="0065096F">
        <w:rPr>
          <w:lang w:val="en-GB"/>
        </w:rPr>
        <w:t xml:space="preserve">, for 24–48 hours. Sterile site culture plates were held for five days before discarding. Organisms from non-sterile sites were quantified and read in accordance with Gram stain interpretation. Phenotypic identification of </w:t>
      </w:r>
      <w:r w:rsidRPr="0065096F">
        <w:rPr>
          <w:i/>
          <w:iCs/>
          <w:lang w:val="en-GB"/>
        </w:rPr>
        <w:t>S. aureus</w:t>
      </w:r>
      <w:r w:rsidRPr="0065096F">
        <w:rPr>
          <w:lang w:val="en-GB"/>
        </w:rPr>
        <w:t xml:space="preserve"> was performed by morphological reading of agar plates, Gram staining, catalase test and tube coagulase test (Remel), and confirmed using Staph latex test (Oxoid) and BD Phoenix™ M50 PID panels (Becton Dickinson, United Kingdom).</w:t>
      </w:r>
    </w:p>
    <w:p w14:paraId="6A52F9A6" w14:textId="62E2077D" w:rsidR="0065096F" w:rsidRPr="0065096F" w:rsidRDefault="0065096F" w:rsidP="0065096F">
      <w:pPr>
        <w:rPr>
          <w:lang w:val="en-GB"/>
        </w:rPr>
      </w:pPr>
      <w:r w:rsidRPr="0065096F">
        <w:rPr>
          <w:lang w:val="en-GB"/>
        </w:rPr>
        <w:t xml:space="preserve">Antibiotic susceptibility testing (AST) for confirmed isolates was performed using both disc diffusion and automated BD Phoenix™ M50 PMIC-84. Antimicrobial interpretation was performed according to the European Committee on Antimicrobial Susceptibility Testing (EUCAST) criteria </w:t>
      </w:r>
      <w:r w:rsidRPr="0065096F">
        <w:rPr>
          <w:lang w:val="en-GB"/>
        </w:rPr>
        <w:lastRenderedPageBreak/>
        <w:t>(v.10;</w:t>
      </w:r>
      <w:r>
        <w:rPr>
          <w:lang w:val="en-GB"/>
        </w:rPr>
        <w:t> </w:t>
      </w:r>
      <w:r w:rsidRPr="0065096F">
        <w:rPr>
          <w:lang w:val="en-GB"/>
        </w:rPr>
        <w:t>2020</w:t>
      </w:r>
      <w:r>
        <w:rPr>
          <w:lang w:val="en-GB"/>
        </w:rPr>
        <w:t> </w:t>
      </w:r>
      <w:r w:rsidRPr="0065096F">
        <w:rPr>
          <w:lang w:val="en-GB"/>
        </w:rPr>
        <w:t>guideline);</w:t>
      </w:r>
      <w:r w:rsidRPr="0065096F">
        <w:rPr>
          <w:vertAlign w:val="superscript"/>
          <w:lang w:val="en-GB"/>
        </w:rPr>
        <w:t>9</w:t>
      </w:r>
      <w:r w:rsidRPr="0065096F">
        <w:rPr>
          <w:lang w:val="en-GB"/>
        </w:rPr>
        <w:t xml:space="preserve"> </w:t>
      </w:r>
      <w:r w:rsidRPr="0065096F">
        <w:rPr>
          <w:i/>
          <w:iCs/>
          <w:lang w:val="en-GB"/>
        </w:rPr>
        <w:t>S. aureus</w:t>
      </w:r>
      <w:r w:rsidRPr="0065096F">
        <w:rPr>
          <w:lang w:val="en-GB"/>
        </w:rPr>
        <w:t xml:space="preserve"> was classified as penicillin-sensitive </w:t>
      </w:r>
      <w:r w:rsidRPr="0065096F">
        <w:rPr>
          <w:i/>
          <w:iCs/>
          <w:lang w:val="en-GB"/>
        </w:rPr>
        <w:t>S. aureus</w:t>
      </w:r>
      <w:r w:rsidRPr="0065096F">
        <w:rPr>
          <w:lang w:val="en-GB"/>
        </w:rPr>
        <w:t xml:space="preserve"> (PSSA), methicillin-sensitive </w:t>
      </w:r>
      <w:r w:rsidRPr="0065096F">
        <w:rPr>
          <w:i/>
          <w:iCs/>
          <w:lang w:val="en-GB"/>
        </w:rPr>
        <w:t>S. aureus</w:t>
      </w:r>
      <w:r w:rsidRPr="0065096F">
        <w:rPr>
          <w:lang w:val="en-GB"/>
        </w:rPr>
        <w:t xml:space="preserve"> (MSSA), or methicillin-resistant </w:t>
      </w:r>
      <w:r w:rsidRPr="0065096F">
        <w:rPr>
          <w:i/>
          <w:iCs/>
          <w:lang w:val="en-GB"/>
        </w:rPr>
        <w:t>S. aureus</w:t>
      </w:r>
      <w:r w:rsidRPr="0065096F">
        <w:rPr>
          <w:lang w:val="en-GB"/>
        </w:rPr>
        <w:t xml:space="preserve"> (MRSA).</w:t>
      </w:r>
    </w:p>
    <w:p w14:paraId="0C404480" w14:textId="77777777" w:rsidR="0065096F" w:rsidRPr="0065096F" w:rsidRDefault="0065096F" w:rsidP="0065096F">
      <w:pPr>
        <w:pStyle w:val="Heading2"/>
        <w:rPr>
          <w:lang w:val="en-GB"/>
        </w:rPr>
      </w:pPr>
      <w:bookmarkStart w:id="16" w:name="_Toc227567841"/>
      <w:r w:rsidRPr="0065096F">
        <w:rPr>
          <w:lang w:val="en-GB"/>
        </w:rPr>
        <w:t>Data analysis</w:t>
      </w:r>
      <w:bookmarkEnd w:id="16"/>
    </w:p>
    <w:p w14:paraId="3D462C12" w14:textId="34020C74" w:rsidR="00BE73E6" w:rsidRPr="00BE73E6" w:rsidRDefault="0065096F" w:rsidP="00BE73E6">
      <w:pPr>
        <w:rPr>
          <w:lang w:val="en-GB"/>
        </w:rPr>
      </w:pPr>
      <w:r w:rsidRPr="0065096F">
        <w:rPr>
          <w:lang w:val="en-GB"/>
        </w:rPr>
        <w:t xml:space="preserve">Deidentified demographic and clinical data from all confirmed </w:t>
      </w:r>
      <w:r w:rsidRPr="0065096F">
        <w:rPr>
          <w:i/>
          <w:iCs/>
          <w:lang w:val="en-GB"/>
        </w:rPr>
        <w:t>S. aureus</w:t>
      </w:r>
      <w:r w:rsidRPr="0065096F">
        <w:rPr>
          <w:lang w:val="en-GB"/>
        </w:rPr>
        <w:t xml:space="preserve"> isolates were recorded and data were </w:t>
      </w:r>
      <w:proofErr w:type="spellStart"/>
      <w:r w:rsidRPr="0065096F">
        <w:rPr>
          <w:lang w:val="en-GB"/>
        </w:rPr>
        <w:t>analyzed</w:t>
      </w:r>
      <w:proofErr w:type="spellEnd"/>
      <w:r w:rsidRPr="0065096F">
        <w:rPr>
          <w:lang w:val="en-GB"/>
        </w:rPr>
        <w:t xml:space="preserve"> using χ</w:t>
      </w:r>
      <w:r w:rsidRPr="0065096F">
        <w:rPr>
          <w:vertAlign w:val="superscript"/>
          <w:lang w:val="en-GB"/>
        </w:rPr>
        <w:t>2</w:t>
      </w:r>
      <w:r w:rsidRPr="0065096F">
        <w:rPr>
          <w:lang w:val="en-GB"/>
        </w:rPr>
        <w:t xml:space="preserve"> or Fisher’s exact test.</w:t>
      </w:r>
    </w:p>
    <w:p w14:paraId="48157280" w14:textId="77777777" w:rsidR="008A0736" w:rsidRDefault="000073ED" w:rsidP="005A4E9D">
      <w:pPr>
        <w:pStyle w:val="Heading1"/>
      </w:pPr>
      <w:bookmarkStart w:id="17" w:name="_Toc195530503"/>
      <w:bookmarkStart w:id="18" w:name="_Toc227567842"/>
      <w:r>
        <w:lastRenderedPageBreak/>
        <w:t>Results</w:t>
      </w:r>
      <w:bookmarkEnd w:id="17"/>
      <w:bookmarkEnd w:id="18"/>
    </w:p>
    <w:p w14:paraId="01F5CF60" w14:textId="77777777" w:rsidR="0065096F" w:rsidRPr="0065096F" w:rsidRDefault="0065096F" w:rsidP="0065096F">
      <w:pPr>
        <w:pStyle w:val="Normal-morespacebefore"/>
        <w:rPr>
          <w:lang w:val="en-GB"/>
        </w:rPr>
      </w:pPr>
      <w:r w:rsidRPr="0065096F">
        <w:rPr>
          <w:lang w:val="en-GB"/>
        </w:rPr>
        <w:t xml:space="preserve">During the six-month study period, a total of 59 </w:t>
      </w:r>
      <w:r w:rsidRPr="0065096F">
        <w:rPr>
          <w:i/>
          <w:iCs/>
          <w:lang w:val="en-GB"/>
        </w:rPr>
        <w:t>S. aureus</w:t>
      </w:r>
      <w:r w:rsidRPr="0065096F">
        <w:rPr>
          <w:lang w:val="en-GB"/>
        </w:rPr>
        <w:t xml:space="preserve"> isolates were identified. Most </w:t>
      </w:r>
      <w:r w:rsidRPr="0065096F">
        <w:rPr>
          <w:i/>
          <w:iCs/>
          <w:lang w:val="en-GB"/>
        </w:rPr>
        <w:t>S. aureus</w:t>
      </w:r>
      <w:r w:rsidRPr="0065096F">
        <w:rPr>
          <w:lang w:val="en-GB"/>
        </w:rPr>
        <w:t xml:space="preserve"> isolates were MSSA (75%; n = 44/59); the remaining 25% (n = 15/59) were MRSA (Table 1). No PSSA isolates were identified. </w:t>
      </w:r>
      <w:r w:rsidRPr="0065096F">
        <w:rPr>
          <w:i/>
          <w:iCs/>
          <w:lang w:val="en-GB"/>
        </w:rPr>
        <w:t>S. aureus</w:t>
      </w:r>
      <w:r w:rsidRPr="0065096F">
        <w:rPr>
          <w:lang w:val="en-GB"/>
        </w:rPr>
        <w:t xml:space="preserve"> isolates were detected from samples received from 11 out of 13 municipalities in Timor-Leste, excluding Viqueque and </w:t>
      </w:r>
      <w:proofErr w:type="spellStart"/>
      <w:r w:rsidRPr="0065096F">
        <w:rPr>
          <w:lang w:val="en-GB"/>
        </w:rPr>
        <w:t>Região</w:t>
      </w:r>
      <w:proofErr w:type="spellEnd"/>
      <w:r w:rsidRPr="0065096F">
        <w:rPr>
          <w:lang w:val="en-GB"/>
        </w:rPr>
        <w:t xml:space="preserve"> </w:t>
      </w:r>
      <w:proofErr w:type="spellStart"/>
      <w:r w:rsidRPr="0065096F">
        <w:rPr>
          <w:lang w:val="en-GB"/>
        </w:rPr>
        <w:t>Administrativo</w:t>
      </w:r>
      <w:proofErr w:type="spellEnd"/>
      <w:r w:rsidRPr="0065096F">
        <w:rPr>
          <w:lang w:val="en-GB"/>
        </w:rPr>
        <w:t xml:space="preserve"> Especial Oecusse - </w:t>
      </w:r>
      <w:proofErr w:type="spellStart"/>
      <w:r w:rsidRPr="0065096F">
        <w:rPr>
          <w:lang w:val="en-GB"/>
        </w:rPr>
        <w:t>Ambeno</w:t>
      </w:r>
      <w:proofErr w:type="spellEnd"/>
      <w:r w:rsidRPr="0065096F">
        <w:rPr>
          <w:lang w:val="en-GB"/>
        </w:rPr>
        <w:t xml:space="preserve"> (RAEOA).</w:t>
      </w:r>
    </w:p>
    <w:p w14:paraId="60BCD1D3" w14:textId="6E04D35B" w:rsidR="0065096F" w:rsidRDefault="0065096F" w:rsidP="0065096F">
      <w:pPr>
        <w:rPr>
          <w:lang w:val="en-GB"/>
        </w:rPr>
      </w:pPr>
      <w:r w:rsidRPr="0065096F">
        <w:rPr>
          <w:lang w:val="en-GB"/>
        </w:rPr>
        <w:t xml:space="preserve">Almost half of the </w:t>
      </w:r>
      <w:r w:rsidRPr="0065096F">
        <w:rPr>
          <w:i/>
          <w:iCs/>
          <w:lang w:val="en-GB"/>
        </w:rPr>
        <w:t>S. aureus</w:t>
      </w:r>
      <w:r w:rsidRPr="0065096F">
        <w:rPr>
          <w:lang w:val="en-GB"/>
        </w:rPr>
        <w:t xml:space="preserve"> isolates were from paediatric patients aged 0–10 years and samples were more common from males than females (Table 1). Most isolates (48/59; 81%) came from surface or pus swabs; 9/59 (15%) were from blood culture. Over 90% of the samples were inpatients from the capital city, Dili. CAI was more common than HAI for both MSSA isolates (34/44; 77%) and MRSA isolates (10/15; 67%).</w:t>
      </w:r>
      <w:r>
        <w:rPr>
          <w:lang w:val="en-GB"/>
        </w:rPr>
        <w:br w:type="page"/>
      </w:r>
    </w:p>
    <w:p w14:paraId="17CC5661" w14:textId="77777777" w:rsidR="0065096F" w:rsidRPr="0065096F" w:rsidRDefault="0065096F" w:rsidP="0065096F">
      <w:pPr>
        <w:pStyle w:val="CDITable-Title"/>
        <w:rPr>
          <w:lang w:val="en-GB"/>
        </w:rPr>
      </w:pPr>
      <w:r w:rsidRPr="0065096F">
        <w:rPr>
          <w:lang w:val="en-GB"/>
        </w:rPr>
        <w:lastRenderedPageBreak/>
        <w:t xml:space="preserve">Table 1: Characteristics of methicillin-sensitive (MSSA) and methicillin-resistant </w:t>
      </w:r>
      <w:r w:rsidRPr="0065096F">
        <w:rPr>
          <w:i/>
          <w:iCs/>
          <w:lang w:val="en-GB"/>
        </w:rPr>
        <w:t>S. aureus</w:t>
      </w:r>
      <w:r w:rsidRPr="0065096F">
        <w:rPr>
          <w:lang w:val="en-GB"/>
        </w:rPr>
        <w:t xml:space="preserve"> (MRSA) patients in Timor-Leste, January–June 2020</w:t>
      </w:r>
    </w:p>
    <w:tbl>
      <w:tblPr>
        <w:tblW w:w="0" w:type="auto"/>
        <w:tblLayout w:type="fixed"/>
        <w:tblCellMar>
          <w:left w:w="0" w:type="dxa"/>
          <w:right w:w="0" w:type="dxa"/>
        </w:tblCellMar>
        <w:tblLook w:val="0000" w:firstRow="0" w:lastRow="0" w:firstColumn="0" w:lastColumn="0" w:noHBand="0" w:noVBand="0"/>
        <w:tblCaption w:val="Table 1: Characteristics of methicillin-sensitive (MSSA) and methicillin-resistant S. aureus (MRSA) patients in Timor-Leste, January–June 2020"/>
        <w:tblDescription w:val="A table summarising the characteristics (sex; age group; S. aureus sample type; municipality; admission status; and infection acquisition type) of 44 MSSA and 15 MRSA patients during the study period January–June 2020."/>
      </w:tblPr>
      <w:tblGrid>
        <w:gridCol w:w="2409"/>
        <w:gridCol w:w="2410"/>
        <w:gridCol w:w="2409"/>
        <w:gridCol w:w="2410"/>
      </w:tblGrid>
      <w:tr w:rsidR="0065096F" w:rsidRPr="0065096F" w14:paraId="2AC0F3F6" w14:textId="77777777" w:rsidTr="00C32E1C">
        <w:trPr>
          <w:trHeight w:val="60"/>
          <w:tblHeader/>
        </w:trPr>
        <w:tc>
          <w:tcPr>
            <w:tcW w:w="2409" w:type="dxa"/>
            <w:vMerge w:val="restart"/>
            <w:tcBorders>
              <w:top w:val="nil"/>
              <w:left w:val="nil"/>
            </w:tcBorders>
            <w:shd w:val="clear" w:color="auto" w:fill="1E4496" w:themeFill="text2"/>
            <w:tcMar>
              <w:top w:w="108" w:type="dxa"/>
              <w:left w:w="113" w:type="dxa"/>
              <w:bottom w:w="108" w:type="dxa"/>
              <w:right w:w="113" w:type="dxa"/>
            </w:tcMar>
            <w:vAlign w:val="bottom"/>
          </w:tcPr>
          <w:p w14:paraId="151A988A" w14:textId="77777777" w:rsidR="0065096F" w:rsidRPr="0065096F" w:rsidRDefault="0065096F" w:rsidP="0065096F">
            <w:pPr>
              <w:pStyle w:val="CDITable-HeaderRowLeft"/>
            </w:pPr>
            <w:r w:rsidRPr="0065096F">
              <w:t>Characteristic</w:t>
            </w:r>
          </w:p>
        </w:tc>
        <w:tc>
          <w:tcPr>
            <w:tcW w:w="2410" w:type="dxa"/>
            <w:vMerge w:val="restart"/>
            <w:tcBorders>
              <w:top w:val="nil"/>
            </w:tcBorders>
            <w:shd w:val="clear" w:color="auto" w:fill="1E4496" w:themeFill="text2"/>
            <w:tcMar>
              <w:top w:w="108" w:type="dxa"/>
              <w:left w:w="113" w:type="dxa"/>
              <w:bottom w:w="108" w:type="dxa"/>
              <w:right w:w="113" w:type="dxa"/>
            </w:tcMar>
            <w:vAlign w:val="bottom"/>
          </w:tcPr>
          <w:p w14:paraId="385A9CAE" w14:textId="77777777" w:rsidR="0065096F" w:rsidRPr="0065096F" w:rsidRDefault="0065096F" w:rsidP="0065096F">
            <w:pPr>
              <w:pStyle w:val="CDITable-HeaderRowLeft"/>
            </w:pPr>
            <w:r w:rsidRPr="0065096F">
              <w:t>Category</w:t>
            </w:r>
          </w:p>
        </w:tc>
        <w:tc>
          <w:tcPr>
            <w:tcW w:w="2409" w:type="dxa"/>
            <w:tcBorders>
              <w:top w:val="nil"/>
              <w:bottom w:val="single" w:sz="6" w:space="0" w:color="FFFFFF" w:themeColor="background1"/>
            </w:tcBorders>
            <w:shd w:val="clear" w:color="auto" w:fill="1E4496" w:themeFill="text2"/>
            <w:tcMar>
              <w:top w:w="108" w:type="dxa"/>
              <w:left w:w="113" w:type="dxa"/>
              <w:bottom w:w="108" w:type="dxa"/>
              <w:right w:w="113" w:type="dxa"/>
            </w:tcMar>
            <w:vAlign w:val="bottom"/>
          </w:tcPr>
          <w:p w14:paraId="0739A20C" w14:textId="77777777" w:rsidR="0065096F" w:rsidRPr="0065096F" w:rsidRDefault="0065096F" w:rsidP="0065096F">
            <w:pPr>
              <w:pStyle w:val="CDITable-HeaderRowCentre"/>
            </w:pPr>
            <w:r w:rsidRPr="0065096F">
              <w:t>MSSA (N = 44)</w:t>
            </w:r>
          </w:p>
        </w:tc>
        <w:tc>
          <w:tcPr>
            <w:tcW w:w="2410" w:type="dxa"/>
            <w:tcBorders>
              <w:top w:val="nil"/>
              <w:bottom w:val="single" w:sz="6" w:space="0" w:color="FFFFFF" w:themeColor="background1"/>
              <w:right w:val="nil"/>
            </w:tcBorders>
            <w:shd w:val="clear" w:color="auto" w:fill="1E4496" w:themeFill="text2"/>
            <w:tcMar>
              <w:top w:w="108" w:type="dxa"/>
              <w:left w:w="113" w:type="dxa"/>
              <w:bottom w:w="108" w:type="dxa"/>
              <w:right w:w="113" w:type="dxa"/>
            </w:tcMar>
            <w:vAlign w:val="bottom"/>
          </w:tcPr>
          <w:p w14:paraId="490A49E0" w14:textId="77777777" w:rsidR="0065096F" w:rsidRPr="0065096F" w:rsidRDefault="0065096F" w:rsidP="0065096F">
            <w:pPr>
              <w:pStyle w:val="CDITable-HeaderRowCentre"/>
            </w:pPr>
            <w:r w:rsidRPr="0065096F">
              <w:t>MRSA (N = 15)</w:t>
            </w:r>
          </w:p>
        </w:tc>
      </w:tr>
      <w:tr w:rsidR="0065096F" w:rsidRPr="0065096F" w14:paraId="02BDCD40" w14:textId="77777777" w:rsidTr="00C32E1C">
        <w:trPr>
          <w:trHeight w:val="60"/>
          <w:tblHeader/>
        </w:trPr>
        <w:tc>
          <w:tcPr>
            <w:tcW w:w="2409" w:type="dxa"/>
            <w:vMerge/>
            <w:tcBorders>
              <w:left w:val="nil"/>
            </w:tcBorders>
            <w:shd w:val="clear" w:color="auto" w:fill="1E4496" w:themeFill="text2"/>
            <w:tcMar>
              <w:top w:w="108" w:type="dxa"/>
              <w:bottom w:w="108" w:type="dxa"/>
            </w:tcMar>
          </w:tcPr>
          <w:p w14:paraId="475BF930" w14:textId="77777777" w:rsidR="0065096F" w:rsidRPr="0065096F" w:rsidRDefault="0065096F" w:rsidP="0065096F">
            <w:pPr>
              <w:pStyle w:val="CDITable-HeaderRowCentre"/>
            </w:pPr>
          </w:p>
        </w:tc>
        <w:tc>
          <w:tcPr>
            <w:tcW w:w="2410" w:type="dxa"/>
            <w:vMerge/>
            <w:shd w:val="clear" w:color="auto" w:fill="1E4496" w:themeFill="text2"/>
            <w:tcMar>
              <w:top w:w="108" w:type="dxa"/>
              <w:bottom w:w="108" w:type="dxa"/>
            </w:tcMar>
          </w:tcPr>
          <w:p w14:paraId="2E737198" w14:textId="77777777" w:rsidR="0065096F" w:rsidRPr="0065096F" w:rsidRDefault="0065096F" w:rsidP="0065096F">
            <w:pPr>
              <w:pStyle w:val="CDITable-HeaderRowCentre"/>
            </w:pPr>
          </w:p>
        </w:tc>
        <w:tc>
          <w:tcPr>
            <w:tcW w:w="2409" w:type="dxa"/>
            <w:tcBorders>
              <w:top w:val="single" w:sz="6" w:space="0" w:color="FFFFFF" w:themeColor="background1"/>
            </w:tcBorders>
            <w:shd w:val="clear" w:color="auto" w:fill="1E4496" w:themeFill="text2"/>
            <w:tcMar>
              <w:top w:w="108" w:type="dxa"/>
              <w:left w:w="113" w:type="dxa"/>
              <w:bottom w:w="108" w:type="dxa"/>
              <w:right w:w="113" w:type="dxa"/>
            </w:tcMar>
            <w:vAlign w:val="bottom"/>
          </w:tcPr>
          <w:p w14:paraId="1DD98ED1" w14:textId="77777777" w:rsidR="0065096F" w:rsidRPr="0065096F" w:rsidRDefault="0065096F" w:rsidP="0065096F">
            <w:pPr>
              <w:pStyle w:val="CDITable-HeaderRowCentre"/>
            </w:pPr>
            <w:r w:rsidRPr="0065096F">
              <w:t>n (%)</w:t>
            </w:r>
          </w:p>
        </w:tc>
        <w:tc>
          <w:tcPr>
            <w:tcW w:w="2410" w:type="dxa"/>
            <w:tcBorders>
              <w:top w:val="single" w:sz="6" w:space="0" w:color="FFFFFF" w:themeColor="background1"/>
              <w:right w:val="nil"/>
            </w:tcBorders>
            <w:shd w:val="clear" w:color="auto" w:fill="1E4496" w:themeFill="text2"/>
            <w:tcMar>
              <w:top w:w="108" w:type="dxa"/>
              <w:left w:w="113" w:type="dxa"/>
              <w:bottom w:w="108" w:type="dxa"/>
              <w:right w:w="113" w:type="dxa"/>
            </w:tcMar>
            <w:vAlign w:val="bottom"/>
          </w:tcPr>
          <w:p w14:paraId="3E489D0D" w14:textId="77777777" w:rsidR="0065096F" w:rsidRPr="0065096F" w:rsidRDefault="0065096F" w:rsidP="0065096F">
            <w:pPr>
              <w:pStyle w:val="CDITable-HeaderRowCentre"/>
            </w:pPr>
            <w:r w:rsidRPr="0065096F">
              <w:t>n (%)</w:t>
            </w:r>
          </w:p>
        </w:tc>
      </w:tr>
      <w:tr w:rsidR="0065096F" w:rsidRPr="0065096F" w14:paraId="61EA6522" w14:textId="77777777" w:rsidTr="0065096F">
        <w:trPr>
          <w:trHeight w:val="60"/>
        </w:trPr>
        <w:tc>
          <w:tcPr>
            <w:tcW w:w="2409" w:type="dxa"/>
            <w:vMerge w:val="restart"/>
            <w:tcBorders>
              <w:left w:val="nil"/>
              <w:bottom w:val="single" w:sz="6" w:space="0" w:color="1E4496"/>
            </w:tcBorders>
            <w:shd w:val="clear" w:color="auto" w:fill="DCF4FC" w:themeFill="background2" w:themeFillTint="33"/>
            <w:tcMar>
              <w:top w:w="108" w:type="dxa"/>
              <w:left w:w="113" w:type="dxa"/>
              <w:bottom w:w="108" w:type="dxa"/>
              <w:right w:w="113" w:type="dxa"/>
            </w:tcMar>
            <w:vAlign w:val="center"/>
          </w:tcPr>
          <w:p w14:paraId="4677B557" w14:textId="77777777" w:rsidR="0065096F" w:rsidRPr="0065096F" w:rsidRDefault="0065096F" w:rsidP="0065096F">
            <w:pPr>
              <w:pStyle w:val="CDITable-RowLeft"/>
              <w:rPr>
                <w:b/>
                <w:bCs/>
                <w:lang w:val="en-GB"/>
              </w:rPr>
            </w:pPr>
            <w:r w:rsidRPr="0065096F">
              <w:rPr>
                <w:b/>
                <w:bCs/>
                <w:lang w:val="en-GB"/>
              </w:rPr>
              <w:t>Sex</w:t>
            </w:r>
          </w:p>
        </w:tc>
        <w:tc>
          <w:tcPr>
            <w:tcW w:w="2410" w:type="dxa"/>
            <w:tcBorders>
              <w:bottom w:val="single" w:sz="6" w:space="0" w:color="1E4496"/>
            </w:tcBorders>
            <w:shd w:val="solid" w:color="FFFFFF" w:fill="auto"/>
            <w:tcMar>
              <w:top w:w="108" w:type="dxa"/>
              <w:left w:w="113" w:type="dxa"/>
              <w:bottom w:w="108" w:type="dxa"/>
              <w:right w:w="113" w:type="dxa"/>
            </w:tcMar>
            <w:vAlign w:val="center"/>
          </w:tcPr>
          <w:p w14:paraId="7974A112" w14:textId="77777777" w:rsidR="0065096F" w:rsidRPr="0065096F" w:rsidRDefault="0065096F" w:rsidP="0065096F">
            <w:pPr>
              <w:pStyle w:val="CDITable-RowLeft"/>
              <w:rPr>
                <w:lang w:val="en-GB"/>
              </w:rPr>
            </w:pPr>
            <w:r w:rsidRPr="0065096F">
              <w:rPr>
                <w:lang w:val="en-GB"/>
              </w:rPr>
              <w:t>Male</w:t>
            </w:r>
          </w:p>
        </w:tc>
        <w:tc>
          <w:tcPr>
            <w:tcW w:w="2409" w:type="dxa"/>
            <w:tcBorders>
              <w:bottom w:val="single" w:sz="6" w:space="0" w:color="1E4496"/>
            </w:tcBorders>
            <w:shd w:val="solid" w:color="FFFFFF" w:fill="auto"/>
            <w:tcMar>
              <w:top w:w="108" w:type="dxa"/>
              <w:left w:w="113" w:type="dxa"/>
              <w:bottom w:w="108" w:type="dxa"/>
              <w:right w:w="113" w:type="dxa"/>
            </w:tcMar>
            <w:vAlign w:val="center"/>
          </w:tcPr>
          <w:p w14:paraId="0A5437EA" w14:textId="77777777" w:rsidR="0065096F" w:rsidRPr="0065096F" w:rsidRDefault="0065096F" w:rsidP="0065096F">
            <w:pPr>
              <w:pStyle w:val="CDITable-RowCentre"/>
              <w:rPr>
                <w:lang w:val="en-GB"/>
              </w:rPr>
            </w:pPr>
            <w:r w:rsidRPr="0065096F">
              <w:rPr>
                <w:lang w:val="en-GB"/>
              </w:rPr>
              <w:t>25 (57)</w:t>
            </w:r>
          </w:p>
        </w:tc>
        <w:tc>
          <w:tcPr>
            <w:tcW w:w="2410" w:type="dxa"/>
            <w:tcBorders>
              <w:bottom w:val="single" w:sz="6" w:space="0" w:color="1E4496"/>
              <w:right w:val="nil"/>
            </w:tcBorders>
            <w:shd w:val="solid" w:color="FFFFFF" w:fill="auto"/>
            <w:tcMar>
              <w:top w:w="108" w:type="dxa"/>
              <w:left w:w="113" w:type="dxa"/>
              <w:bottom w:w="108" w:type="dxa"/>
              <w:right w:w="113" w:type="dxa"/>
            </w:tcMar>
            <w:vAlign w:val="center"/>
          </w:tcPr>
          <w:p w14:paraId="5BF1AF99" w14:textId="77777777" w:rsidR="0065096F" w:rsidRPr="0065096F" w:rsidRDefault="0065096F" w:rsidP="0065096F">
            <w:pPr>
              <w:pStyle w:val="CDITable-RowCentre"/>
              <w:rPr>
                <w:lang w:val="en-GB"/>
              </w:rPr>
            </w:pPr>
            <w:r w:rsidRPr="0065096F">
              <w:rPr>
                <w:lang w:val="en-GB"/>
              </w:rPr>
              <w:t>11 (73)</w:t>
            </w:r>
          </w:p>
        </w:tc>
      </w:tr>
      <w:tr w:rsidR="0065096F" w:rsidRPr="0065096F" w14:paraId="70405A9B"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7836C069"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67806E09" w14:textId="77777777" w:rsidR="0065096F" w:rsidRPr="0065096F" w:rsidRDefault="0065096F" w:rsidP="0065096F">
            <w:pPr>
              <w:pStyle w:val="CDITable-RowLeft"/>
              <w:rPr>
                <w:lang w:val="en-GB"/>
              </w:rPr>
            </w:pPr>
            <w:r w:rsidRPr="0065096F">
              <w:rPr>
                <w:lang w:val="en-GB"/>
              </w:rPr>
              <w:t>Female</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450A2CB5" w14:textId="77777777" w:rsidR="0065096F" w:rsidRPr="0065096F" w:rsidRDefault="0065096F" w:rsidP="0065096F">
            <w:pPr>
              <w:pStyle w:val="CDITable-RowCentre"/>
              <w:rPr>
                <w:lang w:val="en-GB"/>
              </w:rPr>
            </w:pPr>
            <w:r w:rsidRPr="0065096F">
              <w:rPr>
                <w:lang w:val="en-GB"/>
              </w:rPr>
              <w:t>19 (43)</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3261E2A3" w14:textId="77777777" w:rsidR="0065096F" w:rsidRPr="0065096F" w:rsidRDefault="0065096F" w:rsidP="0065096F">
            <w:pPr>
              <w:pStyle w:val="CDITable-RowCentre"/>
              <w:rPr>
                <w:lang w:val="en-GB"/>
              </w:rPr>
            </w:pPr>
            <w:r w:rsidRPr="0065096F">
              <w:rPr>
                <w:lang w:val="en-GB"/>
              </w:rPr>
              <w:t>4 (27)</w:t>
            </w:r>
          </w:p>
        </w:tc>
      </w:tr>
      <w:tr w:rsidR="0065096F" w:rsidRPr="0065096F" w14:paraId="31AC06E7" w14:textId="77777777" w:rsidTr="0065096F">
        <w:trPr>
          <w:trHeight w:val="60"/>
        </w:trPr>
        <w:tc>
          <w:tcPr>
            <w:tcW w:w="2409" w:type="dxa"/>
            <w:vMerge w:val="restart"/>
            <w:tcBorders>
              <w:top w:val="single" w:sz="6" w:space="0" w:color="1E4496"/>
              <w:left w:val="nil"/>
              <w:bottom w:val="single" w:sz="6" w:space="0" w:color="1E4496"/>
            </w:tcBorders>
            <w:shd w:val="clear" w:color="auto" w:fill="DCF4FC" w:themeFill="background2" w:themeFillTint="33"/>
            <w:tcMar>
              <w:top w:w="108" w:type="dxa"/>
              <w:left w:w="113" w:type="dxa"/>
              <w:bottom w:w="108" w:type="dxa"/>
              <w:right w:w="113" w:type="dxa"/>
            </w:tcMar>
            <w:vAlign w:val="center"/>
          </w:tcPr>
          <w:p w14:paraId="6FE0F2E1" w14:textId="77777777" w:rsidR="0065096F" w:rsidRPr="0065096F" w:rsidRDefault="0065096F" w:rsidP="0065096F">
            <w:pPr>
              <w:pStyle w:val="CDITable-RowLeft"/>
              <w:rPr>
                <w:b/>
                <w:bCs/>
                <w:lang w:val="en-GB"/>
              </w:rPr>
            </w:pPr>
            <w:r w:rsidRPr="0065096F">
              <w:rPr>
                <w:b/>
                <w:bCs/>
                <w:lang w:val="en-GB"/>
              </w:rPr>
              <w:t>Age group (years)</w:t>
            </w: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23D28445" w14:textId="77777777" w:rsidR="0065096F" w:rsidRPr="0065096F" w:rsidRDefault="0065096F" w:rsidP="0065096F">
            <w:pPr>
              <w:pStyle w:val="CDITable-RowLeft"/>
              <w:rPr>
                <w:lang w:val="en-GB"/>
              </w:rPr>
            </w:pPr>
            <w:r w:rsidRPr="0065096F">
              <w:rPr>
                <w:lang w:val="en-GB"/>
              </w:rPr>
              <w:t>0–10</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5E291F82" w14:textId="77777777" w:rsidR="0065096F" w:rsidRPr="0065096F" w:rsidRDefault="0065096F" w:rsidP="0065096F">
            <w:pPr>
              <w:pStyle w:val="CDITable-RowCentre"/>
              <w:rPr>
                <w:lang w:val="en-GB"/>
              </w:rPr>
            </w:pPr>
            <w:r w:rsidRPr="0065096F">
              <w:rPr>
                <w:lang w:val="en-GB"/>
              </w:rPr>
              <w:t>27 (61)</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6AAAB343" w14:textId="77777777" w:rsidR="0065096F" w:rsidRPr="0065096F" w:rsidRDefault="0065096F" w:rsidP="0065096F">
            <w:pPr>
              <w:pStyle w:val="CDITable-RowCentre"/>
              <w:rPr>
                <w:lang w:val="en-GB"/>
              </w:rPr>
            </w:pPr>
            <w:r w:rsidRPr="0065096F">
              <w:rPr>
                <w:lang w:val="en-GB"/>
              </w:rPr>
              <w:t>5 (33)</w:t>
            </w:r>
          </w:p>
        </w:tc>
      </w:tr>
      <w:tr w:rsidR="0065096F" w:rsidRPr="0065096F" w14:paraId="454B3570"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2F91A589"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0188358A" w14:textId="77777777" w:rsidR="0065096F" w:rsidRPr="0065096F" w:rsidRDefault="0065096F" w:rsidP="0065096F">
            <w:pPr>
              <w:pStyle w:val="CDITable-RowLeft"/>
              <w:rPr>
                <w:lang w:val="en-GB"/>
              </w:rPr>
            </w:pPr>
            <w:r w:rsidRPr="0065096F">
              <w:rPr>
                <w:lang w:val="en-GB"/>
              </w:rPr>
              <w:t>11–20</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617AAE85" w14:textId="77777777" w:rsidR="0065096F" w:rsidRPr="0065096F" w:rsidRDefault="0065096F" w:rsidP="0065096F">
            <w:pPr>
              <w:pStyle w:val="CDITable-RowCentre"/>
              <w:rPr>
                <w:lang w:val="en-GB"/>
              </w:rPr>
            </w:pPr>
            <w:r w:rsidRPr="0065096F">
              <w:rPr>
                <w:lang w:val="en-GB"/>
              </w:rPr>
              <w:t>2 (5)</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3A8617C8" w14:textId="77777777" w:rsidR="0065096F" w:rsidRPr="0065096F" w:rsidRDefault="0065096F" w:rsidP="0065096F">
            <w:pPr>
              <w:pStyle w:val="CDITable-RowCentre"/>
              <w:rPr>
                <w:lang w:val="en-GB"/>
              </w:rPr>
            </w:pPr>
            <w:r w:rsidRPr="0065096F">
              <w:rPr>
                <w:lang w:val="en-GB"/>
              </w:rPr>
              <w:t>1(7)</w:t>
            </w:r>
          </w:p>
        </w:tc>
      </w:tr>
      <w:tr w:rsidR="0065096F" w:rsidRPr="0065096F" w14:paraId="4D4E758D"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714DE519"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545AE100" w14:textId="77777777" w:rsidR="0065096F" w:rsidRPr="0065096F" w:rsidRDefault="0065096F" w:rsidP="0065096F">
            <w:pPr>
              <w:pStyle w:val="CDITable-RowLeft"/>
              <w:rPr>
                <w:lang w:val="en-GB"/>
              </w:rPr>
            </w:pPr>
            <w:r w:rsidRPr="0065096F">
              <w:rPr>
                <w:lang w:val="en-GB"/>
              </w:rPr>
              <w:t>21–30</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3D768CA6" w14:textId="77777777" w:rsidR="0065096F" w:rsidRPr="0065096F" w:rsidRDefault="0065096F" w:rsidP="0065096F">
            <w:pPr>
              <w:pStyle w:val="CDITable-RowCentre"/>
              <w:rPr>
                <w:lang w:val="en-GB"/>
              </w:rPr>
            </w:pPr>
            <w:r w:rsidRPr="0065096F">
              <w:rPr>
                <w:lang w:val="en-GB"/>
              </w:rPr>
              <w:t>5 (11)</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07FE995F" w14:textId="77777777" w:rsidR="0065096F" w:rsidRPr="0065096F" w:rsidRDefault="0065096F" w:rsidP="0065096F">
            <w:pPr>
              <w:pStyle w:val="CDITable-RowCentre"/>
              <w:rPr>
                <w:lang w:val="en-GB"/>
              </w:rPr>
            </w:pPr>
            <w:r w:rsidRPr="0065096F">
              <w:rPr>
                <w:lang w:val="en-GB"/>
              </w:rPr>
              <w:t>1 (7)</w:t>
            </w:r>
          </w:p>
        </w:tc>
      </w:tr>
      <w:tr w:rsidR="0065096F" w:rsidRPr="0065096F" w14:paraId="7768C83E"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56008A39"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6DC38B0A" w14:textId="77777777" w:rsidR="0065096F" w:rsidRPr="0065096F" w:rsidRDefault="0065096F" w:rsidP="0065096F">
            <w:pPr>
              <w:pStyle w:val="CDITable-RowLeft"/>
              <w:rPr>
                <w:lang w:val="en-GB"/>
              </w:rPr>
            </w:pPr>
            <w:r w:rsidRPr="0065096F">
              <w:rPr>
                <w:lang w:val="en-GB"/>
              </w:rPr>
              <w:t>31–40</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01B9F2C7" w14:textId="77777777" w:rsidR="0065096F" w:rsidRPr="0065096F" w:rsidRDefault="0065096F" w:rsidP="0065096F">
            <w:pPr>
              <w:pStyle w:val="CDITable-RowCentre"/>
              <w:rPr>
                <w:lang w:val="en-GB"/>
              </w:rPr>
            </w:pPr>
            <w:r w:rsidRPr="0065096F">
              <w:rPr>
                <w:lang w:val="en-GB"/>
              </w:rPr>
              <w:t>3 (7)</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55A35E62" w14:textId="77777777" w:rsidR="0065096F" w:rsidRPr="0065096F" w:rsidRDefault="0065096F" w:rsidP="0065096F">
            <w:pPr>
              <w:pStyle w:val="CDITable-RowCentre"/>
              <w:rPr>
                <w:lang w:val="en-GB"/>
              </w:rPr>
            </w:pPr>
            <w:r w:rsidRPr="0065096F">
              <w:rPr>
                <w:lang w:val="en-GB"/>
              </w:rPr>
              <w:t>1 (7)</w:t>
            </w:r>
          </w:p>
        </w:tc>
      </w:tr>
      <w:tr w:rsidR="0065096F" w:rsidRPr="0065096F" w14:paraId="490624EE"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09D6DFEC"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13591BB5" w14:textId="77777777" w:rsidR="0065096F" w:rsidRPr="0065096F" w:rsidRDefault="0065096F" w:rsidP="0065096F">
            <w:pPr>
              <w:pStyle w:val="CDITable-RowLeft"/>
              <w:rPr>
                <w:lang w:val="en-GB"/>
              </w:rPr>
            </w:pPr>
            <w:r w:rsidRPr="0065096F">
              <w:rPr>
                <w:lang w:val="en-GB"/>
              </w:rPr>
              <w:t>41–50</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5C88A05B" w14:textId="77777777" w:rsidR="0065096F" w:rsidRPr="0065096F" w:rsidRDefault="0065096F" w:rsidP="0065096F">
            <w:pPr>
              <w:pStyle w:val="CDITable-RowCentre"/>
              <w:rPr>
                <w:lang w:val="en-GB"/>
              </w:rPr>
            </w:pPr>
            <w:r w:rsidRPr="0065096F">
              <w:rPr>
                <w:lang w:val="en-GB"/>
              </w:rPr>
              <w:t>3 (7)</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007CA658" w14:textId="77777777" w:rsidR="0065096F" w:rsidRPr="0065096F" w:rsidRDefault="0065096F" w:rsidP="0065096F">
            <w:pPr>
              <w:pStyle w:val="CDITable-RowCentre"/>
              <w:rPr>
                <w:lang w:val="en-GB"/>
              </w:rPr>
            </w:pPr>
            <w:r w:rsidRPr="0065096F">
              <w:rPr>
                <w:lang w:val="en-GB"/>
              </w:rPr>
              <w:t>0 (0)</w:t>
            </w:r>
          </w:p>
        </w:tc>
      </w:tr>
      <w:tr w:rsidR="0065096F" w:rsidRPr="0065096F" w14:paraId="4FCF7CEF"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0BC3A9B0"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6C51811A" w14:textId="77777777" w:rsidR="0065096F" w:rsidRPr="0065096F" w:rsidRDefault="0065096F" w:rsidP="0065096F">
            <w:pPr>
              <w:pStyle w:val="CDITable-RowLeft"/>
              <w:rPr>
                <w:lang w:val="en-GB"/>
              </w:rPr>
            </w:pPr>
            <w:r w:rsidRPr="0065096F">
              <w:rPr>
                <w:lang w:val="en-GB"/>
              </w:rPr>
              <w:t>51–60</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0DD2BD2E" w14:textId="77777777" w:rsidR="0065096F" w:rsidRPr="0065096F" w:rsidRDefault="0065096F" w:rsidP="0065096F">
            <w:pPr>
              <w:pStyle w:val="CDITable-RowCentre"/>
              <w:rPr>
                <w:lang w:val="en-GB"/>
              </w:rPr>
            </w:pPr>
            <w:r w:rsidRPr="0065096F">
              <w:rPr>
                <w:lang w:val="en-GB"/>
              </w:rPr>
              <w:t>3 (7)</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68B05591" w14:textId="77777777" w:rsidR="0065096F" w:rsidRPr="0065096F" w:rsidRDefault="0065096F" w:rsidP="0065096F">
            <w:pPr>
              <w:pStyle w:val="CDITable-RowCentre"/>
              <w:rPr>
                <w:lang w:val="en-GB"/>
              </w:rPr>
            </w:pPr>
            <w:r w:rsidRPr="0065096F">
              <w:rPr>
                <w:lang w:val="en-GB"/>
              </w:rPr>
              <w:t>5 (33)</w:t>
            </w:r>
          </w:p>
        </w:tc>
      </w:tr>
      <w:tr w:rsidR="0065096F" w:rsidRPr="0065096F" w14:paraId="7DFC8FF1"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65F8ADD2"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103138B1" w14:textId="77777777" w:rsidR="0065096F" w:rsidRPr="0065096F" w:rsidRDefault="0065096F" w:rsidP="0065096F">
            <w:pPr>
              <w:pStyle w:val="CDITable-RowLeft"/>
              <w:rPr>
                <w:lang w:val="en-GB"/>
              </w:rPr>
            </w:pPr>
            <w:r w:rsidRPr="0065096F">
              <w:rPr>
                <w:lang w:val="en-GB"/>
              </w:rPr>
              <w:t>&gt; 61</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4B58AB40" w14:textId="77777777" w:rsidR="0065096F" w:rsidRPr="0065096F" w:rsidRDefault="0065096F" w:rsidP="0065096F">
            <w:pPr>
              <w:pStyle w:val="CDITable-RowCentre"/>
              <w:rPr>
                <w:lang w:val="en-GB"/>
              </w:rPr>
            </w:pPr>
            <w:r w:rsidRPr="0065096F">
              <w:rPr>
                <w:lang w:val="en-GB"/>
              </w:rPr>
              <w:t>1 (2)</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23AEA4FF" w14:textId="77777777" w:rsidR="0065096F" w:rsidRPr="0065096F" w:rsidRDefault="0065096F" w:rsidP="0065096F">
            <w:pPr>
              <w:pStyle w:val="CDITable-RowCentre"/>
              <w:rPr>
                <w:lang w:val="en-GB"/>
              </w:rPr>
            </w:pPr>
            <w:r w:rsidRPr="0065096F">
              <w:rPr>
                <w:lang w:val="en-GB"/>
              </w:rPr>
              <w:t>2 (13)</w:t>
            </w:r>
          </w:p>
        </w:tc>
      </w:tr>
      <w:tr w:rsidR="0065096F" w:rsidRPr="0065096F" w14:paraId="508235A9" w14:textId="77777777" w:rsidTr="0065096F">
        <w:trPr>
          <w:trHeight w:val="60"/>
        </w:trPr>
        <w:tc>
          <w:tcPr>
            <w:tcW w:w="2409" w:type="dxa"/>
            <w:vMerge w:val="restart"/>
            <w:tcBorders>
              <w:top w:val="single" w:sz="6" w:space="0" w:color="1E4496"/>
              <w:left w:val="nil"/>
              <w:bottom w:val="single" w:sz="6" w:space="0" w:color="1E4496"/>
            </w:tcBorders>
            <w:shd w:val="clear" w:color="auto" w:fill="DCF4FC" w:themeFill="background2" w:themeFillTint="33"/>
            <w:tcMar>
              <w:top w:w="108" w:type="dxa"/>
              <w:left w:w="113" w:type="dxa"/>
              <w:bottom w:w="108" w:type="dxa"/>
              <w:right w:w="113" w:type="dxa"/>
            </w:tcMar>
            <w:vAlign w:val="center"/>
          </w:tcPr>
          <w:p w14:paraId="5D2B116D" w14:textId="77777777" w:rsidR="0065096F" w:rsidRPr="0065096F" w:rsidRDefault="0065096F" w:rsidP="0065096F">
            <w:pPr>
              <w:pStyle w:val="CDITable-RowLeft"/>
              <w:rPr>
                <w:b/>
                <w:bCs/>
                <w:lang w:val="en-GB"/>
              </w:rPr>
            </w:pPr>
            <w:r w:rsidRPr="0065096F">
              <w:rPr>
                <w:b/>
                <w:bCs/>
                <w:lang w:val="en-GB"/>
              </w:rPr>
              <w:t>Sample type</w:t>
            </w: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58486C9F" w14:textId="77777777" w:rsidR="0065096F" w:rsidRPr="0065096F" w:rsidRDefault="0065096F" w:rsidP="0065096F">
            <w:pPr>
              <w:pStyle w:val="CDITable-RowLeft"/>
              <w:rPr>
                <w:lang w:val="en-GB"/>
              </w:rPr>
            </w:pPr>
            <w:r w:rsidRPr="0065096F">
              <w:rPr>
                <w:lang w:val="en-GB"/>
              </w:rPr>
              <w:t>Blood</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6D7BEA6C" w14:textId="77777777" w:rsidR="0065096F" w:rsidRPr="0065096F" w:rsidRDefault="0065096F" w:rsidP="0065096F">
            <w:pPr>
              <w:pStyle w:val="CDITable-RowCentre"/>
              <w:rPr>
                <w:lang w:val="en-GB"/>
              </w:rPr>
            </w:pPr>
            <w:r w:rsidRPr="0065096F">
              <w:rPr>
                <w:lang w:val="en-GB"/>
              </w:rPr>
              <w:t>6 (14)</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45DD2932" w14:textId="77777777" w:rsidR="0065096F" w:rsidRPr="0065096F" w:rsidRDefault="0065096F" w:rsidP="0065096F">
            <w:pPr>
              <w:pStyle w:val="CDITable-RowCentre"/>
              <w:rPr>
                <w:lang w:val="en-GB"/>
              </w:rPr>
            </w:pPr>
            <w:r w:rsidRPr="0065096F">
              <w:rPr>
                <w:lang w:val="en-GB"/>
              </w:rPr>
              <w:t>3 (20)</w:t>
            </w:r>
          </w:p>
        </w:tc>
      </w:tr>
      <w:tr w:rsidR="0065096F" w:rsidRPr="0065096F" w14:paraId="0B438E1A"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2E516DB6"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04EAA661" w14:textId="77777777" w:rsidR="0065096F" w:rsidRPr="0065096F" w:rsidRDefault="0065096F" w:rsidP="0065096F">
            <w:pPr>
              <w:pStyle w:val="CDITable-RowLeft"/>
              <w:rPr>
                <w:lang w:val="en-GB"/>
              </w:rPr>
            </w:pPr>
            <w:r w:rsidRPr="0065096F">
              <w:rPr>
                <w:lang w:val="en-GB"/>
              </w:rPr>
              <w:t>Swab</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38FD80C0" w14:textId="77777777" w:rsidR="0065096F" w:rsidRPr="0065096F" w:rsidRDefault="0065096F" w:rsidP="0065096F">
            <w:pPr>
              <w:pStyle w:val="CDITable-RowCentre"/>
              <w:rPr>
                <w:lang w:val="en-GB"/>
              </w:rPr>
            </w:pPr>
            <w:r w:rsidRPr="0065096F">
              <w:rPr>
                <w:lang w:val="en-GB"/>
              </w:rPr>
              <w:t>36 (82)</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7041115A" w14:textId="77777777" w:rsidR="0065096F" w:rsidRPr="0065096F" w:rsidRDefault="0065096F" w:rsidP="0065096F">
            <w:pPr>
              <w:pStyle w:val="CDITable-RowCentre"/>
              <w:rPr>
                <w:lang w:val="en-GB"/>
              </w:rPr>
            </w:pPr>
            <w:r w:rsidRPr="0065096F">
              <w:rPr>
                <w:lang w:val="en-GB"/>
              </w:rPr>
              <w:t>12 (80)</w:t>
            </w:r>
          </w:p>
        </w:tc>
      </w:tr>
      <w:tr w:rsidR="0065096F" w:rsidRPr="0065096F" w14:paraId="6FE630A4"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39AF3E35"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12F24B07" w14:textId="77777777" w:rsidR="0065096F" w:rsidRPr="0065096F" w:rsidRDefault="0065096F" w:rsidP="0065096F">
            <w:pPr>
              <w:pStyle w:val="CDITable-RowLeft"/>
              <w:rPr>
                <w:lang w:val="en-GB"/>
              </w:rPr>
            </w:pPr>
            <w:r w:rsidRPr="0065096F">
              <w:rPr>
                <w:lang w:val="en-GB"/>
              </w:rPr>
              <w:t>Aspirate</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743501DD" w14:textId="77777777" w:rsidR="0065096F" w:rsidRPr="0065096F" w:rsidRDefault="0065096F" w:rsidP="0065096F">
            <w:pPr>
              <w:pStyle w:val="CDITable-RowCentre"/>
              <w:rPr>
                <w:lang w:val="en-GB"/>
              </w:rPr>
            </w:pPr>
            <w:r w:rsidRPr="0065096F">
              <w:rPr>
                <w:lang w:val="en-GB"/>
              </w:rPr>
              <w:t>2 (5)</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30956F93" w14:textId="77777777" w:rsidR="0065096F" w:rsidRPr="0065096F" w:rsidRDefault="0065096F" w:rsidP="0065096F">
            <w:pPr>
              <w:pStyle w:val="CDITable-RowCentre"/>
              <w:rPr>
                <w:lang w:val="en-GB"/>
              </w:rPr>
            </w:pPr>
            <w:r w:rsidRPr="0065096F">
              <w:rPr>
                <w:lang w:val="en-GB"/>
              </w:rPr>
              <w:t>0 (0)</w:t>
            </w:r>
          </w:p>
        </w:tc>
      </w:tr>
      <w:tr w:rsidR="0065096F" w:rsidRPr="0065096F" w14:paraId="25AE5931" w14:textId="77777777" w:rsidTr="0065096F">
        <w:trPr>
          <w:trHeight w:val="60"/>
        </w:trPr>
        <w:tc>
          <w:tcPr>
            <w:tcW w:w="2409" w:type="dxa"/>
            <w:vMerge w:val="restart"/>
            <w:tcBorders>
              <w:top w:val="single" w:sz="6" w:space="0" w:color="1E4496"/>
              <w:left w:val="nil"/>
              <w:bottom w:val="single" w:sz="6" w:space="0" w:color="1E4496"/>
            </w:tcBorders>
            <w:shd w:val="clear" w:color="auto" w:fill="DCF4FC" w:themeFill="background2" w:themeFillTint="33"/>
            <w:tcMar>
              <w:top w:w="108" w:type="dxa"/>
              <w:left w:w="113" w:type="dxa"/>
              <w:bottom w:w="108" w:type="dxa"/>
              <w:right w:w="113" w:type="dxa"/>
            </w:tcMar>
            <w:vAlign w:val="center"/>
          </w:tcPr>
          <w:p w14:paraId="6CE50667" w14:textId="77777777" w:rsidR="0065096F" w:rsidRPr="0065096F" w:rsidRDefault="0065096F" w:rsidP="0065096F">
            <w:pPr>
              <w:pStyle w:val="CDITable-RowLeft"/>
              <w:rPr>
                <w:b/>
                <w:bCs/>
                <w:lang w:val="en-GB"/>
              </w:rPr>
            </w:pPr>
            <w:r w:rsidRPr="0065096F">
              <w:rPr>
                <w:b/>
                <w:bCs/>
                <w:lang w:val="en-GB"/>
              </w:rPr>
              <w:t>Municipality</w:t>
            </w: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29337CF4" w14:textId="77777777" w:rsidR="0065096F" w:rsidRPr="0065096F" w:rsidRDefault="0065096F" w:rsidP="0065096F">
            <w:pPr>
              <w:pStyle w:val="CDITable-RowLeft"/>
              <w:rPr>
                <w:lang w:val="en-GB"/>
              </w:rPr>
            </w:pPr>
            <w:r w:rsidRPr="0065096F">
              <w:rPr>
                <w:lang w:val="en-GB"/>
              </w:rPr>
              <w:t>Dili</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374D66E5" w14:textId="77777777" w:rsidR="0065096F" w:rsidRPr="0065096F" w:rsidRDefault="0065096F" w:rsidP="0065096F">
            <w:pPr>
              <w:pStyle w:val="CDITable-RowCentre"/>
              <w:rPr>
                <w:lang w:val="en-GB"/>
              </w:rPr>
            </w:pPr>
            <w:r w:rsidRPr="0065096F">
              <w:rPr>
                <w:lang w:val="en-GB"/>
              </w:rPr>
              <w:t>24 (55)</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2F713942" w14:textId="77777777" w:rsidR="0065096F" w:rsidRPr="0065096F" w:rsidRDefault="0065096F" w:rsidP="0065096F">
            <w:pPr>
              <w:pStyle w:val="CDITable-RowCentre"/>
              <w:rPr>
                <w:lang w:val="en-GB"/>
              </w:rPr>
            </w:pPr>
            <w:r w:rsidRPr="0065096F">
              <w:rPr>
                <w:lang w:val="en-GB"/>
              </w:rPr>
              <w:t>11 (73)</w:t>
            </w:r>
          </w:p>
        </w:tc>
      </w:tr>
      <w:tr w:rsidR="0065096F" w:rsidRPr="0065096F" w14:paraId="3E9E5A7E"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2CA079D4"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236E895E" w14:textId="77777777" w:rsidR="0065096F" w:rsidRPr="0065096F" w:rsidRDefault="0065096F" w:rsidP="0065096F">
            <w:pPr>
              <w:pStyle w:val="CDITable-RowLeft"/>
              <w:rPr>
                <w:lang w:val="en-GB"/>
              </w:rPr>
            </w:pPr>
            <w:r w:rsidRPr="0065096F">
              <w:rPr>
                <w:lang w:val="en-GB"/>
              </w:rPr>
              <w:t>Manatuto</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62989C56" w14:textId="77777777" w:rsidR="0065096F" w:rsidRPr="0065096F" w:rsidRDefault="0065096F" w:rsidP="0065096F">
            <w:pPr>
              <w:pStyle w:val="CDITable-RowCentre"/>
              <w:rPr>
                <w:lang w:val="en-GB"/>
              </w:rPr>
            </w:pPr>
            <w:r w:rsidRPr="0065096F">
              <w:rPr>
                <w:lang w:val="en-GB"/>
              </w:rPr>
              <w:t>2 (5)</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13B26A22" w14:textId="77777777" w:rsidR="0065096F" w:rsidRPr="0065096F" w:rsidRDefault="0065096F" w:rsidP="0065096F">
            <w:pPr>
              <w:pStyle w:val="CDITable-RowCentre"/>
              <w:rPr>
                <w:lang w:val="en-GB"/>
              </w:rPr>
            </w:pPr>
            <w:r w:rsidRPr="0065096F">
              <w:rPr>
                <w:lang w:val="en-GB"/>
              </w:rPr>
              <w:t>0 (0)</w:t>
            </w:r>
          </w:p>
        </w:tc>
      </w:tr>
      <w:tr w:rsidR="0065096F" w:rsidRPr="0065096F" w14:paraId="1CABDD76"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5C0259D4"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613D13D9" w14:textId="77777777" w:rsidR="0065096F" w:rsidRPr="0065096F" w:rsidRDefault="0065096F" w:rsidP="0065096F">
            <w:pPr>
              <w:pStyle w:val="CDITable-RowLeft"/>
              <w:rPr>
                <w:lang w:val="en-GB"/>
              </w:rPr>
            </w:pPr>
            <w:r w:rsidRPr="0065096F">
              <w:rPr>
                <w:lang w:val="en-GB"/>
              </w:rPr>
              <w:t>Baucau</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7F2F5301" w14:textId="77777777" w:rsidR="0065096F" w:rsidRPr="0065096F" w:rsidRDefault="0065096F" w:rsidP="0065096F">
            <w:pPr>
              <w:pStyle w:val="CDITable-RowCentre"/>
              <w:rPr>
                <w:lang w:val="en-GB"/>
              </w:rPr>
            </w:pPr>
            <w:r w:rsidRPr="0065096F">
              <w:rPr>
                <w:lang w:val="en-GB"/>
              </w:rPr>
              <w:t>1 (2)</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55905223" w14:textId="77777777" w:rsidR="0065096F" w:rsidRPr="0065096F" w:rsidRDefault="0065096F" w:rsidP="0065096F">
            <w:pPr>
              <w:pStyle w:val="CDITable-RowCentre"/>
              <w:rPr>
                <w:lang w:val="en-GB"/>
              </w:rPr>
            </w:pPr>
            <w:r w:rsidRPr="0065096F">
              <w:rPr>
                <w:lang w:val="en-GB"/>
              </w:rPr>
              <w:t>0 (0)</w:t>
            </w:r>
          </w:p>
        </w:tc>
      </w:tr>
      <w:tr w:rsidR="0065096F" w:rsidRPr="0065096F" w14:paraId="723734D3"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085BBC0E"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424A23CD" w14:textId="77777777" w:rsidR="0065096F" w:rsidRPr="0065096F" w:rsidRDefault="0065096F" w:rsidP="0065096F">
            <w:pPr>
              <w:pStyle w:val="CDITable-RowLeft"/>
              <w:rPr>
                <w:lang w:val="en-GB"/>
              </w:rPr>
            </w:pPr>
            <w:r w:rsidRPr="0065096F">
              <w:rPr>
                <w:lang w:val="en-GB"/>
              </w:rPr>
              <w:t>Lautem</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314C4A96" w14:textId="77777777" w:rsidR="0065096F" w:rsidRPr="0065096F" w:rsidRDefault="0065096F" w:rsidP="0065096F">
            <w:pPr>
              <w:pStyle w:val="CDITable-RowCentre"/>
              <w:rPr>
                <w:lang w:val="en-GB"/>
              </w:rPr>
            </w:pPr>
            <w:r w:rsidRPr="0065096F">
              <w:rPr>
                <w:lang w:val="en-GB"/>
              </w:rPr>
              <w:t>1 (2)</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56D63189" w14:textId="77777777" w:rsidR="0065096F" w:rsidRPr="0065096F" w:rsidRDefault="0065096F" w:rsidP="0065096F">
            <w:pPr>
              <w:pStyle w:val="CDITable-RowCentre"/>
              <w:rPr>
                <w:lang w:val="en-GB"/>
              </w:rPr>
            </w:pPr>
            <w:r w:rsidRPr="0065096F">
              <w:rPr>
                <w:lang w:val="en-GB"/>
              </w:rPr>
              <w:t>2 (13)</w:t>
            </w:r>
          </w:p>
        </w:tc>
      </w:tr>
      <w:tr w:rsidR="0065096F" w:rsidRPr="0065096F" w14:paraId="6728ACF0"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4AF27D9C"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53C9A65B" w14:textId="77777777" w:rsidR="0065096F" w:rsidRPr="0065096F" w:rsidRDefault="0065096F" w:rsidP="0065096F">
            <w:pPr>
              <w:pStyle w:val="CDITable-RowLeft"/>
              <w:rPr>
                <w:lang w:val="en-GB"/>
              </w:rPr>
            </w:pPr>
            <w:r w:rsidRPr="0065096F">
              <w:rPr>
                <w:lang w:val="en-GB"/>
              </w:rPr>
              <w:t>Aileu</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79FFE558" w14:textId="77777777" w:rsidR="0065096F" w:rsidRPr="0065096F" w:rsidRDefault="0065096F" w:rsidP="0065096F">
            <w:pPr>
              <w:pStyle w:val="CDITable-RowCentre"/>
              <w:rPr>
                <w:lang w:val="en-GB"/>
              </w:rPr>
            </w:pPr>
            <w:r w:rsidRPr="0065096F">
              <w:rPr>
                <w:lang w:val="en-GB"/>
              </w:rPr>
              <w:t>4 (9)</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690E5D93" w14:textId="77777777" w:rsidR="0065096F" w:rsidRPr="0065096F" w:rsidRDefault="0065096F" w:rsidP="0065096F">
            <w:pPr>
              <w:pStyle w:val="CDITable-RowCentre"/>
              <w:rPr>
                <w:lang w:val="en-GB"/>
              </w:rPr>
            </w:pPr>
            <w:r w:rsidRPr="0065096F">
              <w:rPr>
                <w:lang w:val="en-GB"/>
              </w:rPr>
              <w:t>1 (7)</w:t>
            </w:r>
          </w:p>
        </w:tc>
      </w:tr>
      <w:tr w:rsidR="0065096F" w:rsidRPr="0065096F" w14:paraId="5D8C8109"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1E7F598B"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169AE19F" w14:textId="77777777" w:rsidR="0065096F" w:rsidRPr="0065096F" w:rsidRDefault="0065096F" w:rsidP="0065096F">
            <w:pPr>
              <w:pStyle w:val="CDITable-RowLeft"/>
              <w:rPr>
                <w:lang w:val="en-GB"/>
              </w:rPr>
            </w:pPr>
            <w:r w:rsidRPr="0065096F">
              <w:rPr>
                <w:lang w:val="en-GB"/>
              </w:rPr>
              <w:t>Manufahi</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4ECE461C" w14:textId="77777777" w:rsidR="0065096F" w:rsidRPr="0065096F" w:rsidRDefault="0065096F" w:rsidP="0065096F">
            <w:pPr>
              <w:pStyle w:val="CDITable-RowCentre"/>
              <w:rPr>
                <w:lang w:val="en-GB"/>
              </w:rPr>
            </w:pPr>
            <w:r w:rsidRPr="0065096F">
              <w:rPr>
                <w:lang w:val="en-GB"/>
              </w:rPr>
              <w:t>3 (7)</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5A648699" w14:textId="77777777" w:rsidR="0065096F" w:rsidRPr="0065096F" w:rsidRDefault="0065096F" w:rsidP="0065096F">
            <w:pPr>
              <w:pStyle w:val="CDITable-RowCentre"/>
              <w:rPr>
                <w:lang w:val="en-GB"/>
              </w:rPr>
            </w:pPr>
            <w:r w:rsidRPr="0065096F">
              <w:rPr>
                <w:lang w:val="en-GB"/>
              </w:rPr>
              <w:t>0 (0)</w:t>
            </w:r>
          </w:p>
        </w:tc>
      </w:tr>
      <w:tr w:rsidR="0065096F" w:rsidRPr="0065096F" w14:paraId="2FF55C5C"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723F0DDC"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780397B8" w14:textId="77777777" w:rsidR="0065096F" w:rsidRPr="0065096F" w:rsidRDefault="0065096F" w:rsidP="0065096F">
            <w:pPr>
              <w:pStyle w:val="CDITable-RowLeft"/>
              <w:rPr>
                <w:lang w:val="en-GB"/>
              </w:rPr>
            </w:pPr>
            <w:r w:rsidRPr="0065096F">
              <w:rPr>
                <w:lang w:val="en-GB"/>
              </w:rPr>
              <w:t>Ainaro</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3CE07624" w14:textId="77777777" w:rsidR="0065096F" w:rsidRPr="0065096F" w:rsidRDefault="0065096F" w:rsidP="0065096F">
            <w:pPr>
              <w:pStyle w:val="CDITable-RowCentre"/>
              <w:rPr>
                <w:lang w:val="en-GB"/>
              </w:rPr>
            </w:pPr>
            <w:r w:rsidRPr="0065096F">
              <w:rPr>
                <w:lang w:val="en-GB"/>
              </w:rPr>
              <w:t>1 (2)</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0A210624" w14:textId="77777777" w:rsidR="0065096F" w:rsidRPr="0065096F" w:rsidRDefault="0065096F" w:rsidP="0065096F">
            <w:pPr>
              <w:pStyle w:val="CDITable-RowCentre"/>
              <w:rPr>
                <w:lang w:val="en-GB"/>
              </w:rPr>
            </w:pPr>
            <w:r w:rsidRPr="0065096F">
              <w:rPr>
                <w:lang w:val="en-GB"/>
              </w:rPr>
              <w:t>0 (0)</w:t>
            </w:r>
          </w:p>
        </w:tc>
      </w:tr>
      <w:tr w:rsidR="0065096F" w:rsidRPr="0065096F" w14:paraId="32009C64"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72E5019F"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567C268C" w14:textId="77777777" w:rsidR="0065096F" w:rsidRPr="0065096F" w:rsidRDefault="0065096F" w:rsidP="0065096F">
            <w:pPr>
              <w:pStyle w:val="CDITable-RowLeft"/>
              <w:rPr>
                <w:lang w:val="en-GB"/>
              </w:rPr>
            </w:pPr>
            <w:r w:rsidRPr="0065096F">
              <w:rPr>
                <w:lang w:val="en-GB"/>
              </w:rPr>
              <w:t>Covalima</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73DFB760" w14:textId="77777777" w:rsidR="0065096F" w:rsidRPr="0065096F" w:rsidRDefault="0065096F" w:rsidP="0065096F">
            <w:pPr>
              <w:pStyle w:val="CDITable-RowCentre"/>
              <w:rPr>
                <w:lang w:val="en-GB"/>
              </w:rPr>
            </w:pPr>
            <w:r w:rsidRPr="0065096F">
              <w:rPr>
                <w:lang w:val="en-GB"/>
              </w:rPr>
              <w:t>1 (2)</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688ADB01" w14:textId="77777777" w:rsidR="0065096F" w:rsidRPr="0065096F" w:rsidRDefault="0065096F" w:rsidP="0065096F">
            <w:pPr>
              <w:pStyle w:val="CDITable-RowCentre"/>
              <w:rPr>
                <w:lang w:val="en-GB"/>
              </w:rPr>
            </w:pPr>
            <w:r w:rsidRPr="0065096F">
              <w:rPr>
                <w:lang w:val="en-GB"/>
              </w:rPr>
              <w:t>0 (0)</w:t>
            </w:r>
          </w:p>
        </w:tc>
      </w:tr>
      <w:tr w:rsidR="0065096F" w:rsidRPr="0065096F" w14:paraId="60B0B7C1"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5C7C78CD"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2E332D76" w14:textId="77777777" w:rsidR="0065096F" w:rsidRPr="0065096F" w:rsidRDefault="0065096F" w:rsidP="0065096F">
            <w:pPr>
              <w:pStyle w:val="CDITable-RowLeft"/>
              <w:rPr>
                <w:lang w:val="en-GB"/>
              </w:rPr>
            </w:pPr>
            <w:r w:rsidRPr="0065096F">
              <w:rPr>
                <w:lang w:val="en-GB"/>
              </w:rPr>
              <w:t>Bobonaro</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7C63CB4D" w14:textId="77777777" w:rsidR="0065096F" w:rsidRPr="0065096F" w:rsidRDefault="0065096F" w:rsidP="0065096F">
            <w:pPr>
              <w:pStyle w:val="CDITable-RowCentre"/>
              <w:rPr>
                <w:lang w:val="en-GB"/>
              </w:rPr>
            </w:pPr>
            <w:r w:rsidRPr="0065096F">
              <w:rPr>
                <w:lang w:val="en-GB"/>
              </w:rPr>
              <w:t>1 (2)</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1B7B3519" w14:textId="77777777" w:rsidR="0065096F" w:rsidRPr="0065096F" w:rsidRDefault="0065096F" w:rsidP="0065096F">
            <w:pPr>
              <w:pStyle w:val="CDITable-RowCentre"/>
              <w:rPr>
                <w:lang w:val="en-GB"/>
              </w:rPr>
            </w:pPr>
            <w:r w:rsidRPr="0065096F">
              <w:rPr>
                <w:lang w:val="en-GB"/>
              </w:rPr>
              <w:t>1 (7)</w:t>
            </w:r>
          </w:p>
        </w:tc>
      </w:tr>
      <w:tr w:rsidR="0065096F" w:rsidRPr="0065096F" w14:paraId="43A6410B"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76863F60"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173A4508" w14:textId="77777777" w:rsidR="0065096F" w:rsidRPr="0065096F" w:rsidRDefault="0065096F" w:rsidP="0065096F">
            <w:pPr>
              <w:pStyle w:val="CDITable-RowLeft"/>
              <w:rPr>
                <w:lang w:val="en-GB"/>
              </w:rPr>
            </w:pPr>
            <w:r w:rsidRPr="0065096F">
              <w:rPr>
                <w:lang w:val="en-GB"/>
              </w:rPr>
              <w:t>Ermera</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317700D3" w14:textId="77777777" w:rsidR="0065096F" w:rsidRPr="0065096F" w:rsidRDefault="0065096F" w:rsidP="0065096F">
            <w:pPr>
              <w:pStyle w:val="CDITable-RowCentre"/>
              <w:rPr>
                <w:lang w:val="en-GB"/>
              </w:rPr>
            </w:pPr>
            <w:r w:rsidRPr="0065096F">
              <w:rPr>
                <w:lang w:val="en-GB"/>
              </w:rPr>
              <w:t>4 (9)</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3D676BFB" w14:textId="77777777" w:rsidR="0065096F" w:rsidRPr="0065096F" w:rsidRDefault="0065096F" w:rsidP="0065096F">
            <w:pPr>
              <w:pStyle w:val="CDITable-RowCentre"/>
              <w:rPr>
                <w:lang w:val="en-GB"/>
              </w:rPr>
            </w:pPr>
            <w:r w:rsidRPr="0065096F">
              <w:rPr>
                <w:lang w:val="en-GB"/>
              </w:rPr>
              <w:t>0 (0)</w:t>
            </w:r>
          </w:p>
        </w:tc>
      </w:tr>
      <w:tr w:rsidR="0065096F" w:rsidRPr="0065096F" w14:paraId="73C0D2C1"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5C1A1A10"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7066B432" w14:textId="6A67E5DE" w:rsidR="0065096F" w:rsidRPr="0065096F" w:rsidRDefault="0065096F" w:rsidP="0065096F">
            <w:pPr>
              <w:pStyle w:val="CDITable-RowLeft"/>
              <w:rPr>
                <w:lang w:val="en-GB"/>
              </w:rPr>
            </w:pPr>
            <w:proofErr w:type="spellStart"/>
            <w:r w:rsidRPr="0065096F">
              <w:rPr>
                <w:lang w:val="en-GB"/>
              </w:rPr>
              <w:t>Liqui</w:t>
            </w:r>
            <w:r>
              <w:rPr>
                <w:rFonts w:cstheme="minorHAnsi"/>
                <w:lang w:val="en-GB"/>
              </w:rPr>
              <w:t>ç</w:t>
            </w:r>
            <w:r w:rsidRPr="0065096F">
              <w:rPr>
                <w:lang w:val="en-GB"/>
              </w:rPr>
              <w:t>a</w:t>
            </w:r>
            <w:proofErr w:type="spellEnd"/>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2F1BE0F2" w14:textId="77777777" w:rsidR="0065096F" w:rsidRPr="0065096F" w:rsidRDefault="0065096F" w:rsidP="0065096F">
            <w:pPr>
              <w:pStyle w:val="CDITable-RowCentre"/>
              <w:rPr>
                <w:lang w:val="en-GB"/>
              </w:rPr>
            </w:pPr>
            <w:r w:rsidRPr="0065096F">
              <w:rPr>
                <w:lang w:val="en-GB"/>
              </w:rPr>
              <w:t>2 (5)</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5B916447" w14:textId="77777777" w:rsidR="0065096F" w:rsidRPr="0065096F" w:rsidRDefault="0065096F" w:rsidP="0065096F">
            <w:pPr>
              <w:pStyle w:val="CDITable-RowCentre"/>
              <w:rPr>
                <w:lang w:val="en-GB"/>
              </w:rPr>
            </w:pPr>
            <w:r w:rsidRPr="0065096F">
              <w:rPr>
                <w:lang w:val="en-GB"/>
              </w:rPr>
              <w:t>0 (0)</w:t>
            </w:r>
          </w:p>
        </w:tc>
      </w:tr>
      <w:tr w:rsidR="0065096F" w:rsidRPr="0065096F" w14:paraId="00373BC9" w14:textId="77777777" w:rsidTr="0065096F">
        <w:trPr>
          <w:trHeight w:val="60"/>
        </w:trPr>
        <w:tc>
          <w:tcPr>
            <w:tcW w:w="2409" w:type="dxa"/>
            <w:vMerge w:val="restart"/>
            <w:tcBorders>
              <w:top w:val="single" w:sz="6" w:space="0" w:color="1E4496"/>
              <w:left w:val="nil"/>
              <w:bottom w:val="single" w:sz="6" w:space="0" w:color="1E4496"/>
            </w:tcBorders>
            <w:shd w:val="clear" w:color="auto" w:fill="DCF4FC" w:themeFill="background2" w:themeFillTint="33"/>
            <w:tcMar>
              <w:top w:w="108" w:type="dxa"/>
              <w:left w:w="113" w:type="dxa"/>
              <w:bottom w:w="108" w:type="dxa"/>
              <w:right w:w="113" w:type="dxa"/>
            </w:tcMar>
            <w:vAlign w:val="center"/>
          </w:tcPr>
          <w:p w14:paraId="47622395" w14:textId="77777777" w:rsidR="0065096F" w:rsidRPr="0065096F" w:rsidRDefault="0065096F" w:rsidP="0065096F">
            <w:pPr>
              <w:pStyle w:val="CDITable-RowLeft"/>
              <w:rPr>
                <w:b/>
                <w:bCs/>
                <w:lang w:val="en-GB"/>
              </w:rPr>
            </w:pPr>
            <w:r w:rsidRPr="0065096F">
              <w:rPr>
                <w:b/>
                <w:bCs/>
                <w:lang w:val="en-GB"/>
              </w:rPr>
              <w:t>Admission status</w:t>
            </w: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1AFBF382" w14:textId="77777777" w:rsidR="0065096F" w:rsidRPr="0065096F" w:rsidRDefault="0065096F" w:rsidP="0065096F">
            <w:pPr>
              <w:pStyle w:val="CDITable-RowLeft"/>
              <w:rPr>
                <w:lang w:val="en-GB"/>
              </w:rPr>
            </w:pPr>
            <w:r w:rsidRPr="0065096F">
              <w:rPr>
                <w:lang w:val="en-GB"/>
              </w:rPr>
              <w:t>Inpatient</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4EB976AD" w14:textId="77777777" w:rsidR="0065096F" w:rsidRPr="0065096F" w:rsidRDefault="0065096F" w:rsidP="0065096F">
            <w:pPr>
              <w:pStyle w:val="CDITable-RowCentre"/>
              <w:rPr>
                <w:lang w:val="en-GB"/>
              </w:rPr>
            </w:pPr>
            <w:r w:rsidRPr="0065096F">
              <w:rPr>
                <w:lang w:val="en-GB"/>
              </w:rPr>
              <w:t>40 (91)</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3C0AAA62" w14:textId="77777777" w:rsidR="0065096F" w:rsidRPr="0065096F" w:rsidRDefault="0065096F" w:rsidP="0065096F">
            <w:pPr>
              <w:pStyle w:val="CDITable-RowCentre"/>
              <w:rPr>
                <w:lang w:val="en-GB"/>
              </w:rPr>
            </w:pPr>
            <w:r w:rsidRPr="0065096F">
              <w:rPr>
                <w:lang w:val="en-GB"/>
              </w:rPr>
              <w:t>14 (93)</w:t>
            </w:r>
          </w:p>
        </w:tc>
      </w:tr>
      <w:tr w:rsidR="0065096F" w:rsidRPr="0065096F" w14:paraId="3D14942E"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61FD3AC0" w14:textId="77777777" w:rsidR="0065096F" w:rsidRPr="0065096F" w:rsidRDefault="0065096F" w:rsidP="0065096F">
            <w:pPr>
              <w:pStyle w:val="CDITable-RowLeft"/>
              <w:rPr>
                <w:b/>
                <w:bCs/>
              </w:rPr>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4AC3C273" w14:textId="77777777" w:rsidR="0065096F" w:rsidRPr="0065096F" w:rsidRDefault="0065096F" w:rsidP="0065096F">
            <w:pPr>
              <w:pStyle w:val="CDITable-RowLeft"/>
              <w:rPr>
                <w:lang w:val="en-GB"/>
              </w:rPr>
            </w:pPr>
            <w:r w:rsidRPr="0065096F">
              <w:rPr>
                <w:lang w:val="en-GB"/>
              </w:rPr>
              <w:t>Outpatient</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530790D0" w14:textId="77777777" w:rsidR="0065096F" w:rsidRPr="0065096F" w:rsidRDefault="0065096F" w:rsidP="0065096F">
            <w:pPr>
              <w:pStyle w:val="CDITable-RowCentre"/>
              <w:rPr>
                <w:lang w:val="en-GB"/>
              </w:rPr>
            </w:pPr>
            <w:r w:rsidRPr="0065096F">
              <w:rPr>
                <w:lang w:val="en-GB"/>
              </w:rPr>
              <w:t>4 (9)</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644B7000" w14:textId="77777777" w:rsidR="0065096F" w:rsidRPr="0065096F" w:rsidRDefault="0065096F" w:rsidP="0065096F">
            <w:pPr>
              <w:pStyle w:val="CDITable-RowCentre"/>
              <w:rPr>
                <w:lang w:val="en-GB"/>
              </w:rPr>
            </w:pPr>
            <w:r w:rsidRPr="0065096F">
              <w:rPr>
                <w:lang w:val="en-GB"/>
              </w:rPr>
              <w:t>1 (7)</w:t>
            </w:r>
          </w:p>
        </w:tc>
      </w:tr>
      <w:tr w:rsidR="0065096F" w:rsidRPr="0065096F" w14:paraId="4CE145E1" w14:textId="77777777" w:rsidTr="0065096F">
        <w:trPr>
          <w:trHeight w:val="60"/>
        </w:trPr>
        <w:tc>
          <w:tcPr>
            <w:tcW w:w="2409" w:type="dxa"/>
            <w:vMerge w:val="restart"/>
            <w:tcBorders>
              <w:top w:val="single" w:sz="6" w:space="0" w:color="1E4496"/>
              <w:left w:val="nil"/>
              <w:bottom w:val="single" w:sz="6" w:space="0" w:color="1E4496"/>
            </w:tcBorders>
            <w:shd w:val="clear" w:color="auto" w:fill="DCF4FC" w:themeFill="background2" w:themeFillTint="33"/>
            <w:tcMar>
              <w:top w:w="108" w:type="dxa"/>
              <w:left w:w="113" w:type="dxa"/>
              <w:bottom w:w="108" w:type="dxa"/>
              <w:right w:w="113" w:type="dxa"/>
            </w:tcMar>
            <w:vAlign w:val="center"/>
          </w:tcPr>
          <w:p w14:paraId="59857CEE" w14:textId="77777777" w:rsidR="0065096F" w:rsidRPr="0065096F" w:rsidRDefault="0065096F" w:rsidP="0065096F">
            <w:pPr>
              <w:pStyle w:val="CDITable-RowLeft"/>
              <w:rPr>
                <w:b/>
                <w:bCs/>
                <w:lang w:val="en-GB"/>
              </w:rPr>
            </w:pPr>
            <w:r w:rsidRPr="0065096F">
              <w:rPr>
                <w:b/>
                <w:bCs/>
                <w:lang w:val="en-GB"/>
              </w:rPr>
              <w:t>Infection acquisition</w:t>
            </w: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71169697" w14:textId="77777777" w:rsidR="0065096F" w:rsidRPr="0065096F" w:rsidRDefault="0065096F" w:rsidP="0065096F">
            <w:pPr>
              <w:pStyle w:val="CDITable-RowLeft"/>
              <w:rPr>
                <w:lang w:val="en-GB"/>
              </w:rPr>
            </w:pPr>
            <w:r w:rsidRPr="0065096F">
              <w:rPr>
                <w:lang w:val="en-GB"/>
              </w:rPr>
              <w:t>Community</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0A9C20C9" w14:textId="77777777" w:rsidR="0065096F" w:rsidRPr="0065096F" w:rsidRDefault="0065096F" w:rsidP="0065096F">
            <w:pPr>
              <w:pStyle w:val="CDITable-RowCentre"/>
              <w:rPr>
                <w:lang w:val="en-GB"/>
              </w:rPr>
            </w:pPr>
            <w:r w:rsidRPr="0065096F">
              <w:rPr>
                <w:lang w:val="en-GB"/>
              </w:rPr>
              <w:t>34 (77)</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22A2714C" w14:textId="77777777" w:rsidR="0065096F" w:rsidRPr="0065096F" w:rsidRDefault="0065096F" w:rsidP="0065096F">
            <w:pPr>
              <w:pStyle w:val="CDITable-RowCentre"/>
              <w:rPr>
                <w:lang w:val="en-GB"/>
              </w:rPr>
            </w:pPr>
            <w:r w:rsidRPr="0065096F">
              <w:rPr>
                <w:lang w:val="en-GB"/>
              </w:rPr>
              <w:t>10 (67)</w:t>
            </w:r>
          </w:p>
        </w:tc>
      </w:tr>
      <w:tr w:rsidR="0065096F" w:rsidRPr="0065096F" w14:paraId="0966642E" w14:textId="77777777" w:rsidTr="0065096F">
        <w:trPr>
          <w:trHeight w:val="60"/>
        </w:trPr>
        <w:tc>
          <w:tcPr>
            <w:tcW w:w="2409" w:type="dxa"/>
            <w:vMerge/>
            <w:tcBorders>
              <w:top w:val="single" w:sz="6" w:space="0" w:color="1E4496"/>
              <w:left w:val="nil"/>
              <w:bottom w:val="single" w:sz="6" w:space="0" w:color="1E4496"/>
            </w:tcBorders>
            <w:shd w:val="clear" w:color="auto" w:fill="DCF4FC" w:themeFill="background2" w:themeFillTint="33"/>
            <w:tcMar>
              <w:top w:w="108" w:type="dxa"/>
              <w:bottom w:w="108" w:type="dxa"/>
            </w:tcMar>
          </w:tcPr>
          <w:p w14:paraId="79429756" w14:textId="77777777" w:rsidR="0065096F" w:rsidRPr="0065096F" w:rsidRDefault="0065096F" w:rsidP="0065096F">
            <w:pPr>
              <w:pStyle w:val="CDITable-RowCentre"/>
            </w:pPr>
          </w:p>
        </w:tc>
        <w:tc>
          <w:tcPr>
            <w:tcW w:w="2410" w:type="dxa"/>
            <w:tcBorders>
              <w:top w:val="single" w:sz="6" w:space="0" w:color="1E4496"/>
              <w:bottom w:val="single" w:sz="6" w:space="0" w:color="1E4496"/>
            </w:tcBorders>
            <w:tcMar>
              <w:top w:w="108" w:type="dxa"/>
              <w:left w:w="113" w:type="dxa"/>
              <w:bottom w:w="108" w:type="dxa"/>
              <w:right w:w="113" w:type="dxa"/>
            </w:tcMar>
            <w:vAlign w:val="center"/>
          </w:tcPr>
          <w:p w14:paraId="0AB4ACD7" w14:textId="77777777" w:rsidR="0065096F" w:rsidRPr="0065096F" w:rsidRDefault="0065096F" w:rsidP="0065096F">
            <w:pPr>
              <w:pStyle w:val="CDITable-RowLeft"/>
              <w:rPr>
                <w:lang w:val="en-GB"/>
              </w:rPr>
            </w:pPr>
            <w:r w:rsidRPr="0065096F">
              <w:rPr>
                <w:lang w:val="en-GB"/>
              </w:rPr>
              <w:t>Hospital</w:t>
            </w:r>
          </w:p>
        </w:tc>
        <w:tc>
          <w:tcPr>
            <w:tcW w:w="2409" w:type="dxa"/>
            <w:tcBorders>
              <w:top w:val="single" w:sz="6" w:space="0" w:color="1E4496"/>
              <w:bottom w:val="single" w:sz="6" w:space="0" w:color="1E4496"/>
            </w:tcBorders>
            <w:tcMar>
              <w:top w:w="108" w:type="dxa"/>
              <w:left w:w="113" w:type="dxa"/>
              <w:bottom w:w="108" w:type="dxa"/>
              <w:right w:w="113" w:type="dxa"/>
            </w:tcMar>
            <w:vAlign w:val="center"/>
          </w:tcPr>
          <w:p w14:paraId="50576B7A" w14:textId="77777777" w:rsidR="0065096F" w:rsidRPr="0065096F" w:rsidRDefault="0065096F" w:rsidP="0065096F">
            <w:pPr>
              <w:pStyle w:val="CDITable-RowCentre"/>
              <w:rPr>
                <w:lang w:val="en-GB"/>
              </w:rPr>
            </w:pPr>
            <w:r w:rsidRPr="0065096F">
              <w:rPr>
                <w:lang w:val="en-GB"/>
              </w:rPr>
              <w:t>10 (23)</w:t>
            </w:r>
          </w:p>
        </w:tc>
        <w:tc>
          <w:tcPr>
            <w:tcW w:w="2410" w:type="dxa"/>
            <w:tcBorders>
              <w:top w:val="single" w:sz="6" w:space="0" w:color="1E4496"/>
              <w:bottom w:val="single" w:sz="6" w:space="0" w:color="1E4496"/>
              <w:right w:val="nil"/>
            </w:tcBorders>
            <w:tcMar>
              <w:top w:w="108" w:type="dxa"/>
              <w:left w:w="113" w:type="dxa"/>
              <w:bottom w:w="108" w:type="dxa"/>
              <w:right w:w="113" w:type="dxa"/>
            </w:tcMar>
            <w:vAlign w:val="center"/>
          </w:tcPr>
          <w:p w14:paraId="44C30A13" w14:textId="77777777" w:rsidR="0065096F" w:rsidRPr="0065096F" w:rsidRDefault="0065096F" w:rsidP="0065096F">
            <w:pPr>
              <w:pStyle w:val="CDITable-RowCentre"/>
              <w:rPr>
                <w:lang w:val="en-GB"/>
              </w:rPr>
            </w:pPr>
            <w:r w:rsidRPr="0065096F">
              <w:rPr>
                <w:lang w:val="en-GB"/>
              </w:rPr>
              <w:t>5 (23)</w:t>
            </w:r>
          </w:p>
        </w:tc>
      </w:tr>
    </w:tbl>
    <w:p w14:paraId="08F72E3B" w14:textId="77777777" w:rsidR="0065096F" w:rsidRPr="0065096F" w:rsidRDefault="0065096F" w:rsidP="0065096F">
      <w:pPr>
        <w:pStyle w:val="Heading2"/>
        <w:rPr>
          <w:lang w:val="en-GB"/>
        </w:rPr>
      </w:pPr>
      <w:bookmarkStart w:id="19" w:name="_Toc227567843"/>
      <w:r w:rsidRPr="0065096F">
        <w:rPr>
          <w:lang w:val="en-GB"/>
        </w:rPr>
        <w:lastRenderedPageBreak/>
        <w:t>Clinical characteristics</w:t>
      </w:r>
      <w:bookmarkEnd w:id="19"/>
    </w:p>
    <w:p w14:paraId="0DB53E84" w14:textId="4C76F580" w:rsidR="0065096F" w:rsidRDefault="0065096F" w:rsidP="00C32E1C">
      <w:pPr>
        <w:rPr>
          <w:lang w:val="en-GB"/>
        </w:rPr>
      </w:pPr>
      <w:r w:rsidRPr="0065096F">
        <w:rPr>
          <w:lang w:val="en-GB"/>
        </w:rPr>
        <w:t xml:space="preserve">The most common clinical characteristic of patients in this study was a diagnosis of skin and soft tissue infection (SSTI) (75%; n = 44) (Table 2). Of these, 80% (n = 35/44) had MSSA infection, whilst the remaining 20% (n = 9/44) had MRSA infection. Seventy-three percent of patients with MSSA (n = 32/44) and 67% of patients with an MRSA infection (n = 10/15) were discharged alive; four patients with MSSA and one patient with MRSA died in hospital; the clinical outcome was unknown for nine cases (15%; Table 2). A prolonged hospital stay of more than two weeks was documented for 12/59 cases (20%): these included one blood culture, ten swabs and one aspirate. Seven of these 12 prolonged-stay cases were HAI. There were no statistically significant differences in clinical syndrome distribution between MSSA and MRSA isolates (Fisher’s exact </w:t>
      </w:r>
      <w:r w:rsidRPr="0065096F">
        <w:rPr>
          <w:i/>
          <w:iCs/>
          <w:lang w:val="en-GB"/>
        </w:rPr>
        <w:t>p</w:t>
      </w:r>
      <w:r w:rsidR="00442142">
        <w:rPr>
          <w:i/>
          <w:iCs/>
          <w:lang w:val="en-GB"/>
        </w:rPr>
        <w:t> </w:t>
      </w:r>
      <w:r w:rsidRPr="0065096F">
        <w:rPr>
          <w:lang w:val="en-GB"/>
        </w:rPr>
        <w:t>&gt;</w:t>
      </w:r>
      <w:r w:rsidR="00442142">
        <w:rPr>
          <w:lang w:val="en-GB"/>
        </w:rPr>
        <w:t> </w:t>
      </w:r>
      <w:r w:rsidRPr="0065096F">
        <w:rPr>
          <w:lang w:val="en-GB"/>
        </w:rPr>
        <w:t xml:space="preserve">0.10), with both groups predominantly presenting as a skin and soft tissue infection. Discharge outcomes were also similar between groups, with no significant association observed (Fisher’s exact </w:t>
      </w:r>
      <w:r w:rsidRPr="0065096F">
        <w:rPr>
          <w:i/>
          <w:iCs/>
          <w:lang w:val="en-GB"/>
        </w:rPr>
        <w:t>p</w:t>
      </w:r>
      <w:r w:rsidRPr="0065096F">
        <w:rPr>
          <w:lang w:val="en-GB"/>
        </w:rPr>
        <w:t xml:space="preserve"> &gt; 0.60). Overall, the clinical presentation and outcomes of </w:t>
      </w:r>
      <w:r w:rsidRPr="0065096F">
        <w:rPr>
          <w:i/>
          <w:iCs/>
          <w:lang w:val="en-GB"/>
        </w:rPr>
        <w:t>S. aureus</w:t>
      </w:r>
      <w:r w:rsidRPr="0065096F">
        <w:rPr>
          <w:lang w:val="en-GB"/>
        </w:rPr>
        <w:t xml:space="preserve"> infections in this cohort did not differ meaningfully by methicillin resistance status. Clinical data were incomplete for 21/59 (36%) cases, due to missing data or unclear handwriting.</w:t>
      </w:r>
    </w:p>
    <w:p w14:paraId="22FC1F23" w14:textId="6E6472F6" w:rsidR="00C32E1C" w:rsidRPr="00C32E1C" w:rsidRDefault="00C32E1C" w:rsidP="00C32E1C">
      <w:pPr>
        <w:pStyle w:val="CDITable-Title"/>
        <w:rPr>
          <w:lang w:val="en-GB"/>
        </w:rPr>
      </w:pPr>
      <w:r w:rsidRPr="00C32E1C">
        <w:rPr>
          <w:lang w:val="en-GB"/>
        </w:rPr>
        <w:t xml:space="preserve">Table 2: Clinical characteristics of methicillin-sensitive (MSSA) and methicillin-resistant </w:t>
      </w:r>
      <w:r w:rsidRPr="00C32E1C">
        <w:rPr>
          <w:i/>
          <w:iCs/>
          <w:lang w:val="en-GB"/>
        </w:rPr>
        <w:t>S.</w:t>
      </w:r>
      <w:r>
        <w:rPr>
          <w:i/>
          <w:iCs/>
          <w:lang w:val="en-GB"/>
        </w:rPr>
        <w:t> </w:t>
      </w:r>
      <w:r w:rsidRPr="00C32E1C">
        <w:rPr>
          <w:i/>
          <w:iCs/>
          <w:lang w:val="en-GB"/>
        </w:rPr>
        <w:t>aureus</w:t>
      </w:r>
      <w:r w:rsidRPr="00C32E1C">
        <w:rPr>
          <w:lang w:val="en-GB"/>
        </w:rPr>
        <w:t xml:space="preserve"> (MRSA) patients in Timor-Leste, January–June 2020</w:t>
      </w:r>
    </w:p>
    <w:tbl>
      <w:tblPr>
        <w:tblW w:w="0" w:type="auto"/>
        <w:tblLayout w:type="fixed"/>
        <w:tblCellMar>
          <w:left w:w="0" w:type="dxa"/>
          <w:right w:w="0" w:type="dxa"/>
        </w:tblCellMar>
        <w:tblLook w:val="0000" w:firstRow="0" w:lastRow="0" w:firstColumn="0" w:lastColumn="0" w:noHBand="0" w:noVBand="0"/>
        <w:tblCaption w:val="Table 2: Clinical characteristics of methicillin-sensitive (MSSA) and methicillin-resistant S. aureus (MRSA) patients in Timor-Leste, January–June 2020"/>
        <w:tblDescription w:val="A table listing the principal diagnosis and recorded discharge status of 44 MSSA and 15 MRSA patients during the study period January–June 2020."/>
      </w:tblPr>
      <w:tblGrid>
        <w:gridCol w:w="2268"/>
        <w:gridCol w:w="3288"/>
        <w:gridCol w:w="2041"/>
        <w:gridCol w:w="2041"/>
      </w:tblGrid>
      <w:tr w:rsidR="00C32E1C" w:rsidRPr="00C32E1C" w14:paraId="27633386" w14:textId="77777777" w:rsidTr="00C32E1C">
        <w:trPr>
          <w:trHeight w:val="60"/>
          <w:tblHeader/>
        </w:trPr>
        <w:tc>
          <w:tcPr>
            <w:tcW w:w="2268" w:type="dxa"/>
            <w:vMerge w:val="restart"/>
            <w:tcBorders>
              <w:top w:val="nil"/>
              <w:left w:val="nil"/>
            </w:tcBorders>
            <w:shd w:val="clear" w:color="auto" w:fill="1E4496" w:themeFill="text2"/>
            <w:tcMar>
              <w:top w:w="113" w:type="dxa"/>
              <w:left w:w="113" w:type="dxa"/>
              <w:bottom w:w="113" w:type="dxa"/>
              <w:right w:w="113" w:type="dxa"/>
            </w:tcMar>
            <w:vAlign w:val="bottom"/>
          </w:tcPr>
          <w:p w14:paraId="3D435569" w14:textId="77777777" w:rsidR="00C32E1C" w:rsidRPr="00C32E1C" w:rsidRDefault="00C32E1C" w:rsidP="00C32E1C">
            <w:pPr>
              <w:pStyle w:val="CDITable-HeaderRowLeft"/>
              <w:rPr>
                <w:lang w:val="en-GB"/>
              </w:rPr>
            </w:pPr>
            <w:r w:rsidRPr="00C32E1C">
              <w:rPr>
                <w:lang w:val="en-GB"/>
              </w:rPr>
              <w:t>Characteristic</w:t>
            </w:r>
          </w:p>
        </w:tc>
        <w:tc>
          <w:tcPr>
            <w:tcW w:w="3288" w:type="dxa"/>
            <w:vMerge w:val="restart"/>
            <w:tcBorders>
              <w:top w:val="nil"/>
            </w:tcBorders>
            <w:shd w:val="clear" w:color="auto" w:fill="1E4496" w:themeFill="text2"/>
            <w:tcMar>
              <w:top w:w="113" w:type="dxa"/>
              <w:left w:w="113" w:type="dxa"/>
              <w:bottom w:w="113" w:type="dxa"/>
              <w:right w:w="113" w:type="dxa"/>
            </w:tcMar>
            <w:vAlign w:val="bottom"/>
          </w:tcPr>
          <w:p w14:paraId="5B3072DC" w14:textId="77777777" w:rsidR="00C32E1C" w:rsidRPr="00C32E1C" w:rsidRDefault="00C32E1C" w:rsidP="00C32E1C">
            <w:pPr>
              <w:pStyle w:val="CDITable-HeaderRowLeft"/>
              <w:rPr>
                <w:lang w:val="en-GB"/>
              </w:rPr>
            </w:pPr>
            <w:r w:rsidRPr="00C32E1C">
              <w:rPr>
                <w:lang w:val="en-GB"/>
              </w:rPr>
              <w:t>Category</w:t>
            </w:r>
          </w:p>
        </w:tc>
        <w:tc>
          <w:tcPr>
            <w:tcW w:w="2041" w:type="dxa"/>
            <w:tcBorders>
              <w:top w:val="nil"/>
              <w:bottom w:val="single" w:sz="6" w:space="0" w:color="FFFFFF" w:themeColor="background1"/>
            </w:tcBorders>
            <w:shd w:val="clear" w:color="auto" w:fill="1E4496" w:themeFill="text2"/>
            <w:tcMar>
              <w:top w:w="113" w:type="dxa"/>
              <w:left w:w="113" w:type="dxa"/>
              <w:bottom w:w="113" w:type="dxa"/>
              <w:right w:w="113" w:type="dxa"/>
            </w:tcMar>
            <w:vAlign w:val="bottom"/>
          </w:tcPr>
          <w:p w14:paraId="6CB35A54" w14:textId="77777777" w:rsidR="00C32E1C" w:rsidRPr="00C32E1C" w:rsidRDefault="00C32E1C" w:rsidP="00C32E1C">
            <w:pPr>
              <w:pStyle w:val="CDITable-HeaderRowCentre"/>
            </w:pPr>
            <w:r w:rsidRPr="00C32E1C">
              <w:t>MSSA (N = 44)</w:t>
            </w:r>
          </w:p>
        </w:tc>
        <w:tc>
          <w:tcPr>
            <w:tcW w:w="2041" w:type="dxa"/>
            <w:tcBorders>
              <w:top w:val="nil"/>
              <w:bottom w:val="single" w:sz="6" w:space="0" w:color="FFFFFF" w:themeColor="background1"/>
              <w:right w:val="nil"/>
            </w:tcBorders>
            <w:shd w:val="clear" w:color="auto" w:fill="1E4496" w:themeFill="text2"/>
            <w:tcMar>
              <w:top w:w="113" w:type="dxa"/>
              <w:left w:w="113" w:type="dxa"/>
              <w:bottom w:w="113" w:type="dxa"/>
              <w:right w:w="113" w:type="dxa"/>
            </w:tcMar>
            <w:vAlign w:val="bottom"/>
          </w:tcPr>
          <w:p w14:paraId="379D44BF" w14:textId="77777777" w:rsidR="00C32E1C" w:rsidRPr="00C32E1C" w:rsidRDefault="00C32E1C" w:rsidP="00C32E1C">
            <w:pPr>
              <w:pStyle w:val="CDITable-HeaderRowCentre"/>
            </w:pPr>
            <w:r w:rsidRPr="00C32E1C">
              <w:t>MRSA (N = 15)</w:t>
            </w:r>
          </w:p>
        </w:tc>
      </w:tr>
      <w:tr w:rsidR="00C32E1C" w:rsidRPr="00C32E1C" w14:paraId="625D5FD7" w14:textId="77777777" w:rsidTr="00C32E1C">
        <w:trPr>
          <w:trHeight w:val="60"/>
          <w:tblHeader/>
        </w:trPr>
        <w:tc>
          <w:tcPr>
            <w:tcW w:w="2268" w:type="dxa"/>
            <w:vMerge/>
            <w:tcBorders>
              <w:left w:val="nil"/>
            </w:tcBorders>
            <w:shd w:val="clear" w:color="auto" w:fill="1E4496" w:themeFill="text2"/>
          </w:tcPr>
          <w:p w14:paraId="23BC50E1" w14:textId="77777777" w:rsidR="00C32E1C" w:rsidRPr="00C32E1C" w:rsidRDefault="00C32E1C" w:rsidP="00C32E1C">
            <w:pPr>
              <w:pStyle w:val="CDITable-HeaderRowLeft"/>
            </w:pPr>
          </w:p>
        </w:tc>
        <w:tc>
          <w:tcPr>
            <w:tcW w:w="3288" w:type="dxa"/>
            <w:vMerge/>
            <w:shd w:val="clear" w:color="auto" w:fill="1E4496" w:themeFill="text2"/>
          </w:tcPr>
          <w:p w14:paraId="0A77A03B" w14:textId="77777777" w:rsidR="00C32E1C" w:rsidRPr="00C32E1C" w:rsidRDefault="00C32E1C" w:rsidP="00C32E1C">
            <w:pPr>
              <w:pStyle w:val="CDITable-HeaderRowLeft"/>
            </w:pPr>
          </w:p>
        </w:tc>
        <w:tc>
          <w:tcPr>
            <w:tcW w:w="2041"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A4ABEC4" w14:textId="77777777" w:rsidR="00C32E1C" w:rsidRPr="00C32E1C" w:rsidRDefault="00C32E1C" w:rsidP="00C32E1C">
            <w:pPr>
              <w:pStyle w:val="CDITable-HeaderRowCentre"/>
            </w:pPr>
            <w:r w:rsidRPr="00C32E1C">
              <w:t>n (%)</w:t>
            </w:r>
          </w:p>
        </w:tc>
        <w:tc>
          <w:tcPr>
            <w:tcW w:w="2041" w:type="dxa"/>
            <w:tcBorders>
              <w:top w:val="single" w:sz="6" w:space="0" w:color="FFFFFF" w:themeColor="background1"/>
              <w:right w:val="nil"/>
            </w:tcBorders>
            <w:shd w:val="clear" w:color="auto" w:fill="1E4496" w:themeFill="text2"/>
            <w:tcMar>
              <w:top w:w="113" w:type="dxa"/>
              <w:left w:w="113" w:type="dxa"/>
              <w:bottom w:w="113" w:type="dxa"/>
              <w:right w:w="113" w:type="dxa"/>
            </w:tcMar>
            <w:vAlign w:val="bottom"/>
          </w:tcPr>
          <w:p w14:paraId="10853C0C" w14:textId="77777777" w:rsidR="00C32E1C" w:rsidRPr="00C32E1C" w:rsidRDefault="00C32E1C" w:rsidP="00C32E1C">
            <w:pPr>
              <w:pStyle w:val="CDITable-HeaderRowCentre"/>
            </w:pPr>
            <w:r w:rsidRPr="00C32E1C">
              <w:t>n (%)</w:t>
            </w:r>
          </w:p>
        </w:tc>
      </w:tr>
      <w:tr w:rsidR="00C32E1C" w:rsidRPr="00C32E1C" w14:paraId="55881A24" w14:textId="77777777" w:rsidTr="00C32E1C">
        <w:trPr>
          <w:trHeight w:val="60"/>
        </w:trPr>
        <w:tc>
          <w:tcPr>
            <w:tcW w:w="2268" w:type="dxa"/>
            <w:vMerge w:val="restart"/>
            <w:tcBorders>
              <w:left w:val="nil"/>
              <w:bottom w:val="single" w:sz="6" w:space="0" w:color="1E4496"/>
            </w:tcBorders>
            <w:shd w:val="clear" w:color="auto" w:fill="DCF4FC" w:themeFill="background2" w:themeFillTint="33"/>
            <w:tcMar>
              <w:top w:w="113" w:type="dxa"/>
              <w:left w:w="113" w:type="dxa"/>
              <w:bottom w:w="113" w:type="dxa"/>
              <w:right w:w="113" w:type="dxa"/>
            </w:tcMar>
            <w:vAlign w:val="center"/>
          </w:tcPr>
          <w:p w14:paraId="33329FE3" w14:textId="77777777" w:rsidR="00C32E1C" w:rsidRPr="00C32E1C" w:rsidRDefault="00C32E1C" w:rsidP="00C32E1C">
            <w:pPr>
              <w:pStyle w:val="CDITable-RowLeft"/>
              <w:rPr>
                <w:b/>
                <w:bCs/>
                <w:lang w:val="en-GB"/>
              </w:rPr>
            </w:pPr>
            <w:r w:rsidRPr="00C32E1C">
              <w:rPr>
                <w:b/>
                <w:bCs/>
                <w:lang w:val="en-GB"/>
              </w:rPr>
              <w:t>Principal diagnosis</w:t>
            </w:r>
          </w:p>
        </w:tc>
        <w:tc>
          <w:tcPr>
            <w:tcW w:w="3288" w:type="dxa"/>
            <w:tcBorders>
              <w:bottom w:val="single" w:sz="6" w:space="0" w:color="1E4496"/>
            </w:tcBorders>
            <w:shd w:val="solid" w:color="FFFFFF" w:fill="auto"/>
            <w:tcMar>
              <w:top w:w="113" w:type="dxa"/>
              <w:left w:w="113" w:type="dxa"/>
              <w:bottom w:w="113" w:type="dxa"/>
              <w:right w:w="113" w:type="dxa"/>
            </w:tcMar>
            <w:vAlign w:val="center"/>
          </w:tcPr>
          <w:p w14:paraId="382C86B5" w14:textId="77777777" w:rsidR="00C32E1C" w:rsidRPr="00C32E1C" w:rsidRDefault="00C32E1C" w:rsidP="00C32E1C">
            <w:pPr>
              <w:pStyle w:val="CDITable-RowLeft"/>
              <w:rPr>
                <w:lang w:val="en-GB"/>
              </w:rPr>
            </w:pPr>
            <w:r w:rsidRPr="00C32E1C">
              <w:rPr>
                <w:lang w:val="en-GB"/>
              </w:rPr>
              <w:t>Skin and soft tissue infection</w:t>
            </w:r>
          </w:p>
        </w:tc>
        <w:tc>
          <w:tcPr>
            <w:tcW w:w="2041" w:type="dxa"/>
            <w:tcBorders>
              <w:bottom w:val="single" w:sz="6" w:space="0" w:color="1E4496"/>
            </w:tcBorders>
            <w:shd w:val="solid" w:color="FFFFFF" w:fill="auto"/>
            <w:tcMar>
              <w:top w:w="113" w:type="dxa"/>
              <w:left w:w="113" w:type="dxa"/>
              <w:bottom w:w="113" w:type="dxa"/>
              <w:right w:w="113" w:type="dxa"/>
            </w:tcMar>
            <w:vAlign w:val="center"/>
          </w:tcPr>
          <w:p w14:paraId="1F388CEC" w14:textId="77777777" w:rsidR="00C32E1C" w:rsidRPr="00C32E1C" w:rsidRDefault="00C32E1C" w:rsidP="00C32E1C">
            <w:pPr>
              <w:pStyle w:val="CDITable-RowCentre"/>
              <w:rPr>
                <w:lang w:val="en-GB"/>
              </w:rPr>
            </w:pPr>
            <w:r w:rsidRPr="00C32E1C">
              <w:rPr>
                <w:lang w:val="en-GB"/>
              </w:rPr>
              <w:t>35 (80)</w:t>
            </w:r>
          </w:p>
        </w:tc>
        <w:tc>
          <w:tcPr>
            <w:tcW w:w="2041" w:type="dxa"/>
            <w:tcBorders>
              <w:bottom w:val="single" w:sz="6" w:space="0" w:color="1E4496"/>
              <w:right w:val="nil"/>
            </w:tcBorders>
            <w:shd w:val="solid" w:color="FFFFFF" w:fill="auto"/>
            <w:tcMar>
              <w:top w:w="113" w:type="dxa"/>
              <w:left w:w="113" w:type="dxa"/>
              <w:bottom w:w="113" w:type="dxa"/>
              <w:right w:w="113" w:type="dxa"/>
            </w:tcMar>
            <w:vAlign w:val="center"/>
          </w:tcPr>
          <w:p w14:paraId="5782F1EE" w14:textId="77777777" w:rsidR="00C32E1C" w:rsidRPr="00C32E1C" w:rsidRDefault="00C32E1C" w:rsidP="00C32E1C">
            <w:pPr>
              <w:pStyle w:val="CDITable-RowCentre"/>
              <w:rPr>
                <w:lang w:val="en-GB"/>
              </w:rPr>
            </w:pPr>
            <w:r w:rsidRPr="00C32E1C">
              <w:rPr>
                <w:lang w:val="en-GB"/>
              </w:rPr>
              <w:t>9 (60)</w:t>
            </w:r>
          </w:p>
        </w:tc>
      </w:tr>
      <w:tr w:rsidR="00C32E1C" w:rsidRPr="00C32E1C" w14:paraId="27815C40"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615FB962" w14:textId="77777777" w:rsidR="00C32E1C" w:rsidRPr="00C32E1C" w:rsidRDefault="00C32E1C" w:rsidP="00C32E1C">
            <w:pPr>
              <w:pStyle w:val="CDITable-RowLeft"/>
              <w:rPr>
                <w:b/>
                <w:bCs/>
              </w:rPr>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3057CA6E" w14:textId="77777777" w:rsidR="00C32E1C" w:rsidRPr="00C32E1C" w:rsidRDefault="00C32E1C" w:rsidP="00C32E1C">
            <w:pPr>
              <w:pStyle w:val="CDITable-RowLeft"/>
              <w:rPr>
                <w:lang w:val="en-GB"/>
              </w:rPr>
            </w:pPr>
            <w:r w:rsidRPr="00C32E1C">
              <w:rPr>
                <w:lang w:val="en-GB"/>
              </w:rPr>
              <w:t>Osteomyelitis</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32FDB208" w14:textId="77777777" w:rsidR="00C32E1C" w:rsidRPr="00C32E1C" w:rsidRDefault="00C32E1C" w:rsidP="00C32E1C">
            <w:pPr>
              <w:pStyle w:val="CDITable-RowCentre"/>
              <w:rPr>
                <w:lang w:val="en-GB"/>
              </w:rPr>
            </w:pPr>
            <w:r w:rsidRPr="00C32E1C">
              <w:rPr>
                <w:lang w:val="en-GB"/>
              </w:rPr>
              <w:t>1 (2)</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49A3AF1A" w14:textId="77777777" w:rsidR="00C32E1C" w:rsidRPr="00C32E1C" w:rsidRDefault="00C32E1C" w:rsidP="00C32E1C">
            <w:pPr>
              <w:pStyle w:val="CDITable-RowCentre"/>
              <w:rPr>
                <w:lang w:val="en-GB"/>
              </w:rPr>
            </w:pPr>
            <w:r w:rsidRPr="00C32E1C">
              <w:rPr>
                <w:lang w:val="en-GB"/>
              </w:rPr>
              <w:t>0 (0)</w:t>
            </w:r>
          </w:p>
        </w:tc>
      </w:tr>
      <w:tr w:rsidR="00C32E1C" w:rsidRPr="00C32E1C" w14:paraId="7C446103"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28BCDAFE" w14:textId="77777777" w:rsidR="00C32E1C" w:rsidRPr="00C32E1C" w:rsidRDefault="00C32E1C" w:rsidP="00C32E1C">
            <w:pPr>
              <w:pStyle w:val="CDITable-RowLeft"/>
              <w:rPr>
                <w:b/>
                <w:bCs/>
              </w:rPr>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702A10A5" w14:textId="77777777" w:rsidR="00C32E1C" w:rsidRPr="00C32E1C" w:rsidRDefault="00C32E1C" w:rsidP="00C32E1C">
            <w:pPr>
              <w:pStyle w:val="CDITable-RowLeft"/>
              <w:rPr>
                <w:lang w:val="en-GB"/>
              </w:rPr>
            </w:pPr>
            <w:r w:rsidRPr="00C32E1C">
              <w:rPr>
                <w:lang w:val="en-GB"/>
              </w:rPr>
              <w:t>Pneumonia/ Bronchiolitis</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18CD89FF" w14:textId="77777777" w:rsidR="00C32E1C" w:rsidRPr="00C32E1C" w:rsidRDefault="00C32E1C" w:rsidP="00C32E1C">
            <w:pPr>
              <w:pStyle w:val="CDITable-RowCentre"/>
              <w:rPr>
                <w:lang w:val="en-GB"/>
              </w:rPr>
            </w:pPr>
            <w:r w:rsidRPr="00C32E1C">
              <w:rPr>
                <w:lang w:val="en-GB"/>
              </w:rPr>
              <w:t>1 (2)</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2033BF73" w14:textId="77777777" w:rsidR="00C32E1C" w:rsidRPr="00C32E1C" w:rsidRDefault="00C32E1C" w:rsidP="00C32E1C">
            <w:pPr>
              <w:pStyle w:val="CDITable-RowCentre"/>
              <w:rPr>
                <w:lang w:val="en-GB"/>
              </w:rPr>
            </w:pPr>
            <w:r w:rsidRPr="00C32E1C">
              <w:rPr>
                <w:lang w:val="en-GB"/>
              </w:rPr>
              <w:t>1 (7)</w:t>
            </w:r>
          </w:p>
        </w:tc>
      </w:tr>
      <w:tr w:rsidR="00C32E1C" w:rsidRPr="00C32E1C" w14:paraId="382FA3F4"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664A9FCE" w14:textId="77777777" w:rsidR="00C32E1C" w:rsidRPr="00C32E1C" w:rsidRDefault="00C32E1C" w:rsidP="00C32E1C">
            <w:pPr>
              <w:pStyle w:val="CDITable-RowLeft"/>
              <w:rPr>
                <w:b/>
                <w:bCs/>
              </w:rPr>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57E19B72" w14:textId="77777777" w:rsidR="00C32E1C" w:rsidRPr="00C32E1C" w:rsidRDefault="00C32E1C" w:rsidP="00C32E1C">
            <w:pPr>
              <w:pStyle w:val="CDITable-RowLeft"/>
              <w:rPr>
                <w:lang w:val="en-GB"/>
              </w:rPr>
            </w:pPr>
            <w:r w:rsidRPr="00C32E1C">
              <w:rPr>
                <w:lang w:val="en-GB"/>
              </w:rPr>
              <w:t>Conjunctivitis</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051536B0" w14:textId="77777777" w:rsidR="00C32E1C" w:rsidRPr="00C32E1C" w:rsidRDefault="00C32E1C" w:rsidP="00C32E1C">
            <w:pPr>
              <w:pStyle w:val="CDITable-RowCentre"/>
              <w:rPr>
                <w:lang w:val="en-GB"/>
              </w:rPr>
            </w:pPr>
            <w:r w:rsidRPr="00C32E1C">
              <w:rPr>
                <w:lang w:val="en-GB"/>
              </w:rPr>
              <w:t>1 (2)</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19DFC25A" w14:textId="77777777" w:rsidR="00C32E1C" w:rsidRPr="00C32E1C" w:rsidRDefault="00C32E1C" w:rsidP="00C32E1C">
            <w:pPr>
              <w:pStyle w:val="CDITable-RowCentre"/>
              <w:rPr>
                <w:lang w:val="en-GB"/>
              </w:rPr>
            </w:pPr>
            <w:r w:rsidRPr="00C32E1C">
              <w:rPr>
                <w:lang w:val="en-GB"/>
              </w:rPr>
              <w:t>1 (7)</w:t>
            </w:r>
          </w:p>
        </w:tc>
      </w:tr>
      <w:tr w:rsidR="00C32E1C" w:rsidRPr="00C32E1C" w14:paraId="3F351E81"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16B19665" w14:textId="77777777" w:rsidR="00C32E1C" w:rsidRPr="00C32E1C" w:rsidRDefault="00C32E1C" w:rsidP="00C32E1C">
            <w:pPr>
              <w:pStyle w:val="CDITable-RowLeft"/>
              <w:rPr>
                <w:b/>
                <w:bCs/>
              </w:rPr>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35E3507F" w14:textId="77777777" w:rsidR="00C32E1C" w:rsidRPr="00C32E1C" w:rsidRDefault="00C32E1C" w:rsidP="00C32E1C">
            <w:pPr>
              <w:pStyle w:val="CDITable-RowLeft"/>
              <w:rPr>
                <w:lang w:val="en-GB"/>
              </w:rPr>
            </w:pPr>
            <w:r w:rsidRPr="00C32E1C">
              <w:rPr>
                <w:lang w:val="en-GB"/>
              </w:rPr>
              <w:t>Urinary tract infection</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6C93EDA1" w14:textId="77777777" w:rsidR="00C32E1C" w:rsidRPr="00C32E1C" w:rsidRDefault="00C32E1C" w:rsidP="00C32E1C">
            <w:pPr>
              <w:pStyle w:val="CDITable-RowCentre"/>
              <w:rPr>
                <w:lang w:val="en-GB"/>
              </w:rPr>
            </w:pPr>
            <w:r w:rsidRPr="00C32E1C">
              <w:rPr>
                <w:lang w:val="en-GB"/>
              </w:rPr>
              <w:t>0 (0)</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02101CFF" w14:textId="77777777" w:rsidR="00C32E1C" w:rsidRPr="00C32E1C" w:rsidRDefault="00C32E1C" w:rsidP="00C32E1C">
            <w:pPr>
              <w:pStyle w:val="CDITable-RowCentre"/>
              <w:rPr>
                <w:lang w:val="en-GB"/>
              </w:rPr>
            </w:pPr>
            <w:r w:rsidRPr="00C32E1C">
              <w:rPr>
                <w:lang w:val="en-GB"/>
              </w:rPr>
              <w:t>1 (7)</w:t>
            </w:r>
          </w:p>
        </w:tc>
      </w:tr>
      <w:tr w:rsidR="00C32E1C" w:rsidRPr="00C32E1C" w14:paraId="63B90D7E"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73E019B9" w14:textId="77777777" w:rsidR="00C32E1C" w:rsidRPr="00C32E1C" w:rsidRDefault="00C32E1C" w:rsidP="00C32E1C">
            <w:pPr>
              <w:pStyle w:val="CDITable-RowLeft"/>
              <w:rPr>
                <w:b/>
                <w:bCs/>
              </w:rPr>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7747BD66" w14:textId="77777777" w:rsidR="00C32E1C" w:rsidRPr="00C32E1C" w:rsidRDefault="00C32E1C" w:rsidP="00C32E1C">
            <w:pPr>
              <w:pStyle w:val="CDITable-RowLeft"/>
              <w:rPr>
                <w:lang w:val="en-GB"/>
              </w:rPr>
            </w:pPr>
            <w:r w:rsidRPr="00C32E1C">
              <w:rPr>
                <w:lang w:val="en-GB"/>
              </w:rPr>
              <w:t>Central nervous system involvement</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1639E12D" w14:textId="77777777" w:rsidR="00C32E1C" w:rsidRPr="00C32E1C" w:rsidRDefault="00C32E1C" w:rsidP="00C32E1C">
            <w:pPr>
              <w:pStyle w:val="CDITable-RowCentre"/>
              <w:rPr>
                <w:lang w:val="en-GB"/>
              </w:rPr>
            </w:pPr>
            <w:r w:rsidRPr="00C32E1C">
              <w:rPr>
                <w:lang w:val="en-GB"/>
              </w:rPr>
              <w:t>2 (5)</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45803D36" w14:textId="77777777" w:rsidR="00C32E1C" w:rsidRPr="00C32E1C" w:rsidRDefault="00C32E1C" w:rsidP="00C32E1C">
            <w:pPr>
              <w:pStyle w:val="CDITable-RowCentre"/>
              <w:rPr>
                <w:lang w:val="en-GB"/>
              </w:rPr>
            </w:pPr>
            <w:r w:rsidRPr="00C32E1C">
              <w:rPr>
                <w:lang w:val="en-GB"/>
              </w:rPr>
              <w:t>0 (0)</w:t>
            </w:r>
          </w:p>
        </w:tc>
      </w:tr>
      <w:tr w:rsidR="00C32E1C" w:rsidRPr="00C32E1C" w14:paraId="629228A8"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4D47828C" w14:textId="77777777" w:rsidR="00C32E1C" w:rsidRPr="00C32E1C" w:rsidRDefault="00C32E1C" w:rsidP="00C32E1C">
            <w:pPr>
              <w:pStyle w:val="CDITable-RowLeft"/>
              <w:rPr>
                <w:b/>
                <w:bCs/>
              </w:rPr>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4B6824A7" w14:textId="77777777" w:rsidR="00C32E1C" w:rsidRPr="00C32E1C" w:rsidRDefault="00C32E1C" w:rsidP="00C32E1C">
            <w:pPr>
              <w:pStyle w:val="CDITable-RowLeft"/>
              <w:rPr>
                <w:lang w:val="en-GB"/>
              </w:rPr>
            </w:pPr>
            <w:r w:rsidRPr="00C32E1C">
              <w:rPr>
                <w:lang w:val="en-GB"/>
              </w:rPr>
              <w:t>Sepsis</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7552F4CE" w14:textId="77777777" w:rsidR="00C32E1C" w:rsidRPr="00C32E1C" w:rsidRDefault="00C32E1C" w:rsidP="00C32E1C">
            <w:pPr>
              <w:pStyle w:val="CDITable-RowCentre"/>
              <w:rPr>
                <w:lang w:val="en-GB"/>
              </w:rPr>
            </w:pPr>
            <w:r w:rsidRPr="00C32E1C">
              <w:rPr>
                <w:lang w:val="en-GB"/>
              </w:rPr>
              <w:t>1 (2)</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0A867062" w14:textId="77777777" w:rsidR="00C32E1C" w:rsidRPr="00C32E1C" w:rsidRDefault="00C32E1C" w:rsidP="00C32E1C">
            <w:pPr>
              <w:pStyle w:val="CDITable-RowCentre"/>
              <w:rPr>
                <w:lang w:val="en-GB"/>
              </w:rPr>
            </w:pPr>
            <w:r w:rsidRPr="00C32E1C">
              <w:rPr>
                <w:lang w:val="en-GB"/>
              </w:rPr>
              <w:t>2 (13)</w:t>
            </w:r>
          </w:p>
        </w:tc>
      </w:tr>
      <w:tr w:rsidR="00C32E1C" w:rsidRPr="00C32E1C" w14:paraId="633D9393"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1C2E92B2" w14:textId="77777777" w:rsidR="00C32E1C" w:rsidRPr="00C32E1C" w:rsidRDefault="00C32E1C" w:rsidP="00C32E1C">
            <w:pPr>
              <w:pStyle w:val="CDITable-RowLeft"/>
              <w:rPr>
                <w:b/>
                <w:bCs/>
              </w:rPr>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41BE6C17" w14:textId="77777777" w:rsidR="00C32E1C" w:rsidRPr="00C32E1C" w:rsidRDefault="00C32E1C" w:rsidP="00C32E1C">
            <w:pPr>
              <w:pStyle w:val="CDITable-RowLeft"/>
              <w:rPr>
                <w:lang w:val="en-GB"/>
              </w:rPr>
            </w:pPr>
            <w:r w:rsidRPr="00C32E1C">
              <w:rPr>
                <w:lang w:val="en-GB"/>
              </w:rPr>
              <w:t>Diabetes</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41457563" w14:textId="77777777" w:rsidR="00C32E1C" w:rsidRPr="00C32E1C" w:rsidRDefault="00C32E1C" w:rsidP="00C32E1C">
            <w:pPr>
              <w:pStyle w:val="CDITable-RowCentre"/>
              <w:rPr>
                <w:lang w:val="en-GB"/>
              </w:rPr>
            </w:pPr>
            <w:r w:rsidRPr="00C32E1C">
              <w:rPr>
                <w:lang w:val="en-GB"/>
              </w:rPr>
              <w:t>1 (2)</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20B5384D" w14:textId="77777777" w:rsidR="00C32E1C" w:rsidRPr="00C32E1C" w:rsidRDefault="00C32E1C" w:rsidP="00C32E1C">
            <w:pPr>
              <w:pStyle w:val="CDITable-RowCentre"/>
              <w:rPr>
                <w:lang w:val="en-GB"/>
              </w:rPr>
            </w:pPr>
            <w:r w:rsidRPr="00C32E1C">
              <w:rPr>
                <w:lang w:val="en-GB"/>
              </w:rPr>
              <w:t>1 (7)</w:t>
            </w:r>
          </w:p>
        </w:tc>
      </w:tr>
      <w:tr w:rsidR="00C32E1C" w:rsidRPr="00C32E1C" w14:paraId="2C4D3BCF"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4C5351AF" w14:textId="77777777" w:rsidR="00C32E1C" w:rsidRPr="00C32E1C" w:rsidRDefault="00C32E1C" w:rsidP="00C32E1C">
            <w:pPr>
              <w:pStyle w:val="CDITable-RowLeft"/>
              <w:rPr>
                <w:b/>
                <w:bCs/>
              </w:rPr>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337173E7" w14:textId="77777777" w:rsidR="00C32E1C" w:rsidRPr="00C32E1C" w:rsidRDefault="00C32E1C" w:rsidP="00C32E1C">
            <w:pPr>
              <w:pStyle w:val="CDITable-RowLeft"/>
              <w:rPr>
                <w:lang w:val="en-GB"/>
              </w:rPr>
            </w:pPr>
            <w:r w:rsidRPr="00C32E1C">
              <w:rPr>
                <w:lang w:val="en-GB"/>
              </w:rPr>
              <w:t>Immunocompromise</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227829C7" w14:textId="77777777" w:rsidR="00C32E1C" w:rsidRPr="00C32E1C" w:rsidRDefault="00C32E1C" w:rsidP="00C32E1C">
            <w:pPr>
              <w:pStyle w:val="CDITable-RowCentre"/>
              <w:rPr>
                <w:lang w:val="en-GB"/>
              </w:rPr>
            </w:pPr>
            <w:r w:rsidRPr="00C32E1C">
              <w:rPr>
                <w:lang w:val="en-GB"/>
              </w:rPr>
              <w:t>2 (5)</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76E78E5B" w14:textId="77777777" w:rsidR="00C32E1C" w:rsidRPr="00C32E1C" w:rsidRDefault="00C32E1C" w:rsidP="00C32E1C">
            <w:pPr>
              <w:pStyle w:val="CDITable-RowCentre"/>
              <w:rPr>
                <w:lang w:val="en-GB"/>
              </w:rPr>
            </w:pPr>
            <w:r w:rsidRPr="00C32E1C">
              <w:rPr>
                <w:lang w:val="en-GB"/>
              </w:rPr>
              <w:t>0 (0)</w:t>
            </w:r>
          </w:p>
        </w:tc>
      </w:tr>
      <w:tr w:rsidR="00C32E1C" w:rsidRPr="00C32E1C" w14:paraId="29A6E639" w14:textId="77777777" w:rsidTr="00C32E1C">
        <w:trPr>
          <w:trHeight w:val="60"/>
        </w:trPr>
        <w:tc>
          <w:tcPr>
            <w:tcW w:w="2268" w:type="dxa"/>
            <w:vMerge w:val="restart"/>
            <w:tcBorders>
              <w:top w:val="single" w:sz="6" w:space="0" w:color="1E4496"/>
              <w:left w:val="nil"/>
              <w:bottom w:val="single" w:sz="6" w:space="0" w:color="1E4496"/>
            </w:tcBorders>
            <w:shd w:val="clear" w:color="auto" w:fill="DCF4FC" w:themeFill="background2" w:themeFillTint="33"/>
            <w:tcMar>
              <w:top w:w="113" w:type="dxa"/>
              <w:left w:w="113" w:type="dxa"/>
              <w:bottom w:w="113" w:type="dxa"/>
              <w:right w:w="113" w:type="dxa"/>
            </w:tcMar>
            <w:vAlign w:val="center"/>
          </w:tcPr>
          <w:p w14:paraId="29FC4CB1" w14:textId="77777777" w:rsidR="00C32E1C" w:rsidRPr="00C32E1C" w:rsidRDefault="00C32E1C" w:rsidP="00C32E1C">
            <w:pPr>
              <w:pStyle w:val="CDITable-RowLeft"/>
              <w:rPr>
                <w:b/>
                <w:bCs/>
                <w:lang w:val="en-GB"/>
              </w:rPr>
            </w:pPr>
            <w:r w:rsidRPr="00C32E1C">
              <w:rPr>
                <w:b/>
                <w:bCs/>
                <w:lang w:val="en-GB"/>
              </w:rPr>
              <w:t>Discharge status</w:t>
            </w: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4F16E9A2" w14:textId="77777777" w:rsidR="00C32E1C" w:rsidRPr="00C32E1C" w:rsidRDefault="00C32E1C" w:rsidP="00C32E1C">
            <w:pPr>
              <w:pStyle w:val="CDITable-RowLeft"/>
              <w:rPr>
                <w:lang w:val="en-GB"/>
              </w:rPr>
            </w:pPr>
            <w:r w:rsidRPr="00C32E1C">
              <w:rPr>
                <w:lang w:val="en-GB"/>
              </w:rPr>
              <w:t>Alive</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3D0DC2B2" w14:textId="77777777" w:rsidR="00C32E1C" w:rsidRPr="00C32E1C" w:rsidRDefault="00C32E1C" w:rsidP="00C32E1C">
            <w:pPr>
              <w:pStyle w:val="CDITable-RowCentre"/>
              <w:rPr>
                <w:lang w:val="en-GB"/>
              </w:rPr>
            </w:pPr>
            <w:r w:rsidRPr="00C32E1C">
              <w:rPr>
                <w:lang w:val="en-GB"/>
              </w:rPr>
              <w:t>32 (73)</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53F2EE25" w14:textId="77777777" w:rsidR="00C32E1C" w:rsidRPr="00C32E1C" w:rsidRDefault="00C32E1C" w:rsidP="00C32E1C">
            <w:pPr>
              <w:pStyle w:val="CDITable-RowCentre"/>
              <w:rPr>
                <w:lang w:val="en-GB"/>
              </w:rPr>
            </w:pPr>
            <w:r w:rsidRPr="00C32E1C">
              <w:rPr>
                <w:lang w:val="en-GB"/>
              </w:rPr>
              <w:t>10 (67)</w:t>
            </w:r>
          </w:p>
        </w:tc>
      </w:tr>
      <w:tr w:rsidR="00C32E1C" w:rsidRPr="00C32E1C" w14:paraId="1692774D"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02DAD7F3" w14:textId="77777777" w:rsidR="00C32E1C" w:rsidRPr="00C32E1C" w:rsidRDefault="00C32E1C" w:rsidP="00C32E1C">
            <w:pPr>
              <w:pStyle w:val="CDITable-RowLeft"/>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209B4472" w14:textId="77777777" w:rsidR="00C32E1C" w:rsidRPr="00C32E1C" w:rsidRDefault="00C32E1C" w:rsidP="00C32E1C">
            <w:pPr>
              <w:pStyle w:val="CDITable-RowLeft"/>
              <w:rPr>
                <w:lang w:val="en-GB"/>
              </w:rPr>
            </w:pPr>
            <w:r w:rsidRPr="00C32E1C">
              <w:rPr>
                <w:lang w:val="en-GB"/>
              </w:rPr>
              <w:t>Dead</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7F9D819C" w14:textId="77777777" w:rsidR="00C32E1C" w:rsidRPr="00C32E1C" w:rsidRDefault="00C32E1C" w:rsidP="00C32E1C">
            <w:pPr>
              <w:pStyle w:val="CDITable-RowCentre"/>
              <w:rPr>
                <w:lang w:val="en-GB"/>
              </w:rPr>
            </w:pPr>
            <w:r w:rsidRPr="00C32E1C">
              <w:rPr>
                <w:lang w:val="en-GB"/>
              </w:rPr>
              <w:t>4 (9)</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5882375B" w14:textId="77777777" w:rsidR="00C32E1C" w:rsidRPr="00C32E1C" w:rsidRDefault="00C32E1C" w:rsidP="00C32E1C">
            <w:pPr>
              <w:pStyle w:val="CDITable-RowCentre"/>
              <w:rPr>
                <w:lang w:val="en-GB"/>
              </w:rPr>
            </w:pPr>
            <w:r w:rsidRPr="00C32E1C">
              <w:rPr>
                <w:lang w:val="en-GB"/>
              </w:rPr>
              <w:t>1 (7)</w:t>
            </w:r>
          </w:p>
        </w:tc>
      </w:tr>
      <w:tr w:rsidR="00C32E1C" w:rsidRPr="00C32E1C" w14:paraId="7423C5AE"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0BF78544" w14:textId="77777777" w:rsidR="00C32E1C" w:rsidRPr="00C32E1C" w:rsidRDefault="00C32E1C" w:rsidP="00C32E1C">
            <w:pPr>
              <w:pStyle w:val="CDITable-RowLeft"/>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31C02F56" w14:textId="77777777" w:rsidR="00C32E1C" w:rsidRPr="00C32E1C" w:rsidRDefault="00C32E1C" w:rsidP="00C32E1C">
            <w:pPr>
              <w:pStyle w:val="CDITable-RowLeft"/>
              <w:rPr>
                <w:lang w:val="en-GB"/>
              </w:rPr>
            </w:pPr>
            <w:r w:rsidRPr="00C32E1C">
              <w:rPr>
                <w:lang w:val="en-GB"/>
              </w:rPr>
              <w:t>Discharged against medical advice</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34E4C179" w14:textId="77777777" w:rsidR="00C32E1C" w:rsidRPr="00C32E1C" w:rsidRDefault="00C32E1C" w:rsidP="00C32E1C">
            <w:pPr>
              <w:pStyle w:val="CDITable-RowCentre"/>
              <w:rPr>
                <w:lang w:val="en-GB"/>
              </w:rPr>
            </w:pPr>
            <w:r w:rsidRPr="00C32E1C">
              <w:rPr>
                <w:lang w:val="en-GB"/>
              </w:rPr>
              <w:t>1 (2)</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46DF0085" w14:textId="77777777" w:rsidR="00C32E1C" w:rsidRPr="00C32E1C" w:rsidRDefault="00C32E1C" w:rsidP="00C32E1C">
            <w:pPr>
              <w:pStyle w:val="CDITable-RowCentre"/>
              <w:rPr>
                <w:lang w:val="en-GB"/>
              </w:rPr>
            </w:pPr>
            <w:r w:rsidRPr="00C32E1C">
              <w:rPr>
                <w:lang w:val="en-GB"/>
              </w:rPr>
              <w:t>1 (7)</w:t>
            </w:r>
          </w:p>
        </w:tc>
      </w:tr>
      <w:tr w:rsidR="00C32E1C" w:rsidRPr="00C32E1C" w14:paraId="0AC75268"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1B639C79" w14:textId="77777777" w:rsidR="00C32E1C" w:rsidRPr="00C32E1C" w:rsidRDefault="00C32E1C" w:rsidP="00C32E1C">
            <w:pPr>
              <w:pStyle w:val="CDITable-RowLeft"/>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577695F6" w14:textId="77777777" w:rsidR="00C32E1C" w:rsidRPr="00C32E1C" w:rsidRDefault="00C32E1C" w:rsidP="00C32E1C">
            <w:pPr>
              <w:pStyle w:val="CDITable-RowLeft"/>
              <w:rPr>
                <w:lang w:val="en-GB"/>
              </w:rPr>
            </w:pPr>
            <w:r w:rsidRPr="00C32E1C">
              <w:rPr>
                <w:lang w:val="en-GB"/>
              </w:rPr>
              <w:t>Transferred to another hospital</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7B63ED8F" w14:textId="77777777" w:rsidR="00C32E1C" w:rsidRPr="00C32E1C" w:rsidRDefault="00C32E1C" w:rsidP="00C32E1C">
            <w:pPr>
              <w:pStyle w:val="CDITable-RowCentre"/>
              <w:rPr>
                <w:lang w:val="en-GB"/>
              </w:rPr>
            </w:pPr>
            <w:r w:rsidRPr="00C32E1C">
              <w:rPr>
                <w:lang w:val="en-GB"/>
              </w:rPr>
              <w:t>0 (0)</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439D7611" w14:textId="77777777" w:rsidR="00C32E1C" w:rsidRPr="00C32E1C" w:rsidRDefault="00C32E1C" w:rsidP="00C32E1C">
            <w:pPr>
              <w:pStyle w:val="CDITable-RowCentre"/>
              <w:rPr>
                <w:lang w:val="en-GB"/>
              </w:rPr>
            </w:pPr>
            <w:r w:rsidRPr="00C32E1C">
              <w:rPr>
                <w:lang w:val="en-GB"/>
              </w:rPr>
              <w:t>1 (7)</w:t>
            </w:r>
          </w:p>
        </w:tc>
      </w:tr>
      <w:tr w:rsidR="00C32E1C" w:rsidRPr="00C32E1C" w14:paraId="39330AD2" w14:textId="77777777" w:rsidTr="00C32E1C">
        <w:trPr>
          <w:trHeight w:val="60"/>
        </w:trPr>
        <w:tc>
          <w:tcPr>
            <w:tcW w:w="2268" w:type="dxa"/>
            <w:vMerge/>
            <w:tcBorders>
              <w:top w:val="single" w:sz="6" w:space="0" w:color="1E4496"/>
              <w:left w:val="nil"/>
              <w:bottom w:val="single" w:sz="6" w:space="0" w:color="1E4496"/>
            </w:tcBorders>
            <w:shd w:val="clear" w:color="auto" w:fill="DCF4FC" w:themeFill="background2" w:themeFillTint="33"/>
          </w:tcPr>
          <w:p w14:paraId="1BB1064C" w14:textId="77777777" w:rsidR="00C32E1C" w:rsidRPr="00C32E1C" w:rsidRDefault="00C32E1C" w:rsidP="00C32E1C">
            <w:pPr>
              <w:pStyle w:val="CDITable-RowLeft"/>
            </w:pPr>
          </w:p>
        </w:tc>
        <w:tc>
          <w:tcPr>
            <w:tcW w:w="3288" w:type="dxa"/>
            <w:tcBorders>
              <w:top w:val="single" w:sz="6" w:space="0" w:color="1E4496"/>
              <w:bottom w:val="single" w:sz="6" w:space="0" w:color="1E4496"/>
            </w:tcBorders>
            <w:tcMar>
              <w:top w:w="113" w:type="dxa"/>
              <w:left w:w="113" w:type="dxa"/>
              <w:bottom w:w="113" w:type="dxa"/>
              <w:right w:w="113" w:type="dxa"/>
            </w:tcMar>
            <w:vAlign w:val="center"/>
          </w:tcPr>
          <w:p w14:paraId="714B5305" w14:textId="77777777" w:rsidR="00C32E1C" w:rsidRPr="00C32E1C" w:rsidRDefault="00C32E1C" w:rsidP="00C32E1C">
            <w:pPr>
              <w:pStyle w:val="CDITable-RowLeft"/>
              <w:rPr>
                <w:lang w:val="en-GB"/>
              </w:rPr>
            </w:pPr>
            <w:r w:rsidRPr="00C32E1C">
              <w:rPr>
                <w:lang w:val="en-GB"/>
              </w:rPr>
              <w:t>Unknown</w:t>
            </w:r>
          </w:p>
        </w:tc>
        <w:tc>
          <w:tcPr>
            <w:tcW w:w="2041" w:type="dxa"/>
            <w:tcBorders>
              <w:top w:val="single" w:sz="6" w:space="0" w:color="1E4496"/>
              <w:bottom w:val="single" w:sz="6" w:space="0" w:color="1E4496"/>
            </w:tcBorders>
            <w:tcMar>
              <w:top w:w="113" w:type="dxa"/>
              <w:left w:w="113" w:type="dxa"/>
              <w:bottom w:w="113" w:type="dxa"/>
              <w:right w:w="113" w:type="dxa"/>
            </w:tcMar>
            <w:vAlign w:val="center"/>
          </w:tcPr>
          <w:p w14:paraId="71BCD69B" w14:textId="77777777" w:rsidR="00C32E1C" w:rsidRPr="00C32E1C" w:rsidRDefault="00C32E1C" w:rsidP="00C32E1C">
            <w:pPr>
              <w:pStyle w:val="CDITable-RowCentre"/>
              <w:rPr>
                <w:lang w:val="en-GB"/>
              </w:rPr>
            </w:pPr>
            <w:r w:rsidRPr="00C32E1C">
              <w:rPr>
                <w:lang w:val="en-GB"/>
              </w:rPr>
              <w:t>7 (16)</w:t>
            </w:r>
          </w:p>
        </w:tc>
        <w:tc>
          <w:tcPr>
            <w:tcW w:w="2041" w:type="dxa"/>
            <w:tcBorders>
              <w:top w:val="single" w:sz="6" w:space="0" w:color="1E4496"/>
              <w:bottom w:val="single" w:sz="6" w:space="0" w:color="1E4496"/>
              <w:right w:val="nil"/>
            </w:tcBorders>
            <w:tcMar>
              <w:top w:w="113" w:type="dxa"/>
              <w:left w:w="113" w:type="dxa"/>
              <w:bottom w:w="113" w:type="dxa"/>
              <w:right w:w="113" w:type="dxa"/>
            </w:tcMar>
            <w:vAlign w:val="center"/>
          </w:tcPr>
          <w:p w14:paraId="7481F8CF" w14:textId="77777777" w:rsidR="00C32E1C" w:rsidRPr="00C32E1C" w:rsidRDefault="00C32E1C" w:rsidP="00C32E1C">
            <w:pPr>
              <w:pStyle w:val="CDITable-RowCentre"/>
              <w:rPr>
                <w:lang w:val="en-GB"/>
              </w:rPr>
            </w:pPr>
            <w:r w:rsidRPr="00C32E1C">
              <w:rPr>
                <w:lang w:val="en-GB"/>
              </w:rPr>
              <w:t>2 (13)</w:t>
            </w:r>
          </w:p>
        </w:tc>
      </w:tr>
    </w:tbl>
    <w:p w14:paraId="54D15E0C" w14:textId="77777777" w:rsidR="00C32E1C" w:rsidRDefault="00C32E1C" w:rsidP="00C32E1C">
      <w:pPr>
        <w:rPr>
          <w:lang w:val="en-GB"/>
        </w:rPr>
      </w:pPr>
      <w:r>
        <w:rPr>
          <w:lang w:val="en-GB"/>
        </w:rPr>
        <w:br w:type="page"/>
      </w:r>
    </w:p>
    <w:p w14:paraId="7D2C0074" w14:textId="30555602" w:rsidR="0065096F" w:rsidRPr="0065096F" w:rsidRDefault="0065096F" w:rsidP="00C32E1C">
      <w:pPr>
        <w:rPr>
          <w:lang w:val="en-GB"/>
        </w:rPr>
      </w:pPr>
      <w:r w:rsidRPr="0065096F">
        <w:rPr>
          <w:lang w:val="en-GB"/>
        </w:rPr>
        <w:lastRenderedPageBreak/>
        <w:t>All 44 MSSA and 15 MRSA isolates were tested for antibiotic sensitivity, and all were resistant to penicillin (Table 3). Of the 44 MSSA isolates, all were sensitive to ciprofloxacin, daptomycin, fusidic acid, teicoplanin, linezolid and vancomycin. High rates of susceptibility to clindamycin (98%), erythromycin (98%), cotrimoxazole (93%) and gentamicin (89%) were observed. Reduced sensitivity of MSSA to tetracycline (64%) was detected.</w:t>
      </w:r>
    </w:p>
    <w:p w14:paraId="1C1A4C51" w14:textId="77777777" w:rsidR="0065096F" w:rsidRPr="0065096F" w:rsidRDefault="0065096F" w:rsidP="0065096F">
      <w:pPr>
        <w:rPr>
          <w:lang w:val="en-GB"/>
        </w:rPr>
      </w:pPr>
      <w:r w:rsidRPr="0065096F">
        <w:rPr>
          <w:lang w:val="en-GB"/>
        </w:rPr>
        <w:t>MRSA isolates showed a different profile of antibiotic sensitivity. All the MRSA isolates were sensitive to ciprofloxacin, cotrimoxazole, daptomycin, fusidic acid, teicoplanin, linezolid and vancomycin. The rates of susceptibility were lower for clindamycin (87%), erythromycin (87%), gentamicin (80%) and tetracycline (87%).</w:t>
      </w:r>
    </w:p>
    <w:p w14:paraId="51CA6A47" w14:textId="77777777" w:rsidR="00C32E1C" w:rsidRPr="00C32E1C" w:rsidRDefault="00C32E1C" w:rsidP="00C32E1C">
      <w:pPr>
        <w:pStyle w:val="CDITable-Title"/>
        <w:rPr>
          <w:lang w:val="en-GB"/>
        </w:rPr>
      </w:pPr>
      <w:r w:rsidRPr="00C32E1C">
        <w:rPr>
          <w:lang w:val="en-GB"/>
        </w:rPr>
        <w:t xml:space="preserve">Table 3: Susceptibility of methicillin-sensitive (MSSA) and methicillin-resistant </w:t>
      </w:r>
      <w:r w:rsidRPr="00C32E1C">
        <w:rPr>
          <w:i/>
          <w:iCs/>
          <w:lang w:val="en-GB"/>
        </w:rPr>
        <w:t>S. aureus</w:t>
      </w:r>
      <w:r w:rsidRPr="00C32E1C">
        <w:rPr>
          <w:lang w:val="en-GB"/>
        </w:rPr>
        <w:t xml:space="preserve"> (MRSA) isolated from infections in Timor-Leste, January–June 2020</w:t>
      </w:r>
    </w:p>
    <w:tbl>
      <w:tblPr>
        <w:tblW w:w="0" w:type="auto"/>
        <w:tblLayout w:type="fixed"/>
        <w:tblCellMar>
          <w:left w:w="0" w:type="dxa"/>
          <w:right w:w="0" w:type="dxa"/>
        </w:tblCellMar>
        <w:tblLook w:val="0000" w:firstRow="0" w:lastRow="0" w:firstColumn="0" w:lastColumn="0" w:noHBand="0" w:noVBand="0"/>
        <w:tblCaption w:val="Table 3: Susceptibility of methicillin-sensitive (MSSA) and methicillin-resistant S. aureus (MRSA) isolated from infections in Timor-Leste, January–June 2020"/>
        <w:tblDescription w:val="A table summarising the percentage of antibiotic-susceptible isolates among 44 MSSA and 15 MRSA isolates obtained from patients during the study period January–June 2020, for 14 antibiotics surveyed. Excepting penicillin, to which all isolates were resistant, susceptibility to antibiotics was generally high (&gt; 64% of isolates); all isolates tested were susceptible to cloxacillin, ciprofloxacin, daptomycin, fusidic acid, linezolid, teicoplanin and vancomycin."/>
      </w:tblPr>
      <w:tblGrid>
        <w:gridCol w:w="3213"/>
        <w:gridCol w:w="3212"/>
        <w:gridCol w:w="3213"/>
      </w:tblGrid>
      <w:tr w:rsidR="00C32E1C" w:rsidRPr="00C32E1C" w14:paraId="2328BF34" w14:textId="77777777" w:rsidTr="00C32E1C">
        <w:trPr>
          <w:trHeight w:val="60"/>
          <w:tblHeader/>
        </w:trPr>
        <w:tc>
          <w:tcPr>
            <w:tcW w:w="3213" w:type="dxa"/>
            <w:vMerge w:val="restart"/>
            <w:tcBorders>
              <w:top w:val="nil"/>
              <w:left w:val="nil"/>
            </w:tcBorders>
            <w:shd w:val="clear" w:color="auto" w:fill="1E4496" w:themeFill="text2"/>
            <w:tcMar>
              <w:top w:w="102" w:type="dxa"/>
              <w:left w:w="113" w:type="dxa"/>
              <w:bottom w:w="102" w:type="dxa"/>
              <w:right w:w="113" w:type="dxa"/>
            </w:tcMar>
            <w:vAlign w:val="bottom"/>
          </w:tcPr>
          <w:p w14:paraId="5D5BF5D1" w14:textId="77777777" w:rsidR="00C32E1C" w:rsidRPr="00C32E1C" w:rsidRDefault="00C32E1C" w:rsidP="00C32E1C">
            <w:pPr>
              <w:pStyle w:val="CDITable-HeaderRowLeft"/>
            </w:pPr>
            <w:r w:rsidRPr="00C32E1C">
              <w:t>Antibiotic</w:t>
            </w:r>
          </w:p>
        </w:tc>
        <w:tc>
          <w:tcPr>
            <w:tcW w:w="3212" w:type="dxa"/>
            <w:tcBorders>
              <w:top w:val="nil"/>
              <w:bottom w:val="single" w:sz="6" w:space="0" w:color="FFFFFF" w:themeColor="background1"/>
            </w:tcBorders>
            <w:shd w:val="clear" w:color="auto" w:fill="1E4496" w:themeFill="text2"/>
            <w:tcMar>
              <w:top w:w="102" w:type="dxa"/>
              <w:left w:w="113" w:type="dxa"/>
              <w:bottom w:w="102" w:type="dxa"/>
              <w:right w:w="113" w:type="dxa"/>
            </w:tcMar>
            <w:vAlign w:val="bottom"/>
          </w:tcPr>
          <w:p w14:paraId="2BF22C77" w14:textId="77777777" w:rsidR="00C32E1C" w:rsidRPr="00C32E1C" w:rsidRDefault="00C32E1C" w:rsidP="00C32E1C">
            <w:pPr>
              <w:pStyle w:val="CDITable-HeaderRowCentre"/>
            </w:pPr>
            <w:r w:rsidRPr="00C32E1C">
              <w:t>MSSA (N = 44)</w:t>
            </w:r>
          </w:p>
        </w:tc>
        <w:tc>
          <w:tcPr>
            <w:tcW w:w="3213" w:type="dxa"/>
            <w:tcBorders>
              <w:top w:val="nil"/>
              <w:bottom w:val="single" w:sz="6" w:space="0" w:color="FFFFFF" w:themeColor="background1"/>
              <w:right w:val="nil"/>
            </w:tcBorders>
            <w:shd w:val="clear" w:color="auto" w:fill="1E4496" w:themeFill="text2"/>
            <w:tcMar>
              <w:top w:w="102" w:type="dxa"/>
              <w:left w:w="113" w:type="dxa"/>
              <w:bottom w:w="102" w:type="dxa"/>
              <w:right w:w="113" w:type="dxa"/>
            </w:tcMar>
            <w:vAlign w:val="bottom"/>
          </w:tcPr>
          <w:p w14:paraId="04A0AD65" w14:textId="77777777" w:rsidR="00C32E1C" w:rsidRPr="00C32E1C" w:rsidRDefault="00C32E1C" w:rsidP="00C32E1C">
            <w:pPr>
              <w:pStyle w:val="CDITable-HeaderRowCentre"/>
            </w:pPr>
            <w:r w:rsidRPr="00C32E1C">
              <w:t>MRSA (N = 15)</w:t>
            </w:r>
          </w:p>
        </w:tc>
      </w:tr>
      <w:tr w:rsidR="00C32E1C" w:rsidRPr="00C32E1C" w14:paraId="405C86A4" w14:textId="77777777" w:rsidTr="00C32E1C">
        <w:trPr>
          <w:trHeight w:val="60"/>
          <w:tblHeader/>
        </w:trPr>
        <w:tc>
          <w:tcPr>
            <w:tcW w:w="3213" w:type="dxa"/>
            <w:vMerge/>
            <w:tcBorders>
              <w:left w:val="nil"/>
            </w:tcBorders>
            <w:shd w:val="clear" w:color="auto" w:fill="1E4496" w:themeFill="text2"/>
          </w:tcPr>
          <w:p w14:paraId="6D3BFA9D" w14:textId="77777777" w:rsidR="00C32E1C" w:rsidRPr="00C32E1C" w:rsidRDefault="00C32E1C" w:rsidP="00C32E1C">
            <w:pPr>
              <w:pStyle w:val="CDITable-HeaderRowCentre"/>
              <w:rPr>
                <w:lang w:val="en-AU"/>
              </w:rPr>
            </w:pPr>
          </w:p>
        </w:tc>
        <w:tc>
          <w:tcPr>
            <w:tcW w:w="3212" w:type="dxa"/>
            <w:tcBorders>
              <w:top w:val="single" w:sz="6" w:space="0" w:color="FFFFFF" w:themeColor="background1"/>
            </w:tcBorders>
            <w:shd w:val="clear" w:color="auto" w:fill="1E4496" w:themeFill="text2"/>
            <w:tcMar>
              <w:top w:w="102" w:type="dxa"/>
              <w:left w:w="113" w:type="dxa"/>
              <w:bottom w:w="102" w:type="dxa"/>
              <w:right w:w="113" w:type="dxa"/>
            </w:tcMar>
            <w:vAlign w:val="bottom"/>
          </w:tcPr>
          <w:p w14:paraId="310A593D" w14:textId="77777777" w:rsidR="00C32E1C" w:rsidRPr="00C32E1C" w:rsidRDefault="00C32E1C" w:rsidP="00C32E1C">
            <w:pPr>
              <w:pStyle w:val="CDITable-HeaderRowCentre"/>
            </w:pPr>
            <w:r w:rsidRPr="00C32E1C">
              <w:t>n (%)</w:t>
            </w:r>
          </w:p>
        </w:tc>
        <w:tc>
          <w:tcPr>
            <w:tcW w:w="3213" w:type="dxa"/>
            <w:tcBorders>
              <w:top w:val="single" w:sz="6" w:space="0" w:color="FFFFFF" w:themeColor="background1"/>
              <w:right w:val="nil"/>
            </w:tcBorders>
            <w:shd w:val="clear" w:color="auto" w:fill="1E4496" w:themeFill="text2"/>
            <w:tcMar>
              <w:top w:w="102" w:type="dxa"/>
              <w:left w:w="113" w:type="dxa"/>
              <w:bottom w:w="102" w:type="dxa"/>
              <w:right w:w="113" w:type="dxa"/>
            </w:tcMar>
            <w:vAlign w:val="bottom"/>
          </w:tcPr>
          <w:p w14:paraId="750E4AE7" w14:textId="77777777" w:rsidR="00C32E1C" w:rsidRPr="00C32E1C" w:rsidRDefault="00C32E1C" w:rsidP="00C32E1C">
            <w:pPr>
              <w:pStyle w:val="CDITable-HeaderRowCentre"/>
            </w:pPr>
            <w:r w:rsidRPr="00C32E1C">
              <w:t>n (%)</w:t>
            </w:r>
          </w:p>
        </w:tc>
      </w:tr>
      <w:tr w:rsidR="00C32E1C" w:rsidRPr="00C32E1C" w14:paraId="26073284" w14:textId="77777777" w:rsidTr="00C32E1C">
        <w:trPr>
          <w:trHeight w:val="60"/>
        </w:trPr>
        <w:tc>
          <w:tcPr>
            <w:tcW w:w="3213" w:type="dxa"/>
            <w:tcBorders>
              <w:left w:val="nil"/>
              <w:bottom w:val="single" w:sz="6" w:space="0" w:color="1E4496"/>
            </w:tcBorders>
            <w:tcMar>
              <w:top w:w="102" w:type="dxa"/>
              <w:left w:w="113" w:type="dxa"/>
              <w:bottom w:w="102" w:type="dxa"/>
              <w:right w:w="113" w:type="dxa"/>
            </w:tcMar>
            <w:vAlign w:val="center"/>
          </w:tcPr>
          <w:p w14:paraId="38A60BD5" w14:textId="77777777" w:rsidR="00C32E1C" w:rsidRPr="00C32E1C" w:rsidRDefault="00C32E1C" w:rsidP="00C32E1C">
            <w:pPr>
              <w:pStyle w:val="CDITable-RowLeft"/>
              <w:rPr>
                <w:lang w:val="en-GB"/>
              </w:rPr>
            </w:pPr>
            <w:r w:rsidRPr="00C32E1C">
              <w:rPr>
                <w:lang w:val="en-GB"/>
              </w:rPr>
              <w:t>Penicillin</w:t>
            </w:r>
          </w:p>
        </w:tc>
        <w:tc>
          <w:tcPr>
            <w:tcW w:w="3212" w:type="dxa"/>
            <w:tcBorders>
              <w:bottom w:val="single" w:sz="6" w:space="0" w:color="1E4496"/>
            </w:tcBorders>
            <w:tcMar>
              <w:top w:w="102" w:type="dxa"/>
              <w:left w:w="113" w:type="dxa"/>
              <w:bottom w:w="102" w:type="dxa"/>
              <w:right w:w="113" w:type="dxa"/>
            </w:tcMar>
            <w:vAlign w:val="center"/>
          </w:tcPr>
          <w:p w14:paraId="5520C471" w14:textId="77777777" w:rsidR="00C32E1C" w:rsidRPr="00C32E1C" w:rsidRDefault="00C32E1C" w:rsidP="00C32E1C">
            <w:pPr>
              <w:pStyle w:val="CDITable-RowCentre"/>
              <w:rPr>
                <w:lang w:val="en-GB"/>
              </w:rPr>
            </w:pPr>
            <w:r w:rsidRPr="00C32E1C">
              <w:rPr>
                <w:lang w:val="en-GB"/>
              </w:rPr>
              <w:t>0 (0)</w:t>
            </w:r>
          </w:p>
        </w:tc>
        <w:tc>
          <w:tcPr>
            <w:tcW w:w="3213" w:type="dxa"/>
            <w:tcBorders>
              <w:bottom w:val="single" w:sz="6" w:space="0" w:color="1E4496"/>
              <w:right w:val="nil"/>
            </w:tcBorders>
            <w:tcMar>
              <w:top w:w="102" w:type="dxa"/>
              <w:left w:w="113" w:type="dxa"/>
              <w:bottom w:w="102" w:type="dxa"/>
              <w:right w:w="113" w:type="dxa"/>
            </w:tcMar>
            <w:vAlign w:val="center"/>
          </w:tcPr>
          <w:p w14:paraId="651D09A0" w14:textId="77777777" w:rsidR="00C32E1C" w:rsidRPr="00C32E1C" w:rsidRDefault="00C32E1C" w:rsidP="00C32E1C">
            <w:pPr>
              <w:pStyle w:val="CDITable-RowCentre"/>
              <w:rPr>
                <w:lang w:val="en-GB"/>
              </w:rPr>
            </w:pPr>
            <w:r w:rsidRPr="00C32E1C">
              <w:rPr>
                <w:lang w:val="en-GB"/>
              </w:rPr>
              <w:t>0 (0%)</w:t>
            </w:r>
          </w:p>
        </w:tc>
      </w:tr>
      <w:tr w:rsidR="00C32E1C" w:rsidRPr="00C32E1C" w14:paraId="1DCFB1EC"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7D29C14C" w14:textId="77777777" w:rsidR="00C32E1C" w:rsidRPr="00C32E1C" w:rsidRDefault="00C32E1C" w:rsidP="00C32E1C">
            <w:pPr>
              <w:pStyle w:val="CDITable-RowLeft"/>
              <w:rPr>
                <w:lang w:val="en-GB"/>
              </w:rPr>
            </w:pPr>
            <w:r w:rsidRPr="00C32E1C">
              <w:rPr>
                <w:lang w:val="en-GB"/>
              </w:rPr>
              <w:t>Cloxacillin</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45E98E86" w14:textId="77777777" w:rsidR="00C32E1C" w:rsidRPr="00C32E1C" w:rsidRDefault="00C32E1C" w:rsidP="00C32E1C">
            <w:pPr>
              <w:pStyle w:val="CDITable-RowCentre"/>
              <w:rPr>
                <w:lang w:val="en-GB"/>
              </w:rPr>
            </w:pPr>
            <w:r w:rsidRPr="00C32E1C">
              <w:rPr>
                <w:lang w:val="en-GB"/>
              </w:rPr>
              <w:t>44 (100)</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2C0D85B8" w14:textId="77777777" w:rsidR="00C32E1C" w:rsidRPr="00C32E1C" w:rsidRDefault="00C32E1C" w:rsidP="00C32E1C">
            <w:pPr>
              <w:pStyle w:val="CDITable-RowCentre"/>
              <w:rPr>
                <w:lang w:val="en-GB"/>
              </w:rPr>
            </w:pPr>
            <w:r w:rsidRPr="00C32E1C">
              <w:rPr>
                <w:lang w:val="en-GB"/>
              </w:rPr>
              <w:t>15 (100)</w:t>
            </w:r>
          </w:p>
        </w:tc>
      </w:tr>
      <w:tr w:rsidR="00C32E1C" w:rsidRPr="00C32E1C" w14:paraId="70FB7EB5"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43E9688D" w14:textId="77777777" w:rsidR="00C32E1C" w:rsidRPr="00C32E1C" w:rsidRDefault="00C32E1C" w:rsidP="00C32E1C">
            <w:pPr>
              <w:pStyle w:val="CDITable-RowLeft"/>
              <w:rPr>
                <w:lang w:val="en-GB"/>
              </w:rPr>
            </w:pPr>
            <w:r w:rsidRPr="00C32E1C">
              <w:rPr>
                <w:lang w:val="en-GB"/>
              </w:rPr>
              <w:t>Ciprofloxacin</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6C5CBD71" w14:textId="77777777" w:rsidR="00C32E1C" w:rsidRPr="00C32E1C" w:rsidRDefault="00C32E1C" w:rsidP="00C32E1C">
            <w:pPr>
              <w:pStyle w:val="CDITable-RowCentre"/>
              <w:rPr>
                <w:lang w:val="en-GB"/>
              </w:rPr>
            </w:pPr>
            <w:r w:rsidRPr="00C32E1C">
              <w:rPr>
                <w:lang w:val="en-GB"/>
              </w:rPr>
              <w:t>44 (100)</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3CDC782F" w14:textId="77777777" w:rsidR="00C32E1C" w:rsidRPr="00C32E1C" w:rsidRDefault="00C32E1C" w:rsidP="00C32E1C">
            <w:pPr>
              <w:pStyle w:val="CDITable-RowCentre"/>
              <w:rPr>
                <w:lang w:val="en-GB"/>
              </w:rPr>
            </w:pPr>
            <w:r w:rsidRPr="00C32E1C">
              <w:rPr>
                <w:lang w:val="en-GB"/>
              </w:rPr>
              <w:t>15 (100)</w:t>
            </w:r>
          </w:p>
        </w:tc>
      </w:tr>
      <w:tr w:rsidR="00C32E1C" w:rsidRPr="00C32E1C" w14:paraId="0ACB5440"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7B38EB93" w14:textId="77777777" w:rsidR="00C32E1C" w:rsidRPr="00C32E1C" w:rsidRDefault="00C32E1C" w:rsidP="00C32E1C">
            <w:pPr>
              <w:pStyle w:val="CDITable-RowLeft"/>
              <w:rPr>
                <w:lang w:val="en-GB"/>
              </w:rPr>
            </w:pPr>
            <w:r w:rsidRPr="00C32E1C">
              <w:rPr>
                <w:lang w:val="en-GB"/>
              </w:rPr>
              <w:t>Clindamycin</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51B25020" w14:textId="77777777" w:rsidR="00C32E1C" w:rsidRPr="00C32E1C" w:rsidRDefault="00C32E1C" w:rsidP="00C32E1C">
            <w:pPr>
              <w:pStyle w:val="CDITable-RowCentre"/>
              <w:rPr>
                <w:lang w:val="en-GB"/>
              </w:rPr>
            </w:pPr>
            <w:r w:rsidRPr="00C32E1C">
              <w:rPr>
                <w:lang w:val="en-GB"/>
              </w:rPr>
              <w:t>43 (98)</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40B8C0DA" w14:textId="77777777" w:rsidR="00C32E1C" w:rsidRPr="00C32E1C" w:rsidRDefault="00C32E1C" w:rsidP="00C32E1C">
            <w:pPr>
              <w:pStyle w:val="CDITable-RowCentre"/>
              <w:rPr>
                <w:lang w:val="en-GB"/>
              </w:rPr>
            </w:pPr>
            <w:r w:rsidRPr="00C32E1C">
              <w:rPr>
                <w:lang w:val="en-GB"/>
              </w:rPr>
              <w:t>13 (87)</w:t>
            </w:r>
          </w:p>
        </w:tc>
      </w:tr>
      <w:tr w:rsidR="00C32E1C" w:rsidRPr="00C32E1C" w14:paraId="783911F3"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356BC1B0" w14:textId="77777777" w:rsidR="00C32E1C" w:rsidRPr="00C32E1C" w:rsidRDefault="00C32E1C" w:rsidP="00C32E1C">
            <w:pPr>
              <w:pStyle w:val="CDITable-RowLeft"/>
              <w:rPr>
                <w:lang w:val="en-GB"/>
              </w:rPr>
            </w:pPr>
            <w:r w:rsidRPr="00C32E1C">
              <w:rPr>
                <w:lang w:val="en-GB"/>
              </w:rPr>
              <w:t>Cotrimoxazole</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01F25DC0" w14:textId="77777777" w:rsidR="00C32E1C" w:rsidRPr="00C32E1C" w:rsidRDefault="00C32E1C" w:rsidP="00C32E1C">
            <w:pPr>
              <w:pStyle w:val="CDITable-RowCentre"/>
              <w:rPr>
                <w:lang w:val="en-GB"/>
              </w:rPr>
            </w:pPr>
            <w:r w:rsidRPr="00C32E1C">
              <w:rPr>
                <w:lang w:val="en-GB"/>
              </w:rPr>
              <w:t>41 (93)</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4A0335F0" w14:textId="77777777" w:rsidR="00C32E1C" w:rsidRPr="00C32E1C" w:rsidRDefault="00C32E1C" w:rsidP="00C32E1C">
            <w:pPr>
              <w:pStyle w:val="CDITable-RowCentre"/>
              <w:rPr>
                <w:lang w:val="en-GB"/>
              </w:rPr>
            </w:pPr>
            <w:r w:rsidRPr="00C32E1C">
              <w:rPr>
                <w:lang w:val="en-GB"/>
              </w:rPr>
              <w:t>15 (100)</w:t>
            </w:r>
          </w:p>
        </w:tc>
      </w:tr>
      <w:tr w:rsidR="00C32E1C" w:rsidRPr="00C32E1C" w14:paraId="17702E4C"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40729F59" w14:textId="77777777" w:rsidR="00C32E1C" w:rsidRPr="00C32E1C" w:rsidRDefault="00C32E1C" w:rsidP="00C32E1C">
            <w:pPr>
              <w:pStyle w:val="CDITable-RowLeft"/>
              <w:rPr>
                <w:lang w:val="en-GB"/>
              </w:rPr>
            </w:pPr>
            <w:r w:rsidRPr="00C32E1C">
              <w:rPr>
                <w:lang w:val="en-GB"/>
              </w:rPr>
              <w:t>Daptomycin</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0857EDC8" w14:textId="77777777" w:rsidR="00C32E1C" w:rsidRPr="00C32E1C" w:rsidRDefault="00C32E1C" w:rsidP="00C32E1C">
            <w:pPr>
              <w:pStyle w:val="CDITable-RowCentre"/>
              <w:rPr>
                <w:lang w:val="en-GB"/>
              </w:rPr>
            </w:pPr>
            <w:r w:rsidRPr="00C32E1C">
              <w:rPr>
                <w:lang w:val="en-GB"/>
              </w:rPr>
              <w:t>44 (100)</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3049B9F8" w14:textId="77777777" w:rsidR="00C32E1C" w:rsidRPr="00C32E1C" w:rsidRDefault="00C32E1C" w:rsidP="00C32E1C">
            <w:pPr>
              <w:pStyle w:val="CDITable-RowCentre"/>
              <w:rPr>
                <w:lang w:val="en-GB"/>
              </w:rPr>
            </w:pPr>
            <w:r w:rsidRPr="00C32E1C">
              <w:rPr>
                <w:lang w:val="en-GB"/>
              </w:rPr>
              <w:t>15 (100)</w:t>
            </w:r>
          </w:p>
        </w:tc>
      </w:tr>
      <w:tr w:rsidR="00C32E1C" w:rsidRPr="00C32E1C" w14:paraId="3A037C6C"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45ACCCDC" w14:textId="77777777" w:rsidR="00C32E1C" w:rsidRPr="00C32E1C" w:rsidRDefault="00C32E1C" w:rsidP="00C32E1C">
            <w:pPr>
              <w:pStyle w:val="CDITable-RowLeft"/>
              <w:rPr>
                <w:lang w:val="en-GB"/>
              </w:rPr>
            </w:pPr>
            <w:r w:rsidRPr="00C32E1C">
              <w:rPr>
                <w:lang w:val="en-GB"/>
              </w:rPr>
              <w:t>Erythromycin</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113BF70E" w14:textId="77777777" w:rsidR="00C32E1C" w:rsidRPr="00C32E1C" w:rsidRDefault="00C32E1C" w:rsidP="00C32E1C">
            <w:pPr>
              <w:pStyle w:val="CDITable-RowCentre"/>
              <w:rPr>
                <w:lang w:val="en-GB"/>
              </w:rPr>
            </w:pPr>
            <w:r w:rsidRPr="00C32E1C">
              <w:rPr>
                <w:lang w:val="en-GB"/>
              </w:rPr>
              <w:t>43 (98)</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4481937A" w14:textId="77777777" w:rsidR="00C32E1C" w:rsidRPr="00C32E1C" w:rsidRDefault="00C32E1C" w:rsidP="00C32E1C">
            <w:pPr>
              <w:pStyle w:val="CDITable-RowCentre"/>
              <w:rPr>
                <w:lang w:val="en-GB"/>
              </w:rPr>
            </w:pPr>
            <w:r w:rsidRPr="00C32E1C">
              <w:rPr>
                <w:lang w:val="en-GB"/>
              </w:rPr>
              <w:t>13 (87)</w:t>
            </w:r>
          </w:p>
        </w:tc>
      </w:tr>
      <w:tr w:rsidR="00C32E1C" w:rsidRPr="00C32E1C" w14:paraId="1437C372"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32C9118E" w14:textId="77777777" w:rsidR="00C32E1C" w:rsidRPr="00C32E1C" w:rsidRDefault="00C32E1C" w:rsidP="00C32E1C">
            <w:pPr>
              <w:pStyle w:val="CDITable-RowLeft"/>
              <w:rPr>
                <w:lang w:val="en-GB"/>
              </w:rPr>
            </w:pPr>
            <w:r w:rsidRPr="00C32E1C">
              <w:rPr>
                <w:lang w:val="en-GB"/>
              </w:rPr>
              <w:t>Fusidic acid</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66B331A7" w14:textId="77777777" w:rsidR="00C32E1C" w:rsidRPr="00C32E1C" w:rsidRDefault="00C32E1C" w:rsidP="00C32E1C">
            <w:pPr>
              <w:pStyle w:val="CDITable-RowCentre"/>
              <w:rPr>
                <w:lang w:val="en-GB"/>
              </w:rPr>
            </w:pPr>
            <w:r w:rsidRPr="00C32E1C">
              <w:rPr>
                <w:lang w:val="en-GB"/>
              </w:rPr>
              <w:t>44 (100)</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0384AEEF" w14:textId="77777777" w:rsidR="00C32E1C" w:rsidRPr="00C32E1C" w:rsidRDefault="00C32E1C" w:rsidP="00C32E1C">
            <w:pPr>
              <w:pStyle w:val="CDITable-RowCentre"/>
              <w:rPr>
                <w:lang w:val="en-GB"/>
              </w:rPr>
            </w:pPr>
            <w:r w:rsidRPr="00C32E1C">
              <w:rPr>
                <w:lang w:val="en-GB"/>
              </w:rPr>
              <w:t>15 (100)</w:t>
            </w:r>
          </w:p>
        </w:tc>
      </w:tr>
      <w:tr w:rsidR="00C32E1C" w:rsidRPr="00C32E1C" w14:paraId="5E8F0594"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3A519DDE" w14:textId="77777777" w:rsidR="00C32E1C" w:rsidRPr="00C32E1C" w:rsidRDefault="00C32E1C" w:rsidP="00C32E1C">
            <w:pPr>
              <w:pStyle w:val="CDITable-RowLeft"/>
              <w:rPr>
                <w:lang w:val="en-GB"/>
              </w:rPr>
            </w:pPr>
            <w:r w:rsidRPr="00C32E1C">
              <w:rPr>
                <w:lang w:val="en-GB"/>
              </w:rPr>
              <w:t>Gentamicin</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682222FD" w14:textId="77777777" w:rsidR="00C32E1C" w:rsidRPr="00C32E1C" w:rsidRDefault="00C32E1C" w:rsidP="00C32E1C">
            <w:pPr>
              <w:pStyle w:val="CDITable-RowCentre"/>
              <w:rPr>
                <w:lang w:val="en-GB"/>
              </w:rPr>
            </w:pPr>
            <w:r w:rsidRPr="00C32E1C">
              <w:rPr>
                <w:lang w:val="en-GB"/>
              </w:rPr>
              <w:t>39 (89)</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00A53FD9" w14:textId="77777777" w:rsidR="00C32E1C" w:rsidRPr="00C32E1C" w:rsidRDefault="00C32E1C" w:rsidP="00C32E1C">
            <w:pPr>
              <w:pStyle w:val="CDITable-RowCentre"/>
              <w:rPr>
                <w:lang w:val="en-GB"/>
              </w:rPr>
            </w:pPr>
            <w:r w:rsidRPr="00C32E1C">
              <w:rPr>
                <w:lang w:val="en-GB"/>
              </w:rPr>
              <w:t>12 (80)</w:t>
            </w:r>
          </w:p>
        </w:tc>
      </w:tr>
      <w:tr w:rsidR="00C32E1C" w:rsidRPr="00C32E1C" w14:paraId="4667B375"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2FD5DCE1" w14:textId="77777777" w:rsidR="00C32E1C" w:rsidRPr="00C32E1C" w:rsidRDefault="00C32E1C" w:rsidP="00C32E1C">
            <w:pPr>
              <w:pStyle w:val="CDITable-RowLeft"/>
              <w:rPr>
                <w:lang w:val="en-GB"/>
              </w:rPr>
            </w:pPr>
            <w:r w:rsidRPr="00C32E1C">
              <w:rPr>
                <w:lang w:val="en-GB"/>
              </w:rPr>
              <w:t>Linezolid</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3A876813" w14:textId="77777777" w:rsidR="00C32E1C" w:rsidRPr="00C32E1C" w:rsidRDefault="00C32E1C" w:rsidP="00C32E1C">
            <w:pPr>
              <w:pStyle w:val="CDITable-RowCentre"/>
              <w:rPr>
                <w:lang w:val="en-GB"/>
              </w:rPr>
            </w:pPr>
            <w:r w:rsidRPr="00C32E1C">
              <w:rPr>
                <w:lang w:val="en-GB"/>
              </w:rPr>
              <w:t>44 (100)</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77B06D8D" w14:textId="77777777" w:rsidR="00C32E1C" w:rsidRPr="00C32E1C" w:rsidRDefault="00C32E1C" w:rsidP="00C32E1C">
            <w:pPr>
              <w:pStyle w:val="CDITable-RowCentre"/>
              <w:rPr>
                <w:lang w:val="en-GB"/>
              </w:rPr>
            </w:pPr>
            <w:r w:rsidRPr="00C32E1C">
              <w:rPr>
                <w:lang w:val="en-GB"/>
              </w:rPr>
              <w:t>15 (100)</w:t>
            </w:r>
          </w:p>
        </w:tc>
      </w:tr>
      <w:tr w:rsidR="00C32E1C" w:rsidRPr="00C32E1C" w14:paraId="314FBFC7"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135C6573" w14:textId="77777777" w:rsidR="00C32E1C" w:rsidRPr="00C32E1C" w:rsidRDefault="00C32E1C" w:rsidP="00C32E1C">
            <w:pPr>
              <w:pStyle w:val="CDITable-RowLeft"/>
              <w:rPr>
                <w:lang w:val="en-GB"/>
              </w:rPr>
            </w:pPr>
            <w:r w:rsidRPr="00C32E1C">
              <w:rPr>
                <w:lang w:val="en-GB"/>
              </w:rPr>
              <w:t>Tetracycline</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5AACAD5D" w14:textId="77777777" w:rsidR="00C32E1C" w:rsidRPr="00C32E1C" w:rsidRDefault="00C32E1C" w:rsidP="00C32E1C">
            <w:pPr>
              <w:pStyle w:val="CDITable-RowCentre"/>
              <w:rPr>
                <w:lang w:val="en-GB"/>
              </w:rPr>
            </w:pPr>
            <w:r w:rsidRPr="00C32E1C">
              <w:rPr>
                <w:lang w:val="en-GB"/>
              </w:rPr>
              <w:t>28 (64)</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2D83B8A8" w14:textId="77777777" w:rsidR="00C32E1C" w:rsidRPr="00C32E1C" w:rsidRDefault="00C32E1C" w:rsidP="00C32E1C">
            <w:pPr>
              <w:pStyle w:val="CDITable-RowCentre"/>
              <w:rPr>
                <w:lang w:val="en-GB"/>
              </w:rPr>
            </w:pPr>
            <w:r w:rsidRPr="00C32E1C">
              <w:rPr>
                <w:lang w:val="en-GB"/>
              </w:rPr>
              <w:t>13 (87)</w:t>
            </w:r>
          </w:p>
        </w:tc>
      </w:tr>
      <w:tr w:rsidR="00C32E1C" w:rsidRPr="00C32E1C" w14:paraId="79D7D99F"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5B7CF85A" w14:textId="77777777" w:rsidR="00C32E1C" w:rsidRPr="00C32E1C" w:rsidRDefault="00C32E1C" w:rsidP="00C32E1C">
            <w:pPr>
              <w:pStyle w:val="CDITable-RowLeft"/>
              <w:rPr>
                <w:lang w:val="en-GB"/>
              </w:rPr>
            </w:pPr>
            <w:r w:rsidRPr="00C32E1C">
              <w:rPr>
                <w:lang w:val="en-GB"/>
              </w:rPr>
              <w:t>Teicoplanin</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64508456" w14:textId="77777777" w:rsidR="00C32E1C" w:rsidRPr="00C32E1C" w:rsidRDefault="00C32E1C" w:rsidP="00C32E1C">
            <w:pPr>
              <w:pStyle w:val="CDITable-RowCentre"/>
              <w:rPr>
                <w:lang w:val="en-GB"/>
              </w:rPr>
            </w:pPr>
            <w:r w:rsidRPr="00C32E1C">
              <w:rPr>
                <w:lang w:val="en-GB"/>
              </w:rPr>
              <w:t>44 (100)</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7FF1C9CE" w14:textId="77777777" w:rsidR="00C32E1C" w:rsidRPr="00C32E1C" w:rsidRDefault="00C32E1C" w:rsidP="00C32E1C">
            <w:pPr>
              <w:pStyle w:val="CDITable-RowCentre"/>
              <w:rPr>
                <w:lang w:val="en-GB"/>
              </w:rPr>
            </w:pPr>
            <w:r w:rsidRPr="00C32E1C">
              <w:rPr>
                <w:lang w:val="en-GB"/>
              </w:rPr>
              <w:t>15 (100)</w:t>
            </w:r>
          </w:p>
        </w:tc>
      </w:tr>
      <w:tr w:rsidR="00C32E1C" w:rsidRPr="00C32E1C" w14:paraId="4186FA76" w14:textId="77777777" w:rsidTr="00C32E1C">
        <w:trPr>
          <w:trHeight w:val="60"/>
        </w:trPr>
        <w:tc>
          <w:tcPr>
            <w:tcW w:w="3213" w:type="dxa"/>
            <w:tcBorders>
              <w:top w:val="single" w:sz="6" w:space="0" w:color="1E4496"/>
              <w:left w:val="nil"/>
              <w:bottom w:val="single" w:sz="6" w:space="0" w:color="1E4496"/>
            </w:tcBorders>
            <w:tcMar>
              <w:top w:w="102" w:type="dxa"/>
              <w:left w:w="113" w:type="dxa"/>
              <w:bottom w:w="102" w:type="dxa"/>
              <w:right w:w="113" w:type="dxa"/>
            </w:tcMar>
            <w:vAlign w:val="center"/>
          </w:tcPr>
          <w:p w14:paraId="68C49747" w14:textId="77777777" w:rsidR="00C32E1C" w:rsidRPr="00C32E1C" w:rsidRDefault="00C32E1C" w:rsidP="00C32E1C">
            <w:pPr>
              <w:pStyle w:val="CDITable-RowLeft"/>
              <w:rPr>
                <w:lang w:val="en-GB"/>
              </w:rPr>
            </w:pPr>
            <w:r w:rsidRPr="00C32E1C">
              <w:rPr>
                <w:lang w:val="en-GB"/>
              </w:rPr>
              <w:t>Vancomycin</w:t>
            </w:r>
          </w:p>
        </w:tc>
        <w:tc>
          <w:tcPr>
            <w:tcW w:w="3212" w:type="dxa"/>
            <w:tcBorders>
              <w:top w:val="single" w:sz="6" w:space="0" w:color="1E4496"/>
              <w:bottom w:val="single" w:sz="6" w:space="0" w:color="1E4496"/>
            </w:tcBorders>
            <w:tcMar>
              <w:top w:w="102" w:type="dxa"/>
              <w:left w:w="113" w:type="dxa"/>
              <w:bottom w:w="102" w:type="dxa"/>
              <w:right w:w="113" w:type="dxa"/>
            </w:tcMar>
            <w:vAlign w:val="center"/>
          </w:tcPr>
          <w:p w14:paraId="58EC7BFF" w14:textId="77777777" w:rsidR="00C32E1C" w:rsidRPr="00C32E1C" w:rsidRDefault="00C32E1C" w:rsidP="00C32E1C">
            <w:pPr>
              <w:pStyle w:val="CDITable-RowCentre"/>
              <w:rPr>
                <w:lang w:val="en-GB"/>
              </w:rPr>
            </w:pPr>
            <w:r w:rsidRPr="00C32E1C">
              <w:rPr>
                <w:lang w:val="en-GB"/>
              </w:rPr>
              <w:t>44 (100)</w:t>
            </w:r>
          </w:p>
        </w:tc>
        <w:tc>
          <w:tcPr>
            <w:tcW w:w="3213" w:type="dxa"/>
            <w:tcBorders>
              <w:top w:val="single" w:sz="6" w:space="0" w:color="1E4496"/>
              <w:bottom w:val="single" w:sz="6" w:space="0" w:color="1E4496"/>
              <w:right w:val="nil"/>
            </w:tcBorders>
            <w:tcMar>
              <w:top w:w="102" w:type="dxa"/>
              <w:left w:w="113" w:type="dxa"/>
              <w:bottom w:w="102" w:type="dxa"/>
              <w:right w:w="113" w:type="dxa"/>
            </w:tcMar>
            <w:vAlign w:val="center"/>
          </w:tcPr>
          <w:p w14:paraId="035DD37C" w14:textId="77777777" w:rsidR="00C32E1C" w:rsidRPr="00C32E1C" w:rsidRDefault="00C32E1C" w:rsidP="00C32E1C">
            <w:pPr>
              <w:pStyle w:val="CDITable-RowCentre"/>
              <w:rPr>
                <w:lang w:val="en-GB"/>
              </w:rPr>
            </w:pPr>
            <w:r w:rsidRPr="00C32E1C">
              <w:rPr>
                <w:lang w:val="en-GB"/>
              </w:rPr>
              <w:t>15 (100)</w:t>
            </w:r>
          </w:p>
        </w:tc>
      </w:tr>
    </w:tbl>
    <w:p w14:paraId="0512561B" w14:textId="77777777" w:rsidR="006E0B0E" w:rsidRDefault="008017B6" w:rsidP="008017B6">
      <w:pPr>
        <w:pStyle w:val="Heading1"/>
      </w:pPr>
      <w:bookmarkStart w:id="20" w:name="_Toc227567844"/>
      <w:bookmarkStart w:id="21" w:name="_Toc195519590"/>
      <w:bookmarkStart w:id="22" w:name="_Toc195522359"/>
      <w:r>
        <w:lastRenderedPageBreak/>
        <w:t>Discussion</w:t>
      </w:r>
      <w:bookmarkEnd w:id="20"/>
    </w:p>
    <w:p w14:paraId="41E6B366" w14:textId="49141442" w:rsidR="00C32E1C" w:rsidRPr="00C32E1C" w:rsidRDefault="00C32E1C" w:rsidP="00C32E1C">
      <w:pPr>
        <w:pStyle w:val="Normal-morespacebefore"/>
        <w:rPr>
          <w:lang w:val="en-GB"/>
        </w:rPr>
      </w:pPr>
      <w:r>
        <w:rPr>
          <w:lang w:val="en-GB"/>
        </w:rPr>
        <w:t>I</w:t>
      </w:r>
      <w:r w:rsidRPr="00C32E1C">
        <w:rPr>
          <w:lang w:val="en-GB"/>
        </w:rPr>
        <w:t xml:space="preserve">n this study, we identified benzylpenicillin resistance in both MSSA and MRSA, while no resistance was recorded to vancomycin, teicoplanin, daptomycin or </w:t>
      </w:r>
      <w:proofErr w:type="spellStart"/>
      <w:r w:rsidRPr="00C32E1C">
        <w:rPr>
          <w:lang w:val="en-GB"/>
        </w:rPr>
        <w:t>fusicidic</w:t>
      </w:r>
      <w:proofErr w:type="spellEnd"/>
      <w:r w:rsidRPr="00C32E1C">
        <w:rPr>
          <w:lang w:val="en-GB"/>
        </w:rPr>
        <w:t xml:space="preserve"> acid. We also found a low level of co-resistance. All 15 MRSA isolates were susceptible to vancomycin, teicoplanin, fusidic acid, ciprofloxacin, daptomycin and cotrimoxazole. For MSSA, cloxacillin and/or clindamycin is effective to cover the infection, whilst for MRSA the first-line treatment can be cotrimoxazole or tetracycline, with vancomycin as the last line, though this depends on the site of infection. Vancomycin is the first-line intravenous treatment for MRSA infections in Timor-Leste, and cotrimoxazole is likely to be a good oral option, especially in cases with clindamycin resistance. Linezolid, daptomycin and teicoplanin are not on the essential medicines list in Timor-Leste and are not routinely available. Ongoing vigilance is required, given the potential for emergence of further resistance, including to vancomycin.</w:t>
      </w:r>
      <w:r w:rsidRPr="00C32E1C">
        <w:rPr>
          <w:vertAlign w:val="superscript"/>
          <w:lang w:val="en-GB"/>
        </w:rPr>
        <w:t>10</w:t>
      </w:r>
    </w:p>
    <w:p w14:paraId="4A7D219D" w14:textId="77777777" w:rsidR="00C32E1C" w:rsidRPr="00C32E1C" w:rsidRDefault="00C32E1C" w:rsidP="00C32E1C">
      <w:pPr>
        <w:rPr>
          <w:lang w:val="en-GB"/>
        </w:rPr>
      </w:pPr>
      <w:r w:rsidRPr="00C32E1C">
        <w:rPr>
          <w:lang w:val="en-GB"/>
        </w:rPr>
        <w:t xml:space="preserve">Our study of </w:t>
      </w:r>
      <w:r w:rsidRPr="00C32E1C">
        <w:rPr>
          <w:i/>
          <w:iCs/>
          <w:lang w:val="en-GB"/>
        </w:rPr>
        <w:t>S. aureus</w:t>
      </w:r>
      <w:r w:rsidRPr="00C32E1C">
        <w:rPr>
          <w:lang w:val="en-GB"/>
        </w:rPr>
        <w:t xml:space="preserve"> infection in Timor-Leste, including patients from 11 of the country’s 13 municipalities and with representation of a greater variety of sample types, is larger than the only previous study by Marr et al.</w:t>
      </w:r>
      <w:r w:rsidRPr="00C32E1C">
        <w:rPr>
          <w:vertAlign w:val="superscript"/>
          <w:lang w:val="en-GB"/>
        </w:rPr>
        <w:t>8</w:t>
      </w:r>
      <w:r w:rsidRPr="00C32E1C">
        <w:rPr>
          <w:lang w:val="en-GB"/>
        </w:rPr>
        <w:t xml:space="preserve"> While the MRSA rate identified in this study (25%; 15/59) is higher than that described by Marr et al. (11%; 4/35), both studies had a small sample size; accordingly, the difference in MRSA rates may be attributed to random error. There were four deaths recorded in this study; however, limited clinical data hampered the elucidation of any correlation between the type of </w:t>
      </w:r>
      <w:r w:rsidRPr="00C32E1C">
        <w:rPr>
          <w:i/>
          <w:iCs/>
          <w:lang w:val="en-GB"/>
        </w:rPr>
        <w:t>S. aureus</w:t>
      </w:r>
      <w:r w:rsidRPr="00C32E1C">
        <w:rPr>
          <w:lang w:val="en-GB"/>
        </w:rPr>
        <w:t xml:space="preserve"> infection and the clinical outcome.</w:t>
      </w:r>
    </w:p>
    <w:p w14:paraId="3D7F6631" w14:textId="77777777" w:rsidR="00C32E1C" w:rsidRPr="00C32E1C" w:rsidRDefault="00C32E1C" w:rsidP="00C32E1C">
      <w:pPr>
        <w:rPr>
          <w:lang w:val="en-GB"/>
        </w:rPr>
      </w:pPr>
      <w:r w:rsidRPr="00C32E1C">
        <w:rPr>
          <w:lang w:val="en-GB"/>
        </w:rPr>
        <w:t>Most of our samples collected were from the capital city, Dili, where the recently established diagnostic microbiology laboratory is located. Prior to this, Timor-Leste had limited capacity for diagnostic microbiology. High investment in capacity building and training local scientists has ensured a well-established diagnostic microbiology laboratory which services the entire country, with a commitment to expand to more referral hospitals in other municipalities in upcoming years.</w:t>
      </w:r>
      <w:r w:rsidRPr="00C32E1C">
        <w:rPr>
          <w:vertAlign w:val="superscript"/>
          <w:lang w:val="en-GB"/>
        </w:rPr>
        <w:t>6,11</w:t>
      </w:r>
    </w:p>
    <w:p w14:paraId="5B803DB1" w14:textId="77777777" w:rsidR="00C32E1C" w:rsidRPr="00C32E1C" w:rsidRDefault="00C32E1C" w:rsidP="00C32E1C">
      <w:pPr>
        <w:pStyle w:val="Heading2"/>
        <w:rPr>
          <w:lang w:val="en-GB"/>
        </w:rPr>
      </w:pPr>
      <w:bookmarkStart w:id="23" w:name="_Toc227567845"/>
      <w:r w:rsidRPr="00C32E1C">
        <w:rPr>
          <w:lang w:val="en-GB"/>
        </w:rPr>
        <w:t>Limitations</w:t>
      </w:r>
      <w:bookmarkEnd w:id="23"/>
    </w:p>
    <w:p w14:paraId="61CB8B9C" w14:textId="77777777" w:rsidR="00C32E1C" w:rsidRPr="00C32E1C" w:rsidRDefault="00C32E1C" w:rsidP="00C32E1C">
      <w:pPr>
        <w:rPr>
          <w:lang w:val="en-GB"/>
        </w:rPr>
      </w:pPr>
      <w:r w:rsidRPr="00C32E1C">
        <w:rPr>
          <w:lang w:val="en-GB"/>
        </w:rPr>
        <w:t xml:space="preserve">This study has several limitations, some of which relate to the manual nature of data collection and record keeping. Missing data were common in Timor-Leste, due to manual data collection in all levels of clinical care. With the implementation of the Laboratory Management Information System at the </w:t>
      </w:r>
      <w:proofErr w:type="spellStart"/>
      <w:r w:rsidRPr="00C32E1C">
        <w:rPr>
          <w:lang w:val="en-GB"/>
        </w:rPr>
        <w:t>LdS</w:t>
      </w:r>
      <w:proofErr w:type="spellEnd"/>
      <w:r w:rsidRPr="00C32E1C">
        <w:rPr>
          <w:lang w:val="en-GB"/>
        </w:rPr>
        <w:t xml:space="preserve"> in September 2020, this issue is likely to be resolved for future studies.</w:t>
      </w:r>
      <w:r w:rsidRPr="00C32E1C">
        <w:rPr>
          <w:vertAlign w:val="superscript"/>
          <w:lang w:val="en-GB"/>
        </w:rPr>
        <w:t>11</w:t>
      </w:r>
      <w:r w:rsidRPr="00C32E1C">
        <w:rPr>
          <w:lang w:val="en-GB"/>
        </w:rPr>
        <w:t xml:space="preserve"> In addition, there were smaller than expected numbers of patients attending outpatient consultation clinics, due to public health restrictions in the country and high coronavirus disease 2019 (COVID-19) community transmission during the study period.</w:t>
      </w:r>
    </w:p>
    <w:p w14:paraId="189EEB65" w14:textId="77777777" w:rsidR="00FE2847" w:rsidRDefault="008017B6" w:rsidP="008017B6">
      <w:pPr>
        <w:pStyle w:val="Heading1"/>
      </w:pPr>
      <w:bookmarkStart w:id="24" w:name="_Toc227567846"/>
      <w:bookmarkEnd w:id="21"/>
      <w:bookmarkEnd w:id="22"/>
      <w:r>
        <w:lastRenderedPageBreak/>
        <w:t>Conclusion</w:t>
      </w:r>
      <w:bookmarkEnd w:id="24"/>
    </w:p>
    <w:p w14:paraId="5A7CA9AF" w14:textId="77777777" w:rsidR="00C32E1C" w:rsidRPr="00C32E1C" w:rsidRDefault="00C32E1C" w:rsidP="00C32E1C">
      <w:pPr>
        <w:pStyle w:val="Normal-morespacebefore"/>
        <w:rPr>
          <w:lang w:val="en-GB"/>
        </w:rPr>
      </w:pPr>
      <w:r w:rsidRPr="00C32E1C">
        <w:rPr>
          <w:lang w:val="en-GB"/>
        </w:rPr>
        <w:t xml:space="preserve">Our findings suggest a high rate of MRSA in clinical isolates in Timor-Leste and support the ongoing necessity of </w:t>
      </w:r>
      <w:proofErr w:type="gramStart"/>
      <w:r w:rsidRPr="00C32E1C">
        <w:rPr>
          <w:lang w:val="en-GB"/>
        </w:rPr>
        <w:t>high quality</w:t>
      </w:r>
      <w:proofErr w:type="gramEnd"/>
      <w:r w:rsidRPr="00C32E1C">
        <w:rPr>
          <w:lang w:val="en-GB"/>
        </w:rPr>
        <w:t xml:space="preserve"> AMR surveillance, and linkage of laboratory findings with clinical outcomes, to better understand the epidemiology and impact of AMR across the country. These actions are needed to support local antimicrobial stewardship efforts to reduce the high burden of AMR in Timor-Leste.</w:t>
      </w:r>
    </w:p>
    <w:p w14:paraId="7B868F1D" w14:textId="77777777" w:rsidR="00C32E1C" w:rsidRPr="00C32E1C" w:rsidRDefault="00C32E1C" w:rsidP="00C32E1C">
      <w:pPr>
        <w:pStyle w:val="Heading2"/>
        <w:rPr>
          <w:lang w:val="en-GB"/>
        </w:rPr>
      </w:pPr>
      <w:bookmarkStart w:id="25" w:name="_Toc227567847"/>
      <w:r w:rsidRPr="00C32E1C">
        <w:rPr>
          <w:lang w:val="en-GB"/>
        </w:rPr>
        <w:t>Funding statement</w:t>
      </w:r>
      <w:bookmarkEnd w:id="25"/>
    </w:p>
    <w:p w14:paraId="742D44FE" w14:textId="77777777" w:rsidR="00C32E1C" w:rsidRPr="00C32E1C" w:rsidRDefault="00C32E1C" w:rsidP="00C32E1C">
      <w:pPr>
        <w:rPr>
          <w:lang w:val="en-GB"/>
        </w:rPr>
      </w:pPr>
      <w:r w:rsidRPr="00C32E1C">
        <w:rPr>
          <w:lang w:val="en-GB"/>
        </w:rPr>
        <w:t>No funding was provided for this study.</w:t>
      </w:r>
    </w:p>
    <w:p w14:paraId="07BCAF0D" w14:textId="77777777" w:rsidR="00C32E1C" w:rsidRPr="00C32E1C" w:rsidRDefault="00C32E1C" w:rsidP="00C32E1C">
      <w:pPr>
        <w:pStyle w:val="Heading2"/>
        <w:rPr>
          <w:lang w:val="en-GB"/>
        </w:rPr>
      </w:pPr>
      <w:bookmarkStart w:id="26" w:name="_Toc227567848"/>
      <w:r w:rsidRPr="00C32E1C">
        <w:rPr>
          <w:lang w:val="en-GB"/>
        </w:rPr>
        <w:t>Conflict of interest</w:t>
      </w:r>
      <w:bookmarkEnd w:id="26"/>
    </w:p>
    <w:p w14:paraId="6C94330D" w14:textId="77777777" w:rsidR="00C32E1C" w:rsidRPr="00C32E1C" w:rsidRDefault="00C32E1C" w:rsidP="00C32E1C">
      <w:pPr>
        <w:rPr>
          <w:lang w:val="en-GB"/>
        </w:rPr>
      </w:pPr>
      <w:r w:rsidRPr="00C32E1C">
        <w:rPr>
          <w:lang w:val="en-GB"/>
        </w:rPr>
        <w:t>The authors declare no conflict of interest regarding the publication of this article.</w:t>
      </w:r>
    </w:p>
    <w:p w14:paraId="0C7775CF" w14:textId="77777777" w:rsidR="00C32E1C" w:rsidRPr="00C32E1C" w:rsidRDefault="00C32E1C" w:rsidP="00C32E1C">
      <w:pPr>
        <w:pStyle w:val="Heading2"/>
        <w:rPr>
          <w:lang w:val="en-GB"/>
        </w:rPr>
      </w:pPr>
      <w:bookmarkStart w:id="27" w:name="_Toc227567849"/>
      <w:r w:rsidRPr="00C32E1C">
        <w:rPr>
          <w:lang w:val="en-GB"/>
        </w:rPr>
        <w:t>Ethics approval</w:t>
      </w:r>
      <w:bookmarkEnd w:id="27"/>
    </w:p>
    <w:p w14:paraId="5DEF31E2" w14:textId="77777777" w:rsidR="00C32E1C" w:rsidRPr="00C32E1C" w:rsidRDefault="00C32E1C" w:rsidP="00C32E1C">
      <w:pPr>
        <w:rPr>
          <w:lang w:val="en-GB"/>
        </w:rPr>
      </w:pPr>
      <w:r w:rsidRPr="00C32E1C">
        <w:rPr>
          <w:lang w:val="en-GB"/>
        </w:rPr>
        <w:t xml:space="preserve">Ethical approval was obtained from Instituto Nacional de </w:t>
      </w:r>
      <w:proofErr w:type="spellStart"/>
      <w:r w:rsidRPr="00C32E1C">
        <w:rPr>
          <w:lang w:val="en-GB"/>
        </w:rPr>
        <w:t>Saúde</w:t>
      </w:r>
      <w:proofErr w:type="spellEnd"/>
      <w:r w:rsidRPr="00C32E1C">
        <w:rPr>
          <w:lang w:val="en-GB"/>
        </w:rPr>
        <w:t xml:space="preserve"> (INS) Timor-Leste (Reference number: 70 MS-INS/DE/I/2020).</w:t>
      </w:r>
    </w:p>
    <w:p w14:paraId="3C5980F8" w14:textId="77777777" w:rsidR="00C32E1C" w:rsidRPr="00C32E1C" w:rsidRDefault="00C32E1C" w:rsidP="00C32E1C">
      <w:pPr>
        <w:pStyle w:val="Heading1"/>
        <w:pageBreakBefore w:val="0"/>
        <w:spacing w:before="720"/>
        <w:rPr>
          <w:lang w:val="en-GB"/>
        </w:rPr>
      </w:pPr>
      <w:bookmarkStart w:id="28" w:name="_Toc227567850"/>
      <w:r w:rsidRPr="00C32E1C">
        <w:rPr>
          <w:lang w:val="en-GB"/>
        </w:rPr>
        <w:t>Acknowledgments</w:t>
      </w:r>
      <w:bookmarkEnd w:id="28"/>
    </w:p>
    <w:p w14:paraId="50B58A14" w14:textId="1C6C8FF6" w:rsidR="00C32E1C" w:rsidRPr="00C32E1C" w:rsidRDefault="00C32E1C" w:rsidP="00443E44">
      <w:pPr>
        <w:pStyle w:val="Normal-morespacebefore"/>
        <w:rPr>
          <w:lang w:val="en-GB"/>
        </w:rPr>
      </w:pPr>
      <w:r w:rsidRPr="00C32E1C">
        <w:rPr>
          <w:lang w:val="en-GB"/>
        </w:rPr>
        <w:t xml:space="preserve">The authors wish to acknowledge the support provided by the Microbiology Team at </w:t>
      </w:r>
      <w:proofErr w:type="spellStart"/>
      <w:r w:rsidRPr="00C32E1C">
        <w:rPr>
          <w:lang w:val="en-GB"/>
        </w:rPr>
        <w:t>Laboratório</w:t>
      </w:r>
      <w:proofErr w:type="spellEnd"/>
      <w:r w:rsidRPr="00C32E1C">
        <w:rPr>
          <w:lang w:val="en-GB"/>
        </w:rPr>
        <w:t xml:space="preserve"> Nacional da </w:t>
      </w:r>
      <w:proofErr w:type="spellStart"/>
      <w:r w:rsidRPr="00C32E1C">
        <w:rPr>
          <w:lang w:val="en-GB"/>
        </w:rPr>
        <w:t>Saúde</w:t>
      </w:r>
      <w:proofErr w:type="spellEnd"/>
      <w:r w:rsidRPr="00C32E1C">
        <w:rPr>
          <w:lang w:val="en-GB"/>
        </w:rPr>
        <w:t xml:space="preserve"> (now known as </w:t>
      </w:r>
      <w:proofErr w:type="spellStart"/>
      <w:r w:rsidRPr="00C32E1C">
        <w:rPr>
          <w:lang w:val="en-GB"/>
        </w:rPr>
        <w:t>Laboratório</w:t>
      </w:r>
      <w:proofErr w:type="spellEnd"/>
      <w:r w:rsidRPr="00C32E1C">
        <w:rPr>
          <w:lang w:val="en-GB"/>
        </w:rPr>
        <w:t xml:space="preserve"> da </w:t>
      </w:r>
      <w:proofErr w:type="spellStart"/>
      <w:r w:rsidRPr="00C32E1C">
        <w:rPr>
          <w:lang w:val="en-GB"/>
        </w:rPr>
        <w:t>Saúde</w:t>
      </w:r>
      <w:proofErr w:type="spellEnd"/>
      <w:r w:rsidRPr="00C32E1C">
        <w:rPr>
          <w:lang w:val="en-GB"/>
        </w:rPr>
        <w:t xml:space="preserve"> Pública de Instituto Nacional da </w:t>
      </w:r>
      <w:proofErr w:type="spellStart"/>
      <w:r w:rsidRPr="00C32E1C">
        <w:rPr>
          <w:lang w:val="en-GB"/>
        </w:rPr>
        <w:t>Saúde</w:t>
      </w:r>
      <w:proofErr w:type="spellEnd"/>
      <w:r w:rsidRPr="00C32E1C">
        <w:rPr>
          <w:lang w:val="en-GB"/>
        </w:rPr>
        <w:t xml:space="preserve"> Pública); Hospital Nacional Guido Valadares; and Instituto Nacional da </w:t>
      </w:r>
      <w:proofErr w:type="spellStart"/>
      <w:r w:rsidRPr="00C32E1C">
        <w:rPr>
          <w:lang w:val="en-GB"/>
        </w:rPr>
        <w:t>Saúde</w:t>
      </w:r>
      <w:proofErr w:type="spellEnd"/>
      <w:r w:rsidRPr="00C32E1C">
        <w:rPr>
          <w:lang w:val="en-GB"/>
        </w:rPr>
        <w:t xml:space="preserve"> (now known as Instituto Nacional da </w:t>
      </w:r>
      <w:proofErr w:type="spellStart"/>
      <w:r w:rsidRPr="00C32E1C">
        <w:rPr>
          <w:lang w:val="en-GB"/>
        </w:rPr>
        <w:t>Saúde</w:t>
      </w:r>
      <w:proofErr w:type="spellEnd"/>
      <w:r w:rsidRPr="00C32E1C">
        <w:rPr>
          <w:lang w:val="en-GB"/>
        </w:rPr>
        <w:t xml:space="preserve"> Pública Timor-Leste).</w:t>
      </w:r>
    </w:p>
    <w:p w14:paraId="23B9516B" w14:textId="3CE0FA59" w:rsidR="008017B6" w:rsidRPr="008017B6" w:rsidRDefault="00C32E1C" w:rsidP="008017B6">
      <w:r w:rsidRPr="00C32E1C">
        <w:rPr>
          <w:lang w:val="en-GB"/>
        </w:rPr>
        <w:t>This study has been previously presented at the Australian Society for Microbiology Annual Meeting (Perth, 2024).</w:t>
      </w:r>
    </w:p>
    <w:p w14:paraId="6C27F9E1" w14:textId="77777777" w:rsidR="008A0736" w:rsidRDefault="008A0736" w:rsidP="008A0736">
      <w:pPr>
        <w:pStyle w:val="Heading1"/>
      </w:pPr>
      <w:bookmarkStart w:id="29" w:name="_Toc195530508"/>
      <w:bookmarkStart w:id="30" w:name="_Toc227567851"/>
      <w:r>
        <w:lastRenderedPageBreak/>
        <w:t>Author details</w:t>
      </w:r>
      <w:bookmarkEnd w:id="29"/>
      <w:bookmarkEnd w:id="30"/>
    </w:p>
    <w:p w14:paraId="7302A1BF" w14:textId="55080B43" w:rsidR="00442142" w:rsidRPr="00442142" w:rsidRDefault="00442142" w:rsidP="00443E44">
      <w:pPr>
        <w:spacing w:before="360"/>
        <w:rPr>
          <w:lang w:val="en-GB"/>
        </w:rPr>
      </w:pPr>
      <w:r w:rsidRPr="00442142">
        <w:rPr>
          <w:lang w:val="en-GB"/>
        </w:rPr>
        <w:t>Virginia de L da Conceição,</w:t>
      </w:r>
      <w:r w:rsidRPr="00442142">
        <w:rPr>
          <w:vertAlign w:val="superscript"/>
          <w:lang w:val="en-GB"/>
        </w:rPr>
        <w:t>1,2</w:t>
      </w:r>
    </w:p>
    <w:p w14:paraId="4704158C" w14:textId="30A4FD41" w:rsidR="00442142" w:rsidRPr="00442142" w:rsidRDefault="00442142" w:rsidP="00442142">
      <w:pPr>
        <w:spacing w:before="120"/>
        <w:rPr>
          <w:lang w:val="en-GB"/>
        </w:rPr>
      </w:pPr>
      <w:r w:rsidRPr="00442142">
        <w:rPr>
          <w:lang w:val="en-GB"/>
        </w:rPr>
        <w:t>Nevio da C Sarmento,</w:t>
      </w:r>
      <w:r w:rsidRPr="00442142">
        <w:rPr>
          <w:vertAlign w:val="superscript"/>
          <w:lang w:val="en-GB"/>
        </w:rPr>
        <w:t>1,2</w:t>
      </w:r>
    </w:p>
    <w:p w14:paraId="02BB6AC3" w14:textId="44948061" w:rsidR="00442142" w:rsidRPr="00442142" w:rsidRDefault="00442142" w:rsidP="00442142">
      <w:pPr>
        <w:spacing w:before="120"/>
        <w:rPr>
          <w:lang w:val="en-GB"/>
        </w:rPr>
      </w:pPr>
      <w:r w:rsidRPr="00442142">
        <w:rPr>
          <w:lang w:val="en-GB"/>
        </w:rPr>
        <w:t>Edson B Matoso,</w:t>
      </w:r>
      <w:r w:rsidRPr="00442142">
        <w:rPr>
          <w:vertAlign w:val="superscript"/>
          <w:lang w:val="en-GB"/>
        </w:rPr>
        <w:t>3</w:t>
      </w:r>
    </w:p>
    <w:p w14:paraId="6AFB7894" w14:textId="77777777" w:rsidR="00442142" w:rsidRPr="00442142" w:rsidRDefault="00442142" w:rsidP="00442142">
      <w:pPr>
        <w:spacing w:before="120"/>
        <w:rPr>
          <w:lang w:val="en-GB"/>
        </w:rPr>
      </w:pPr>
      <w:proofErr w:type="spellStart"/>
      <w:r w:rsidRPr="00442142">
        <w:rPr>
          <w:lang w:val="en-GB"/>
        </w:rPr>
        <w:t>Narcisio</w:t>
      </w:r>
      <w:proofErr w:type="spellEnd"/>
      <w:r w:rsidRPr="00442142">
        <w:rPr>
          <w:lang w:val="en-GB"/>
        </w:rPr>
        <w:t xml:space="preserve"> Soares,</w:t>
      </w:r>
      <w:r w:rsidRPr="00442142">
        <w:rPr>
          <w:vertAlign w:val="superscript"/>
          <w:lang w:val="en-GB"/>
        </w:rPr>
        <w:t>3</w:t>
      </w:r>
    </w:p>
    <w:p w14:paraId="4C4DB962" w14:textId="77777777" w:rsidR="00442142" w:rsidRPr="00442142" w:rsidRDefault="00442142" w:rsidP="00442142">
      <w:pPr>
        <w:spacing w:before="120"/>
        <w:rPr>
          <w:lang w:val="en-GB"/>
        </w:rPr>
      </w:pPr>
      <w:r w:rsidRPr="00442142">
        <w:rPr>
          <w:lang w:val="en-GB"/>
        </w:rPr>
        <w:t>Tessa M Oakley,</w:t>
      </w:r>
      <w:r w:rsidRPr="00442142">
        <w:rPr>
          <w:vertAlign w:val="superscript"/>
          <w:lang w:val="en-GB"/>
        </w:rPr>
        <w:t>1</w:t>
      </w:r>
    </w:p>
    <w:p w14:paraId="5CCDB97E" w14:textId="100DD3F2" w:rsidR="00442142" w:rsidRPr="00442142" w:rsidRDefault="00442142" w:rsidP="00442142">
      <w:pPr>
        <w:spacing w:before="120"/>
        <w:rPr>
          <w:lang w:val="en-GB"/>
        </w:rPr>
      </w:pPr>
      <w:r w:rsidRPr="00442142">
        <w:rPr>
          <w:lang w:val="en-GB"/>
        </w:rPr>
        <w:t>Ian M Marr,</w:t>
      </w:r>
      <w:r w:rsidRPr="00442142">
        <w:rPr>
          <w:vertAlign w:val="superscript"/>
          <w:lang w:val="en-GB"/>
        </w:rPr>
        <w:t>1,4</w:t>
      </w:r>
    </w:p>
    <w:p w14:paraId="5B520F42" w14:textId="7D88A20F" w:rsidR="00442142" w:rsidRPr="00442142" w:rsidRDefault="00442142" w:rsidP="00442142">
      <w:pPr>
        <w:spacing w:before="120"/>
        <w:rPr>
          <w:lang w:val="en-GB"/>
        </w:rPr>
      </w:pPr>
      <w:proofErr w:type="spellStart"/>
      <w:r w:rsidRPr="00442142">
        <w:rPr>
          <w:lang w:val="en-GB"/>
        </w:rPr>
        <w:t>Lucsendar</w:t>
      </w:r>
      <w:proofErr w:type="spellEnd"/>
      <w:r w:rsidRPr="00442142">
        <w:rPr>
          <w:lang w:val="en-GB"/>
        </w:rPr>
        <w:t xml:space="preserve"> Alves,</w:t>
      </w:r>
      <w:r w:rsidRPr="00442142">
        <w:rPr>
          <w:vertAlign w:val="superscript"/>
          <w:lang w:val="en-GB"/>
        </w:rPr>
        <w:t>1</w:t>
      </w:r>
    </w:p>
    <w:p w14:paraId="762033CF" w14:textId="7DBE0DA9" w:rsidR="00442142" w:rsidRPr="00442142" w:rsidRDefault="00442142" w:rsidP="00442142">
      <w:pPr>
        <w:spacing w:before="120"/>
        <w:rPr>
          <w:lang w:val="en-GB"/>
        </w:rPr>
      </w:pPr>
      <w:r w:rsidRPr="00442142">
        <w:rPr>
          <w:lang w:val="en-GB"/>
        </w:rPr>
        <w:t>Jennifer Yan,</w:t>
      </w:r>
      <w:r w:rsidRPr="00442142">
        <w:rPr>
          <w:vertAlign w:val="superscript"/>
          <w:lang w:val="en-GB"/>
        </w:rPr>
        <w:t>1</w:t>
      </w:r>
    </w:p>
    <w:p w14:paraId="4C708E6D" w14:textId="7F1F021A" w:rsidR="00442142" w:rsidRPr="00442142" w:rsidRDefault="00442142" w:rsidP="00442142">
      <w:pPr>
        <w:spacing w:before="120"/>
        <w:rPr>
          <w:lang w:val="en-GB"/>
        </w:rPr>
      </w:pPr>
      <w:r w:rsidRPr="00442142">
        <w:rPr>
          <w:lang w:val="en-GB"/>
        </w:rPr>
        <w:t>Joshua R Francis,</w:t>
      </w:r>
      <w:r w:rsidRPr="00442142">
        <w:rPr>
          <w:vertAlign w:val="superscript"/>
          <w:lang w:val="en-GB"/>
        </w:rPr>
        <w:t>1</w:t>
      </w:r>
    </w:p>
    <w:p w14:paraId="1514B9C0" w14:textId="77777777" w:rsidR="00442142" w:rsidRPr="00442142" w:rsidRDefault="00442142" w:rsidP="00442142">
      <w:pPr>
        <w:spacing w:before="120"/>
        <w:rPr>
          <w:lang w:val="en-GB"/>
        </w:rPr>
      </w:pPr>
      <w:r w:rsidRPr="00442142">
        <w:rPr>
          <w:lang w:val="en-GB"/>
        </w:rPr>
        <w:t>Teresa M Wozniak</w:t>
      </w:r>
      <w:r w:rsidRPr="00442142">
        <w:rPr>
          <w:vertAlign w:val="superscript"/>
          <w:lang w:val="en-GB"/>
        </w:rPr>
        <w:t>5</w:t>
      </w:r>
    </w:p>
    <w:p w14:paraId="5726BF88" w14:textId="77777777" w:rsidR="00442142" w:rsidRPr="00442142" w:rsidRDefault="00442142" w:rsidP="00442142">
      <w:pPr>
        <w:pStyle w:val="CDINumberedList1L1"/>
        <w:rPr>
          <w:lang w:val="en-GB"/>
        </w:rPr>
      </w:pPr>
      <w:r w:rsidRPr="00442142">
        <w:rPr>
          <w:lang w:val="en-GB"/>
        </w:rPr>
        <w:t>Menzies School of Health Research, Charles Darwin University, Dili, Timor-Leste</w:t>
      </w:r>
    </w:p>
    <w:p w14:paraId="048EBADF" w14:textId="77777777" w:rsidR="00442142" w:rsidRPr="00442142" w:rsidRDefault="00442142" w:rsidP="00442142">
      <w:pPr>
        <w:pStyle w:val="CDINumberedList1L1"/>
        <w:rPr>
          <w:lang w:val="en-GB"/>
        </w:rPr>
      </w:pPr>
      <w:proofErr w:type="spellStart"/>
      <w:r w:rsidRPr="00442142">
        <w:rPr>
          <w:lang w:val="en-GB"/>
        </w:rPr>
        <w:t>Laboratório</w:t>
      </w:r>
      <w:proofErr w:type="spellEnd"/>
      <w:r w:rsidRPr="00442142">
        <w:rPr>
          <w:lang w:val="en-GB"/>
        </w:rPr>
        <w:t xml:space="preserve"> da </w:t>
      </w:r>
      <w:proofErr w:type="spellStart"/>
      <w:r w:rsidRPr="00442142">
        <w:rPr>
          <w:lang w:val="en-GB"/>
        </w:rPr>
        <w:t>Saúde</w:t>
      </w:r>
      <w:proofErr w:type="spellEnd"/>
      <w:r w:rsidRPr="00442142">
        <w:rPr>
          <w:lang w:val="en-GB"/>
        </w:rPr>
        <w:t xml:space="preserve"> - Instituto Nacional da </w:t>
      </w:r>
      <w:proofErr w:type="spellStart"/>
      <w:r w:rsidRPr="00442142">
        <w:rPr>
          <w:lang w:val="en-GB"/>
        </w:rPr>
        <w:t>Saúde</w:t>
      </w:r>
      <w:proofErr w:type="spellEnd"/>
      <w:r w:rsidRPr="00442142">
        <w:rPr>
          <w:lang w:val="en-GB"/>
        </w:rPr>
        <w:t xml:space="preserve"> Pública de Timor-Leste, Dili, Timor-Leste</w:t>
      </w:r>
    </w:p>
    <w:p w14:paraId="72A3B727" w14:textId="77777777" w:rsidR="00442142" w:rsidRPr="00442142" w:rsidRDefault="00442142" w:rsidP="00442142">
      <w:pPr>
        <w:pStyle w:val="CDINumberedList1L1"/>
        <w:rPr>
          <w:lang w:val="en-GB"/>
        </w:rPr>
      </w:pPr>
      <w:r w:rsidRPr="00442142">
        <w:rPr>
          <w:lang w:val="en-GB"/>
        </w:rPr>
        <w:t>Hospital Nacional Guido Valadares (HNGV), Dili, Timor-Leste</w:t>
      </w:r>
    </w:p>
    <w:p w14:paraId="0DB65193" w14:textId="77777777" w:rsidR="00442142" w:rsidRPr="00442142" w:rsidRDefault="00442142" w:rsidP="00442142">
      <w:pPr>
        <w:pStyle w:val="CDINumberedList1L1"/>
        <w:rPr>
          <w:lang w:val="en-GB"/>
        </w:rPr>
      </w:pPr>
      <w:r w:rsidRPr="00442142">
        <w:rPr>
          <w:lang w:val="en-GB"/>
        </w:rPr>
        <w:t>Infectious Diseases Specialist, The Canberra Hospital, Canberra, Australia</w:t>
      </w:r>
    </w:p>
    <w:p w14:paraId="2664385D" w14:textId="77777777" w:rsidR="00442142" w:rsidRPr="00442142" w:rsidRDefault="00442142" w:rsidP="00442142">
      <w:pPr>
        <w:pStyle w:val="CDINumberedList1L1"/>
        <w:rPr>
          <w:lang w:val="en-GB"/>
        </w:rPr>
      </w:pPr>
      <w:r w:rsidRPr="00442142">
        <w:rPr>
          <w:lang w:val="en-GB"/>
        </w:rPr>
        <w:t>Australian e-Health Research Centre CSIRO, Brisbane, Queensland, Australia</w:t>
      </w:r>
    </w:p>
    <w:p w14:paraId="1FB0498B" w14:textId="77777777" w:rsidR="00423436" w:rsidRDefault="00423436" w:rsidP="00423436">
      <w:pPr>
        <w:pStyle w:val="CDICorrespondingauthor"/>
      </w:pPr>
      <w:r>
        <w:t>Corresponding author</w:t>
      </w:r>
    </w:p>
    <w:p w14:paraId="0A9FA564" w14:textId="77777777" w:rsidR="00442142" w:rsidRPr="00442142" w:rsidRDefault="00442142" w:rsidP="00442142">
      <w:pPr>
        <w:rPr>
          <w:lang w:val="en-GB"/>
        </w:rPr>
      </w:pPr>
      <w:r w:rsidRPr="00442142">
        <w:rPr>
          <w:lang w:val="en-GB"/>
        </w:rPr>
        <w:t>Ms Virginia de L da Conceição</w:t>
      </w:r>
    </w:p>
    <w:p w14:paraId="29989A23" w14:textId="77777777" w:rsidR="00442142" w:rsidRPr="00442142" w:rsidRDefault="00442142" w:rsidP="00442142">
      <w:pPr>
        <w:rPr>
          <w:lang w:val="en-GB"/>
        </w:rPr>
      </w:pPr>
      <w:r w:rsidRPr="00442142">
        <w:rPr>
          <w:lang w:val="en-GB"/>
        </w:rPr>
        <w:t>Address: Ailok-Laran, Dili, Timor-Leste</w:t>
      </w:r>
    </w:p>
    <w:p w14:paraId="5E5DFC04" w14:textId="77777777" w:rsidR="00442142" w:rsidRPr="00442142" w:rsidRDefault="00442142" w:rsidP="00442142">
      <w:pPr>
        <w:rPr>
          <w:lang w:val="en-GB"/>
        </w:rPr>
      </w:pPr>
      <w:r w:rsidRPr="00442142">
        <w:rPr>
          <w:lang w:val="en-GB"/>
        </w:rPr>
        <w:t>Phone: +670 7727 7408</w:t>
      </w:r>
    </w:p>
    <w:p w14:paraId="569A1459" w14:textId="77777777" w:rsidR="00442142" w:rsidRPr="00442142" w:rsidRDefault="00442142" w:rsidP="00442142">
      <w:pPr>
        <w:rPr>
          <w:lang w:val="en-GB"/>
        </w:rPr>
      </w:pPr>
      <w:r w:rsidRPr="00442142">
        <w:rPr>
          <w:lang w:val="en-GB"/>
        </w:rPr>
        <w:t xml:space="preserve">Email: </w:t>
      </w:r>
      <w:hyperlink r:id="rId18" w:history="1">
        <w:r w:rsidRPr="00442142">
          <w:rPr>
            <w:rStyle w:val="Hyperlink"/>
            <w:lang w:val="en-GB"/>
          </w:rPr>
          <w:t>virginia.conceicao2@menzies.edu.au</w:t>
        </w:r>
      </w:hyperlink>
      <w:r w:rsidRPr="00442142">
        <w:rPr>
          <w:lang w:val="en-GB"/>
        </w:rPr>
        <w:t xml:space="preserve"> or </w:t>
      </w:r>
      <w:hyperlink r:id="rId19" w:history="1">
        <w:r w:rsidRPr="00442142">
          <w:rPr>
            <w:rStyle w:val="Hyperlink"/>
            <w:lang w:val="en-GB"/>
          </w:rPr>
          <w:t>lulu.laluna@outlook.com</w:t>
        </w:r>
      </w:hyperlink>
    </w:p>
    <w:p w14:paraId="700B6D93" w14:textId="77777777" w:rsidR="00442142" w:rsidRPr="00442142" w:rsidRDefault="00442142" w:rsidP="00442142">
      <w:pPr>
        <w:pStyle w:val="Normal-morespacebefore"/>
        <w:rPr>
          <w:lang w:val="en-GB"/>
        </w:rPr>
      </w:pPr>
      <w:r w:rsidRPr="00442142">
        <w:rPr>
          <w:lang w:val="en-GB"/>
        </w:rPr>
        <w:t xml:space="preserve">Alternate </w:t>
      </w:r>
      <w:r w:rsidRPr="00442142">
        <w:t>contact</w:t>
      </w:r>
      <w:r w:rsidRPr="00442142">
        <w:rPr>
          <w:lang w:val="en-GB"/>
        </w:rPr>
        <w:t>:</w:t>
      </w:r>
    </w:p>
    <w:p w14:paraId="0177990B" w14:textId="77777777" w:rsidR="00442142" w:rsidRPr="00442142" w:rsidRDefault="00442142" w:rsidP="00442142">
      <w:pPr>
        <w:rPr>
          <w:lang w:val="en-GB"/>
        </w:rPr>
      </w:pPr>
      <w:r w:rsidRPr="00442142">
        <w:rPr>
          <w:lang w:val="en-GB"/>
        </w:rPr>
        <w:t>Teresa M Wozniak</w:t>
      </w:r>
    </w:p>
    <w:p w14:paraId="6436D931" w14:textId="77777777" w:rsidR="00442142" w:rsidRPr="00442142" w:rsidRDefault="00442142" w:rsidP="00442142">
      <w:pPr>
        <w:rPr>
          <w:lang w:val="en-GB"/>
        </w:rPr>
      </w:pPr>
      <w:r w:rsidRPr="00442142">
        <w:rPr>
          <w:lang w:val="en-GB"/>
        </w:rPr>
        <w:t>Phone: +61 412 151 438</w:t>
      </w:r>
    </w:p>
    <w:p w14:paraId="490223AD" w14:textId="42795485" w:rsidR="008A0736" w:rsidRDefault="00442142" w:rsidP="00423436">
      <w:r w:rsidRPr="00442142">
        <w:rPr>
          <w:lang w:val="en-GB"/>
        </w:rPr>
        <w:t xml:space="preserve">Email: </w:t>
      </w:r>
      <w:hyperlink r:id="rId20" w:history="1">
        <w:r w:rsidRPr="00442142">
          <w:rPr>
            <w:rStyle w:val="Hyperlink"/>
            <w:lang w:val="en-GB"/>
          </w:rPr>
          <w:t>teresa.wozniak@csiro.au</w:t>
        </w:r>
      </w:hyperlink>
      <w:r w:rsidRPr="00442142">
        <w:rPr>
          <w:lang w:val="en-GB"/>
        </w:rPr>
        <w:t xml:space="preserve"> </w:t>
      </w:r>
    </w:p>
    <w:p w14:paraId="721F76F1" w14:textId="77777777" w:rsidR="008A0736" w:rsidRDefault="008A0736" w:rsidP="00122ADA">
      <w:pPr>
        <w:pStyle w:val="Heading1"/>
      </w:pPr>
      <w:bookmarkStart w:id="31" w:name="_Toc195530511"/>
      <w:bookmarkStart w:id="32" w:name="_Toc227567852"/>
      <w:r>
        <w:lastRenderedPageBreak/>
        <w:t>References</w:t>
      </w:r>
      <w:bookmarkEnd w:id="31"/>
      <w:bookmarkEnd w:id="32"/>
    </w:p>
    <w:p w14:paraId="48C12440" w14:textId="77777777" w:rsidR="00442142" w:rsidRDefault="00442142" w:rsidP="00443E44">
      <w:pPr>
        <w:pStyle w:val="CDINumberedList1L1"/>
        <w:numPr>
          <w:ilvl w:val="0"/>
          <w:numId w:val="10"/>
        </w:numPr>
        <w:spacing w:before="360"/>
        <w:ind w:left="397" w:hanging="397"/>
      </w:pPr>
      <w:r>
        <w:t xml:space="preserve">Murray CJ, Ikuta KS, Sharara F, </w:t>
      </w:r>
      <w:proofErr w:type="spellStart"/>
      <w:r>
        <w:t>Swetschinski</w:t>
      </w:r>
      <w:proofErr w:type="spellEnd"/>
      <w:r>
        <w:t xml:space="preserve"> L, Robles Aguilar G, Gray A et al. Global burden of bacterial antimicrobial resistance in 2019: a systematic analysis. </w:t>
      </w:r>
      <w:r w:rsidRPr="00442142">
        <w:rPr>
          <w:i/>
          <w:iCs/>
        </w:rPr>
        <w:t>Lancet</w:t>
      </w:r>
      <w:r>
        <w:t xml:space="preserve">. 2022;399(10325):629–55. doi: </w:t>
      </w:r>
      <w:hyperlink r:id="rId21" w:history="1">
        <w:r>
          <w:rPr>
            <w:rStyle w:val="Hyperlink"/>
          </w:rPr>
          <w:t>https://doi.org/10.1016/S0140-6736(21)02724-0</w:t>
        </w:r>
      </w:hyperlink>
      <w:r>
        <w:t>.</w:t>
      </w:r>
    </w:p>
    <w:p w14:paraId="34988A56" w14:textId="77777777" w:rsidR="00442142" w:rsidRDefault="00442142" w:rsidP="00442142">
      <w:pPr>
        <w:pStyle w:val="CDINumberedList1L1"/>
      </w:pPr>
      <w:r>
        <w:t xml:space="preserve">Gandra S, Alvarez-Uria G, Turner P, Joshi J, </w:t>
      </w:r>
      <w:proofErr w:type="spellStart"/>
      <w:r>
        <w:t>Limmathurotsakul</w:t>
      </w:r>
      <w:proofErr w:type="spellEnd"/>
      <w:r>
        <w:t xml:space="preserve"> D, van Doorn HR et al. </w:t>
      </w:r>
      <w:proofErr w:type="gramStart"/>
      <w:r>
        <w:t>Antimicrobial</w:t>
      </w:r>
      <w:proofErr w:type="gramEnd"/>
      <w:r>
        <w:t xml:space="preserve"> resistance surveillance in low- and middle- income countries: progress and challenges in eight South Asian and Southeast Asian countries. </w:t>
      </w:r>
      <w:r w:rsidRPr="00442142">
        <w:rPr>
          <w:i/>
          <w:iCs/>
        </w:rPr>
        <w:t>Clin Microbiol Rev</w:t>
      </w:r>
      <w:r>
        <w:t>. 2020;33(3</w:t>
      </w:r>
      <w:proofErr w:type="gramStart"/>
      <w:r>
        <w:t>):e</w:t>
      </w:r>
      <w:proofErr w:type="gramEnd"/>
      <w:r>
        <w:t xml:space="preserve">00048-19. doi: </w:t>
      </w:r>
      <w:hyperlink r:id="rId22" w:history="1">
        <w:r>
          <w:rPr>
            <w:rStyle w:val="Hyperlink"/>
          </w:rPr>
          <w:t>https://doi.org/10.1128/CMR.00048-19</w:t>
        </w:r>
      </w:hyperlink>
      <w:r>
        <w:t>.</w:t>
      </w:r>
    </w:p>
    <w:p w14:paraId="5AFFCBF9" w14:textId="361676D6" w:rsidR="00442142" w:rsidRDefault="00442142" w:rsidP="00442142">
      <w:pPr>
        <w:pStyle w:val="CDINumberedList1L1"/>
      </w:pPr>
      <w:proofErr w:type="spellStart"/>
      <w:r>
        <w:t>Ayukekbong</w:t>
      </w:r>
      <w:proofErr w:type="spellEnd"/>
      <w:r>
        <w:t xml:space="preserve"> JA, </w:t>
      </w:r>
      <w:proofErr w:type="spellStart"/>
      <w:r>
        <w:t>Ntemgwa</w:t>
      </w:r>
      <w:proofErr w:type="spellEnd"/>
      <w:r>
        <w:t xml:space="preserve"> M, </w:t>
      </w:r>
      <w:proofErr w:type="spellStart"/>
      <w:r>
        <w:t>Atabe</w:t>
      </w:r>
      <w:proofErr w:type="spellEnd"/>
      <w:r>
        <w:t xml:space="preserve"> AN. The threat of antimicrobial resistance in developing countries: causes and control strategies. </w:t>
      </w:r>
      <w:r w:rsidRPr="00442142">
        <w:rPr>
          <w:i/>
          <w:iCs/>
        </w:rPr>
        <w:t>Antimicrob Resist Infect Control</w:t>
      </w:r>
      <w:r>
        <w:t>. 2017;6(1):47. doi: </w:t>
      </w:r>
      <w:hyperlink r:id="rId23" w:history="1">
        <w:r>
          <w:rPr>
            <w:rStyle w:val="Hyperlink"/>
          </w:rPr>
          <w:t>https://doi.org/10.1186/s13756-017-0208-x</w:t>
        </w:r>
      </w:hyperlink>
      <w:r>
        <w:t>.</w:t>
      </w:r>
    </w:p>
    <w:p w14:paraId="2240FB48" w14:textId="16D9CA8F" w:rsidR="00442142" w:rsidRDefault="00442142" w:rsidP="00442142">
      <w:pPr>
        <w:pStyle w:val="CDINumberedList1L1"/>
      </w:pPr>
      <w:r>
        <w:t xml:space="preserve">Pokharel S, Raut S, Adhikari B. Tackling antimicrobial resistance in low-income and middle-income countries. </w:t>
      </w:r>
      <w:r w:rsidRPr="00442142">
        <w:rPr>
          <w:i/>
          <w:iCs/>
        </w:rPr>
        <w:t>BMJ Glob Health</w:t>
      </w:r>
      <w:r>
        <w:t>. 2019;4(6</w:t>
      </w:r>
      <w:proofErr w:type="gramStart"/>
      <w:r>
        <w:t>):e</w:t>
      </w:r>
      <w:proofErr w:type="gramEnd"/>
      <w:r>
        <w:t xml:space="preserve">002104. </w:t>
      </w:r>
      <w:r>
        <w:br/>
        <w:t xml:space="preserve">doi: </w:t>
      </w:r>
      <w:hyperlink r:id="rId24" w:history="1">
        <w:r>
          <w:rPr>
            <w:rStyle w:val="Hyperlink"/>
          </w:rPr>
          <w:t>https://doi.org/10.1136/bmjgh-2019-002104</w:t>
        </w:r>
      </w:hyperlink>
      <w:r>
        <w:t>.</w:t>
      </w:r>
    </w:p>
    <w:p w14:paraId="31F4BB3F" w14:textId="79653470" w:rsidR="00442142" w:rsidRDefault="00442142" w:rsidP="00442142">
      <w:pPr>
        <w:pStyle w:val="CDINumberedList1L1"/>
      </w:pPr>
      <w:r>
        <w:t xml:space="preserve">Collignon P, Beggs JJ, Walsh TR, Gandra S, Laxminarayan R. Anthropological and socioeconomic factors contributing to global antimicrobial resistance: a univariate and multivariable analysis. </w:t>
      </w:r>
      <w:r w:rsidRPr="00442142">
        <w:rPr>
          <w:i/>
          <w:iCs/>
        </w:rPr>
        <w:t>Lancet Planet Health</w:t>
      </w:r>
      <w:r>
        <w:t>. 2018;2(9</w:t>
      </w:r>
      <w:proofErr w:type="gramStart"/>
      <w:r>
        <w:t>):e</w:t>
      </w:r>
      <w:proofErr w:type="gramEnd"/>
      <w:r>
        <w:t>398–405. doi: </w:t>
      </w:r>
      <w:hyperlink r:id="rId25" w:history="1">
        <w:r>
          <w:rPr>
            <w:rStyle w:val="Hyperlink"/>
          </w:rPr>
          <w:t>https://doi.org/10.1016/S2542-5196(18)30186-4</w:t>
        </w:r>
      </w:hyperlink>
      <w:r>
        <w:t>.</w:t>
      </w:r>
    </w:p>
    <w:p w14:paraId="14C01B4F" w14:textId="77777777" w:rsidR="00442142" w:rsidRDefault="00442142" w:rsidP="00442142">
      <w:pPr>
        <w:pStyle w:val="CDINumberedList1L1"/>
      </w:pPr>
      <w:r>
        <w:t xml:space="preserve">Francis JR, Sarmento N, Draper ADK, Marr I, Ting S, Fancourt N et al. </w:t>
      </w:r>
      <w:proofErr w:type="gramStart"/>
      <w:r>
        <w:t>Antimicrobial</w:t>
      </w:r>
      <w:proofErr w:type="gramEnd"/>
      <w:r>
        <w:t xml:space="preserve"> resistance and antibiotic use in Timor-Leste: building surveillance capacity with a One Health approach. </w:t>
      </w:r>
      <w:r w:rsidRPr="00442142">
        <w:rPr>
          <w:i/>
          <w:iCs/>
        </w:rPr>
        <w:t>Commun Dis Intell (2018)</w:t>
      </w:r>
      <w:r>
        <w:t xml:space="preserve">. 2020;44. doi: </w:t>
      </w:r>
      <w:hyperlink r:id="rId26" w:history="1">
        <w:r>
          <w:rPr>
            <w:rStyle w:val="Hyperlink"/>
          </w:rPr>
          <w:t>https://doi.org/10.33321/cdi.2020.44.1</w:t>
        </w:r>
      </w:hyperlink>
      <w:r>
        <w:t>.</w:t>
      </w:r>
    </w:p>
    <w:p w14:paraId="28E45AC0" w14:textId="77777777" w:rsidR="00442142" w:rsidRDefault="00442142" w:rsidP="00442142">
      <w:pPr>
        <w:pStyle w:val="CDINumberedList1L1"/>
      </w:pPr>
      <w:r>
        <w:t xml:space="preserve">Sarmento N, Oakley T, Soares da Silva E, Tilman A, Monteiro M, Alves L et al. Strong relationships between the Northern Territory of Australia and Timor-Leste. </w:t>
      </w:r>
      <w:r w:rsidRPr="00442142">
        <w:rPr>
          <w:i/>
          <w:iCs/>
        </w:rPr>
        <w:t>Microbiol Aust</w:t>
      </w:r>
      <w:r>
        <w:t xml:space="preserve">. 2022;43(3)125–9. doi: </w:t>
      </w:r>
      <w:hyperlink r:id="rId27" w:history="1">
        <w:r>
          <w:rPr>
            <w:rStyle w:val="Hyperlink"/>
          </w:rPr>
          <w:t>https://doi.org/10.1071/MA22039</w:t>
        </w:r>
      </w:hyperlink>
      <w:r>
        <w:t>.</w:t>
      </w:r>
    </w:p>
    <w:p w14:paraId="5B7A424D" w14:textId="3387C437" w:rsidR="00442142" w:rsidRDefault="00442142" w:rsidP="00442142">
      <w:pPr>
        <w:pStyle w:val="CDINumberedList1L1"/>
      </w:pPr>
      <w:r>
        <w:t xml:space="preserve">Marr I, Sarmento N, O’Brien M, Lee K, Gusmao C, de Castro G et al. </w:t>
      </w:r>
      <w:proofErr w:type="gramStart"/>
      <w:r>
        <w:t>Antimicrobial</w:t>
      </w:r>
      <w:proofErr w:type="gramEnd"/>
      <w:r>
        <w:t xml:space="preserve"> resistance in urine and skin isolates in Timor-Leste. </w:t>
      </w:r>
      <w:r w:rsidRPr="00442142">
        <w:rPr>
          <w:i/>
          <w:iCs/>
        </w:rPr>
        <w:t>J Glob Antimicrob Resist</w:t>
      </w:r>
      <w:r>
        <w:t xml:space="preserve">. </w:t>
      </w:r>
      <w:proofErr w:type="gramStart"/>
      <w:r>
        <w:t>2018;13:135</w:t>
      </w:r>
      <w:proofErr w:type="gramEnd"/>
      <w:r>
        <w:t>–8. doi: </w:t>
      </w:r>
      <w:hyperlink r:id="rId28" w:history="1">
        <w:r>
          <w:rPr>
            <w:rStyle w:val="Hyperlink"/>
          </w:rPr>
          <w:t>https://doi.org/10.1016/j.jgar.2017.12.010</w:t>
        </w:r>
      </w:hyperlink>
      <w:r>
        <w:t>.</w:t>
      </w:r>
    </w:p>
    <w:p w14:paraId="7C4E79E8" w14:textId="77777777" w:rsidR="00442142" w:rsidRDefault="00442142" w:rsidP="00442142">
      <w:pPr>
        <w:pStyle w:val="CDINumberedList1L1"/>
      </w:pPr>
      <w:r>
        <w:t xml:space="preserve">European Committee on Antimicrobial Susceptibility Testing (EUCAST). </w:t>
      </w:r>
      <w:r w:rsidRPr="00442142">
        <w:rPr>
          <w:i/>
          <w:iCs/>
        </w:rPr>
        <w:t>Breakpoint tables for interpretation of MICs and zone diameters: Version 10.0</w:t>
      </w:r>
      <w:r>
        <w:t xml:space="preserve">. Växjö: EUCAST; 1 January 2020. Available from: </w:t>
      </w:r>
      <w:hyperlink r:id="rId29" w:history="1">
        <w:r>
          <w:rPr>
            <w:rStyle w:val="Hyperlink"/>
          </w:rPr>
          <w:t>https://www.eucast.org/fileadmin/src/media/PDFs/EUCAST_files/Breakpoint_tables/v_10.0_Breakpoint_Tables.pdf</w:t>
        </w:r>
      </w:hyperlink>
      <w:r>
        <w:t>.</w:t>
      </w:r>
    </w:p>
    <w:p w14:paraId="69A7B5BC" w14:textId="7A7F4599" w:rsidR="00442142" w:rsidRDefault="00442142" w:rsidP="00442142">
      <w:pPr>
        <w:pStyle w:val="CDINumberedList1L1"/>
      </w:pPr>
      <w:r>
        <w:t xml:space="preserve">Wu Q, </w:t>
      </w:r>
      <w:proofErr w:type="spellStart"/>
      <w:r>
        <w:t>Sabokroo</w:t>
      </w:r>
      <w:proofErr w:type="spellEnd"/>
      <w:r>
        <w:t xml:space="preserve"> N, Wang Y, Hashemian M, </w:t>
      </w:r>
      <w:proofErr w:type="spellStart"/>
      <w:r>
        <w:t>Karamollahi</w:t>
      </w:r>
      <w:proofErr w:type="spellEnd"/>
      <w:r>
        <w:t xml:space="preserve"> S, </w:t>
      </w:r>
      <w:proofErr w:type="spellStart"/>
      <w:r>
        <w:t>Kouhsari</w:t>
      </w:r>
      <w:proofErr w:type="spellEnd"/>
      <w:r>
        <w:t xml:space="preserve"> E. Systematic review and meta-analysis of the epidemiology of vancomycin-resistance </w:t>
      </w:r>
      <w:r w:rsidRPr="00442142">
        <w:rPr>
          <w:i/>
          <w:iCs/>
        </w:rPr>
        <w:t>Staphylococcus aureus</w:t>
      </w:r>
      <w:r>
        <w:t xml:space="preserve"> isolates. </w:t>
      </w:r>
      <w:r w:rsidRPr="00442142">
        <w:rPr>
          <w:i/>
          <w:iCs/>
        </w:rPr>
        <w:t>Antimicrob Resist Infect Control</w:t>
      </w:r>
      <w:r>
        <w:t xml:space="preserve">. 2021;10(1):101. </w:t>
      </w:r>
      <w:r>
        <w:br/>
        <w:t xml:space="preserve">doi: </w:t>
      </w:r>
      <w:hyperlink r:id="rId30" w:history="1">
        <w:r>
          <w:rPr>
            <w:rStyle w:val="Hyperlink"/>
          </w:rPr>
          <w:t>https://doi.org/10.1186/s13756-021-00967-y</w:t>
        </w:r>
      </w:hyperlink>
      <w:r>
        <w:t>. [Retracted article.]</w:t>
      </w:r>
    </w:p>
    <w:p w14:paraId="3C22E640" w14:textId="61F3E242" w:rsidR="0058264F" w:rsidRPr="001E3ECB" w:rsidRDefault="00442142" w:rsidP="00442142">
      <w:pPr>
        <w:pStyle w:val="CDINumberedList1L1"/>
      </w:pPr>
      <w:r>
        <w:t xml:space="preserve">Oakley T, Marr I, </w:t>
      </w:r>
      <w:proofErr w:type="spellStart"/>
      <w:r>
        <w:t>Townell</w:t>
      </w:r>
      <w:proofErr w:type="spellEnd"/>
      <w:r>
        <w:t xml:space="preserve"> N, Heney C, Jackson W, Evans M et al. Pacific Regional Infectious Disease Association (PRIDA): capacity-building for microbiology and infectious disease across the Pacific. </w:t>
      </w:r>
      <w:r w:rsidRPr="00442142">
        <w:rPr>
          <w:i/>
          <w:iCs/>
        </w:rPr>
        <w:t>Microbiol Aust</w:t>
      </w:r>
      <w:r>
        <w:t xml:space="preserve">. 2021;42(4):182–6. doi: </w:t>
      </w:r>
      <w:hyperlink r:id="rId31" w:history="1">
        <w:r>
          <w:rPr>
            <w:rStyle w:val="Hyperlink"/>
          </w:rPr>
          <w:t>https://doi.org/10.1071/MA21051</w:t>
        </w:r>
      </w:hyperlink>
      <w:r>
        <w:t>.</w:t>
      </w:r>
    </w:p>
    <w:sectPr w:rsidR="0058264F" w:rsidRPr="001E3ECB" w:rsidSect="001E3ECB">
      <w:headerReference w:type="even" r:id="rId32"/>
      <w:headerReference w:type="default" r:id="rId33"/>
      <w:footerReference w:type="even" r:id="rId34"/>
      <w:footerReference w:type="default" r:id="rId35"/>
      <w:headerReference w:type="first" r:id="rId36"/>
      <w:footerReference w:type="first" r:id="rId37"/>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8F30" w14:textId="77777777" w:rsidR="003E5FB5" w:rsidRDefault="003E5FB5" w:rsidP="00E54DBA">
      <w:r>
        <w:separator/>
      </w:r>
    </w:p>
    <w:p w14:paraId="4DAA0ED6" w14:textId="77777777" w:rsidR="003E5FB5" w:rsidRDefault="003E5FB5"/>
    <w:p w14:paraId="1007FEE3" w14:textId="77777777" w:rsidR="003E5FB5" w:rsidRDefault="003E5FB5" w:rsidP="008714B0"/>
  </w:endnote>
  <w:endnote w:type="continuationSeparator" w:id="0">
    <w:p w14:paraId="6A8CE7CC" w14:textId="77777777" w:rsidR="003E5FB5" w:rsidRDefault="003E5FB5" w:rsidP="00E54DBA">
      <w:r>
        <w:continuationSeparator/>
      </w:r>
    </w:p>
    <w:p w14:paraId="3AA56436" w14:textId="77777777" w:rsidR="003E5FB5" w:rsidRDefault="003E5FB5"/>
    <w:p w14:paraId="7602430E" w14:textId="77777777" w:rsidR="003E5FB5" w:rsidRDefault="003E5FB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5E3F"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52C5953"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752C5953"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A086" w14:textId="4438B5BB"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3E5FB5">
        <w:t>2026</w:t>
      </w:r>
    </w:fldSimple>
    <w:r w:rsidR="009B78A9">
      <w:t>;</w:t>
    </w:r>
    <w:fldSimple w:instr=" DOCPROPERTY  Vol  \* MERGEFORMAT ">
      <w:r w:rsidR="003E5FB5">
        <w:t>50</w:t>
      </w:r>
    </w:fldSimple>
    <w:r w:rsidR="00385655" w:rsidRPr="001D0612">
      <w:t xml:space="preserve"> </w:t>
    </w:r>
    <w:r w:rsidR="00385655" w:rsidRPr="00B85B74">
      <w:t>•</w:t>
    </w:r>
    <w:r w:rsidR="00385655">
      <w:t xml:space="preserve"> </w:t>
    </w:r>
    <w:fldSimple w:instr=" DOCPROPERTY  DOI  \* MERGEFORMAT ">
      <w:r w:rsidR="00443E44">
        <w:t>doi.org/10.33321/cdi.2026.50.028</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443E44">
        <w:t>28.04.2026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E866"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A1A9E7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5A1A9E7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C089" w14:textId="77777777" w:rsidR="003E5FB5" w:rsidRPr="00B91FB5" w:rsidRDefault="003E5FB5" w:rsidP="00B91FB5">
      <w:pPr>
        <w:spacing w:line="240" w:lineRule="auto"/>
        <w:rPr>
          <w:sz w:val="18"/>
          <w:szCs w:val="18"/>
        </w:rPr>
      </w:pPr>
      <w:r w:rsidRPr="00B91FB5">
        <w:rPr>
          <w:sz w:val="18"/>
          <w:szCs w:val="18"/>
        </w:rPr>
        <w:separator/>
      </w:r>
    </w:p>
  </w:footnote>
  <w:footnote w:type="continuationSeparator" w:id="0">
    <w:p w14:paraId="376C864F" w14:textId="77777777" w:rsidR="003E5FB5" w:rsidRDefault="003E5FB5" w:rsidP="00E54DBA">
      <w:r>
        <w:continuationSeparator/>
      </w:r>
    </w:p>
  </w:footnote>
  <w:footnote w:type="continuationNotice" w:id="1">
    <w:p w14:paraId="384E9D79" w14:textId="77777777" w:rsidR="003E5FB5" w:rsidRPr="00224EFF" w:rsidRDefault="003E5FB5"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3A62"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7509F9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37509F9E"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FE57"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0289"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D68326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5D68326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40325851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B5"/>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230D"/>
    <w:rsid w:val="00084BAB"/>
    <w:rsid w:val="000864E0"/>
    <w:rsid w:val="00087301"/>
    <w:rsid w:val="000879D8"/>
    <w:rsid w:val="00087CC4"/>
    <w:rsid w:val="00090F9D"/>
    <w:rsid w:val="000969B3"/>
    <w:rsid w:val="000A26CA"/>
    <w:rsid w:val="000A5F42"/>
    <w:rsid w:val="000A7822"/>
    <w:rsid w:val="000B4AE0"/>
    <w:rsid w:val="000B4B63"/>
    <w:rsid w:val="000C076E"/>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079BC"/>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1243"/>
    <w:rsid w:val="003E3A4E"/>
    <w:rsid w:val="003E4B09"/>
    <w:rsid w:val="003E5FB5"/>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142"/>
    <w:rsid w:val="004427FD"/>
    <w:rsid w:val="00443E44"/>
    <w:rsid w:val="00452C2E"/>
    <w:rsid w:val="004568FC"/>
    <w:rsid w:val="00461653"/>
    <w:rsid w:val="00464A58"/>
    <w:rsid w:val="00464E0D"/>
    <w:rsid w:val="004677CE"/>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096F"/>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2E1C"/>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DF7BC0"/>
    <w:rsid w:val="00E005A9"/>
    <w:rsid w:val="00E03579"/>
    <w:rsid w:val="00E040CF"/>
    <w:rsid w:val="00E065BA"/>
    <w:rsid w:val="00E115A8"/>
    <w:rsid w:val="00E1166E"/>
    <w:rsid w:val="00E12E32"/>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CB6FD"/>
  <w15:docId w15:val="{EBF962A3-6AC2-41FB-8D2A-2A770D95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1C"/>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3E5FB5"/>
    <w:pPr>
      <w:spacing w:before="400"/>
    </w:pPr>
    <w:rPr>
      <w:rFonts w:asciiTheme="majorHAnsi" w:hAnsiTheme="majorHAnsi" w:cs="Arial"/>
      <w:b/>
      <w:bCs/>
      <w:sz w:val="56"/>
      <w:szCs w:val="52"/>
    </w:rPr>
  </w:style>
  <w:style w:type="character" w:customStyle="1" w:styleId="TitleChar">
    <w:name w:val="Title Char"/>
    <w:basedOn w:val="DefaultParagraphFont"/>
    <w:link w:val="Title"/>
    <w:uiPriority w:val="10"/>
    <w:rsid w:val="003E5FB5"/>
    <w:rPr>
      <w:rFonts w:asciiTheme="majorHAnsi" w:hAnsiTheme="majorHAnsi" w:cs="Arial"/>
      <w:b/>
      <w:bCs/>
      <w:sz w:val="56"/>
      <w:szCs w:val="52"/>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442142"/>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hyperlink" Target="mailto:virginia.conceicao2@menzies.edu.au" TargetMode="External"/><Relationship Id="rId26" Type="http://schemas.openxmlformats.org/officeDocument/2006/relationships/hyperlink" Target="https://doi.org/10.33321/cdi.2020.44.1" TargetMode="External"/><Relationship Id="rId39" Type="http://schemas.openxmlformats.org/officeDocument/2006/relationships/theme" Target="theme/theme1.xml"/><Relationship Id="rId21" Type="http://schemas.openxmlformats.org/officeDocument/2006/relationships/hyperlink" Target="https://doi.org/10.1016/S0140-6736(21)02724-0"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doi.org/10.1016/S2542-5196(18)30186-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au/cdi" TargetMode="External"/><Relationship Id="rId20" Type="http://schemas.openxmlformats.org/officeDocument/2006/relationships/hyperlink" Target="mailto:teresa.wozniak@csiro.au" TargetMode="External"/><Relationship Id="rId29" Type="http://schemas.openxmlformats.org/officeDocument/2006/relationships/hyperlink" Target="https://www.eucast.org/fileadmin/src/media/PDFs/EUCAST_files/Breakpoint_tables/v_10.0_Breakpoint_Tab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1136/bmjgh-2019-00210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hyperlink" Target="https://doi.org/10.1186/s13756-017-0208-x" TargetMode="External"/><Relationship Id="rId28" Type="http://schemas.openxmlformats.org/officeDocument/2006/relationships/hyperlink" Target="https://doi.org/10.1016/j.jgar.2017.12.010" TargetMode="External"/><Relationship Id="rId36" Type="http://schemas.openxmlformats.org/officeDocument/2006/relationships/header" Target="header3.xml"/><Relationship Id="rId10" Type="http://schemas.openxmlformats.org/officeDocument/2006/relationships/hyperlink" Target="https://www.cdc.gov.au/cdi" TargetMode="External"/><Relationship Id="rId19" Type="http://schemas.openxmlformats.org/officeDocument/2006/relationships/hyperlink" Target="mailto:lulu.laluna@outlook.com" TargetMode="External"/><Relationship Id="rId31" Type="http://schemas.openxmlformats.org/officeDocument/2006/relationships/hyperlink" Target="https://doi.org/10.1071/MA21051"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yperlink" Target="https://doi.org/10.1128/CMR.00048-19" TargetMode="External"/><Relationship Id="rId27" Type="http://schemas.openxmlformats.org/officeDocument/2006/relationships/hyperlink" Target="https://doi.org/10.1071/MA22039" TargetMode="External"/><Relationship Id="rId30" Type="http://schemas.openxmlformats.org/officeDocument/2006/relationships/hyperlink" Target="https://doi.org/10.1186/s13756-021-00967-y"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10</TotalTime>
  <Pages>15</Pages>
  <Words>3336</Words>
  <Characters>19456</Characters>
  <Application>Microsoft Office Word</Application>
  <DocSecurity>0</DocSecurity>
  <Lines>533</Lines>
  <Paragraphs>323</Paragraphs>
  <ScaleCrop>false</ScaleCrop>
  <HeadingPairs>
    <vt:vector size="2" baseType="variant">
      <vt:variant>
        <vt:lpstr>Title</vt:lpstr>
      </vt:variant>
      <vt:variant>
        <vt:i4>1</vt:i4>
      </vt:variant>
    </vt:vector>
  </HeadingPairs>
  <TitlesOfParts>
    <vt:vector size="1" baseType="lpstr">
      <vt:lpstr>Communicable Diseases Intelligence - Epidemiology of Staphylococcus aureus infections in Timor-Leste, January–July 2020</vt:lpstr>
    </vt:vector>
  </TitlesOfParts>
  <Company/>
  <LinksUpToDate>false</LinksUpToDate>
  <CharactersWithSpaces>22468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Epidemiology of Staphylococcus aureus infections in Timor-Leste, January–July 2020</dc:title>
  <dc:subject>This is the first study to describe Staphylococcus aureus epidemiology on Timor-Leste, for 44 MSSA and 15 MRSA patients during the study period January–June 2020.</dc:subject>
  <dc:creator>Virginia de L da Conceição;Nevio da C Sarmento;Edson B Matoso;Narcisio Soares;Tessa M Oakley;Ian M Marr;Lucsendar Alves;Jennifer Yan;Joshua R Francis;Teresa M Wozniak</dc:creator>
  <cp:keywords>Staphylococcus aureus; MSSA; MRSA; antibiotic resistance; Timor-Leste</cp:keywords>
  <dc:description>© 2026 Commonwealth of Australia as represented by the Australian Centre for Disease Control. This publication is licenced under a CC BY-NC-ND licence.</dc:description>
  <cp:revision>5</cp:revision>
  <cp:lastPrinted>2024-03-07T01:06:00Z</cp:lastPrinted>
  <dcterms:created xsi:type="dcterms:W3CDTF">2026-04-19T23:02:00Z</dcterms:created>
  <dcterms:modified xsi:type="dcterms:W3CDTF">2026-04-20T22:47:00Z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28.04.2026</vt:lpwstr>
  </property>
  <property fmtid="{D5CDD505-2E9C-101B-9397-08002B2CF9AE}" pid="5" name="DOI">
    <vt:lpwstr>doi.org/10.33321/cdi.2026.50.028</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