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B1E5" w14:textId="062235C6"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2EF3F4DF" wp14:editId="6005E2B4">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3"/>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B570DE">
          <w:t>2026</w:t>
        </w:r>
      </w:fldSimple>
      <w:r w:rsidR="00D22CC8" w:rsidRPr="00B85B74">
        <w:t xml:space="preserve"> • Volume </w:t>
      </w:r>
      <w:fldSimple w:instr=" DOCPROPERTY  Vol  \* MERGEFORMAT ">
        <w:r w:rsidR="00B570DE">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252B9A">
          <w:t>24.03.2026</w:t>
        </w:r>
      </w:fldSimple>
      <w:r w:rsidR="00700338">
        <w:t xml:space="preserve"> </w:t>
      </w:r>
      <w:r w:rsidR="00700338" w:rsidRPr="00B85B74">
        <w:t xml:space="preserve">• </w:t>
      </w:r>
      <w:fldSimple w:instr=" DOCPROPERTY  DOI  \* MERGEFORMAT ">
        <w:r w:rsidR="00252B9A">
          <w:t>doi.org/10.33321/cdi.2026.50.026</w:t>
        </w:r>
      </w:fldSimple>
    </w:p>
    <w:p w14:paraId="476C93FB" w14:textId="62EB59A2" w:rsidR="006B16A5" w:rsidRPr="00252B9A" w:rsidRDefault="00252B9A" w:rsidP="00252B9A">
      <w:pPr>
        <w:pStyle w:val="Title"/>
      </w:pPr>
      <w:r w:rsidRPr="00252B9A">
        <w:t>Shigellosis: antibiotics should be strictly reserved for severe disease and cases at very high risk of onward transmission</w:t>
      </w:r>
    </w:p>
    <w:p w14:paraId="2B75CC57" w14:textId="16379905" w:rsidR="00013B65" w:rsidRDefault="00252B9A" w:rsidP="00BB3320">
      <w:pPr>
        <w:pStyle w:val="Subtitle"/>
      </w:pPr>
      <w:r w:rsidRPr="00252B9A">
        <w:t xml:space="preserve">Bhakti R Vasant, Mark Stickley, Megan Young, Kate Alexander, Robert Bell, Amy V Jennison, Rikki Graham, Asha Kakkanat, Russell Stafford </w:t>
      </w:r>
      <w:r w:rsidR="00013B65">
        <w:br w:type="page"/>
      </w:r>
    </w:p>
    <w:p w14:paraId="612CFC5F"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B570DE">
          <w:t>2026</w:t>
        </w:r>
      </w:fldSimple>
      <w:r w:rsidRPr="0089025E">
        <w:t xml:space="preserve"> Commonwealth of Australia as represented by the </w:t>
      </w:r>
      <w:r w:rsidR="00C722FD">
        <w:t>Australian Centre for Disease Control</w:t>
      </w:r>
    </w:p>
    <w:p w14:paraId="15DAAF64" w14:textId="77777777" w:rsidR="00B52457" w:rsidRPr="0089025E" w:rsidRDefault="00B52457" w:rsidP="00087CC4">
      <w:pPr>
        <w:pStyle w:val="CDICopyright"/>
      </w:pPr>
      <w:r w:rsidRPr="0089025E">
        <w:t>ISSN: 2209-6051 Online</w:t>
      </w:r>
    </w:p>
    <w:p w14:paraId="018751DE" w14:textId="77777777" w:rsidR="00B52457" w:rsidRDefault="00B52457" w:rsidP="00087CC4">
      <w:pPr>
        <w:pStyle w:val="CDICopyright"/>
      </w:pPr>
      <w:r w:rsidRPr="0089025E">
        <w:t>This journal is indexed by Index Medicus and Medline.</w:t>
      </w:r>
    </w:p>
    <w:p w14:paraId="3F5C7083" w14:textId="77777777" w:rsidR="00B52457" w:rsidRPr="007F2B27" w:rsidRDefault="00B52457" w:rsidP="00CC3648">
      <w:pPr>
        <w:pStyle w:val="CDICopyrightHeading"/>
      </w:pPr>
      <w:r w:rsidRPr="007F2B27">
        <w:t>Creative Commons Licence</w:t>
      </w:r>
    </w:p>
    <w:p w14:paraId="58553AA4"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58B77DD8" w14:textId="77777777" w:rsidR="00B52457" w:rsidRPr="007F2B27" w:rsidRDefault="00B52457" w:rsidP="00CC3648">
      <w:pPr>
        <w:pStyle w:val="CDICopyrightHeading"/>
      </w:pPr>
      <w:r w:rsidRPr="007F2B27">
        <w:t>Restrictions</w:t>
      </w:r>
    </w:p>
    <w:p w14:paraId="1263A043"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1307E72F"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313CBC6F"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0215B74F" w14:textId="77777777" w:rsidR="00B52457" w:rsidRPr="00E9313B" w:rsidRDefault="00B52457" w:rsidP="00E9313B">
      <w:pPr>
        <w:pStyle w:val="CDICopyrightBullets"/>
      </w:pPr>
      <w:r w:rsidRPr="00E9313B">
        <w:t xml:space="preserve">any photographs and images; </w:t>
      </w:r>
    </w:p>
    <w:p w14:paraId="16260208" w14:textId="77777777" w:rsidR="00B52457" w:rsidRPr="00E9313B" w:rsidRDefault="00B52457" w:rsidP="00E9313B">
      <w:pPr>
        <w:pStyle w:val="CDICopyrightBullets"/>
      </w:pPr>
      <w:r w:rsidRPr="00E9313B">
        <w:t>any signatures; and</w:t>
      </w:r>
    </w:p>
    <w:p w14:paraId="4B28A674" w14:textId="77777777" w:rsidR="00B52457" w:rsidRPr="003C23C9" w:rsidRDefault="00B52457" w:rsidP="00E9313B">
      <w:pPr>
        <w:pStyle w:val="CDICopyrightBullets"/>
      </w:pPr>
      <w:r w:rsidRPr="00E9313B">
        <w:t>any</w:t>
      </w:r>
      <w:r w:rsidRPr="003C23C9">
        <w:t xml:space="preserve"> material belonging to third parties.</w:t>
      </w:r>
    </w:p>
    <w:p w14:paraId="71868DCC" w14:textId="77777777" w:rsidR="00B52457" w:rsidRPr="00CC3648" w:rsidRDefault="00B52457" w:rsidP="00CC3648">
      <w:pPr>
        <w:pStyle w:val="CDICopyrightHeading"/>
      </w:pPr>
      <w:r w:rsidRPr="00CC3648">
        <w:t>Disclaimer</w:t>
      </w:r>
    </w:p>
    <w:p w14:paraId="51FACD42"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1DA14A73" w14:textId="77777777" w:rsidR="00B52457" w:rsidRPr="007F2B27" w:rsidRDefault="00B52457" w:rsidP="00CC3648">
      <w:pPr>
        <w:pStyle w:val="CDICopyrightHeading"/>
      </w:pPr>
      <w:r w:rsidRPr="007F2B27">
        <w:t>Enquiries</w:t>
      </w:r>
    </w:p>
    <w:p w14:paraId="4FB1DFB7"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75E04352" w14:textId="77777777" w:rsidR="00B52457" w:rsidRPr="00A65DFA" w:rsidRDefault="00B52457" w:rsidP="00B52457">
      <w:pPr>
        <w:pStyle w:val="CDIAbout"/>
      </w:pPr>
      <w:bookmarkStart w:id="1" w:name="_Toc190257376"/>
      <w:r>
        <w:t xml:space="preserve">About </w:t>
      </w:r>
      <w:bookmarkEnd w:id="1"/>
      <w:r w:rsidR="0022524E">
        <w:t>CDI</w:t>
      </w:r>
    </w:p>
    <w:p w14:paraId="3783AACF"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513C9127"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1B9969B9" w14:textId="77777777" w:rsidR="00B52457" w:rsidRPr="00D8087F" w:rsidRDefault="00B52457" w:rsidP="00D8087F">
      <w:pPr>
        <w:pStyle w:val="CDIAbouttext"/>
      </w:pPr>
      <w:r w:rsidRPr="00D8087F">
        <w:rPr>
          <w:b/>
          <w:bCs/>
        </w:rPr>
        <w:t>Editor</w:t>
      </w:r>
      <w:r w:rsidRPr="00D8087F">
        <w:t xml:space="preserve">: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779AEE7"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4237C5CF"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70AC73A2"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22DCFB19" w14:textId="77777777" w:rsidR="00B52457" w:rsidRPr="00B87589" w:rsidRDefault="00B52457" w:rsidP="00B87589">
      <w:pPr>
        <w:pStyle w:val="CDIAbouttext"/>
        <w:rPr>
          <w:b/>
          <w:bCs/>
        </w:rPr>
      </w:pPr>
      <w:r w:rsidRPr="00B87589">
        <w:rPr>
          <w:b/>
          <w:bCs/>
        </w:rPr>
        <w:t>Contact us</w:t>
      </w:r>
    </w:p>
    <w:p w14:paraId="1299C1A1" w14:textId="77777777" w:rsidR="00B52457" w:rsidRPr="00087CC4" w:rsidRDefault="00B52457" w:rsidP="00360B3A">
      <w:pPr>
        <w:pStyle w:val="CDIAbouttextLess"/>
      </w:pPr>
      <w:r w:rsidRPr="009572C6">
        <w:t>Communicable Diseases Intelligence</w:t>
      </w:r>
      <w:r w:rsidRPr="00087CC4">
        <w:t xml:space="preserve"> (CDI)</w:t>
      </w:r>
    </w:p>
    <w:p w14:paraId="2FA60545" w14:textId="77777777" w:rsidR="00B52457" w:rsidRPr="00087CC4" w:rsidRDefault="009572C6" w:rsidP="00360B3A">
      <w:pPr>
        <w:pStyle w:val="CDIAbouttextLess"/>
      </w:pPr>
      <w:r>
        <w:t>Australian Centre for Disease Control</w:t>
      </w:r>
    </w:p>
    <w:p w14:paraId="0F25025C"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19D8322E"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609CF60"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1165665A"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24562840"/>
      <w:bookmarkStart w:id="7" w:name="_Toc195530496"/>
      <w:r>
        <w:t>Contents</w:t>
      </w:r>
      <w:bookmarkEnd w:id="2"/>
      <w:bookmarkEnd w:id="3"/>
      <w:bookmarkEnd w:id="4"/>
      <w:bookmarkEnd w:id="5"/>
      <w:bookmarkEnd w:id="6"/>
    </w:p>
    <w:p w14:paraId="46B5FB40" w14:textId="13E54DE9" w:rsidR="00277B60" w:rsidRPr="00277B60" w:rsidRDefault="005A4E9D">
      <w:pPr>
        <w:pStyle w:val="TOC1"/>
      </w:pPr>
      <w:r>
        <w:fldChar w:fldCharType="begin"/>
      </w:r>
      <w:r>
        <w:instrText xml:space="preserve"> TOC \o "1-1" \h \z \t "Heading 2,2,Heading 2 - no space before,2,Heading 2 - less space before,2,Heading 2 - new page,2" </w:instrText>
      </w:r>
      <w:r>
        <w:fldChar w:fldCharType="separate"/>
      </w:r>
      <w:hyperlink w:anchor="_Toc224562841" w:history="1">
        <w:r w:rsidR="00277B60" w:rsidRPr="00655A34">
          <w:rPr>
            <w:rStyle w:val="Hyperlink"/>
            <w:noProof/>
          </w:rPr>
          <w:t>Abstract</w:t>
        </w:r>
        <w:r w:rsidR="00277B60">
          <w:rPr>
            <w:noProof/>
            <w:webHidden/>
          </w:rPr>
          <w:tab/>
        </w:r>
        <w:r w:rsidR="00277B60">
          <w:rPr>
            <w:noProof/>
            <w:webHidden/>
          </w:rPr>
          <w:fldChar w:fldCharType="begin"/>
        </w:r>
        <w:r w:rsidR="00277B60">
          <w:rPr>
            <w:noProof/>
            <w:webHidden/>
          </w:rPr>
          <w:instrText xml:space="preserve"> PAGEREF _Toc224562841 \h </w:instrText>
        </w:r>
        <w:r w:rsidR="00277B60">
          <w:rPr>
            <w:noProof/>
            <w:webHidden/>
          </w:rPr>
        </w:r>
        <w:r w:rsidR="00277B60">
          <w:rPr>
            <w:noProof/>
            <w:webHidden/>
          </w:rPr>
          <w:fldChar w:fldCharType="separate"/>
        </w:r>
        <w:r w:rsidR="00277B60">
          <w:rPr>
            <w:noProof/>
            <w:webHidden/>
          </w:rPr>
          <w:t>4</w:t>
        </w:r>
        <w:r w:rsidR="00277B60">
          <w:rPr>
            <w:noProof/>
            <w:webHidden/>
          </w:rPr>
          <w:fldChar w:fldCharType="end"/>
        </w:r>
      </w:hyperlink>
    </w:p>
    <w:p w14:paraId="4E749839" w14:textId="40E55E6C" w:rsidR="00277B60" w:rsidRPr="00277B60" w:rsidRDefault="00277B60">
      <w:pPr>
        <w:pStyle w:val="TOC1"/>
      </w:pPr>
      <w:hyperlink w:anchor="_Toc224562842" w:history="1">
        <w:r w:rsidRPr="00655A34">
          <w:rPr>
            <w:rStyle w:val="Hyperlink"/>
            <w:noProof/>
          </w:rPr>
          <w:t>Introduction</w:t>
        </w:r>
        <w:r>
          <w:rPr>
            <w:noProof/>
            <w:webHidden/>
          </w:rPr>
          <w:tab/>
        </w:r>
        <w:r>
          <w:rPr>
            <w:noProof/>
            <w:webHidden/>
          </w:rPr>
          <w:fldChar w:fldCharType="begin"/>
        </w:r>
        <w:r>
          <w:rPr>
            <w:noProof/>
            <w:webHidden/>
          </w:rPr>
          <w:instrText xml:space="preserve"> PAGEREF _Toc224562842 \h </w:instrText>
        </w:r>
        <w:r>
          <w:rPr>
            <w:noProof/>
            <w:webHidden/>
          </w:rPr>
        </w:r>
        <w:r>
          <w:rPr>
            <w:noProof/>
            <w:webHidden/>
          </w:rPr>
          <w:fldChar w:fldCharType="separate"/>
        </w:r>
        <w:r>
          <w:rPr>
            <w:noProof/>
            <w:webHidden/>
          </w:rPr>
          <w:t>5</w:t>
        </w:r>
        <w:r>
          <w:rPr>
            <w:noProof/>
            <w:webHidden/>
          </w:rPr>
          <w:fldChar w:fldCharType="end"/>
        </w:r>
      </w:hyperlink>
    </w:p>
    <w:p w14:paraId="6A00919B" w14:textId="2FA2A6C2" w:rsidR="00277B60" w:rsidRPr="00277B60" w:rsidRDefault="00277B60">
      <w:pPr>
        <w:pStyle w:val="TOC1"/>
      </w:pPr>
      <w:hyperlink w:anchor="_Toc224562843" w:history="1">
        <w:r w:rsidRPr="00655A34">
          <w:rPr>
            <w:rStyle w:val="Hyperlink"/>
            <w:noProof/>
            <w:lang w:val="en-GB"/>
          </w:rPr>
          <w:t>Methods</w:t>
        </w:r>
        <w:r>
          <w:rPr>
            <w:noProof/>
            <w:webHidden/>
          </w:rPr>
          <w:tab/>
        </w:r>
        <w:r>
          <w:rPr>
            <w:noProof/>
            <w:webHidden/>
          </w:rPr>
          <w:fldChar w:fldCharType="begin"/>
        </w:r>
        <w:r>
          <w:rPr>
            <w:noProof/>
            <w:webHidden/>
          </w:rPr>
          <w:instrText xml:space="preserve"> PAGEREF _Toc224562843 \h </w:instrText>
        </w:r>
        <w:r>
          <w:rPr>
            <w:noProof/>
            <w:webHidden/>
          </w:rPr>
        </w:r>
        <w:r>
          <w:rPr>
            <w:noProof/>
            <w:webHidden/>
          </w:rPr>
          <w:fldChar w:fldCharType="separate"/>
        </w:r>
        <w:r>
          <w:rPr>
            <w:noProof/>
            <w:webHidden/>
          </w:rPr>
          <w:t>6</w:t>
        </w:r>
        <w:r>
          <w:rPr>
            <w:noProof/>
            <w:webHidden/>
          </w:rPr>
          <w:fldChar w:fldCharType="end"/>
        </w:r>
      </w:hyperlink>
    </w:p>
    <w:p w14:paraId="32DECB6A" w14:textId="0567C094" w:rsidR="00277B60" w:rsidRPr="00277B60" w:rsidRDefault="00277B60">
      <w:pPr>
        <w:pStyle w:val="TOC1"/>
      </w:pPr>
      <w:hyperlink w:anchor="_Toc224562844" w:history="1">
        <w:r w:rsidRPr="00655A34">
          <w:rPr>
            <w:rStyle w:val="Hyperlink"/>
            <w:noProof/>
          </w:rPr>
          <w:t>Results</w:t>
        </w:r>
        <w:r>
          <w:rPr>
            <w:noProof/>
            <w:webHidden/>
          </w:rPr>
          <w:tab/>
        </w:r>
        <w:r>
          <w:rPr>
            <w:noProof/>
            <w:webHidden/>
          </w:rPr>
          <w:fldChar w:fldCharType="begin"/>
        </w:r>
        <w:r>
          <w:rPr>
            <w:noProof/>
            <w:webHidden/>
          </w:rPr>
          <w:instrText xml:space="preserve"> PAGEREF _Toc224562844 \h </w:instrText>
        </w:r>
        <w:r>
          <w:rPr>
            <w:noProof/>
            <w:webHidden/>
          </w:rPr>
        </w:r>
        <w:r>
          <w:rPr>
            <w:noProof/>
            <w:webHidden/>
          </w:rPr>
          <w:fldChar w:fldCharType="separate"/>
        </w:r>
        <w:r>
          <w:rPr>
            <w:noProof/>
            <w:webHidden/>
          </w:rPr>
          <w:t>7</w:t>
        </w:r>
        <w:r>
          <w:rPr>
            <w:noProof/>
            <w:webHidden/>
          </w:rPr>
          <w:fldChar w:fldCharType="end"/>
        </w:r>
      </w:hyperlink>
    </w:p>
    <w:p w14:paraId="282E6EC3" w14:textId="3C3AEF3D" w:rsidR="00277B60" w:rsidRPr="00277B60" w:rsidRDefault="00277B60">
      <w:pPr>
        <w:pStyle w:val="TOC1"/>
      </w:pPr>
      <w:hyperlink w:anchor="_Toc224562845" w:history="1">
        <w:r w:rsidRPr="00655A34">
          <w:rPr>
            <w:rStyle w:val="Hyperlink"/>
            <w:noProof/>
          </w:rPr>
          <w:t>Discussion and conclusions</w:t>
        </w:r>
        <w:r>
          <w:rPr>
            <w:noProof/>
            <w:webHidden/>
          </w:rPr>
          <w:tab/>
        </w:r>
        <w:r>
          <w:rPr>
            <w:noProof/>
            <w:webHidden/>
          </w:rPr>
          <w:fldChar w:fldCharType="begin"/>
        </w:r>
        <w:r>
          <w:rPr>
            <w:noProof/>
            <w:webHidden/>
          </w:rPr>
          <w:instrText xml:space="preserve"> PAGEREF _Toc224562845 \h </w:instrText>
        </w:r>
        <w:r>
          <w:rPr>
            <w:noProof/>
            <w:webHidden/>
          </w:rPr>
        </w:r>
        <w:r>
          <w:rPr>
            <w:noProof/>
            <w:webHidden/>
          </w:rPr>
          <w:fldChar w:fldCharType="separate"/>
        </w:r>
        <w:r>
          <w:rPr>
            <w:noProof/>
            <w:webHidden/>
          </w:rPr>
          <w:t>10</w:t>
        </w:r>
        <w:r>
          <w:rPr>
            <w:noProof/>
            <w:webHidden/>
          </w:rPr>
          <w:fldChar w:fldCharType="end"/>
        </w:r>
      </w:hyperlink>
    </w:p>
    <w:p w14:paraId="185BECBC" w14:textId="51D8D14B" w:rsidR="00277B60" w:rsidRPr="00277B60" w:rsidRDefault="00277B60">
      <w:pPr>
        <w:pStyle w:val="TOC1"/>
      </w:pPr>
      <w:hyperlink w:anchor="_Toc224562846" w:history="1">
        <w:r w:rsidRPr="00655A34">
          <w:rPr>
            <w:rStyle w:val="Hyperlink"/>
            <w:noProof/>
          </w:rPr>
          <w:t>Author details</w:t>
        </w:r>
        <w:r>
          <w:rPr>
            <w:noProof/>
            <w:webHidden/>
          </w:rPr>
          <w:tab/>
        </w:r>
        <w:r>
          <w:rPr>
            <w:noProof/>
            <w:webHidden/>
          </w:rPr>
          <w:fldChar w:fldCharType="begin"/>
        </w:r>
        <w:r>
          <w:rPr>
            <w:noProof/>
            <w:webHidden/>
          </w:rPr>
          <w:instrText xml:space="preserve"> PAGEREF _Toc224562846 \h </w:instrText>
        </w:r>
        <w:r>
          <w:rPr>
            <w:noProof/>
            <w:webHidden/>
          </w:rPr>
        </w:r>
        <w:r>
          <w:rPr>
            <w:noProof/>
            <w:webHidden/>
          </w:rPr>
          <w:fldChar w:fldCharType="separate"/>
        </w:r>
        <w:r>
          <w:rPr>
            <w:noProof/>
            <w:webHidden/>
          </w:rPr>
          <w:t>11</w:t>
        </w:r>
        <w:r>
          <w:rPr>
            <w:noProof/>
            <w:webHidden/>
          </w:rPr>
          <w:fldChar w:fldCharType="end"/>
        </w:r>
      </w:hyperlink>
    </w:p>
    <w:p w14:paraId="19959D20" w14:textId="4D643367" w:rsidR="00277B60" w:rsidRPr="00277B60" w:rsidRDefault="00277B60">
      <w:pPr>
        <w:pStyle w:val="TOC1"/>
      </w:pPr>
      <w:hyperlink w:anchor="_Toc224562847" w:history="1">
        <w:r w:rsidRPr="00655A34">
          <w:rPr>
            <w:rStyle w:val="Hyperlink"/>
            <w:noProof/>
          </w:rPr>
          <w:t>References</w:t>
        </w:r>
        <w:r>
          <w:rPr>
            <w:noProof/>
            <w:webHidden/>
          </w:rPr>
          <w:tab/>
        </w:r>
        <w:r>
          <w:rPr>
            <w:noProof/>
            <w:webHidden/>
          </w:rPr>
          <w:fldChar w:fldCharType="begin"/>
        </w:r>
        <w:r>
          <w:rPr>
            <w:noProof/>
            <w:webHidden/>
          </w:rPr>
          <w:instrText xml:space="preserve"> PAGEREF _Toc224562847 \h </w:instrText>
        </w:r>
        <w:r>
          <w:rPr>
            <w:noProof/>
            <w:webHidden/>
          </w:rPr>
        </w:r>
        <w:r>
          <w:rPr>
            <w:noProof/>
            <w:webHidden/>
          </w:rPr>
          <w:fldChar w:fldCharType="separate"/>
        </w:r>
        <w:r>
          <w:rPr>
            <w:noProof/>
            <w:webHidden/>
          </w:rPr>
          <w:t>12</w:t>
        </w:r>
        <w:r>
          <w:rPr>
            <w:noProof/>
            <w:webHidden/>
          </w:rPr>
          <w:fldChar w:fldCharType="end"/>
        </w:r>
      </w:hyperlink>
    </w:p>
    <w:p w14:paraId="501E18C0" w14:textId="1BB98A47" w:rsidR="00F216F0" w:rsidRPr="00F216F0" w:rsidRDefault="005A4E9D" w:rsidP="00F216F0">
      <w:r>
        <w:rPr>
          <w:rFonts w:eastAsiaTheme="minorHAnsi" w:cstheme="minorHAnsi"/>
          <w:szCs w:val="24"/>
          <w:lang w:eastAsia="en-US"/>
        </w:rPr>
        <w:fldChar w:fldCharType="end"/>
      </w:r>
    </w:p>
    <w:p w14:paraId="4693C0FF" w14:textId="77777777" w:rsidR="00F25C00" w:rsidRDefault="0098426C" w:rsidP="00A24E95">
      <w:pPr>
        <w:pStyle w:val="Heading1"/>
      </w:pPr>
      <w:bookmarkStart w:id="8" w:name="_Toc195530498"/>
      <w:bookmarkStart w:id="9" w:name="_Toc224562841"/>
      <w:bookmarkEnd w:id="7"/>
      <w:r>
        <w:t>Abstract</w:t>
      </w:r>
      <w:bookmarkEnd w:id="8"/>
      <w:bookmarkEnd w:id="9"/>
    </w:p>
    <w:p w14:paraId="3202AF50" w14:textId="100267F4" w:rsidR="00252B9A" w:rsidRPr="00252B9A" w:rsidRDefault="00252B9A" w:rsidP="00252B9A">
      <w:pPr>
        <w:pStyle w:val="Normal-morespaceafter"/>
        <w:rPr>
          <w:lang w:val="en-GB"/>
        </w:rPr>
      </w:pPr>
      <w:r>
        <w:rPr>
          <w:lang w:val="en-GB"/>
        </w:rPr>
        <w:t>I</w:t>
      </w:r>
      <w:r w:rsidRPr="00252B9A">
        <w:rPr>
          <w:lang w:val="en-GB"/>
        </w:rPr>
        <w:t xml:space="preserve">ncreasing rates of multidrug-resistant (MDR) and extensively drug-resistant (XDR) </w:t>
      </w:r>
      <w:r w:rsidRPr="00252B9A">
        <w:rPr>
          <w:i/>
          <w:iCs/>
          <w:lang w:val="en-GB"/>
        </w:rPr>
        <w:t>Shigella</w:t>
      </w:r>
      <w:r w:rsidRPr="00252B9A">
        <w:rPr>
          <w:lang w:val="en-GB"/>
        </w:rPr>
        <w:t xml:space="preserve"> have been detected worldwide. This retrospective review of shigellosis notifications in Southeast Queensland found that XDR </w:t>
      </w:r>
      <w:r w:rsidRPr="00252B9A">
        <w:rPr>
          <w:i/>
          <w:iCs/>
          <w:lang w:val="en-GB"/>
        </w:rPr>
        <w:t>Shigella</w:t>
      </w:r>
      <w:r w:rsidRPr="00252B9A">
        <w:rPr>
          <w:lang w:val="en-GB"/>
        </w:rPr>
        <w:t xml:space="preserve"> accounted for 48% of notifications. Antimicrobial treatment should be reserved for individuals with severe disease, immunocompromise or high risk of onward transmission.</w:t>
      </w:r>
    </w:p>
    <w:p w14:paraId="2DACE26F" w14:textId="165FE582" w:rsidR="00B73144" w:rsidRDefault="00B73144" w:rsidP="00E61A68">
      <w:pPr>
        <w:pStyle w:val="CDIBoxText"/>
        <w:rPr>
          <w:lang w:val="en-GB"/>
        </w:rPr>
      </w:pPr>
      <w:r w:rsidRPr="00E61A68">
        <w:t>Keywords</w:t>
      </w:r>
      <w:r w:rsidR="00BF1476">
        <w:t xml:space="preserve">: </w:t>
      </w:r>
      <w:r w:rsidR="00252B9A" w:rsidRPr="00252B9A">
        <w:t>antimicrobial resistance; public health; shigellosis</w:t>
      </w:r>
    </w:p>
    <w:p w14:paraId="5C77798A" w14:textId="77777777" w:rsidR="0037146D" w:rsidRDefault="00B73144" w:rsidP="00B73144">
      <w:pPr>
        <w:pStyle w:val="Heading1"/>
      </w:pPr>
      <w:bookmarkStart w:id="10" w:name="_Toc195530501"/>
      <w:bookmarkStart w:id="11" w:name="_Toc224562842"/>
      <w:r>
        <w:t>Introduction</w:t>
      </w:r>
      <w:bookmarkEnd w:id="10"/>
      <w:bookmarkEnd w:id="11"/>
    </w:p>
    <w:p w14:paraId="339D4716" w14:textId="77777777" w:rsidR="00252B9A" w:rsidRPr="00252B9A" w:rsidRDefault="00252B9A" w:rsidP="00252B9A">
      <w:pPr>
        <w:rPr>
          <w:lang w:val="en-GB"/>
        </w:rPr>
      </w:pPr>
      <w:r w:rsidRPr="00252B9A">
        <w:rPr>
          <w:i/>
          <w:iCs/>
          <w:lang w:val="en-GB"/>
        </w:rPr>
        <w:t>Shigella</w:t>
      </w:r>
      <w:r w:rsidRPr="00252B9A">
        <w:rPr>
          <w:lang w:val="en-GB"/>
        </w:rPr>
        <w:t xml:space="preserve"> species cause diarrhoeal illness that is usually self-limiting but may be life-threatening, particularly in children aged five years and under; in malnourished people; and in immunocompromised people.</w:t>
      </w:r>
      <w:r w:rsidRPr="00252B9A">
        <w:rPr>
          <w:vertAlign w:val="superscript"/>
          <w:lang w:val="en-GB"/>
        </w:rPr>
        <w:t>1</w:t>
      </w:r>
      <w:r w:rsidRPr="00252B9A">
        <w:rPr>
          <w:lang w:val="en-GB"/>
        </w:rPr>
        <w:t xml:space="preserve"> Shigellosis may be foodborne or sexually acquired. Specific </w:t>
      </w:r>
      <w:r w:rsidRPr="00252B9A">
        <w:rPr>
          <w:i/>
          <w:iCs/>
          <w:lang w:val="en-GB"/>
        </w:rPr>
        <w:t>Shigella</w:t>
      </w:r>
      <w:r w:rsidRPr="00252B9A">
        <w:rPr>
          <w:lang w:val="en-GB"/>
        </w:rPr>
        <w:t xml:space="preserve"> clones have emerged as an important cause of sexually transmitted infections circulating in communities of men who have sex with men (MSM) in Australia and elsewhere.</w:t>
      </w:r>
      <w:r w:rsidRPr="00252B9A">
        <w:rPr>
          <w:vertAlign w:val="superscript"/>
          <w:lang w:val="en-GB"/>
        </w:rPr>
        <w:t>1</w:t>
      </w:r>
      <w:r w:rsidRPr="00252B9A">
        <w:rPr>
          <w:lang w:val="en-GB"/>
        </w:rPr>
        <w:t xml:space="preserve"> Antimicrobial treatment reduces symptom duration by two days and is indicated for individuals with severe diarrhoea or immunocompromise. Treatment may also be used to reduce onward transmission. Groups considered at higher risk of transmitting </w:t>
      </w:r>
      <w:r w:rsidRPr="00252B9A">
        <w:rPr>
          <w:i/>
          <w:iCs/>
          <w:lang w:val="en-GB"/>
        </w:rPr>
        <w:t>Shigella</w:t>
      </w:r>
      <w:r w:rsidRPr="00252B9A">
        <w:rPr>
          <w:lang w:val="en-GB"/>
        </w:rPr>
        <w:t xml:space="preserve"> include MSM; children younger than six years; food handlers; healthcare workers; childcare workers; and people living in or working in residential care facilities.</w:t>
      </w:r>
      <w:r w:rsidRPr="00252B9A">
        <w:rPr>
          <w:vertAlign w:val="superscript"/>
          <w:lang w:val="en-GB"/>
        </w:rPr>
        <w:t>2,3</w:t>
      </w:r>
      <w:r w:rsidRPr="00252B9A">
        <w:rPr>
          <w:lang w:val="en-GB"/>
        </w:rPr>
        <w:t xml:space="preserve"> Among MSM, shigellosis is associated with having dense sexual networks; living with human immunodeficiency virus (HIV); using HIV pre-exposure prophylaxis; use of mobile phone applications to meet sexual partners; visiting sex on premises venues; </w:t>
      </w:r>
      <w:proofErr w:type="spellStart"/>
      <w:r w:rsidRPr="00252B9A">
        <w:rPr>
          <w:lang w:val="en-GB"/>
        </w:rPr>
        <w:t>chemsex</w:t>
      </w:r>
      <w:proofErr w:type="spellEnd"/>
      <w:r w:rsidRPr="00252B9A">
        <w:rPr>
          <w:lang w:val="en-GB"/>
        </w:rPr>
        <w:t xml:space="preserve"> (sex between men that occurs under the influence of drugs taken immediately before or during sex); and oral-anal sexual contact.</w:t>
      </w:r>
      <w:r w:rsidRPr="00252B9A">
        <w:rPr>
          <w:vertAlign w:val="superscript"/>
          <w:lang w:val="en-GB"/>
        </w:rPr>
        <w:t>3,4</w:t>
      </w:r>
    </w:p>
    <w:p w14:paraId="6E7E8C54" w14:textId="01248096" w:rsidR="00AC46DC" w:rsidRPr="00AC46DC" w:rsidRDefault="00252B9A" w:rsidP="00AC46DC">
      <w:r w:rsidRPr="00252B9A">
        <w:rPr>
          <w:lang w:val="en-GB"/>
        </w:rPr>
        <w:t xml:space="preserve">Globally, indiscriminate antimicrobial use has driven the emergence of </w:t>
      </w:r>
      <w:r w:rsidRPr="00252B9A">
        <w:rPr>
          <w:i/>
          <w:iCs/>
          <w:lang w:val="en-GB"/>
        </w:rPr>
        <w:t>Shigella</w:t>
      </w:r>
      <w:r w:rsidRPr="00252B9A">
        <w:rPr>
          <w:lang w:val="en-GB"/>
        </w:rPr>
        <w:t xml:space="preserve"> isolates that are multidrug-resistant (MDR) and extensively drug-resistant (XDR).</w:t>
      </w:r>
      <w:r w:rsidRPr="00252B9A">
        <w:rPr>
          <w:vertAlign w:val="superscript"/>
          <w:lang w:val="en-GB"/>
        </w:rPr>
        <w:t>1</w:t>
      </w:r>
      <w:r w:rsidRPr="00252B9A">
        <w:rPr>
          <w:lang w:val="en-GB"/>
        </w:rPr>
        <w:t xml:space="preserve"> MDR </w:t>
      </w:r>
      <w:r w:rsidRPr="00252B9A">
        <w:rPr>
          <w:i/>
          <w:iCs/>
          <w:lang w:val="en-GB"/>
        </w:rPr>
        <w:t>Shigella</w:t>
      </w:r>
      <w:r w:rsidRPr="00252B9A">
        <w:rPr>
          <w:lang w:val="en-GB"/>
        </w:rPr>
        <w:t xml:space="preserve"> are resistant to three or more of the following antibiotic classes: azithromycin; fluoroquinolones; third generation cephalosporins; co-trimoxazole; and ampicillin.</w:t>
      </w:r>
      <w:r w:rsidRPr="00252B9A">
        <w:rPr>
          <w:vertAlign w:val="superscript"/>
          <w:lang w:val="en-GB"/>
        </w:rPr>
        <w:t>5</w:t>
      </w:r>
      <w:r w:rsidRPr="00252B9A">
        <w:rPr>
          <w:lang w:val="en-GB"/>
        </w:rPr>
        <w:t xml:space="preserve"> XDR </w:t>
      </w:r>
      <w:r w:rsidRPr="00252B9A">
        <w:rPr>
          <w:i/>
          <w:iCs/>
          <w:lang w:val="en-GB"/>
        </w:rPr>
        <w:t>Shigella</w:t>
      </w:r>
      <w:r w:rsidRPr="00252B9A">
        <w:rPr>
          <w:lang w:val="en-GB"/>
        </w:rPr>
        <w:t xml:space="preserve"> are phenotypically resistant to third generation cephalosporins or have genotypic detection of an extended spectrum beta-lactamase (ESBL) gene.</w:t>
      </w:r>
      <w:r w:rsidRPr="00252B9A">
        <w:rPr>
          <w:vertAlign w:val="superscript"/>
          <w:lang w:val="en-GB"/>
        </w:rPr>
        <w:footnoteReference w:id="2"/>
      </w:r>
      <w:r w:rsidRPr="00252B9A">
        <w:rPr>
          <w:lang w:val="en-GB"/>
        </w:rPr>
        <w:t xml:space="preserve"> Our study aimed to describe the epidemiology, including antimicrobial resistance patterns, of shigellosis in Southeast Queensland in 2022 and 2023 to help inform future public health management.</w:t>
      </w:r>
    </w:p>
    <w:p w14:paraId="07DA739F" w14:textId="77777777" w:rsidR="00A24E95" w:rsidRDefault="00B73144" w:rsidP="00B73144">
      <w:pPr>
        <w:pStyle w:val="Heading1"/>
        <w:rPr>
          <w:lang w:val="en-GB"/>
        </w:rPr>
      </w:pPr>
      <w:bookmarkStart w:id="12" w:name="_Toc195530502"/>
      <w:bookmarkStart w:id="13" w:name="_Toc224562843"/>
      <w:r>
        <w:rPr>
          <w:lang w:val="en-GB"/>
        </w:rPr>
        <w:t>Methods</w:t>
      </w:r>
      <w:bookmarkEnd w:id="12"/>
      <w:bookmarkEnd w:id="13"/>
    </w:p>
    <w:p w14:paraId="331E4F57" w14:textId="77777777" w:rsidR="00252B9A" w:rsidRPr="00252B9A" w:rsidRDefault="00252B9A" w:rsidP="00252B9A">
      <w:pPr>
        <w:rPr>
          <w:lang w:val="en-GB"/>
        </w:rPr>
      </w:pPr>
      <w:r w:rsidRPr="00252B9A">
        <w:rPr>
          <w:lang w:val="en-GB"/>
        </w:rPr>
        <w:t>We conducted a retrospective review of cases of shigellosis notified to the Gold Coast, Metro North and Metro South Public Health Units from 1 January 2022 to 31 December 2023. Cases were included if they met the Communicable Diseases Network Australia (CDNA) definition for confirmed shigellosis.</w:t>
      </w:r>
      <w:r w:rsidRPr="00252B9A">
        <w:rPr>
          <w:vertAlign w:val="superscript"/>
          <w:lang w:val="en-GB"/>
        </w:rPr>
        <w:t>6</w:t>
      </w:r>
      <w:r w:rsidRPr="00252B9A">
        <w:rPr>
          <w:lang w:val="en-GB"/>
        </w:rPr>
        <w:t xml:space="preserve"> </w:t>
      </w:r>
    </w:p>
    <w:p w14:paraId="2CD68A4F" w14:textId="77777777" w:rsidR="00252B9A" w:rsidRPr="00252B9A" w:rsidRDefault="00252B9A" w:rsidP="00252B9A">
      <w:pPr>
        <w:rPr>
          <w:lang w:val="en-GB"/>
        </w:rPr>
      </w:pPr>
      <w:r w:rsidRPr="00252B9A">
        <w:rPr>
          <w:lang w:val="en-GB"/>
        </w:rPr>
        <w:t xml:space="preserve">Demographic, epidemiological, laboratory and clinical data were abstracted from Public Health Unit records and from Queensland Health’s Notifiable Conditions System (NoCS). Public and private pathology laboratories provided phenotypic antimicrobial resistance data to NoCS. Genotypic antimicrobial resistance data were obtained from the Public and Environmental Health Reference Laboratory (PEHRL). Whole genome sequencing was performed using accredited methods. </w:t>
      </w:r>
      <w:proofErr w:type="spellStart"/>
      <w:r w:rsidRPr="00252B9A">
        <w:rPr>
          <w:lang w:val="en-GB"/>
        </w:rPr>
        <w:t>ResFinder</w:t>
      </w:r>
      <w:proofErr w:type="spellEnd"/>
      <w:r w:rsidRPr="00252B9A">
        <w:rPr>
          <w:lang w:val="en-GB"/>
        </w:rPr>
        <w:t xml:space="preserve"> and </w:t>
      </w:r>
      <w:proofErr w:type="spellStart"/>
      <w:r w:rsidRPr="00252B9A">
        <w:rPr>
          <w:lang w:val="en-GB"/>
        </w:rPr>
        <w:t>PointFinder</w:t>
      </w:r>
      <w:proofErr w:type="spellEnd"/>
      <w:r w:rsidRPr="00252B9A">
        <w:rPr>
          <w:lang w:val="en-GB"/>
        </w:rPr>
        <w:t xml:space="preserve"> were used to detect acquired and chromosomal mutations.</w:t>
      </w:r>
      <w:r w:rsidRPr="00252B9A">
        <w:rPr>
          <w:vertAlign w:val="superscript"/>
          <w:lang w:val="en-GB"/>
        </w:rPr>
        <w:t>7</w:t>
      </w:r>
      <w:r w:rsidRPr="00252B9A">
        <w:rPr>
          <w:lang w:val="en-GB"/>
        </w:rPr>
        <w:t xml:space="preserve"> </w:t>
      </w:r>
    </w:p>
    <w:p w14:paraId="3D84BA0A" w14:textId="77777777" w:rsidR="00252B9A" w:rsidRPr="00252B9A" w:rsidRDefault="00252B9A" w:rsidP="00252B9A">
      <w:pPr>
        <w:rPr>
          <w:lang w:val="en-GB"/>
        </w:rPr>
      </w:pPr>
      <w:r w:rsidRPr="00252B9A">
        <w:rPr>
          <w:lang w:val="en-GB"/>
        </w:rPr>
        <w:t xml:space="preserve">Data were analysed using Microsoft Excel’s descriptive statistics tools. Ethics approval was obtained from Metro South Health Human Research Ethics Committee (HREC/2024/QMS/105419). </w:t>
      </w:r>
    </w:p>
    <w:p w14:paraId="21A24DE7" w14:textId="77777777" w:rsidR="008A0736" w:rsidRDefault="000073ED" w:rsidP="005A4E9D">
      <w:pPr>
        <w:pStyle w:val="Heading1"/>
      </w:pPr>
      <w:bookmarkStart w:id="14" w:name="_Toc195530503"/>
      <w:bookmarkStart w:id="15" w:name="_Toc224562844"/>
      <w:r>
        <w:t>Results</w:t>
      </w:r>
      <w:bookmarkEnd w:id="14"/>
      <w:bookmarkEnd w:id="15"/>
    </w:p>
    <w:p w14:paraId="1229A508" w14:textId="77777777" w:rsidR="00696359" w:rsidRPr="00696359" w:rsidRDefault="00696359" w:rsidP="00696359">
      <w:pPr>
        <w:rPr>
          <w:lang w:val="en-GB"/>
        </w:rPr>
      </w:pPr>
      <w:r w:rsidRPr="00696359">
        <w:rPr>
          <w:lang w:val="en-GB"/>
        </w:rPr>
        <w:t xml:space="preserve">Of 98 cases of shigellosis notified to participating Public Health Units, 67 were male. Case ranged in age from 1 to 87 years (median 35 years; Table 1). Of notified cases, 56% were overseas acquired and 37% were in men who have sex with men. Groups traditionally considered at high risk for transmitting </w:t>
      </w:r>
      <w:r w:rsidRPr="00696359">
        <w:rPr>
          <w:i/>
          <w:iCs/>
          <w:lang w:val="en-GB"/>
        </w:rPr>
        <w:t>Shigella</w:t>
      </w:r>
      <w:r w:rsidRPr="00696359">
        <w:rPr>
          <w:lang w:val="en-GB"/>
        </w:rPr>
        <w:t xml:space="preserve">, including childcare attendees and workers, food handlers and healthcare workers, accounted for 13% of cases. Eighteen percent of cases were hospitalised. </w:t>
      </w:r>
    </w:p>
    <w:p w14:paraId="3711542A" w14:textId="77777777" w:rsidR="00696359" w:rsidRDefault="00696359" w:rsidP="00696359">
      <w:pPr>
        <w:rPr>
          <w:lang w:val="en-GB"/>
        </w:rPr>
        <w:sectPr w:rsidR="00696359"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696359">
        <w:rPr>
          <w:lang w:val="en-GB"/>
        </w:rPr>
        <w:t xml:space="preserve">Of notified cases, 95 were analysed for markers of genotypic resistance. Of these, 48.4% were XDR; 5.4% were MDR but sensitive to third generation cephalosporins; and 21.1% were resistant to all of ampicillin, ciprofloxacin, co-trimoxazole, ceftriaxone and azithromycin. XDR </w:t>
      </w:r>
      <w:r w:rsidRPr="00696359">
        <w:rPr>
          <w:i/>
          <w:iCs/>
          <w:lang w:val="en-GB"/>
        </w:rPr>
        <w:t>Shigella</w:t>
      </w:r>
      <w:r w:rsidRPr="00696359">
        <w:rPr>
          <w:lang w:val="en-GB"/>
        </w:rPr>
        <w:t xml:space="preserve"> was more common in MSM cases than in overseas acquired cases. Eight cases identified as MSM and acquired </w:t>
      </w:r>
      <w:r w:rsidRPr="00696359">
        <w:rPr>
          <w:i/>
          <w:iCs/>
          <w:lang w:val="en-GB"/>
        </w:rPr>
        <w:t>Shigella</w:t>
      </w:r>
      <w:r w:rsidRPr="00696359">
        <w:rPr>
          <w:lang w:val="en-GB"/>
        </w:rPr>
        <w:t xml:space="preserve"> infection overseas. No carbapenem resistance was detected. Sixty-one percent of cases were treated with antibiotics; 71.9% received appropriate antibiotics. </w:t>
      </w:r>
    </w:p>
    <w:p w14:paraId="49ACE218" w14:textId="77777777" w:rsidR="00696359" w:rsidRPr="00696359" w:rsidRDefault="00696359" w:rsidP="00696359">
      <w:pPr>
        <w:pStyle w:val="CDITable-Title"/>
        <w:spacing w:before="0"/>
        <w:rPr>
          <w:lang w:val="en-GB"/>
        </w:rPr>
      </w:pPr>
      <w:r w:rsidRPr="00696359">
        <w:rPr>
          <w:lang w:val="en-GB"/>
        </w:rPr>
        <w:t>Table 1: Characteristics and treatment of cases of shigellosis notified to three Public Health Units in Southeast Queensland, 1 January 2022 – 31 December 2023</w:t>
      </w:r>
    </w:p>
    <w:tbl>
      <w:tblPr>
        <w:tblW w:w="0" w:type="auto"/>
        <w:tblLayout w:type="fixed"/>
        <w:tblCellMar>
          <w:left w:w="0" w:type="dxa"/>
          <w:right w:w="0" w:type="dxa"/>
        </w:tblCellMar>
        <w:tblLook w:val="0000" w:firstRow="0" w:lastRow="0" w:firstColumn="0" w:lastColumn="0" w:noHBand="0" w:noVBand="0"/>
        <w:tblCaption w:val="Table 1: Characteristics and treatment of cases of shigellosis notified to three Public Health Units in Southeast Queensland, 1 January 2022 – 31 December 2023"/>
        <w:tblDescription w:val="Table 1: XDR Shigella accounted for 44.3% of cases of shigellosis notified to three Public Health Units in South-East Queensland from 1 January 2022 to 31 December 2023. Genotypic antimicrobial resistance against antibiotics commonly used to treat shigellosis ranged from 43.0% to 71.0%."/>
      </w:tblPr>
      <w:tblGrid>
        <w:gridCol w:w="5216"/>
        <w:gridCol w:w="4535"/>
        <w:gridCol w:w="1531"/>
        <w:gridCol w:w="1531"/>
        <w:gridCol w:w="1530"/>
      </w:tblGrid>
      <w:tr w:rsidR="00E81322" w:rsidRPr="00E81322" w14:paraId="1CD9BEC5" w14:textId="77777777" w:rsidTr="00277B60">
        <w:trPr>
          <w:trHeight w:val="60"/>
          <w:tblHeader/>
        </w:trPr>
        <w:tc>
          <w:tcPr>
            <w:tcW w:w="5216" w:type="dxa"/>
            <w:vMerge w:val="restart"/>
            <w:shd w:val="clear" w:color="auto" w:fill="1E4496" w:themeFill="text2"/>
            <w:tcMar>
              <w:top w:w="113" w:type="dxa"/>
              <w:left w:w="113" w:type="dxa"/>
              <w:bottom w:w="113" w:type="dxa"/>
              <w:right w:w="113" w:type="dxa"/>
            </w:tcMar>
            <w:vAlign w:val="bottom"/>
          </w:tcPr>
          <w:p w14:paraId="22382C15" w14:textId="77777777" w:rsidR="00E81322" w:rsidRPr="00E81322" w:rsidRDefault="00E81322" w:rsidP="00E81322">
            <w:pPr>
              <w:pStyle w:val="CDITable-HeaderRowLeft"/>
            </w:pPr>
            <w:r w:rsidRPr="00E81322">
              <w:t>Characteristic</w:t>
            </w:r>
          </w:p>
        </w:tc>
        <w:tc>
          <w:tcPr>
            <w:tcW w:w="4535" w:type="dxa"/>
            <w:vMerge w:val="restart"/>
            <w:shd w:val="clear" w:color="auto" w:fill="1E4496" w:themeFill="text2"/>
            <w:tcMar>
              <w:top w:w="113" w:type="dxa"/>
              <w:left w:w="113" w:type="dxa"/>
              <w:bottom w:w="113" w:type="dxa"/>
              <w:right w:w="113" w:type="dxa"/>
            </w:tcMar>
            <w:vAlign w:val="bottom"/>
          </w:tcPr>
          <w:p w14:paraId="5FFFDB9F" w14:textId="77777777" w:rsidR="00E81322" w:rsidRPr="00E81322" w:rsidRDefault="00E81322" w:rsidP="00E81322">
            <w:pPr>
              <w:pStyle w:val="CDITable-HeaderRowLeft"/>
            </w:pPr>
            <w:r w:rsidRPr="00E81322">
              <w:t>Category</w:t>
            </w:r>
          </w:p>
        </w:tc>
        <w:tc>
          <w:tcPr>
            <w:tcW w:w="1531" w:type="dxa"/>
            <w:vMerge w:val="restart"/>
            <w:shd w:val="clear" w:color="auto" w:fill="1E4496" w:themeFill="text2"/>
            <w:tcMar>
              <w:top w:w="113" w:type="dxa"/>
              <w:left w:w="113" w:type="dxa"/>
              <w:bottom w:w="113" w:type="dxa"/>
              <w:right w:w="113" w:type="dxa"/>
            </w:tcMar>
            <w:vAlign w:val="bottom"/>
          </w:tcPr>
          <w:p w14:paraId="7599533A" w14:textId="77777777" w:rsidR="00E81322" w:rsidRPr="00E81322" w:rsidRDefault="00E81322" w:rsidP="00E81322">
            <w:pPr>
              <w:pStyle w:val="CDITable-HeaderRowCentre"/>
            </w:pPr>
            <w:r w:rsidRPr="00E81322">
              <w:t>N</w:t>
            </w:r>
            <w:r w:rsidRPr="00E81322">
              <w:rPr>
                <w:vertAlign w:val="superscript"/>
              </w:rPr>
              <w:t>a</w:t>
            </w:r>
          </w:p>
        </w:tc>
        <w:tc>
          <w:tcPr>
            <w:tcW w:w="3061"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61ACA90" w14:textId="77777777" w:rsidR="00E81322" w:rsidRPr="00E81322" w:rsidRDefault="00E81322" w:rsidP="00E81322">
            <w:pPr>
              <w:pStyle w:val="CDITable-HeaderRowCentre"/>
            </w:pPr>
            <w:r w:rsidRPr="00E81322">
              <w:t>Cases</w:t>
            </w:r>
          </w:p>
        </w:tc>
      </w:tr>
      <w:tr w:rsidR="00E81322" w:rsidRPr="00E81322" w14:paraId="23AFC818" w14:textId="77777777" w:rsidTr="00277B60">
        <w:trPr>
          <w:trHeight w:val="60"/>
          <w:tblHeader/>
        </w:trPr>
        <w:tc>
          <w:tcPr>
            <w:tcW w:w="5216" w:type="dxa"/>
            <w:vMerge/>
            <w:shd w:val="clear" w:color="auto" w:fill="1E4496" w:themeFill="text2"/>
          </w:tcPr>
          <w:p w14:paraId="687857D7" w14:textId="77777777" w:rsidR="00E81322" w:rsidRPr="00E81322" w:rsidRDefault="00E81322" w:rsidP="00E81322"/>
        </w:tc>
        <w:tc>
          <w:tcPr>
            <w:tcW w:w="4535" w:type="dxa"/>
            <w:vMerge/>
            <w:shd w:val="clear" w:color="auto" w:fill="1E4496" w:themeFill="text2"/>
          </w:tcPr>
          <w:p w14:paraId="6BCECFDC" w14:textId="77777777" w:rsidR="00E81322" w:rsidRPr="00E81322" w:rsidRDefault="00E81322" w:rsidP="00E81322"/>
        </w:tc>
        <w:tc>
          <w:tcPr>
            <w:tcW w:w="1531" w:type="dxa"/>
            <w:vMerge/>
            <w:shd w:val="clear" w:color="auto" w:fill="1E4496" w:themeFill="text2"/>
          </w:tcPr>
          <w:p w14:paraId="78091551" w14:textId="77777777" w:rsidR="00E81322" w:rsidRPr="00E81322" w:rsidRDefault="00E81322" w:rsidP="00E81322">
            <w:pPr>
              <w:pStyle w:val="CDITable-HeaderRowCentre"/>
            </w:pPr>
          </w:p>
        </w:tc>
        <w:tc>
          <w:tcPr>
            <w:tcW w:w="1531"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F83C1EF" w14:textId="77777777" w:rsidR="00E81322" w:rsidRPr="00E81322" w:rsidRDefault="00E81322" w:rsidP="00E81322">
            <w:pPr>
              <w:pStyle w:val="CDITable-HeaderRowCentre"/>
            </w:pPr>
            <w:r w:rsidRPr="00E81322">
              <w:t>n</w:t>
            </w:r>
          </w:p>
        </w:tc>
        <w:tc>
          <w:tcPr>
            <w:tcW w:w="153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CB3AAE4" w14:textId="77777777" w:rsidR="00E81322" w:rsidRPr="00E81322" w:rsidRDefault="00E81322" w:rsidP="00E81322">
            <w:pPr>
              <w:pStyle w:val="CDITable-HeaderRowCentre"/>
            </w:pPr>
            <w:r w:rsidRPr="00E81322">
              <w:t>%</w:t>
            </w:r>
          </w:p>
        </w:tc>
      </w:tr>
      <w:tr w:rsidR="00E81322" w:rsidRPr="00E81322" w14:paraId="16C9A1E2" w14:textId="77777777" w:rsidTr="00277B60">
        <w:trPr>
          <w:trHeight w:val="60"/>
        </w:trPr>
        <w:tc>
          <w:tcPr>
            <w:tcW w:w="5216" w:type="dxa"/>
            <w:tcBorders>
              <w:bottom w:val="single" w:sz="6" w:space="0" w:color="1E4496" w:themeColor="text2"/>
            </w:tcBorders>
            <w:tcMar>
              <w:top w:w="108" w:type="dxa"/>
              <w:left w:w="113" w:type="dxa"/>
              <w:bottom w:w="108" w:type="dxa"/>
              <w:right w:w="113" w:type="dxa"/>
            </w:tcMar>
            <w:vAlign w:val="center"/>
          </w:tcPr>
          <w:p w14:paraId="299BFD56" w14:textId="77777777" w:rsidR="00E81322" w:rsidRPr="00E81322" w:rsidRDefault="00E81322" w:rsidP="00E81322">
            <w:pPr>
              <w:pStyle w:val="CDITable-RowLeft"/>
            </w:pPr>
            <w:r w:rsidRPr="00E81322">
              <w:t>Age in years</w:t>
            </w:r>
          </w:p>
        </w:tc>
        <w:tc>
          <w:tcPr>
            <w:tcW w:w="4535" w:type="dxa"/>
            <w:tcBorders>
              <w:bottom w:val="single" w:sz="6" w:space="0" w:color="1E4496" w:themeColor="text2"/>
            </w:tcBorders>
            <w:tcMar>
              <w:top w:w="108" w:type="dxa"/>
              <w:left w:w="113" w:type="dxa"/>
              <w:bottom w:w="108" w:type="dxa"/>
              <w:right w:w="113" w:type="dxa"/>
            </w:tcMar>
            <w:vAlign w:val="center"/>
          </w:tcPr>
          <w:p w14:paraId="6052A40E" w14:textId="77777777" w:rsidR="00E81322" w:rsidRPr="00E81322" w:rsidRDefault="00E81322" w:rsidP="00E81322">
            <w:pPr>
              <w:pStyle w:val="CDITable-RowLeft"/>
            </w:pPr>
            <w:r w:rsidRPr="00E81322">
              <w:t>—</w:t>
            </w:r>
          </w:p>
        </w:tc>
        <w:tc>
          <w:tcPr>
            <w:tcW w:w="1531" w:type="dxa"/>
            <w:tcBorders>
              <w:bottom w:val="single" w:sz="6" w:space="0" w:color="1E4496" w:themeColor="text2"/>
            </w:tcBorders>
            <w:tcMar>
              <w:top w:w="108" w:type="dxa"/>
              <w:left w:w="113" w:type="dxa"/>
              <w:bottom w:w="108" w:type="dxa"/>
              <w:right w:w="113" w:type="dxa"/>
            </w:tcMar>
            <w:vAlign w:val="center"/>
          </w:tcPr>
          <w:p w14:paraId="5D6CA8CB" w14:textId="77777777" w:rsidR="00E81322" w:rsidRPr="00E81322" w:rsidRDefault="00E81322" w:rsidP="00E81322">
            <w:pPr>
              <w:pStyle w:val="CDITable-RowCentre"/>
            </w:pPr>
            <w:r w:rsidRPr="00E81322">
              <w:t>98</w:t>
            </w:r>
          </w:p>
        </w:tc>
        <w:tc>
          <w:tcPr>
            <w:tcW w:w="1531" w:type="dxa"/>
            <w:tcBorders>
              <w:bottom w:val="single" w:sz="6" w:space="0" w:color="1E4496" w:themeColor="text2"/>
            </w:tcBorders>
            <w:tcMar>
              <w:top w:w="108" w:type="dxa"/>
              <w:left w:w="113" w:type="dxa"/>
              <w:bottom w:w="108" w:type="dxa"/>
              <w:right w:w="113" w:type="dxa"/>
            </w:tcMar>
            <w:vAlign w:val="center"/>
          </w:tcPr>
          <w:p w14:paraId="2C944951" w14:textId="77777777" w:rsidR="00E81322" w:rsidRPr="00E81322" w:rsidRDefault="00E81322" w:rsidP="00E81322">
            <w:pPr>
              <w:pStyle w:val="CDITable-RowCentre"/>
            </w:pPr>
            <w:r w:rsidRPr="00E81322">
              <w:t>35</w:t>
            </w:r>
            <w:r w:rsidRPr="00E81322">
              <w:rPr>
                <w:vertAlign w:val="superscript"/>
              </w:rPr>
              <w:t>b</w:t>
            </w:r>
          </w:p>
        </w:tc>
        <w:tc>
          <w:tcPr>
            <w:tcW w:w="1530" w:type="dxa"/>
            <w:tcBorders>
              <w:bottom w:val="single" w:sz="6" w:space="0" w:color="1E4496" w:themeColor="text2"/>
            </w:tcBorders>
            <w:tcMar>
              <w:top w:w="108" w:type="dxa"/>
              <w:left w:w="113" w:type="dxa"/>
              <w:bottom w:w="108" w:type="dxa"/>
              <w:right w:w="113" w:type="dxa"/>
            </w:tcMar>
            <w:vAlign w:val="center"/>
          </w:tcPr>
          <w:p w14:paraId="4FCD6C89" w14:textId="77777777" w:rsidR="00E81322" w:rsidRPr="00E81322" w:rsidRDefault="00E81322" w:rsidP="00E81322">
            <w:pPr>
              <w:pStyle w:val="CDITable-RowCentre"/>
            </w:pPr>
            <w:r w:rsidRPr="00E81322">
              <w:t>1–87</w:t>
            </w:r>
            <w:r w:rsidRPr="00E81322">
              <w:rPr>
                <w:vertAlign w:val="superscript"/>
              </w:rPr>
              <w:t>c</w:t>
            </w:r>
          </w:p>
        </w:tc>
      </w:tr>
      <w:tr w:rsidR="00E81322" w:rsidRPr="00E81322" w14:paraId="4F3CF55C" w14:textId="77777777" w:rsidTr="00277B60">
        <w:trPr>
          <w:trHeight w:val="60"/>
        </w:trPr>
        <w:tc>
          <w:tcPr>
            <w:tcW w:w="5216"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05413F9" w14:textId="77777777" w:rsidR="00E81322" w:rsidRPr="00E81322" w:rsidRDefault="00E81322" w:rsidP="00E81322">
            <w:pPr>
              <w:pStyle w:val="CDITable-RowLeft"/>
            </w:pPr>
            <w:r w:rsidRPr="00E81322">
              <w:t>Sex</w:t>
            </w: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48F0C20" w14:textId="77777777" w:rsidR="00E81322" w:rsidRPr="00E81322" w:rsidRDefault="00E81322" w:rsidP="00E81322">
            <w:pPr>
              <w:pStyle w:val="CDITable-RowLeft"/>
            </w:pPr>
            <w:r w:rsidRPr="00E81322">
              <w:t>male</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ED10B35" w14:textId="77777777" w:rsidR="00E81322" w:rsidRPr="00E81322" w:rsidRDefault="00E81322" w:rsidP="00E81322">
            <w:pPr>
              <w:pStyle w:val="CDITable-RowCentre"/>
            </w:pPr>
            <w:r w:rsidRPr="00E81322">
              <w:t>98</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4A7B316" w14:textId="77777777" w:rsidR="00E81322" w:rsidRPr="00E81322" w:rsidRDefault="00E81322" w:rsidP="00E81322">
            <w:pPr>
              <w:pStyle w:val="CDITable-RowCentre"/>
            </w:pPr>
            <w:r w:rsidRPr="00E81322">
              <w:t>67</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08E5418" w14:textId="77777777" w:rsidR="00E81322" w:rsidRPr="00E81322" w:rsidRDefault="00E81322" w:rsidP="00E81322">
            <w:pPr>
              <w:pStyle w:val="CDITable-RowCentre"/>
            </w:pPr>
            <w:r w:rsidRPr="00E81322">
              <w:t>68.4%</w:t>
            </w:r>
          </w:p>
        </w:tc>
      </w:tr>
      <w:tr w:rsidR="00E81322" w:rsidRPr="00E81322" w14:paraId="4F669A04" w14:textId="77777777" w:rsidTr="00277B60">
        <w:trPr>
          <w:trHeight w:val="60"/>
        </w:trPr>
        <w:tc>
          <w:tcPr>
            <w:tcW w:w="5216" w:type="dxa"/>
            <w:vMerge w:val="restart"/>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09D9FB0" w14:textId="77777777" w:rsidR="00E81322" w:rsidRPr="00E81322" w:rsidRDefault="00E81322" w:rsidP="00E81322">
            <w:pPr>
              <w:pStyle w:val="CDITable-RowLeft"/>
            </w:pPr>
            <w:r w:rsidRPr="00E81322">
              <w:t>Species</w:t>
            </w: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A0417E6" w14:textId="77777777" w:rsidR="00E81322" w:rsidRPr="00E81322" w:rsidRDefault="00E81322" w:rsidP="00E81322">
            <w:pPr>
              <w:pStyle w:val="CDITable-RowLeft"/>
              <w:rPr>
                <w:i/>
                <w:iCs/>
              </w:rPr>
            </w:pPr>
            <w:r w:rsidRPr="00E81322">
              <w:rPr>
                <w:i/>
                <w:iCs/>
              </w:rPr>
              <w:t>Shigella sonnei</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A15C139" w14:textId="77777777" w:rsidR="00E81322" w:rsidRPr="00E81322" w:rsidRDefault="00E81322" w:rsidP="00E81322">
            <w:pPr>
              <w:pStyle w:val="CDITable-RowCentre"/>
            </w:pPr>
            <w:r w:rsidRPr="00E81322">
              <w:t>98</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FA28C68" w14:textId="77777777" w:rsidR="00E81322" w:rsidRPr="00E81322" w:rsidRDefault="00E81322" w:rsidP="00E81322">
            <w:pPr>
              <w:pStyle w:val="CDITable-RowCentre"/>
            </w:pPr>
            <w:r w:rsidRPr="00E81322">
              <w:t>63</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9F176C7" w14:textId="77777777" w:rsidR="00E81322" w:rsidRPr="00E81322" w:rsidRDefault="00E81322" w:rsidP="00E81322">
            <w:pPr>
              <w:pStyle w:val="CDITable-RowCentre"/>
            </w:pPr>
            <w:r w:rsidRPr="00E81322">
              <w:t>64.3%</w:t>
            </w:r>
          </w:p>
        </w:tc>
      </w:tr>
      <w:tr w:rsidR="00E81322" w:rsidRPr="00E81322" w14:paraId="05EB4651"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2E2F709C" w14:textId="77777777" w:rsidR="00E81322" w:rsidRPr="00E81322" w:rsidRDefault="00E81322" w:rsidP="00E81322">
            <w:pPr>
              <w:pStyle w:val="CDITable-RowLeft"/>
            </w:pP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CFFCC63" w14:textId="77777777" w:rsidR="00E81322" w:rsidRPr="00E81322" w:rsidRDefault="00E81322" w:rsidP="00E81322">
            <w:pPr>
              <w:pStyle w:val="CDITable-RowLeft"/>
              <w:rPr>
                <w:i/>
                <w:iCs/>
              </w:rPr>
            </w:pPr>
            <w:r w:rsidRPr="00E81322">
              <w:rPr>
                <w:i/>
                <w:iCs/>
              </w:rPr>
              <w:t>Shigella flexneri</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C50E941" w14:textId="77777777" w:rsidR="00E81322" w:rsidRPr="00E81322" w:rsidRDefault="00E81322" w:rsidP="00E81322">
            <w:pPr>
              <w:pStyle w:val="CDITable-RowCentre"/>
            </w:pPr>
            <w:r w:rsidRPr="00E81322">
              <w:t>98</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7111CAF" w14:textId="77777777" w:rsidR="00E81322" w:rsidRPr="00E81322" w:rsidRDefault="00E81322" w:rsidP="00E81322">
            <w:pPr>
              <w:pStyle w:val="CDITable-RowCentre"/>
            </w:pPr>
            <w:r w:rsidRPr="00E81322">
              <w:t>31</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68636A6" w14:textId="77777777" w:rsidR="00E81322" w:rsidRPr="00E81322" w:rsidRDefault="00E81322" w:rsidP="00E81322">
            <w:pPr>
              <w:pStyle w:val="CDITable-RowCentre"/>
            </w:pPr>
            <w:r w:rsidRPr="00E81322">
              <w:t>31.6%</w:t>
            </w:r>
          </w:p>
        </w:tc>
      </w:tr>
      <w:tr w:rsidR="00E81322" w:rsidRPr="00E81322" w14:paraId="515B0F19" w14:textId="77777777" w:rsidTr="00277B60">
        <w:trPr>
          <w:trHeight w:val="60"/>
        </w:trPr>
        <w:tc>
          <w:tcPr>
            <w:tcW w:w="5216"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DF533E5" w14:textId="77777777" w:rsidR="00E81322" w:rsidRPr="00E81322" w:rsidRDefault="00E81322" w:rsidP="00E81322">
            <w:pPr>
              <w:pStyle w:val="CDITable-RowLeft"/>
            </w:pPr>
            <w:r w:rsidRPr="00E81322">
              <w:t>Overseas acquired</w:t>
            </w: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2D4A0F3" w14:textId="77777777" w:rsidR="00E81322" w:rsidRPr="00E81322" w:rsidRDefault="00E81322" w:rsidP="00E81322">
            <w:pPr>
              <w:pStyle w:val="CDITable-RowLeft"/>
            </w:pPr>
            <w:r w:rsidRPr="00E81322">
              <w:t>—</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22F4C11" w14:textId="77777777" w:rsidR="00E81322" w:rsidRPr="00E81322" w:rsidRDefault="00E81322" w:rsidP="00E81322">
            <w:pPr>
              <w:pStyle w:val="CDITable-RowCentre"/>
            </w:pPr>
            <w:r w:rsidRPr="00E81322">
              <w:t>95</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B85EE16" w14:textId="77777777" w:rsidR="00E81322" w:rsidRPr="00E81322" w:rsidRDefault="00E81322" w:rsidP="00E81322">
            <w:pPr>
              <w:pStyle w:val="CDITable-RowCentre"/>
            </w:pPr>
            <w:r w:rsidRPr="00E81322">
              <w:t>53</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C0B8787" w14:textId="77777777" w:rsidR="00E81322" w:rsidRPr="00E81322" w:rsidRDefault="00E81322" w:rsidP="00E81322">
            <w:pPr>
              <w:pStyle w:val="CDITable-RowCentre"/>
            </w:pPr>
            <w:r w:rsidRPr="00E81322">
              <w:t>55.8%</w:t>
            </w:r>
          </w:p>
        </w:tc>
      </w:tr>
      <w:tr w:rsidR="00E81322" w:rsidRPr="00E81322" w14:paraId="1DE2A2B8" w14:textId="77777777" w:rsidTr="00277B60">
        <w:trPr>
          <w:trHeight w:val="60"/>
        </w:trPr>
        <w:tc>
          <w:tcPr>
            <w:tcW w:w="5216"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D5F0FBE" w14:textId="77777777" w:rsidR="00E81322" w:rsidRPr="00E81322" w:rsidRDefault="00E81322" w:rsidP="00E81322">
            <w:pPr>
              <w:pStyle w:val="CDITable-RowLeft"/>
            </w:pPr>
            <w:r w:rsidRPr="00E81322">
              <w:t>Men who have sex with men (MSM)</w:t>
            </w: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2EBC7D0" w14:textId="77777777" w:rsidR="00E81322" w:rsidRPr="00E81322" w:rsidRDefault="00E81322" w:rsidP="00E81322">
            <w:pPr>
              <w:pStyle w:val="CDITable-RowLeft"/>
            </w:pPr>
            <w:r w:rsidRPr="00E81322">
              <w:t>—</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A5D3D99" w14:textId="77777777" w:rsidR="00E81322" w:rsidRPr="00E81322" w:rsidRDefault="00E81322" w:rsidP="00E81322">
            <w:pPr>
              <w:pStyle w:val="CDITable-RowCentre"/>
            </w:pPr>
            <w:r w:rsidRPr="00E81322">
              <w:t>97</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610D18E" w14:textId="77777777" w:rsidR="00E81322" w:rsidRPr="00E81322" w:rsidRDefault="00E81322" w:rsidP="00E81322">
            <w:pPr>
              <w:pStyle w:val="CDITable-RowCentre"/>
            </w:pPr>
            <w:r w:rsidRPr="00E81322">
              <w:t>36</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E43E630" w14:textId="77777777" w:rsidR="00E81322" w:rsidRPr="00E81322" w:rsidRDefault="00E81322" w:rsidP="00E81322">
            <w:pPr>
              <w:pStyle w:val="CDITable-RowCentre"/>
            </w:pPr>
            <w:r w:rsidRPr="00E81322">
              <w:t>37.1%</w:t>
            </w:r>
          </w:p>
        </w:tc>
      </w:tr>
      <w:tr w:rsidR="00E81322" w:rsidRPr="00E81322" w14:paraId="7D9743A3" w14:textId="77777777" w:rsidTr="00277B60">
        <w:trPr>
          <w:trHeight w:val="60"/>
        </w:trPr>
        <w:tc>
          <w:tcPr>
            <w:tcW w:w="5216"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A893A2C" w14:textId="77777777" w:rsidR="00E81322" w:rsidRPr="00E81322" w:rsidRDefault="00E81322" w:rsidP="00E81322">
            <w:pPr>
              <w:pStyle w:val="CDITable-RowLeft"/>
            </w:pPr>
            <w:r w:rsidRPr="00E81322">
              <w:t>Case is in groups traditionally listed as high-</w:t>
            </w:r>
            <w:proofErr w:type="spellStart"/>
            <w:r w:rsidRPr="00E81322">
              <w:t>risk</w:t>
            </w:r>
            <w:r w:rsidRPr="00E81322">
              <w:rPr>
                <w:vertAlign w:val="superscript"/>
              </w:rPr>
              <w:t>d</w:t>
            </w:r>
            <w:proofErr w:type="spellEnd"/>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D896ED9" w14:textId="77777777" w:rsidR="00E81322" w:rsidRPr="00E81322" w:rsidRDefault="00E81322" w:rsidP="00E81322">
            <w:pPr>
              <w:pStyle w:val="CDITable-RowLeft"/>
            </w:pPr>
            <w:r w:rsidRPr="00E81322">
              <w:t>—</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C6E2B89" w14:textId="77777777" w:rsidR="00E81322" w:rsidRPr="00E81322" w:rsidRDefault="00E81322" w:rsidP="00E81322">
            <w:pPr>
              <w:pStyle w:val="CDITable-RowCentre"/>
            </w:pPr>
            <w:r w:rsidRPr="00E81322">
              <w:t>98</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9890327" w14:textId="77777777" w:rsidR="00E81322" w:rsidRPr="00E81322" w:rsidRDefault="00E81322" w:rsidP="00E81322">
            <w:pPr>
              <w:pStyle w:val="CDITable-RowCentre"/>
            </w:pPr>
            <w:r w:rsidRPr="00E81322">
              <w:t>13</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84AEDF2" w14:textId="77777777" w:rsidR="00E81322" w:rsidRPr="00E81322" w:rsidRDefault="00E81322" w:rsidP="00E81322">
            <w:pPr>
              <w:pStyle w:val="CDITable-RowCentre"/>
            </w:pPr>
            <w:r w:rsidRPr="00E81322">
              <w:t>13.3%</w:t>
            </w:r>
          </w:p>
        </w:tc>
      </w:tr>
      <w:tr w:rsidR="00E81322" w:rsidRPr="00E81322" w14:paraId="498BFA66" w14:textId="77777777" w:rsidTr="00277B60">
        <w:trPr>
          <w:trHeight w:val="60"/>
        </w:trPr>
        <w:tc>
          <w:tcPr>
            <w:tcW w:w="5216"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F0AC58B" w14:textId="77777777" w:rsidR="00E81322" w:rsidRPr="00E81322" w:rsidRDefault="00E81322" w:rsidP="00E81322">
            <w:pPr>
              <w:pStyle w:val="CDITable-RowLeft"/>
            </w:pPr>
            <w:proofErr w:type="spellStart"/>
            <w:r w:rsidRPr="00E81322">
              <w:t>Hospitalisation</w:t>
            </w:r>
            <w:r w:rsidRPr="00E81322">
              <w:rPr>
                <w:vertAlign w:val="superscript"/>
              </w:rPr>
              <w:t>e</w:t>
            </w:r>
            <w:proofErr w:type="spellEnd"/>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B492CC1" w14:textId="77777777" w:rsidR="00E81322" w:rsidRPr="00E81322" w:rsidRDefault="00E81322" w:rsidP="00E81322">
            <w:pPr>
              <w:pStyle w:val="CDITable-RowLeft"/>
            </w:pPr>
            <w:r w:rsidRPr="00E81322">
              <w:t>—</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146B7FC" w14:textId="77777777" w:rsidR="00E81322" w:rsidRPr="00E81322" w:rsidRDefault="00E81322" w:rsidP="00E81322">
            <w:pPr>
              <w:pStyle w:val="CDITable-RowCentre"/>
            </w:pPr>
            <w:r w:rsidRPr="00E81322">
              <w:t>98</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10D3084" w14:textId="77777777" w:rsidR="00E81322" w:rsidRPr="00E81322" w:rsidRDefault="00E81322" w:rsidP="00E81322">
            <w:pPr>
              <w:pStyle w:val="CDITable-RowCentre"/>
            </w:pPr>
            <w:r w:rsidRPr="00E81322">
              <w:t>18</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20AF5FF" w14:textId="77777777" w:rsidR="00E81322" w:rsidRPr="00E81322" w:rsidRDefault="00E81322" w:rsidP="00E81322">
            <w:pPr>
              <w:pStyle w:val="CDITable-RowCentre"/>
            </w:pPr>
            <w:r w:rsidRPr="00E81322">
              <w:t>18.4%</w:t>
            </w:r>
          </w:p>
        </w:tc>
      </w:tr>
      <w:tr w:rsidR="00E81322" w:rsidRPr="00E81322" w14:paraId="601EAD96" w14:textId="77777777" w:rsidTr="00277B60">
        <w:trPr>
          <w:trHeight w:val="60"/>
        </w:trPr>
        <w:tc>
          <w:tcPr>
            <w:tcW w:w="5216" w:type="dxa"/>
            <w:vMerge w:val="restart"/>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A11EED4" w14:textId="77777777" w:rsidR="00E81322" w:rsidRPr="00E81322" w:rsidRDefault="00E81322" w:rsidP="00E81322">
            <w:pPr>
              <w:pStyle w:val="CDITable-RowLeft"/>
            </w:pPr>
            <w:r w:rsidRPr="00E81322">
              <w:t>Phenotypic antimicrobial resistance results</w:t>
            </w: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D03F157" w14:textId="77777777" w:rsidR="00E81322" w:rsidRPr="00E81322" w:rsidRDefault="00E81322" w:rsidP="00E81322">
            <w:pPr>
              <w:pStyle w:val="CDITable-RowLeft"/>
            </w:pPr>
            <w:r w:rsidRPr="00E81322">
              <w:t xml:space="preserve">Ampicillin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B4E6488" w14:textId="77777777" w:rsidR="00E81322" w:rsidRPr="00E81322" w:rsidRDefault="00E81322" w:rsidP="00E81322">
            <w:pPr>
              <w:pStyle w:val="CDITable-RowCentre"/>
            </w:pPr>
            <w:r w:rsidRPr="00E81322">
              <w:t>79</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9738BA6" w14:textId="77777777" w:rsidR="00E81322" w:rsidRPr="00E81322" w:rsidRDefault="00E81322" w:rsidP="00E81322">
            <w:pPr>
              <w:pStyle w:val="CDITable-RowCentre"/>
            </w:pPr>
            <w:r w:rsidRPr="00E81322">
              <w:t>52</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0C13BC5" w14:textId="77777777" w:rsidR="00E81322" w:rsidRPr="00E81322" w:rsidRDefault="00E81322" w:rsidP="00E81322">
            <w:pPr>
              <w:pStyle w:val="CDITable-RowCentre"/>
            </w:pPr>
            <w:r w:rsidRPr="00E81322">
              <w:t>65.8%</w:t>
            </w:r>
          </w:p>
        </w:tc>
      </w:tr>
      <w:tr w:rsidR="00E81322" w:rsidRPr="00E81322" w14:paraId="1D10ECC1"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13F6361A" w14:textId="77777777" w:rsidR="00E81322" w:rsidRPr="00E81322" w:rsidRDefault="00E81322" w:rsidP="00E81322">
            <w:pPr>
              <w:pStyle w:val="CDITable-RowLeft"/>
            </w:pP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786386B" w14:textId="77777777" w:rsidR="00E81322" w:rsidRPr="00E81322" w:rsidRDefault="00E81322" w:rsidP="00E81322">
            <w:pPr>
              <w:pStyle w:val="CDITable-RowLeft"/>
            </w:pPr>
            <w:r w:rsidRPr="00E81322">
              <w:t xml:space="preserve">Ciprofloxacin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32F4AD2" w14:textId="77777777" w:rsidR="00E81322" w:rsidRPr="00E81322" w:rsidRDefault="00E81322" w:rsidP="00E81322">
            <w:pPr>
              <w:pStyle w:val="CDITable-RowCentre"/>
            </w:pPr>
            <w:r w:rsidRPr="00E81322">
              <w:t>76</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8562DFB" w14:textId="77777777" w:rsidR="00E81322" w:rsidRPr="00E81322" w:rsidRDefault="00E81322" w:rsidP="00E81322">
            <w:pPr>
              <w:pStyle w:val="CDITable-RowCentre"/>
            </w:pPr>
            <w:r w:rsidRPr="00E81322">
              <w:t>41</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D2EF244" w14:textId="77777777" w:rsidR="00E81322" w:rsidRPr="00E81322" w:rsidRDefault="00E81322" w:rsidP="00E81322">
            <w:pPr>
              <w:pStyle w:val="CDITable-RowCentre"/>
            </w:pPr>
            <w:r w:rsidRPr="00E81322">
              <w:t>53.9%</w:t>
            </w:r>
          </w:p>
        </w:tc>
      </w:tr>
      <w:tr w:rsidR="00E81322" w:rsidRPr="00E81322" w14:paraId="18F4C9C2"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2D57579F" w14:textId="77777777" w:rsidR="00E81322" w:rsidRPr="00E81322" w:rsidRDefault="00E81322" w:rsidP="00E81322">
            <w:pPr>
              <w:pStyle w:val="CDITable-RowLeft"/>
            </w:pP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AC92863" w14:textId="77777777" w:rsidR="00E81322" w:rsidRPr="00E81322" w:rsidRDefault="00E81322" w:rsidP="00E81322">
            <w:pPr>
              <w:pStyle w:val="CDITable-RowLeft"/>
            </w:pPr>
            <w:r w:rsidRPr="00E81322">
              <w:t xml:space="preserve">Co-trimoxazole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21F053A" w14:textId="77777777" w:rsidR="00E81322" w:rsidRPr="00E81322" w:rsidRDefault="00E81322" w:rsidP="00E81322">
            <w:pPr>
              <w:pStyle w:val="CDITable-RowCentre"/>
            </w:pPr>
            <w:r w:rsidRPr="00E81322">
              <w:t>80</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B1862CD" w14:textId="77777777" w:rsidR="00E81322" w:rsidRPr="00E81322" w:rsidRDefault="00E81322" w:rsidP="00E81322">
            <w:pPr>
              <w:pStyle w:val="CDITable-RowCentre"/>
            </w:pPr>
            <w:r w:rsidRPr="00E81322">
              <w:t>60</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1933F6B" w14:textId="77777777" w:rsidR="00E81322" w:rsidRPr="00E81322" w:rsidRDefault="00E81322" w:rsidP="00E81322">
            <w:pPr>
              <w:pStyle w:val="CDITable-RowCentre"/>
            </w:pPr>
            <w:r w:rsidRPr="00E81322">
              <w:t>75.0%</w:t>
            </w:r>
          </w:p>
        </w:tc>
      </w:tr>
      <w:tr w:rsidR="00E81322" w:rsidRPr="00E81322" w14:paraId="5F0425AF"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01ECE1CF" w14:textId="77777777" w:rsidR="00E81322" w:rsidRPr="00E81322" w:rsidRDefault="00E81322" w:rsidP="00E81322"/>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79F7CDD" w14:textId="77777777" w:rsidR="00E81322" w:rsidRPr="00E81322" w:rsidRDefault="00E81322" w:rsidP="00E81322">
            <w:pPr>
              <w:pStyle w:val="CDITable-RowLeft"/>
            </w:pPr>
            <w:r w:rsidRPr="00E81322">
              <w:t xml:space="preserve">Ceftriaxone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C86331B" w14:textId="77777777" w:rsidR="00E81322" w:rsidRPr="00E81322" w:rsidRDefault="00E81322" w:rsidP="00E81322">
            <w:pPr>
              <w:pStyle w:val="CDITable-RowCentre"/>
            </w:pPr>
            <w:r w:rsidRPr="00E81322">
              <w:t>48</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363774B" w14:textId="77777777" w:rsidR="00E81322" w:rsidRPr="00E81322" w:rsidRDefault="00E81322" w:rsidP="00E81322">
            <w:pPr>
              <w:pStyle w:val="CDITable-RowCentre"/>
            </w:pPr>
            <w:r w:rsidRPr="00E81322">
              <w:t>15</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9E41B9D" w14:textId="77777777" w:rsidR="00E81322" w:rsidRPr="00E81322" w:rsidRDefault="00E81322" w:rsidP="00E81322">
            <w:pPr>
              <w:pStyle w:val="CDITable-RowCentre"/>
            </w:pPr>
            <w:r w:rsidRPr="00E81322">
              <w:t>31.3%</w:t>
            </w:r>
          </w:p>
        </w:tc>
      </w:tr>
      <w:tr w:rsidR="00E81322" w:rsidRPr="00E81322" w14:paraId="567BA01D"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3D2687A3" w14:textId="77777777" w:rsidR="00E81322" w:rsidRPr="00E81322" w:rsidRDefault="00E81322" w:rsidP="00E81322"/>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A2E429F" w14:textId="77777777" w:rsidR="00E81322" w:rsidRPr="00E81322" w:rsidRDefault="00E81322" w:rsidP="00E81322">
            <w:pPr>
              <w:pStyle w:val="CDITable-RowLeft"/>
            </w:pPr>
            <w:r w:rsidRPr="00E81322">
              <w:t xml:space="preserve">Azithromycin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BBE8F67" w14:textId="77777777" w:rsidR="00E81322" w:rsidRPr="00E81322" w:rsidRDefault="00E81322" w:rsidP="00E81322">
            <w:pPr>
              <w:pStyle w:val="CDITable-RowCentre"/>
            </w:pPr>
            <w:r w:rsidRPr="00E81322">
              <w:t>52</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8901A64" w14:textId="77777777" w:rsidR="00E81322" w:rsidRPr="00E81322" w:rsidRDefault="00E81322" w:rsidP="00E81322">
            <w:pPr>
              <w:pStyle w:val="CDITable-RowCentre"/>
            </w:pPr>
            <w:r w:rsidRPr="00E81322">
              <w:t>33</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B513C1A" w14:textId="77777777" w:rsidR="00E81322" w:rsidRPr="00E81322" w:rsidRDefault="00E81322" w:rsidP="00E81322">
            <w:pPr>
              <w:pStyle w:val="CDITable-RowCentre"/>
            </w:pPr>
            <w:r w:rsidRPr="00E81322">
              <w:t>63.5%</w:t>
            </w:r>
          </w:p>
        </w:tc>
      </w:tr>
      <w:tr w:rsidR="00E81322" w:rsidRPr="00E81322" w14:paraId="30849D51" w14:textId="77777777" w:rsidTr="00277B60">
        <w:trPr>
          <w:trHeight w:val="60"/>
        </w:trPr>
        <w:tc>
          <w:tcPr>
            <w:tcW w:w="5216" w:type="dxa"/>
            <w:vMerge w:val="restart"/>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FBA5D3D" w14:textId="77777777" w:rsidR="00E81322" w:rsidRPr="00E81322" w:rsidRDefault="00E81322" w:rsidP="00E81322">
            <w:pPr>
              <w:pStyle w:val="CDITable-RowLeft"/>
            </w:pPr>
            <w:r w:rsidRPr="00E81322">
              <w:t>Genotypic antimicrobial resistance results</w:t>
            </w: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B97CBCC" w14:textId="77777777" w:rsidR="00E81322" w:rsidRPr="00E81322" w:rsidRDefault="00E81322" w:rsidP="00E81322">
            <w:pPr>
              <w:pStyle w:val="CDITable-RowLeft"/>
            </w:pPr>
            <w:r w:rsidRPr="00E81322">
              <w:t xml:space="preserve">Ampicillin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9721465" w14:textId="77777777" w:rsidR="00E81322" w:rsidRPr="00E81322" w:rsidRDefault="00E81322" w:rsidP="00E81322">
            <w:pPr>
              <w:pStyle w:val="CDITable-RowCentre"/>
            </w:pPr>
            <w:r w:rsidRPr="00E81322">
              <w:t>95</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88544E1" w14:textId="77777777" w:rsidR="00E81322" w:rsidRPr="00E81322" w:rsidRDefault="00E81322" w:rsidP="00E81322">
            <w:pPr>
              <w:pStyle w:val="CDITable-RowCentre"/>
            </w:pPr>
            <w:r w:rsidRPr="00E81322">
              <w:t>62</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BB02B93" w14:textId="77777777" w:rsidR="00E81322" w:rsidRPr="00E81322" w:rsidRDefault="00E81322" w:rsidP="00E81322">
            <w:pPr>
              <w:pStyle w:val="CDITable-RowCentre"/>
            </w:pPr>
            <w:r w:rsidRPr="00E81322">
              <w:t>65.3%</w:t>
            </w:r>
          </w:p>
        </w:tc>
      </w:tr>
      <w:tr w:rsidR="00E81322" w:rsidRPr="00E81322" w14:paraId="6D056D22"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6A93EA17" w14:textId="77777777" w:rsidR="00E81322" w:rsidRPr="00E81322" w:rsidRDefault="00E81322" w:rsidP="00E81322">
            <w:pPr>
              <w:pStyle w:val="CDITable-RowLeft"/>
            </w:pPr>
          </w:p>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47886100" w14:textId="77777777" w:rsidR="00E81322" w:rsidRPr="00E81322" w:rsidRDefault="00E81322" w:rsidP="00E81322">
            <w:pPr>
              <w:pStyle w:val="CDITable-RowLeft"/>
            </w:pPr>
            <w:r w:rsidRPr="00E81322">
              <w:t xml:space="preserve">Ciprofloxacin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5FE2560" w14:textId="77777777" w:rsidR="00E81322" w:rsidRPr="00E81322" w:rsidRDefault="00E81322" w:rsidP="00E81322">
            <w:pPr>
              <w:pStyle w:val="CDITable-RowCentre"/>
            </w:pPr>
            <w:r w:rsidRPr="00E81322">
              <w:t>95</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1ECAEB1" w14:textId="77777777" w:rsidR="00E81322" w:rsidRPr="00E81322" w:rsidRDefault="00E81322" w:rsidP="00E81322">
            <w:pPr>
              <w:pStyle w:val="CDITable-RowCentre"/>
            </w:pPr>
            <w:r w:rsidRPr="00E81322">
              <w:t>48</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FF67579" w14:textId="77777777" w:rsidR="00E81322" w:rsidRPr="00E81322" w:rsidRDefault="00E81322" w:rsidP="00E81322">
            <w:pPr>
              <w:pStyle w:val="CDITable-RowCentre"/>
            </w:pPr>
            <w:r w:rsidRPr="00E81322">
              <w:t>50.5%</w:t>
            </w:r>
          </w:p>
        </w:tc>
      </w:tr>
      <w:tr w:rsidR="00E81322" w:rsidRPr="00E81322" w14:paraId="3770CF34"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0438AAD0" w14:textId="77777777" w:rsidR="00E81322" w:rsidRPr="00E81322" w:rsidRDefault="00E81322" w:rsidP="00E81322"/>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0CFDB1FA" w14:textId="77777777" w:rsidR="00E81322" w:rsidRPr="00E81322" w:rsidRDefault="00E81322" w:rsidP="00E81322">
            <w:pPr>
              <w:pStyle w:val="CDITable-RowLeft"/>
            </w:pPr>
            <w:r w:rsidRPr="00E81322">
              <w:t xml:space="preserve">Co-trimoxazole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BA17113" w14:textId="77777777" w:rsidR="00E81322" w:rsidRPr="00E81322" w:rsidRDefault="00E81322" w:rsidP="00E81322">
            <w:pPr>
              <w:pStyle w:val="CDITable-RowCentre"/>
            </w:pPr>
            <w:r w:rsidRPr="00E81322">
              <w:t>95</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7B7BDB03" w14:textId="77777777" w:rsidR="00E81322" w:rsidRPr="00E81322" w:rsidRDefault="00E81322" w:rsidP="00E81322">
            <w:pPr>
              <w:pStyle w:val="CDITable-RowCentre"/>
            </w:pPr>
            <w:r w:rsidRPr="00E81322">
              <w:t>67</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598DFEB2" w14:textId="77777777" w:rsidR="00E81322" w:rsidRPr="00E81322" w:rsidRDefault="00E81322" w:rsidP="00E81322">
            <w:pPr>
              <w:pStyle w:val="CDITable-RowCentre"/>
            </w:pPr>
            <w:r w:rsidRPr="00E81322">
              <w:t>70.5%</w:t>
            </w:r>
          </w:p>
        </w:tc>
      </w:tr>
      <w:tr w:rsidR="00E81322" w:rsidRPr="00E81322" w14:paraId="193C269C"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7DC9BDE0" w14:textId="77777777" w:rsidR="00E81322" w:rsidRPr="00E81322" w:rsidRDefault="00E81322" w:rsidP="00E81322"/>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3F863F39" w14:textId="77777777" w:rsidR="00E81322" w:rsidRPr="00E81322" w:rsidRDefault="00E81322" w:rsidP="00E81322">
            <w:pPr>
              <w:pStyle w:val="CDITable-RowLeft"/>
            </w:pPr>
            <w:r w:rsidRPr="00E81322">
              <w:t xml:space="preserve">Ceftriaxone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C34497F" w14:textId="77777777" w:rsidR="00E81322" w:rsidRPr="00E81322" w:rsidRDefault="00E81322" w:rsidP="00E81322">
            <w:pPr>
              <w:pStyle w:val="CDITable-RowCentre"/>
            </w:pPr>
            <w:r w:rsidRPr="00E81322">
              <w:t>95</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CF4542C" w14:textId="77777777" w:rsidR="00E81322" w:rsidRPr="00E81322" w:rsidRDefault="00E81322" w:rsidP="00E81322">
            <w:pPr>
              <w:pStyle w:val="CDITable-RowCentre"/>
            </w:pPr>
            <w:r w:rsidRPr="00E81322">
              <w:t>46</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44DD6F3" w14:textId="77777777" w:rsidR="00E81322" w:rsidRPr="00E81322" w:rsidRDefault="00E81322" w:rsidP="00E81322">
            <w:pPr>
              <w:pStyle w:val="CDITable-RowCentre"/>
            </w:pPr>
            <w:r w:rsidRPr="00E81322">
              <w:t>48.4%</w:t>
            </w:r>
          </w:p>
        </w:tc>
      </w:tr>
      <w:tr w:rsidR="00E81322" w:rsidRPr="00E81322" w14:paraId="0A772866" w14:textId="77777777" w:rsidTr="00277B60">
        <w:trPr>
          <w:trHeight w:val="60"/>
        </w:trPr>
        <w:tc>
          <w:tcPr>
            <w:tcW w:w="5216" w:type="dxa"/>
            <w:vMerge/>
            <w:tcBorders>
              <w:bottom w:val="single" w:sz="6" w:space="0" w:color="1E4496" w:themeColor="text2"/>
            </w:tcBorders>
            <w:tcMar>
              <w:top w:w="108" w:type="dxa"/>
              <w:left w:w="113" w:type="dxa"/>
              <w:bottom w:w="108" w:type="dxa"/>
              <w:right w:w="113" w:type="dxa"/>
            </w:tcMar>
          </w:tcPr>
          <w:p w14:paraId="33A1EB97" w14:textId="77777777" w:rsidR="00E81322" w:rsidRPr="00E81322" w:rsidRDefault="00E81322" w:rsidP="00E81322"/>
        </w:tc>
        <w:tc>
          <w:tcPr>
            <w:tcW w:w="4535"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65D7CD2E" w14:textId="77777777" w:rsidR="00E81322" w:rsidRPr="00E81322" w:rsidRDefault="00E81322" w:rsidP="00E81322">
            <w:pPr>
              <w:pStyle w:val="CDITable-RowLeft"/>
            </w:pPr>
            <w:r w:rsidRPr="00E81322">
              <w:t xml:space="preserve">Azithromycin resistant </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22E748EF" w14:textId="77777777" w:rsidR="00E81322" w:rsidRPr="00E81322" w:rsidRDefault="00E81322" w:rsidP="00E81322">
            <w:pPr>
              <w:pStyle w:val="CDITable-RowCentre"/>
            </w:pPr>
            <w:r w:rsidRPr="00E81322">
              <w:t>95</w:t>
            </w:r>
          </w:p>
        </w:tc>
        <w:tc>
          <w:tcPr>
            <w:tcW w:w="1531"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DE5CFE5" w14:textId="77777777" w:rsidR="00E81322" w:rsidRPr="00E81322" w:rsidRDefault="00E81322" w:rsidP="00E81322">
            <w:pPr>
              <w:pStyle w:val="CDITable-RowCentre"/>
            </w:pPr>
            <w:r w:rsidRPr="00E81322">
              <w:t>42</w:t>
            </w:r>
          </w:p>
        </w:tc>
        <w:tc>
          <w:tcPr>
            <w:tcW w:w="1530" w:type="dxa"/>
            <w:tcBorders>
              <w:top w:val="single" w:sz="6" w:space="0" w:color="1E4496" w:themeColor="text2"/>
              <w:bottom w:val="single" w:sz="6" w:space="0" w:color="1E4496" w:themeColor="text2"/>
            </w:tcBorders>
            <w:tcMar>
              <w:top w:w="108" w:type="dxa"/>
              <w:left w:w="113" w:type="dxa"/>
              <w:bottom w:w="108" w:type="dxa"/>
              <w:right w:w="113" w:type="dxa"/>
            </w:tcMar>
            <w:vAlign w:val="center"/>
          </w:tcPr>
          <w:p w14:paraId="14653A38" w14:textId="77777777" w:rsidR="00E81322" w:rsidRPr="00E81322" w:rsidRDefault="00E81322" w:rsidP="00E81322">
            <w:pPr>
              <w:pStyle w:val="CDITable-RowCentre"/>
            </w:pPr>
            <w:r w:rsidRPr="00E81322">
              <w:t>44.2%</w:t>
            </w:r>
          </w:p>
        </w:tc>
      </w:tr>
      <w:tr w:rsidR="00E81322" w:rsidRPr="00E81322" w14:paraId="73007AE4" w14:textId="77777777" w:rsidTr="00277B60">
        <w:trPr>
          <w:trHeight w:val="60"/>
        </w:trPr>
        <w:tc>
          <w:tcPr>
            <w:tcW w:w="521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55916C" w14:textId="77777777" w:rsidR="00E81322" w:rsidRPr="00E81322" w:rsidRDefault="00E81322" w:rsidP="00E81322">
            <w:pPr>
              <w:pStyle w:val="CDITable-RowLeft"/>
            </w:pPr>
            <w:r w:rsidRPr="00E81322">
              <w:t xml:space="preserve">Extended spectrum beta-lactamase (ESBL) gene detected </w:t>
            </w:r>
          </w:p>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B890D6" w14:textId="77777777" w:rsidR="00E81322" w:rsidRPr="00E81322" w:rsidRDefault="00E81322" w:rsidP="00E81322">
            <w:pPr>
              <w:pStyle w:val="CDITable-RowLeft"/>
            </w:pPr>
            <w:r w:rsidRPr="00E81322">
              <w:t>—</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9928DA" w14:textId="77777777" w:rsidR="00E81322" w:rsidRPr="00E81322" w:rsidRDefault="00E81322" w:rsidP="00E81322">
            <w:pPr>
              <w:pStyle w:val="CDITable-RowCentre"/>
            </w:pPr>
            <w:r w:rsidRPr="00E81322">
              <w:t>84</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C0F521" w14:textId="77777777" w:rsidR="00E81322" w:rsidRPr="00E81322" w:rsidRDefault="00E81322" w:rsidP="00E81322">
            <w:pPr>
              <w:pStyle w:val="CDITable-RowCentre"/>
            </w:pPr>
            <w:r w:rsidRPr="00E81322">
              <w:t>32</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88ED32" w14:textId="77777777" w:rsidR="00E81322" w:rsidRPr="00E81322" w:rsidRDefault="00E81322" w:rsidP="00E81322">
            <w:pPr>
              <w:pStyle w:val="CDITable-RowCentre"/>
            </w:pPr>
            <w:r w:rsidRPr="00E81322">
              <w:t>38.1%</w:t>
            </w:r>
          </w:p>
        </w:tc>
      </w:tr>
      <w:tr w:rsidR="00E81322" w:rsidRPr="00E81322" w14:paraId="0D3A6037" w14:textId="77777777" w:rsidTr="00277B60">
        <w:trPr>
          <w:trHeight w:val="60"/>
        </w:trPr>
        <w:tc>
          <w:tcPr>
            <w:tcW w:w="5216"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777409" w14:textId="205985C3" w:rsidR="00E81322" w:rsidRPr="00E81322" w:rsidRDefault="00E81322" w:rsidP="00E81322">
            <w:pPr>
              <w:pStyle w:val="CDITable-RowLeft"/>
            </w:pPr>
            <w:r w:rsidRPr="00E81322">
              <w:t xml:space="preserve">Summary of antimicrobial </w:t>
            </w:r>
            <w:proofErr w:type="spellStart"/>
            <w:r w:rsidRPr="00E81322">
              <w:t>resistance</w:t>
            </w:r>
            <w:r w:rsidRPr="00E81322">
              <w:rPr>
                <w:vertAlign w:val="superscript"/>
              </w:rPr>
              <w:t>f</w:t>
            </w:r>
            <w:proofErr w:type="spellEnd"/>
          </w:p>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AB7D2D" w14:textId="77777777" w:rsidR="00E81322" w:rsidRPr="00E81322" w:rsidRDefault="00E81322" w:rsidP="00E81322">
            <w:pPr>
              <w:pStyle w:val="CDITable-RowLeft"/>
            </w:pPr>
            <w:proofErr w:type="spellStart"/>
            <w:r w:rsidRPr="00E81322">
              <w:t>XDR</w:t>
            </w:r>
            <w:r w:rsidRPr="00E81322">
              <w:rPr>
                <w:vertAlign w:val="superscript"/>
              </w:rPr>
              <w:t>g</w:t>
            </w:r>
            <w:proofErr w:type="spellEnd"/>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EDDD39" w14:textId="77777777" w:rsidR="00E81322" w:rsidRPr="00E81322" w:rsidRDefault="00E81322" w:rsidP="00E81322">
            <w:pPr>
              <w:pStyle w:val="CDITable-RowCentre"/>
            </w:pPr>
            <w:r w:rsidRPr="00E81322">
              <w:t>95</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4C9E30" w14:textId="77777777" w:rsidR="00E81322" w:rsidRPr="00E81322" w:rsidRDefault="00E81322" w:rsidP="00E81322">
            <w:pPr>
              <w:pStyle w:val="CDITable-RowCentre"/>
            </w:pPr>
            <w:r w:rsidRPr="00E81322">
              <w:t>46</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5D600C" w14:textId="77777777" w:rsidR="00E81322" w:rsidRPr="00E81322" w:rsidRDefault="00E81322" w:rsidP="00E81322">
            <w:pPr>
              <w:pStyle w:val="CDITable-RowCentre"/>
            </w:pPr>
            <w:r w:rsidRPr="00E81322">
              <w:t>48.4%</w:t>
            </w:r>
          </w:p>
        </w:tc>
      </w:tr>
      <w:tr w:rsidR="00E81322" w:rsidRPr="00E81322" w14:paraId="1DFA04EB" w14:textId="77777777" w:rsidTr="00277B60">
        <w:trPr>
          <w:trHeight w:val="60"/>
        </w:trPr>
        <w:tc>
          <w:tcPr>
            <w:tcW w:w="5216" w:type="dxa"/>
            <w:vMerge/>
            <w:tcBorders>
              <w:top w:val="single" w:sz="6" w:space="0" w:color="1E4496" w:themeColor="text2"/>
              <w:bottom w:val="single" w:sz="6" w:space="0" w:color="1E4496" w:themeColor="text2"/>
            </w:tcBorders>
          </w:tcPr>
          <w:p w14:paraId="1389C5C5" w14:textId="77777777" w:rsidR="00E81322" w:rsidRPr="00E81322" w:rsidRDefault="00E81322" w:rsidP="00E81322">
            <w:pPr>
              <w:pStyle w:val="CDITable-RowLeft"/>
            </w:pPr>
          </w:p>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74DB5A" w14:textId="77777777" w:rsidR="00E81322" w:rsidRPr="00E81322" w:rsidRDefault="00E81322" w:rsidP="00E81322">
            <w:pPr>
              <w:pStyle w:val="CDITable-RowLeft"/>
            </w:pPr>
            <w:proofErr w:type="spellStart"/>
            <w:r w:rsidRPr="00E81322">
              <w:t>MDR</w:t>
            </w:r>
            <w:r w:rsidRPr="00E81322">
              <w:rPr>
                <w:vertAlign w:val="superscript"/>
              </w:rPr>
              <w:t>h</w:t>
            </w:r>
            <w:proofErr w:type="spellEnd"/>
            <w:r w:rsidRPr="00E81322">
              <w:t xml:space="preserve"> but not XDR</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0FDBCB" w14:textId="77777777" w:rsidR="00E81322" w:rsidRPr="00E81322" w:rsidRDefault="00E81322" w:rsidP="00E81322">
            <w:pPr>
              <w:pStyle w:val="CDITable-RowCentre"/>
            </w:pPr>
            <w:r w:rsidRPr="00E81322">
              <w:t>95</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6FDB42" w14:textId="77777777" w:rsidR="00E81322" w:rsidRPr="00E81322" w:rsidRDefault="00E81322" w:rsidP="00E81322">
            <w:pPr>
              <w:pStyle w:val="CDITable-RowCentre"/>
            </w:pPr>
            <w:r w:rsidRPr="00E81322">
              <w:t>5</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3B24A7" w14:textId="77777777" w:rsidR="00E81322" w:rsidRPr="00E81322" w:rsidRDefault="00E81322" w:rsidP="00E81322">
            <w:pPr>
              <w:pStyle w:val="CDITable-RowCentre"/>
            </w:pPr>
            <w:r w:rsidRPr="00E81322">
              <w:t>5.4%</w:t>
            </w:r>
          </w:p>
        </w:tc>
      </w:tr>
      <w:tr w:rsidR="00E81322" w:rsidRPr="00E81322" w14:paraId="5F4DE773" w14:textId="77777777" w:rsidTr="00277B60">
        <w:trPr>
          <w:trHeight w:val="60"/>
        </w:trPr>
        <w:tc>
          <w:tcPr>
            <w:tcW w:w="5216"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9B800B" w14:textId="77777777" w:rsidR="00E81322" w:rsidRPr="00E81322" w:rsidRDefault="00E81322" w:rsidP="00E81322">
            <w:pPr>
              <w:pStyle w:val="CDITable-RowLeft"/>
            </w:pPr>
            <w:r w:rsidRPr="00E81322">
              <w:t>Antimicrobial resistance in MSM</w:t>
            </w:r>
          </w:p>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8BE337" w14:textId="77777777" w:rsidR="00E81322" w:rsidRPr="00E81322" w:rsidRDefault="00E81322" w:rsidP="00E81322">
            <w:pPr>
              <w:pStyle w:val="CDITable-RowLeft"/>
            </w:pPr>
            <w:r w:rsidRPr="00E81322">
              <w:t>XDR</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9877D2" w14:textId="77777777" w:rsidR="00E81322" w:rsidRPr="00E81322" w:rsidRDefault="00E81322" w:rsidP="00E81322">
            <w:pPr>
              <w:pStyle w:val="CDITable-RowCentre"/>
            </w:pPr>
            <w:r w:rsidRPr="00E81322">
              <w:t>35</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3967AA" w14:textId="77777777" w:rsidR="00E81322" w:rsidRPr="00E81322" w:rsidRDefault="00E81322" w:rsidP="00E81322">
            <w:pPr>
              <w:pStyle w:val="CDITable-RowCentre"/>
            </w:pPr>
            <w:r w:rsidRPr="00E81322">
              <w:t>28</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4ABD53" w14:textId="77777777" w:rsidR="00E81322" w:rsidRPr="00E81322" w:rsidRDefault="00E81322" w:rsidP="00E81322">
            <w:pPr>
              <w:pStyle w:val="CDITable-RowCentre"/>
            </w:pPr>
            <w:r w:rsidRPr="00E81322">
              <w:t>80.0%</w:t>
            </w:r>
          </w:p>
        </w:tc>
      </w:tr>
      <w:tr w:rsidR="00E81322" w:rsidRPr="00E81322" w14:paraId="6B588B43" w14:textId="77777777" w:rsidTr="00277B60">
        <w:trPr>
          <w:trHeight w:val="60"/>
        </w:trPr>
        <w:tc>
          <w:tcPr>
            <w:tcW w:w="5216" w:type="dxa"/>
            <w:vMerge/>
            <w:tcBorders>
              <w:top w:val="single" w:sz="6" w:space="0" w:color="1E4496" w:themeColor="text2"/>
              <w:bottom w:val="single" w:sz="6" w:space="0" w:color="1E4496" w:themeColor="text2"/>
            </w:tcBorders>
          </w:tcPr>
          <w:p w14:paraId="4AB51FDC" w14:textId="77777777" w:rsidR="00E81322" w:rsidRPr="00E81322" w:rsidRDefault="00E81322" w:rsidP="00E81322">
            <w:pPr>
              <w:pStyle w:val="CDITable-RowLeft"/>
            </w:pPr>
          </w:p>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942925" w14:textId="77777777" w:rsidR="00E81322" w:rsidRPr="00E81322" w:rsidRDefault="00E81322" w:rsidP="00E81322">
            <w:pPr>
              <w:pStyle w:val="CDITable-RowLeft"/>
            </w:pPr>
            <w:r w:rsidRPr="00E81322">
              <w:t>MDR but not XDR</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FB2B56" w14:textId="77777777" w:rsidR="00E81322" w:rsidRPr="00E81322" w:rsidRDefault="00E81322" w:rsidP="00E81322">
            <w:pPr>
              <w:pStyle w:val="CDITable-RowCentre"/>
            </w:pPr>
            <w:r w:rsidRPr="00E81322">
              <w:t>35</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BA533C" w14:textId="77777777" w:rsidR="00E81322" w:rsidRPr="00E81322" w:rsidRDefault="00E81322" w:rsidP="00E81322">
            <w:pPr>
              <w:pStyle w:val="CDITable-RowCentre"/>
            </w:pPr>
            <w:r w:rsidRPr="00E81322">
              <w:t>4</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18328F" w14:textId="77777777" w:rsidR="00E81322" w:rsidRPr="00E81322" w:rsidRDefault="00E81322" w:rsidP="00E81322">
            <w:pPr>
              <w:pStyle w:val="CDITable-RowCentre"/>
            </w:pPr>
            <w:r w:rsidRPr="00E81322">
              <w:t>11.4%</w:t>
            </w:r>
          </w:p>
        </w:tc>
      </w:tr>
      <w:tr w:rsidR="00E81322" w:rsidRPr="00E81322" w14:paraId="607293C3" w14:textId="77777777" w:rsidTr="00277B60">
        <w:trPr>
          <w:trHeight w:val="60"/>
        </w:trPr>
        <w:tc>
          <w:tcPr>
            <w:tcW w:w="5216"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E37829" w14:textId="77777777" w:rsidR="00E81322" w:rsidRPr="00E81322" w:rsidRDefault="00E81322" w:rsidP="00E81322">
            <w:pPr>
              <w:pStyle w:val="CDITable-RowLeft"/>
            </w:pPr>
            <w:r w:rsidRPr="00E81322">
              <w:t>Antimicrobial resistance in overseas acquired cases</w:t>
            </w:r>
          </w:p>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85893F" w14:textId="77777777" w:rsidR="00E81322" w:rsidRPr="00E81322" w:rsidRDefault="00E81322" w:rsidP="00E81322">
            <w:pPr>
              <w:pStyle w:val="CDITable-RowLeft"/>
            </w:pPr>
            <w:r w:rsidRPr="00E81322">
              <w:t>XDR</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EF1340" w14:textId="77777777" w:rsidR="00E81322" w:rsidRPr="00E81322" w:rsidRDefault="00E81322" w:rsidP="00E81322">
            <w:pPr>
              <w:pStyle w:val="CDITable-RowCentre"/>
            </w:pPr>
            <w:r w:rsidRPr="00E81322">
              <w:t>51</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C23E2A" w14:textId="77777777" w:rsidR="00E81322" w:rsidRPr="00E81322" w:rsidRDefault="00E81322" w:rsidP="00E81322">
            <w:pPr>
              <w:pStyle w:val="CDITable-RowCentre"/>
            </w:pPr>
            <w:r w:rsidRPr="00E81322">
              <w:t>17</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D7A8C7" w14:textId="77777777" w:rsidR="00E81322" w:rsidRPr="00E81322" w:rsidRDefault="00E81322" w:rsidP="00E81322">
            <w:pPr>
              <w:pStyle w:val="CDITable-RowCentre"/>
            </w:pPr>
            <w:r w:rsidRPr="00E81322">
              <w:t>33.3%</w:t>
            </w:r>
          </w:p>
        </w:tc>
      </w:tr>
      <w:tr w:rsidR="00E81322" w:rsidRPr="00E81322" w14:paraId="4407FCD7" w14:textId="77777777" w:rsidTr="00277B60">
        <w:trPr>
          <w:trHeight w:val="60"/>
        </w:trPr>
        <w:tc>
          <w:tcPr>
            <w:tcW w:w="5216" w:type="dxa"/>
            <w:vMerge/>
            <w:tcBorders>
              <w:top w:val="single" w:sz="6" w:space="0" w:color="1E4496" w:themeColor="text2"/>
              <w:bottom w:val="single" w:sz="6" w:space="0" w:color="1E4496" w:themeColor="text2"/>
            </w:tcBorders>
          </w:tcPr>
          <w:p w14:paraId="269B85E5" w14:textId="77777777" w:rsidR="00E81322" w:rsidRPr="00E81322" w:rsidRDefault="00E81322" w:rsidP="00E81322">
            <w:pPr>
              <w:pStyle w:val="CDITable-RowLeft"/>
            </w:pPr>
          </w:p>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6C64CE" w14:textId="77777777" w:rsidR="00E81322" w:rsidRPr="00E81322" w:rsidRDefault="00E81322" w:rsidP="00E81322">
            <w:pPr>
              <w:pStyle w:val="CDITable-RowLeft"/>
            </w:pPr>
            <w:r w:rsidRPr="00E81322">
              <w:t>MDR but not XDR</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63F8AB" w14:textId="77777777" w:rsidR="00E81322" w:rsidRPr="00E81322" w:rsidRDefault="00E81322" w:rsidP="00E81322">
            <w:pPr>
              <w:pStyle w:val="CDITable-RowCentre"/>
            </w:pPr>
            <w:r w:rsidRPr="00E81322">
              <w:t>51</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479D0D" w14:textId="77777777" w:rsidR="00E81322" w:rsidRPr="00E81322" w:rsidRDefault="00E81322" w:rsidP="00E81322">
            <w:pPr>
              <w:pStyle w:val="CDITable-RowCentre"/>
            </w:pPr>
            <w:r w:rsidRPr="00E81322">
              <w:t>2</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60C8E6" w14:textId="77777777" w:rsidR="00E81322" w:rsidRPr="00E81322" w:rsidRDefault="00E81322" w:rsidP="00E81322">
            <w:pPr>
              <w:pStyle w:val="CDITable-RowCentre"/>
            </w:pPr>
            <w:r w:rsidRPr="00E81322">
              <w:t>3.9%</w:t>
            </w:r>
          </w:p>
        </w:tc>
      </w:tr>
      <w:tr w:rsidR="00E81322" w:rsidRPr="00E81322" w14:paraId="4CCBAD60" w14:textId="77777777" w:rsidTr="00277B60">
        <w:trPr>
          <w:trHeight w:val="60"/>
        </w:trPr>
        <w:tc>
          <w:tcPr>
            <w:tcW w:w="5216"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7BA36B" w14:textId="77777777" w:rsidR="00E81322" w:rsidRPr="00E81322" w:rsidRDefault="00E81322" w:rsidP="00E81322">
            <w:pPr>
              <w:pStyle w:val="CDITable-RowLeft"/>
            </w:pPr>
            <w:r w:rsidRPr="00E81322">
              <w:t>Treated with antibiotics</w:t>
            </w:r>
          </w:p>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38F524" w14:textId="77777777" w:rsidR="00E81322" w:rsidRPr="00E81322" w:rsidRDefault="00E81322" w:rsidP="00E81322">
            <w:pPr>
              <w:pStyle w:val="CDITable-RowLeft"/>
            </w:pPr>
            <w:r w:rsidRPr="00E81322">
              <w:t>—</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216BE7" w14:textId="77777777" w:rsidR="00E81322" w:rsidRPr="00E81322" w:rsidRDefault="00E81322" w:rsidP="00E81322">
            <w:pPr>
              <w:pStyle w:val="CDITable-RowCentre"/>
            </w:pPr>
            <w:r w:rsidRPr="00E81322">
              <w:t>72</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354BAA" w14:textId="77777777" w:rsidR="00E81322" w:rsidRPr="00E81322" w:rsidRDefault="00E81322" w:rsidP="00E81322">
            <w:pPr>
              <w:pStyle w:val="CDITable-RowCentre"/>
            </w:pPr>
            <w:r w:rsidRPr="00E81322">
              <w:t>44</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A4B549" w14:textId="77777777" w:rsidR="00E81322" w:rsidRPr="00E81322" w:rsidRDefault="00E81322" w:rsidP="00E81322">
            <w:pPr>
              <w:pStyle w:val="CDITable-RowCentre"/>
            </w:pPr>
            <w:r w:rsidRPr="00E81322">
              <w:t>61.1%</w:t>
            </w:r>
          </w:p>
        </w:tc>
      </w:tr>
      <w:tr w:rsidR="00E81322" w:rsidRPr="00E81322" w14:paraId="0A872A5B" w14:textId="77777777" w:rsidTr="00277B60">
        <w:trPr>
          <w:trHeight w:val="60"/>
        </w:trPr>
        <w:tc>
          <w:tcPr>
            <w:tcW w:w="5216" w:type="dxa"/>
            <w:vMerge/>
            <w:tcBorders>
              <w:top w:val="single" w:sz="6" w:space="0" w:color="1E4496" w:themeColor="text2"/>
              <w:bottom w:val="single" w:sz="6" w:space="0" w:color="1E4496" w:themeColor="text2"/>
            </w:tcBorders>
          </w:tcPr>
          <w:p w14:paraId="3CC71F61" w14:textId="77777777" w:rsidR="00E81322" w:rsidRPr="00E81322" w:rsidRDefault="00E81322" w:rsidP="00E81322"/>
        </w:tc>
        <w:tc>
          <w:tcPr>
            <w:tcW w:w="45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0BAE78" w14:textId="77777777" w:rsidR="00E81322" w:rsidRPr="00E81322" w:rsidRDefault="00E81322" w:rsidP="00E81322">
            <w:pPr>
              <w:pStyle w:val="CDITable-RowLeft"/>
            </w:pPr>
            <w:r w:rsidRPr="00E81322">
              <w:t>Treated with a suitable antibiotic, based on phenotypic resistance patterns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311074" w14:textId="77777777" w:rsidR="00E81322" w:rsidRPr="00E81322" w:rsidRDefault="00E81322" w:rsidP="00E81322">
            <w:pPr>
              <w:pStyle w:val="CDITable-RowCentre"/>
            </w:pPr>
            <w:r w:rsidRPr="00E81322">
              <w:t>32</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510A55" w14:textId="77777777" w:rsidR="00E81322" w:rsidRPr="00E81322" w:rsidRDefault="00E81322" w:rsidP="00E81322">
            <w:pPr>
              <w:pStyle w:val="CDITable-RowCentre"/>
            </w:pPr>
            <w:r w:rsidRPr="00E81322">
              <w:t>23</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0630B3" w14:textId="77777777" w:rsidR="00E81322" w:rsidRPr="00E81322" w:rsidRDefault="00E81322" w:rsidP="00E81322">
            <w:pPr>
              <w:pStyle w:val="CDITable-RowCentre"/>
            </w:pPr>
            <w:r w:rsidRPr="00E81322">
              <w:t>71.9%</w:t>
            </w:r>
          </w:p>
        </w:tc>
      </w:tr>
    </w:tbl>
    <w:p w14:paraId="4597A7D9" w14:textId="77777777" w:rsidR="00696359" w:rsidRPr="00696359" w:rsidRDefault="00696359" w:rsidP="00696359">
      <w:pPr>
        <w:pStyle w:val="CDITable-FirstFootnote"/>
        <w:rPr>
          <w:lang w:val="en-GB"/>
        </w:rPr>
      </w:pPr>
      <w:r w:rsidRPr="00696359">
        <w:rPr>
          <w:lang w:val="en-GB"/>
        </w:rPr>
        <w:t>a</w:t>
      </w:r>
      <w:r w:rsidRPr="00696359">
        <w:rPr>
          <w:lang w:val="en-GB"/>
        </w:rPr>
        <w:tab/>
        <w:t>Total number of cases for which data on the category (or, where ‘category’ is blank, the characteristic) is available.</w:t>
      </w:r>
    </w:p>
    <w:p w14:paraId="660F18A8" w14:textId="77777777" w:rsidR="00696359" w:rsidRPr="00696359" w:rsidRDefault="00696359" w:rsidP="00696359">
      <w:pPr>
        <w:pStyle w:val="CDITable-Footnote"/>
        <w:rPr>
          <w:lang w:val="en-GB"/>
        </w:rPr>
      </w:pPr>
      <w:r w:rsidRPr="00696359">
        <w:rPr>
          <w:lang w:val="en-GB"/>
        </w:rPr>
        <w:t>b</w:t>
      </w:r>
      <w:r w:rsidRPr="00696359">
        <w:rPr>
          <w:lang w:val="en-GB"/>
        </w:rPr>
        <w:tab/>
        <w:t>Median age in years, from 98 cases.</w:t>
      </w:r>
    </w:p>
    <w:p w14:paraId="6C31C34A" w14:textId="77777777" w:rsidR="00696359" w:rsidRPr="00696359" w:rsidRDefault="00696359" w:rsidP="00696359">
      <w:pPr>
        <w:pStyle w:val="CDITable-Footnote"/>
        <w:rPr>
          <w:lang w:val="en-GB"/>
        </w:rPr>
      </w:pPr>
      <w:r w:rsidRPr="00696359">
        <w:rPr>
          <w:lang w:val="en-GB"/>
        </w:rPr>
        <w:t>c</w:t>
      </w:r>
      <w:r w:rsidRPr="00696359">
        <w:rPr>
          <w:lang w:val="en-GB"/>
        </w:rPr>
        <w:tab/>
        <w:t>Range of ages in years, from 98 cases.</w:t>
      </w:r>
    </w:p>
    <w:p w14:paraId="4C1DDB0E" w14:textId="77777777" w:rsidR="00696359" w:rsidRPr="00696359" w:rsidRDefault="00696359" w:rsidP="00696359">
      <w:pPr>
        <w:pStyle w:val="CDITable-Footnote"/>
        <w:rPr>
          <w:lang w:val="en-GB"/>
        </w:rPr>
      </w:pPr>
      <w:r w:rsidRPr="00696359">
        <w:rPr>
          <w:lang w:val="en-GB"/>
        </w:rPr>
        <w:t>d</w:t>
      </w:r>
      <w:r w:rsidRPr="00696359">
        <w:rPr>
          <w:lang w:val="en-GB"/>
        </w:rPr>
        <w:tab/>
        <w:t xml:space="preserve">Groups traditionally considered at high risk of transmitting </w:t>
      </w:r>
      <w:r w:rsidRPr="00696359">
        <w:rPr>
          <w:i/>
          <w:iCs/>
          <w:lang w:val="en-GB"/>
        </w:rPr>
        <w:t>Shigella</w:t>
      </w:r>
      <w:r w:rsidRPr="00696359">
        <w:rPr>
          <w:lang w:val="en-GB"/>
        </w:rPr>
        <w:t xml:space="preserve"> include childcare attendees, childcare workers, healthcare workers and food handlers.</w:t>
      </w:r>
    </w:p>
    <w:p w14:paraId="30697497" w14:textId="77777777" w:rsidR="00696359" w:rsidRPr="00696359" w:rsidRDefault="00696359" w:rsidP="00696359">
      <w:pPr>
        <w:pStyle w:val="CDITable-Footnote"/>
        <w:rPr>
          <w:lang w:val="en-GB"/>
        </w:rPr>
      </w:pPr>
      <w:r w:rsidRPr="00696359">
        <w:rPr>
          <w:lang w:val="en-GB"/>
        </w:rPr>
        <w:t>e</w:t>
      </w:r>
      <w:r w:rsidRPr="00696359">
        <w:rPr>
          <w:lang w:val="en-GB"/>
        </w:rPr>
        <w:tab/>
        <w:t>Median duration of hospitalisation was 4 days, with a range of 1–9 days, from 18 hospitalised cases.</w:t>
      </w:r>
    </w:p>
    <w:p w14:paraId="58AA89CA" w14:textId="77777777" w:rsidR="00696359" w:rsidRPr="00696359" w:rsidRDefault="00696359" w:rsidP="00696359">
      <w:pPr>
        <w:pStyle w:val="CDITable-Footnote"/>
        <w:rPr>
          <w:lang w:val="en-GB"/>
        </w:rPr>
      </w:pPr>
      <w:r w:rsidRPr="00696359">
        <w:rPr>
          <w:lang w:val="en-GB"/>
        </w:rPr>
        <w:t>f</w:t>
      </w:r>
      <w:r w:rsidRPr="00696359">
        <w:rPr>
          <w:lang w:val="en-GB"/>
        </w:rPr>
        <w:tab/>
        <w:t>Summary is based on genotypic antimicrobial resistance and ESBL gene detection.</w:t>
      </w:r>
    </w:p>
    <w:p w14:paraId="2174E86C" w14:textId="73936AE7" w:rsidR="00696359" w:rsidRPr="00696359" w:rsidRDefault="00696359" w:rsidP="00696359">
      <w:pPr>
        <w:pStyle w:val="CDITable-Footnote"/>
        <w:rPr>
          <w:lang w:val="en-GB"/>
        </w:rPr>
      </w:pPr>
      <w:r w:rsidRPr="00696359">
        <w:rPr>
          <w:lang w:val="en-GB"/>
        </w:rPr>
        <w:t>g</w:t>
      </w:r>
      <w:r w:rsidRPr="00696359">
        <w:rPr>
          <w:lang w:val="en-GB"/>
        </w:rPr>
        <w:tab/>
        <w:t xml:space="preserve">XDR (extensively drug resistant): isolate that is phenotypically resistant to any </w:t>
      </w:r>
      <w:proofErr w:type="gramStart"/>
      <w:r w:rsidRPr="00696359">
        <w:rPr>
          <w:lang w:val="en-GB"/>
        </w:rPr>
        <w:t>third generation</w:t>
      </w:r>
      <w:proofErr w:type="gramEnd"/>
      <w:r w:rsidRPr="00696359">
        <w:rPr>
          <w:lang w:val="en-GB"/>
        </w:rPr>
        <w:t xml:space="preserve"> cephalosporin (e.g.</w:t>
      </w:r>
      <w:r>
        <w:rPr>
          <w:lang w:val="en-GB"/>
        </w:rPr>
        <w:t> </w:t>
      </w:r>
      <w:r w:rsidRPr="00696359">
        <w:rPr>
          <w:lang w:val="en-GB"/>
        </w:rPr>
        <w:t>ceftriaxone/cefotaxime/ceftazidime) or with genotypic detection of an ESBL gene.</w:t>
      </w:r>
    </w:p>
    <w:p w14:paraId="2ED6A1C1" w14:textId="77777777" w:rsidR="00696359" w:rsidRDefault="00696359" w:rsidP="00696359">
      <w:pPr>
        <w:pStyle w:val="CDITable-Footnote"/>
        <w:rPr>
          <w:lang w:val="en-GB"/>
        </w:rPr>
        <w:sectPr w:rsidR="00696359" w:rsidSect="00696359">
          <w:footnotePr>
            <w:numFmt w:val="lowerRoman"/>
          </w:footnotePr>
          <w:pgSz w:w="16840" w:h="11907" w:orient="landscape" w:code="9"/>
          <w:pgMar w:top="1134" w:right="1134" w:bottom="1134" w:left="1134" w:header="709" w:footer="567" w:gutter="0"/>
          <w:cols w:space="708"/>
          <w:docGrid w:linePitch="360"/>
        </w:sectPr>
      </w:pPr>
      <w:r w:rsidRPr="00696359">
        <w:rPr>
          <w:lang w:val="en-GB"/>
        </w:rPr>
        <w:t>h</w:t>
      </w:r>
      <w:r w:rsidRPr="00696359">
        <w:rPr>
          <w:lang w:val="en-GB"/>
        </w:rPr>
        <w:tab/>
        <w:t>MDR (multidrug resistant): isolate that is resistant to three or more of the following antibiotic classes: ampicillin; fluoroquinolones; co-trimoxazole; third generation cephalosporin; azithromycin.</w:t>
      </w:r>
    </w:p>
    <w:p w14:paraId="574A674C" w14:textId="799DF1F5" w:rsidR="006E0B0E" w:rsidRDefault="008017B6" w:rsidP="00696359">
      <w:pPr>
        <w:pStyle w:val="Heading1-nospacebefore"/>
      </w:pPr>
      <w:bookmarkStart w:id="16" w:name="_Toc224562845"/>
      <w:bookmarkStart w:id="17" w:name="_Toc195519590"/>
      <w:bookmarkStart w:id="18" w:name="_Toc195522359"/>
      <w:r>
        <w:t>Discussion</w:t>
      </w:r>
      <w:r w:rsidR="00696359">
        <w:t xml:space="preserve"> and conclusions</w:t>
      </w:r>
      <w:bookmarkEnd w:id="16"/>
    </w:p>
    <w:p w14:paraId="35656EC4" w14:textId="77777777" w:rsidR="00696359" w:rsidRPr="00696359" w:rsidRDefault="00696359" w:rsidP="00696359">
      <w:pPr>
        <w:rPr>
          <w:lang w:val="en-GB"/>
        </w:rPr>
      </w:pPr>
      <w:r w:rsidRPr="00696359">
        <w:rPr>
          <w:lang w:val="en-GB"/>
        </w:rPr>
        <w:t xml:space="preserve">Our study found high levels of antimicrobial resistance, with XDR </w:t>
      </w:r>
      <w:r w:rsidRPr="00696359">
        <w:rPr>
          <w:i/>
          <w:iCs/>
          <w:lang w:val="en-GB"/>
        </w:rPr>
        <w:t>Shigella</w:t>
      </w:r>
      <w:r w:rsidRPr="00696359">
        <w:rPr>
          <w:lang w:val="en-GB"/>
        </w:rPr>
        <w:t xml:space="preserve"> accounting for nearly 50% of all cases of shigellosis and 80% of MSM cases. Where drug susceptibility testing results were available and antibiotics were administered, 72% of cases received an appropriate antibiotic as assessed by susceptibility testing results. </w:t>
      </w:r>
    </w:p>
    <w:p w14:paraId="0F5715DF" w14:textId="77777777" w:rsidR="00696359" w:rsidRPr="00696359" w:rsidRDefault="00696359" w:rsidP="00696359">
      <w:pPr>
        <w:rPr>
          <w:lang w:val="en-GB"/>
        </w:rPr>
      </w:pPr>
      <w:r w:rsidRPr="00696359">
        <w:rPr>
          <w:lang w:val="en-GB"/>
        </w:rPr>
        <w:t>Our findings are consistent with other reports of shigellosis showing high rates of antimicrobial resistance in Australia, particularly among MSM.</w:t>
      </w:r>
      <w:r w:rsidRPr="00696359">
        <w:rPr>
          <w:vertAlign w:val="superscript"/>
          <w:lang w:val="en-GB"/>
        </w:rPr>
        <w:t>8,9</w:t>
      </w:r>
      <w:r w:rsidRPr="00696359">
        <w:rPr>
          <w:lang w:val="en-GB"/>
        </w:rPr>
        <w:t xml:space="preserve"> To our knowledge, this is the first Australian study to assess appropriateness of antibiotics administered, based on drug susceptibility testing. Clinical guidelines should be updated to recommend antimicrobial treatment is reserved for cases with severe illness, immunocompromise, or following a case-by-case risk assessment of onward transmission. All cases should be provided with education to prevent transmission, including hand hygiene and abstinence from sexual contact until no longer infectious. Cases in high-risk groups (including food handlers) should be excluded from higher-risk work duties until they have microbiological evidence of clearance, defined as one negative stool culture or PCR, collected at least 48 hours after diarrhoea has ceased and no sooner than 48 hours after finishing antibiotics.</w:t>
      </w:r>
      <w:r w:rsidRPr="00696359">
        <w:rPr>
          <w:vertAlign w:val="superscript"/>
          <w:lang w:val="en-GB"/>
        </w:rPr>
        <w:t>10</w:t>
      </w:r>
      <w:r w:rsidRPr="00696359">
        <w:rPr>
          <w:lang w:val="en-GB"/>
        </w:rPr>
        <w:t xml:space="preserve"> If provided, treatment should preferably be based on antibiotic susceptibility. Where empiric treatment is required, carbapenems may be the only effective option. </w:t>
      </w:r>
    </w:p>
    <w:p w14:paraId="1AEEB620" w14:textId="77777777" w:rsidR="00696359" w:rsidRPr="00696359" w:rsidRDefault="00696359" w:rsidP="00696359">
      <w:pPr>
        <w:rPr>
          <w:lang w:val="en-GB"/>
        </w:rPr>
      </w:pPr>
      <w:r w:rsidRPr="00696359">
        <w:rPr>
          <w:lang w:val="en-GB"/>
        </w:rPr>
        <w:t>Among MSM populations, health promotion is required to prevent sexually transmitted shigellosis. Messaging should be integrated into pre-exposure prophylaxis (PrEP) for HIV prevention and routine HIV care.</w:t>
      </w:r>
      <w:r w:rsidRPr="00696359">
        <w:rPr>
          <w:vertAlign w:val="superscript"/>
          <w:lang w:val="en-GB"/>
        </w:rPr>
        <w:t>11</w:t>
      </w:r>
      <w:r w:rsidRPr="00696359">
        <w:rPr>
          <w:lang w:val="en-GB"/>
        </w:rPr>
        <w:t xml:space="preserve"> Potential harm reduction strategies should be considered, including washing hands, sex toys, genitals and anus before and after sexual contact.</w:t>
      </w:r>
      <w:r w:rsidRPr="00696359">
        <w:rPr>
          <w:vertAlign w:val="superscript"/>
          <w:lang w:val="en-GB"/>
        </w:rPr>
        <w:t>12</w:t>
      </w:r>
      <w:r w:rsidRPr="00696359">
        <w:rPr>
          <w:lang w:val="en-GB"/>
        </w:rPr>
        <w:t xml:space="preserve"> </w:t>
      </w:r>
    </w:p>
    <w:p w14:paraId="52CDA03F" w14:textId="77777777" w:rsidR="00696359" w:rsidRPr="00696359" w:rsidRDefault="00696359" w:rsidP="00696359">
      <w:pPr>
        <w:rPr>
          <w:lang w:val="en-GB"/>
        </w:rPr>
      </w:pPr>
      <w:r w:rsidRPr="00696359">
        <w:rPr>
          <w:lang w:val="en-GB"/>
        </w:rPr>
        <w:t xml:space="preserve">This study has potential limitations. Not all cases receive a microbiological diagnosis due to the self-limiting nature of the illness. Some cases of </w:t>
      </w:r>
      <w:r w:rsidRPr="00696359">
        <w:rPr>
          <w:i/>
          <w:iCs/>
          <w:lang w:val="en-GB"/>
        </w:rPr>
        <w:t>Shigella</w:t>
      </w:r>
      <w:r w:rsidRPr="00696359">
        <w:rPr>
          <w:lang w:val="en-GB"/>
        </w:rPr>
        <w:t xml:space="preserve"> may have been excluded because they were PCR positive but not culture positive. Genotypic data were not available for three of the 98 </w:t>
      </w:r>
      <w:proofErr w:type="gramStart"/>
      <w:r w:rsidRPr="00696359">
        <w:rPr>
          <w:lang w:val="en-GB"/>
        </w:rPr>
        <w:t>cases</w:t>
      </w:r>
      <w:proofErr w:type="gramEnd"/>
      <w:r w:rsidRPr="00696359">
        <w:rPr>
          <w:lang w:val="en-GB"/>
        </w:rPr>
        <w:t xml:space="preserve"> and some data were missing from Public Health Unit records, particularly regarding antibiotic use. Data about antibiotic use were missing for 26/98 cases. </w:t>
      </w:r>
    </w:p>
    <w:p w14:paraId="35897AB0" w14:textId="77777777" w:rsidR="00696359" w:rsidRPr="00696359" w:rsidRDefault="00696359" w:rsidP="00696359">
      <w:pPr>
        <w:rPr>
          <w:lang w:val="en-GB"/>
        </w:rPr>
      </w:pPr>
      <w:r w:rsidRPr="00696359">
        <w:rPr>
          <w:i/>
          <w:iCs/>
          <w:lang w:val="en-GB"/>
        </w:rPr>
        <w:t>Shigella</w:t>
      </w:r>
      <w:r w:rsidRPr="00696359">
        <w:rPr>
          <w:lang w:val="en-GB"/>
        </w:rPr>
        <w:t xml:space="preserve"> spp. that are resistant to almost all antimicrobial classes are increasing.</w:t>
      </w:r>
      <w:r w:rsidRPr="00696359">
        <w:rPr>
          <w:vertAlign w:val="superscript"/>
          <w:lang w:val="en-GB"/>
        </w:rPr>
        <w:t>1</w:t>
      </w:r>
      <w:r w:rsidRPr="00696359">
        <w:rPr>
          <w:lang w:val="en-GB"/>
        </w:rPr>
        <w:t xml:space="preserve"> A nationally coordinated approach across expert groups (laboratories, foodborne disease epidemiologists, STI experts) is required to manage the public health risks associated with XDR </w:t>
      </w:r>
      <w:r w:rsidRPr="00696359">
        <w:rPr>
          <w:i/>
          <w:iCs/>
          <w:lang w:val="en-GB"/>
        </w:rPr>
        <w:t>Shigella</w:t>
      </w:r>
      <w:r w:rsidRPr="00696359">
        <w:rPr>
          <w:lang w:val="en-GB"/>
        </w:rPr>
        <w:t>.</w:t>
      </w:r>
      <w:r w:rsidRPr="00696359">
        <w:rPr>
          <w:vertAlign w:val="superscript"/>
          <w:lang w:val="en-GB"/>
        </w:rPr>
        <w:t>13</w:t>
      </w:r>
      <w:r w:rsidRPr="00696359">
        <w:rPr>
          <w:lang w:val="en-GB"/>
        </w:rPr>
        <w:t xml:space="preserve"> Currently, case-level data submitted to the National Notifiable Disease Surveillance System (NNDSS) do not include antimicrobial resistance data. Phenotypic antimicrobial susceptibility testing data submitted to the Critical Antimicrobial Resistance Alert System (CARAlert) should be connected to case-level data in NNDSS to identify risk factors for XDR </w:t>
      </w:r>
      <w:r w:rsidRPr="00696359">
        <w:rPr>
          <w:i/>
          <w:iCs/>
          <w:lang w:val="en-GB"/>
        </w:rPr>
        <w:t>Shigella</w:t>
      </w:r>
      <w:r w:rsidRPr="00696359">
        <w:rPr>
          <w:lang w:val="en-GB"/>
        </w:rPr>
        <w:t>.</w:t>
      </w:r>
      <w:r w:rsidRPr="00696359">
        <w:rPr>
          <w:vertAlign w:val="superscript"/>
          <w:lang w:val="en-GB"/>
        </w:rPr>
        <w:t>13</w:t>
      </w:r>
      <w:r w:rsidRPr="00696359">
        <w:rPr>
          <w:lang w:val="en-GB"/>
        </w:rPr>
        <w:t xml:space="preserve"> A national genomic surveillance program may enhance our ability to respond to the threat of XDR </w:t>
      </w:r>
      <w:r w:rsidRPr="00696359">
        <w:rPr>
          <w:i/>
          <w:iCs/>
          <w:lang w:val="en-GB"/>
        </w:rPr>
        <w:t>Shigella</w:t>
      </w:r>
      <w:r w:rsidRPr="00696359">
        <w:rPr>
          <w:lang w:val="en-GB"/>
        </w:rPr>
        <w:t>.</w:t>
      </w:r>
      <w:r w:rsidRPr="00696359">
        <w:rPr>
          <w:vertAlign w:val="superscript"/>
          <w:lang w:val="en-GB"/>
        </w:rPr>
        <w:t>13</w:t>
      </w:r>
      <w:r w:rsidRPr="00696359">
        <w:rPr>
          <w:lang w:val="en-GB"/>
        </w:rPr>
        <w:t xml:space="preserve"> </w:t>
      </w:r>
    </w:p>
    <w:p w14:paraId="763477B1" w14:textId="77777777" w:rsidR="00696359" w:rsidRPr="00696359" w:rsidRDefault="00696359" w:rsidP="00696359">
      <w:pPr>
        <w:rPr>
          <w:lang w:val="en-GB"/>
        </w:rPr>
      </w:pPr>
      <w:r w:rsidRPr="00696359">
        <w:rPr>
          <w:lang w:val="en-GB"/>
        </w:rPr>
        <w:t xml:space="preserve">Our findings contribute to the understanding of drug-resistant </w:t>
      </w:r>
      <w:r w:rsidRPr="00696359">
        <w:rPr>
          <w:i/>
          <w:iCs/>
          <w:lang w:val="en-GB"/>
        </w:rPr>
        <w:t>Shigella</w:t>
      </w:r>
      <w:r w:rsidRPr="00696359">
        <w:rPr>
          <w:lang w:val="en-GB"/>
        </w:rPr>
        <w:t xml:space="preserve"> in Southeast Queensland. A multifaceted approach is required to respond to the public health threats of MDR and XDR </w:t>
      </w:r>
      <w:r w:rsidRPr="00696359">
        <w:rPr>
          <w:i/>
          <w:iCs/>
          <w:lang w:val="en-GB"/>
        </w:rPr>
        <w:t>Shigella</w:t>
      </w:r>
      <w:r w:rsidRPr="00696359">
        <w:rPr>
          <w:lang w:val="en-GB"/>
        </w:rPr>
        <w:t xml:space="preserve">, including improved national surveillance of antimicrobial-resistant shigellosis, judicious use of antibiotics and integrating harm reduction messaging into PrEP. </w:t>
      </w:r>
    </w:p>
    <w:p w14:paraId="216E54AF" w14:textId="77777777" w:rsidR="008A0736" w:rsidRDefault="008A0736" w:rsidP="008A0736">
      <w:pPr>
        <w:pStyle w:val="Heading1"/>
      </w:pPr>
      <w:bookmarkStart w:id="19" w:name="_Toc195530508"/>
      <w:bookmarkStart w:id="20" w:name="_Toc224562846"/>
      <w:bookmarkEnd w:id="17"/>
      <w:bookmarkEnd w:id="18"/>
      <w:r>
        <w:t>Author details</w:t>
      </w:r>
      <w:bookmarkEnd w:id="19"/>
      <w:bookmarkEnd w:id="20"/>
    </w:p>
    <w:p w14:paraId="775D5698" w14:textId="77777777" w:rsidR="00696359" w:rsidRPr="00696359" w:rsidRDefault="00696359" w:rsidP="00696359">
      <w:pPr>
        <w:rPr>
          <w:lang w:val="en-GB"/>
        </w:rPr>
      </w:pPr>
      <w:r w:rsidRPr="00696359">
        <w:rPr>
          <w:lang w:val="en-GB"/>
        </w:rPr>
        <w:t>Dr Bhakti R Vasant,</w:t>
      </w:r>
      <w:r w:rsidRPr="00696359">
        <w:rPr>
          <w:vertAlign w:val="superscript"/>
          <w:lang w:val="en-GB"/>
        </w:rPr>
        <w:t>1,2,3</w:t>
      </w:r>
    </w:p>
    <w:p w14:paraId="52D003EC" w14:textId="77777777" w:rsidR="00696359" w:rsidRPr="00696359" w:rsidRDefault="00696359" w:rsidP="00696359">
      <w:pPr>
        <w:rPr>
          <w:lang w:val="en-GB"/>
        </w:rPr>
      </w:pPr>
      <w:r w:rsidRPr="00696359">
        <w:rPr>
          <w:lang w:val="en-GB"/>
        </w:rPr>
        <w:t>Dr Mark Stickley,</w:t>
      </w:r>
      <w:r w:rsidRPr="00696359">
        <w:rPr>
          <w:vertAlign w:val="superscript"/>
          <w:lang w:val="en-GB"/>
        </w:rPr>
        <w:t>1,4</w:t>
      </w:r>
    </w:p>
    <w:p w14:paraId="11335492" w14:textId="77777777" w:rsidR="00696359" w:rsidRPr="00696359" w:rsidRDefault="00696359" w:rsidP="00696359">
      <w:pPr>
        <w:rPr>
          <w:lang w:val="en-GB"/>
        </w:rPr>
      </w:pPr>
      <w:r w:rsidRPr="00696359">
        <w:rPr>
          <w:lang w:val="en-GB"/>
        </w:rPr>
        <w:t>Assoc. Prof. Megan Young,</w:t>
      </w:r>
      <w:r w:rsidRPr="00696359">
        <w:rPr>
          <w:vertAlign w:val="superscript"/>
          <w:lang w:val="en-GB"/>
        </w:rPr>
        <w:t>2,3,5</w:t>
      </w:r>
    </w:p>
    <w:p w14:paraId="794024BA" w14:textId="77777777" w:rsidR="00696359" w:rsidRPr="00696359" w:rsidRDefault="00696359" w:rsidP="00696359">
      <w:pPr>
        <w:rPr>
          <w:lang w:val="en-GB"/>
        </w:rPr>
      </w:pPr>
      <w:r w:rsidRPr="00696359">
        <w:rPr>
          <w:lang w:val="en-GB"/>
        </w:rPr>
        <w:t>Dr Kate Alexander,</w:t>
      </w:r>
      <w:r w:rsidRPr="00696359">
        <w:rPr>
          <w:vertAlign w:val="superscript"/>
          <w:lang w:val="en-GB"/>
        </w:rPr>
        <w:t>6</w:t>
      </w:r>
    </w:p>
    <w:p w14:paraId="2CCDDC8C" w14:textId="77777777" w:rsidR="00696359" w:rsidRPr="00696359" w:rsidRDefault="00696359" w:rsidP="00696359">
      <w:pPr>
        <w:rPr>
          <w:lang w:val="en-GB"/>
        </w:rPr>
      </w:pPr>
      <w:r w:rsidRPr="00696359">
        <w:rPr>
          <w:lang w:val="en-GB"/>
        </w:rPr>
        <w:t>Mr Robert Bell,</w:t>
      </w:r>
      <w:r w:rsidRPr="00696359">
        <w:rPr>
          <w:vertAlign w:val="superscript"/>
          <w:lang w:val="en-GB"/>
        </w:rPr>
        <w:t>7</w:t>
      </w:r>
    </w:p>
    <w:p w14:paraId="7092ACC4" w14:textId="77777777" w:rsidR="00696359" w:rsidRPr="00696359" w:rsidRDefault="00696359" w:rsidP="00696359">
      <w:pPr>
        <w:rPr>
          <w:lang w:val="en-GB"/>
        </w:rPr>
      </w:pPr>
      <w:r w:rsidRPr="00696359">
        <w:rPr>
          <w:lang w:val="en-GB"/>
        </w:rPr>
        <w:t>Assoc. Prof. Amy V Jennison,</w:t>
      </w:r>
      <w:r w:rsidRPr="00696359">
        <w:rPr>
          <w:vertAlign w:val="superscript"/>
          <w:lang w:val="en-GB"/>
        </w:rPr>
        <w:t>8</w:t>
      </w:r>
    </w:p>
    <w:p w14:paraId="45FAC71A" w14:textId="77777777" w:rsidR="00696359" w:rsidRPr="00696359" w:rsidRDefault="00696359" w:rsidP="00696359">
      <w:pPr>
        <w:rPr>
          <w:lang w:val="en-GB"/>
        </w:rPr>
      </w:pPr>
      <w:r w:rsidRPr="00696359">
        <w:rPr>
          <w:lang w:val="en-GB"/>
        </w:rPr>
        <w:t>Dr Rikki Graham,</w:t>
      </w:r>
      <w:r w:rsidRPr="00696359">
        <w:rPr>
          <w:vertAlign w:val="superscript"/>
          <w:lang w:val="en-GB"/>
        </w:rPr>
        <w:t>8</w:t>
      </w:r>
    </w:p>
    <w:p w14:paraId="40B4F980" w14:textId="77777777" w:rsidR="00696359" w:rsidRPr="00696359" w:rsidRDefault="00696359" w:rsidP="00696359">
      <w:pPr>
        <w:rPr>
          <w:lang w:val="en-GB"/>
        </w:rPr>
      </w:pPr>
      <w:r w:rsidRPr="00696359">
        <w:rPr>
          <w:lang w:val="en-GB"/>
        </w:rPr>
        <w:t>Dr Asha Kakkanat,</w:t>
      </w:r>
      <w:r w:rsidRPr="00696359">
        <w:rPr>
          <w:vertAlign w:val="superscript"/>
          <w:lang w:val="en-GB"/>
        </w:rPr>
        <w:t>8</w:t>
      </w:r>
    </w:p>
    <w:p w14:paraId="79D48128" w14:textId="77777777" w:rsidR="00696359" w:rsidRPr="00696359" w:rsidRDefault="00696359" w:rsidP="00696359">
      <w:pPr>
        <w:rPr>
          <w:lang w:val="en-GB"/>
        </w:rPr>
      </w:pPr>
      <w:r w:rsidRPr="00696359">
        <w:rPr>
          <w:lang w:val="en-GB"/>
        </w:rPr>
        <w:t>Dr Russell Stafford</w:t>
      </w:r>
      <w:r w:rsidRPr="00696359">
        <w:rPr>
          <w:vertAlign w:val="superscript"/>
          <w:lang w:val="en-GB"/>
        </w:rPr>
        <w:t>7</w:t>
      </w:r>
    </w:p>
    <w:p w14:paraId="686BDDAE" w14:textId="77777777" w:rsidR="00696359" w:rsidRPr="00696359" w:rsidRDefault="00696359" w:rsidP="00696359">
      <w:pPr>
        <w:pStyle w:val="CDINumberedList1L1"/>
        <w:ind w:left="397" w:hanging="397"/>
        <w:rPr>
          <w:lang w:val="en-GB"/>
        </w:rPr>
      </w:pPr>
      <w:r w:rsidRPr="00696359">
        <w:rPr>
          <w:lang w:val="en-GB"/>
        </w:rPr>
        <w:t>Metro South Public Health Unit, Building 5, 2404 Logan Road, Eight Mile Plains, QLD 4113</w:t>
      </w:r>
    </w:p>
    <w:p w14:paraId="0D2449AF" w14:textId="77777777" w:rsidR="00696359" w:rsidRPr="00696359" w:rsidRDefault="00696359" w:rsidP="00696359">
      <w:pPr>
        <w:pStyle w:val="CDINumberedList1L1"/>
        <w:ind w:left="397" w:hanging="397"/>
        <w:rPr>
          <w:lang w:val="en-GB"/>
        </w:rPr>
      </w:pPr>
      <w:r w:rsidRPr="00696359">
        <w:rPr>
          <w:lang w:val="en-GB"/>
        </w:rPr>
        <w:t>School of Public Health, University of Queensland, 266 Herston Road, Herston, QLD 4006</w:t>
      </w:r>
    </w:p>
    <w:p w14:paraId="442B8083" w14:textId="77777777" w:rsidR="00696359" w:rsidRPr="00696359" w:rsidRDefault="00696359" w:rsidP="00696359">
      <w:pPr>
        <w:pStyle w:val="CDINumberedList1L1"/>
        <w:ind w:left="397" w:hanging="397"/>
        <w:rPr>
          <w:lang w:val="en-GB"/>
        </w:rPr>
      </w:pPr>
      <w:r w:rsidRPr="00696359">
        <w:rPr>
          <w:lang w:val="en-GB"/>
        </w:rPr>
        <w:t>School of Medicine and Dentistry, Griffith University, 1 Parkland Drive, Southport, QLD 4215</w:t>
      </w:r>
    </w:p>
    <w:p w14:paraId="53EDF56F" w14:textId="77777777" w:rsidR="00696359" w:rsidRPr="00696359" w:rsidRDefault="00696359" w:rsidP="00696359">
      <w:pPr>
        <w:pStyle w:val="CDINumberedList1L1"/>
        <w:ind w:left="397" w:hanging="397"/>
        <w:rPr>
          <w:lang w:val="en-GB"/>
        </w:rPr>
      </w:pPr>
      <w:r w:rsidRPr="00696359">
        <w:rPr>
          <w:lang w:val="en-GB"/>
        </w:rPr>
        <w:t>School of Medicine, University of Queensland, 288 Herston Road, Herston, QLD 4006</w:t>
      </w:r>
    </w:p>
    <w:p w14:paraId="6AED86FA" w14:textId="37E210F2" w:rsidR="00696359" w:rsidRPr="00696359" w:rsidRDefault="00696359" w:rsidP="00696359">
      <w:pPr>
        <w:pStyle w:val="CDINumberedList1L1"/>
        <w:ind w:left="397" w:hanging="397"/>
        <w:rPr>
          <w:lang w:val="en-GB"/>
        </w:rPr>
      </w:pPr>
      <w:r w:rsidRPr="00696359">
        <w:rPr>
          <w:lang w:val="en-GB"/>
        </w:rPr>
        <w:t>Metro North Public Health Unit, Building 4, Rosemount Campus, Bryden St, Windsor, QLD</w:t>
      </w:r>
      <w:r>
        <w:rPr>
          <w:lang w:val="en-GB"/>
        </w:rPr>
        <w:t> </w:t>
      </w:r>
      <w:r w:rsidRPr="00696359">
        <w:rPr>
          <w:lang w:val="en-GB"/>
        </w:rPr>
        <w:t>4030</w:t>
      </w:r>
    </w:p>
    <w:p w14:paraId="356014FD" w14:textId="77777777" w:rsidR="00696359" w:rsidRPr="00696359" w:rsidRDefault="00696359" w:rsidP="00696359">
      <w:pPr>
        <w:pStyle w:val="CDINumberedList1L1"/>
        <w:ind w:left="397" w:hanging="397"/>
        <w:rPr>
          <w:lang w:val="en-GB"/>
        </w:rPr>
      </w:pPr>
      <w:r w:rsidRPr="00696359">
        <w:rPr>
          <w:lang w:val="en-GB"/>
        </w:rPr>
        <w:t>Gold Coast Public Health Unit, Building 1, Carrara Health Precinct, Carrara, QLD 4217</w:t>
      </w:r>
    </w:p>
    <w:p w14:paraId="4212049A" w14:textId="7E4183E6" w:rsidR="00696359" w:rsidRPr="00696359" w:rsidRDefault="00696359" w:rsidP="00696359">
      <w:pPr>
        <w:pStyle w:val="CDINumberedList1L1"/>
        <w:ind w:left="397" w:hanging="397"/>
        <w:rPr>
          <w:lang w:val="en-GB"/>
        </w:rPr>
      </w:pPr>
      <w:r w:rsidRPr="00696359">
        <w:rPr>
          <w:lang w:val="en-GB"/>
        </w:rPr>
        <w:t>Public Health Intelligence Branch, Queensland Health, 15 Butterfield Street, Herston, QLD</w:t>
      </w:r>
      <w:r>
        <w:rPr>
          <w:lang w:val="en-GB"/>
        </w:rPr>
        <w:t> </w:t>
      </w:r>
      <w:r w:rsidRPr="00696359">
        <w:rPr>
          <w:lang w:val="en-GB"/>
        </w:rPr>
        <w:t>4006</w:t>
      </w:r>
    </w:p>
    <w:p w14:paraId="484767DA" w14:textId="77777777" w:rsidR="00696359" w:rsidRPr="00696359" w:rsidRDefault="00696359" w:rsidP="00696359">
      <w:pPr>
        <w:pStyle w:val="CDINumberedList1L1"/>
        <w:ind w:left="397" w:hanging="397"/>
        <w:rPr>
          <w:lang w:val="en-GB"/>
        </w:rPr>
      </w:pPr>
      <w:r w:rsidRPr="00696359">
        <w:rPr>
          <w:lang w:val="en-GB"/>
        </w:rPr>
        <w:t xml:space="preserve">Public and Environmental Health Reference Laboratories, Queensland Health. 39 </w:t>
      </w:r>
      <w:proofErr w:type="spellStart"/>
      <w:r w:rsidRPr="00696359">
        <w:rPr>
          <w:lang w:val="en-GB"/>
        </w:rPr>
        <w:t>Kessels</w:t>
      </w:r>
      <w:proofErr w:type="spellEnd"/>
      <w:r w:rsidRPr="00696359">
        <w:rPr>
          <w:lang w:val="en-GB"/>
        </w:rPr>
        <w:t xml:space="preserve"> Road, Coopers Plains, QLD 4108</w:t>
      </w:r>
    </w:p>
    <w:p w14:paraId="227D096F" w14:textId="77777777" w:rsidR="00423436" w:rsidRDefault="00423436" w:rsidP="00423436">
      <w:pPr>
        <w:pStyle w:val="CDICorrespondingauthor"/>
      </w:pPr>
      <w:r>
        <w:t>Corresponding author</w:t>
      </w:r>
    </w:p>
    <w:p w14:paraId="10657FB3" w14:textId="77777777" w:rsidR="00696359" w:rsidRPr="00696359" w:rsidRDefault="00696359" w:rsidP="00696359">
      <w:pPr>
        <w:rPr>
          <w:lang w:val="en-GB"/>
        </w:rPr>
      </w:pPr>
      <w:r w:rsidRPr="00696359">
        <w:rPr>
          <w:lang w:val="en-GB"/>
        </w:rPr>
        <w:t>Dr Bhakti R Vasant</w:t>
      </w:r>
    </w:p>
    <w:p w14:paraId="20E09D97" w14:textId="77777777" w:rsidR="00696359" w:rsidRPr="00696359" w:rsidRDefault="00696359" w:rsidP="00696359">
      <w:pPr>
        <w:rPr>
          <w:lang w:val="en-GB"/>
        </w:rPr>
      </w:pPr>
      <w:r w:rsidRPr="00696359">
        <w:rPr>
          <w:lang w:val="en-GB"/>
        </w:rPr>
        <w:t>Metro South Public Health Unit</w:t>
      </w:r>
    </w:p>
    <w:p w14:paraId="640A8019" w14:textId="77777777" w:rsidR="00696359" w:rsidRPr="00696359" w:rsidRDefault="00696359" w:rsidP="00696359">
      <w:pPr>
        <w:pStyle w:val="Normal-nospace"/>
        <w:rPr>
          <w:lang w:val="en-GB"/>
        </w:rPr>
      </w:pPr>
      <w:r w:rsidRPr="00696359">
        <w:rPr>
          <w:lang w:val="en-GB"/>
        </w:rPr>
        <w:t>PO Box 333</w:t>
      </w:r>
    </w:p>
    <w:p w14:paraId="01E11B8C" w14:textId="77777777" w:rsidR="00696359" w:rsidRPr="00696359" w:rsidRDefault="00696359" w:rsidP="00696359">
      <w:pPr>
        <w:pStyle w:val="Normal-nospace"/>
        <w:rPr>
          <w:lang w:val="en-GB"/>
        </w:rPr>
      </w:pPr>
      <w:r w:rsidRPr="00696359">
        <w:rPr>
          <w:lang w:val="en-GB"/>
        </w:rPr>
        <w:t>Archerfield QLD 4108</w:t>
      </w:r>
    </w:p>
    <w:p w14:paraId="33EA82E2" w14:textId="77777777" w:rsidR="00696359" w:rsidRPr="00696359" w:rsidRDefault="00696359" w:rsidP="00696359">
      <w:pPr>
        <w:rPr>
          <w:lang w:val="en-GB"/>
        </w:rPr>
      </w:pPr>
      <w:r w:rsidRPr="00696359">
        <w:rPr>
          <w:lang w:val="en-GB"/>
        </w:rPr>
        <w:t>Phone: +61 7 3156 4000</w:t>
      </w:r>
    </w:p>
    <w:p w14:paraId="31DFB94C" w14:textId="5879A509" w:rsidR="008A0736" w:rsidRDefault="00696359" w:rsidP="00423436">
      <w:r w:rsidRPr="00696359">
        <w:rPr>
          <w:lang w:val="en-GB"/>
        </w:rPr>
        <w:t xml:space="preserve">Email: </w:t>
      </w:r>
      <w:hyperlink r:id="rId24" w:history="1">
        <w:r w:rsidRPr="00696359">
          <w:rPr>
            <w:rStyle w:val="Hyperlink"/>
            <w:lang w:val="en-GB"/>
          </w:rPr>
          <w:t>Bhakti.Vasant@health.qld.gov.au</w:t>
        </w:r>
      </w:hyperlink>
      <w:r>
        <w:rPr>
          <w:lang w:val="en-GB"/>
        </w:rPr>
        <w:t xml:space="preserve"> </w:t>
      </w:r>
    </w:p>
    <w:p w14:paraId="6ED46782" w14:textId="77777777" w:rsidR="008A0736" w:rsidRDefault="008A0736" w:rsidP="00122ADA">
      <w:pPr>
        <w:pStyle w:val="Heading1"/>
      </w:pPr>
      <w:bookmarkStart w:id="21" w:name="_Toc195530511"/>
      <w:bookmarkStart w:id="22" w:name="_Toc224562847"/>
      <w:r>
        <w:t>References</w:t>
      </w:r>
      <w:bookmarkEnd w:id="21"/>
      <w:bookmarkEnd w:id="22"/>
    </w:p>
    <w:p w14:paraId="6D3FF702" w14:textId="5F54DD4F" w:rsidR="00696359" w:rsidRDefault="00696359" w:rsidP="00696359">
      <w:pPr>
        <w:pStyle w:val="CDINumberedList1L1"/>
        <w:numPr>
          <w:ilvl w:val="0"/>
          <w:numId w:val="10"/>
        </w:numPr>
        <w:ind w:left="397" w:hanging="397"/>
      </w:pPr>
      <w:r>
        <w:t xml:space="preserve">Baker S, Scott TA. Antimicrobial-resistant </w:t>
      </w:r>
      <w:r w:rsidRPr="00696359">
        <w:rPr>
          <w:i/>
          <w:iCs/>
        </w:rPr>
        <w:t>Shigella</w:t>
      </w:r>
      <w:r>
        <w:t xml:space="preserve">: where do we go next? </w:t>
      </w:r>
      <w:r w:rsidRPr="00696359">
        <w:rPr>
          <w:i/>
          <w:iCs/>
        </w:rPr>
        <w:t>Nat Rev Microbiol</w:t>
      </w:r>
      <w:r>
        <w:t xml:space="preserve">. 2023;21(7):409–10. doi: </w:t>
      </w:r>
      <w:hyperlink r:id="rId25" w:history="1">
        <w:r w:rsidRPr="0034637C">
          <w:rPr>
            <w:rStyle w:val="Hyperlink"/>
          </w:rPr>
          <w:t>https://doi.org/10.1038/s41579-023-00906-1</w:t>
        </w:r>
      </w:hyperlink>
      <w:r>
        <w:t xml:space="preserve">. </w:t>
      </w:r>
    </w:p>
    <w:p w14:paraId="49F3EFBA" w14:textId="51E7B861" w:rsidR="00696359" w:rsidRDefault="00696359" w:rsidP="00696359">
      <w:pPr>
        <w:pStyle w:val="CDINumberedList1L1"/>
        <w:ind w:left="397" w:hanging="397"/>
      </w:pPr>
      <w:r>
        <w:t xml:space="preserve">Therapeutic Guidelines. </w:t>
      </w:r>
      <w:r w:rsidRPr="00696359">
        <w:rPr>
          <w:i/>
          <w:iCs/>
        </w:rPr>
        <w:t>Shigella</w:t>
      </w:r>
      <w:r>
        <w:t xml:space="preserve"> enteritis (shigellosis). Antibiotic. [Webpage.] Melbourne: Therapeutic Guidelines; March 2025. [Accessed in April 2025.] Available from: </w:t>
      </w:r>
      <w:hyperlink r:id="rId26" w:history="1">
        <w:r w:rsidRPr="0034637C">
          <w:rPr>
            <w:rStyle w:val="Hyperlink"/>
          </w:rPr>
          <w:t>https://app.tg.org.au/viewTopic?etgAccess=true&amp;guidelinePage=Antibiotic&amp;topicfile=c_ABG_Shigella-enteritis-shigellosis_topic_1</w:t>
        </w:r>
      </w:hyperlink>
      <w:r>
        <w:t>.</w:t>
      </w:r>
    </w:p>
    <w:p w14:paraId="2E4090E8" w14:textId="7BF72CB1" w:rsidR="00696359" w:rsidRDefault="00696359" w:rsidP="00696359">
      <w:pPr>
        <w:pStyle w:val="CDINumberedList1L1"/>
        <w:ind w:left="397" w:hanging="397"/>
      </w:pPr>
      <w:r>
        <w:t xml:space="preserve">Siddiq M, O’Flanagan H, Richardson D, Llewellyn CD. Factors associated with sexually transmitted shigella in men who have sex with men: a systematic review. </w:t>
      </w:r>
      <w:r w:rsidRPr="00696359">
        <w:rPr>
          <w:i/>
          <w:iCs/>
        </w:rPr>
        <w:t>Sex Transm Infect</w:t>
      </w:r>
      <w:r>
        <w:t xml:space="preserve">. 2023;99(1):58–63. doi: </w:t>
      </w:r>
      <w:hyperlink r:id="rId27" w:history="1">
        <w:r w:rsidRPr="0034637C">
          <w:rPr>
            <w:rStyle w:val="Hyperlink"/>
          </w:rPr>
          <w:t>https://doi.org/10.1136/sextrans-2022-055583</w:t>
        </w:r>
      </w:hyperlink>
      <w:r>
        <w:t xml:space="preserve">. </w:t>
      </w:r>
    </w:p>
    <w:p w14:paraId="7E03E20E" w14:textId="52C60E59" w:rsidR="00696359" w:rsidRDefault="00696359" w:rsidP="00696359">
      <w:pPr>
        <w:pStyle w:val="CDINumberedList1L1"/>
        <w:ind w:left="397" w:hanging="397"/>
      </w:pPr>
      <w:r>
        <w:t xml:space="preserve">Bourne A. </w:t>
      </w:r>
      <w:proofErr w:type="spellStart"/>
      <w:r>
        <w:t>Chemsex</w:t>
      </w:r>
      <w:proofErr w:type="spellEnd"/>
      <w:r>
        <w:t xml:space="preserve"> / party and play: challenging assumptions, responding to need. [Weblog article.] Sydney: Health Equity Matters website; 27 June 2018. [Accessed in January 2026.] Available from: </w:t>
      </w:r>
      <w:hyperlink r:id="rId28" w:history="1">
        <w:r w:rsidRPr="0034637C">
          <w:rPr>
            <w:rStyle w:val="Hyperlink"/>
          </w:rPr>
          <w:t>https://www.healthequitymatters.org.au/resources/chemsex-party-and-play-challenging-assumptions-responding-to-need</w:t>
        </w:r>
      </w:hyperlink>
      <w:r>
        <w:t>.</w:t>
      </w:r>
    </w:p>
    <w:p w14:paraId="760421C1" w14:textId="6C040E90" w:rsidR="00696359" w:rsidRDefault="00696359" w:rsidP="00696359">
      <w:pPr>
        <w:pStyle w:val="CDINumberedList1L1"/>
        <w:ind w:left="397" w:hanging="397"/>
      </w:pPr>
      <w:r>
        <w:t xml:space="preserve">Australian Commission on Safety and Quality in Health Care (ACSQHC). </w:t>
      </w:r>
      <w:r w:rsidRPr="00696359">
        <w:rPr>
          <w:i/>
          <w:iCs/>
        </w:rPr>
        <w:t>National Alert System for Critical Antimicrobial Resistances (CARAlert) Laboratory Handbook</w:t>
      </w:r>
      <w:r>
        <w:t xml:space="preserve">. Sydney: ACSQHC; December 2022. [Accessed in April 2025.] Available from: </w:t>
      </w:r>
      <w:hyperlink r:id="rId29" w:history="1">
        <w:r w:rsidRPr="0034637C">
          <w:rPr>
            <w:rStyle w:val="Hyperlink"/>
          </w:rPr>
          <w:t>https://www.safetyandquality.gov.au/publications-and-resources/resource-library/caralert-laboratory-handbook</w:t>
        </w:r>
      </w:hyperlink>
      <w:r>
        <w:t>.</w:t>
      </w:r>
    </w:p>
    <w:p w14:paraId="178FCDE5" w14:textId="28DA9C70" w:rsidR="00696359" w:rsidRDefault="00696359" w:rsidP="00696359">
      <w:pPr>
        <w:pStyle w:val="CDINumberedList1L1"/>
        <w:ind w:left="397" w:hanging="397"/>
      </w:pPr>
      <w:r>
        <w:t xml:space="preserve">Communicable Diseases Network Australia (CDNA), Australian Centre for Disease Control (Australian CDC). Shigellosis – Surveillance case definition. Canberra: Australian CDC; 1 July 2018. [Accessed in May 2025.] Available from: </w:t>
      </w:r>
      <w:hyperlink r:id="rId30" w:history="1">
        <w:r w:rsidRPr="0034637C">
          <w:rPr>
            <w:rStyle w:val="Hyperlink"/>
          </w:rPr>
          <w:t>https://www.cdc.gov.au/resources/publications/surveillance-case-definition-shigellosis</w:t>
        </w:r>
      </w:hyperlink>
      <w:r>
        <w:t>.</w:t>
      </w:r>
    </w:p>
    <w:p w14:paraId="02DA8983" w14:textId="4111BEB6" w:rsidR="00696359" w:rsidRDefault="00696359" w:rsidP="00696359">
      <w:pPr>
        <w:pStyle w:val="CDINumberedList1L1"/>
        <w:ind w:left="397" w:hanging="397"/>
      </w:pPr>
      <w:proofErr w:type="spellStart"/>
      <w:r>
        <w:t>Bortolaia</w:t>
      </w:r>
      <w:proofErr w:type="spellEnd"/>
      <w:r>
        <w:t xml:space="preserve"> V, Kaas RS, Ruppe E, Roberts MC, Schwarz S, </w:t>
      </w:r>
      <w:proofErr w:type="spellStart"/>
      <w:r>
        <w:t>Cattoir</w:t>
      </w:r>
      <w:proofErr w:type="spellEnd"/>
      <w:r>
        <w:t xml:space="preserve"> V et al. </w:t>
      </w:r>
      <w:proofErr w:type="spellStart"/>
      <w:r>
        <w:t>ResFinder</w:t>
      </w:r>
      <w:proofErr w:type="spellEnd"/>
      <w:r>
        <w:t xml:space="preserve"> 4.0 for predictions of phenotypes from genotypes. </w:t>
      </w:r>
      <w:r w:rsidRPr="00696359">
        <w:rPr>
          <w:i/>
          <w:iCs/>
        </w:rPr>
        <w:t>J Antimicrob Chemother</w:t>
      </w:r>
      <w:r>
        <w:t xml:space="preserve">. 2020;75(12):3491–500. doi: </w:t>
      </w:r>
      <w:hyperlink r:id="rId31" w:history="1">
        <w:r w:rsidRPr="0034637C">
          <w:rPr>
            <w:rStyle w:val="Hyperlink"/>
          </w:rPr>
          <w:t>https://doi.org/10.1093/jac/dkaa345</w:t>
        </w:r>
      </w:hyperlink>
      <w:r>
        <w:t>.</w:t>
      </w:r>
    </w:p>
    <w:p w14:paraId="14DA065D" w14:textId="0741C6EF" w:rsidR="00696359" w:rsidRDefault="00696359" w:rsidP="00696359">
      <w:pPr>
        <w:pStyle w:val="CDINumberedList1L1"/>
        <w:ind w:left="397" w:hanging="397"/>
      </w:pPr>
      <w:r>
        <w:t xml:space="preserve">Baumgart S, Phan T, McKew G. Epidemiology and antimicrobial resistance rates for </w:t>
      </w:r>
      <w:r w:rsidRPr="00696359">
        <w:rPr>
          <w:i/>
          <w:iCs/>
        </w:rPr>
        <w:t>Shigella</w:t>
      </w:r>
      <w:r>
        <w:t xml:space="preserve"> species in a resource-rich setting. </w:t>
      </w:r>
      <w:r w:rsidRPr="00696359">
        <w:rPr>
          <w:i/>
          <w:iCs/>
        </w:rPr>
        <w:t>Pathology</w:t>
      </w:r>
      <w:r>
        <w:t>. 2025;57(1):94–9. doi: </w:t>
      </w:r>
      <w:hyperlink r:id="rId32" w:history="1">
        <w:r w:rsidRPr="0034637C">
          <w:rPr>
            <w:rStyle w:val="Hyperlink"/>
          </w:rPr>
          <w:t>https://doi.org/10.1016/j.pathol.2024.07.004</w:t>
        </w:r>
      </w:hyperlink>
      <w:r>
        <w:t xml:space="preserve">. </w:t>
      </w:r>
    </w:p>
    <w:p w14:paraId="0B32D1DE" w14:textId="1A13817E" w:rsidR="00696359" w:rsidRDefault="00696359" w:rsidP="00696359">
      <w:pPr>
        <w:pStyle w:val="CDINumberedList1L1"/>
        <w:ind w:left="397" w:hanging="397"/>
      </w:pPr>
      <w:r>
        <w:t xml:space="preserve">Williamson D, Ingle D, Howden B. Extensively drug-resistant shigellosis in Australia among men who have sex with men. </w:t>
      </w:r>
      <w:r w:rsidRPr="00696359">
        <w:rPr>
          <w:i/>
          <w:iCs/>
        </w:rPr>
        <w:t>N Engl J Med</w:t>
      </w:r>
      <w:r>
        <w:t>. 2019;381(25):2477–9. doi: </w:t>
      </w:r>
      <w:hyperlink r:id="rId33" w:history="1">
        <w:r w:rsidRPr="0034637C">
          <w:rPr>
            <w:rStyle w:val="Hyperlink"/>
          </w:rPr>
          <w:t>https://doi.org/10.1056/NEJMc1910648</w:t>
        </w:r>
      </w:hyperlink>
      <w:r>
        <w:t xml:space="preserve">. </w:t>
      </w:r>
    </w:p>
    <w:p w14:paraId="37A9DEFB" w14:textId="333A7D09" w:rsidR="00696359" w:rsidRDefault="00696359" w:rsidP="00696359">
      <w:pPr>
        <w:pStyle w:val="CDINumberedList1L1"/>
        <w:ind w:left="397" w:hanging="397"/>
      </w:pPr>
      <w:r>
        <w:t xml:space="preserve">Queensland State Government Department of Health (Queensland Health). Shigella Infection (Shigellosis). Queensland Health Guidelines for Public Health Units. [Webpage.] Brisbane: Queensland Health; July 2018. [Accessed in January 2026.] Available from: </w:t>
      </w:r>
      <w:hyperlink r:id="rId34" w:history="1">
        <w:r w:rsidRPr="0034637C">
          <w:rPr>
            <w:rStyle w:val="Hyperlink"/>
          </w:rPr>
          <w:t>https://www.health.qld.gov.au/cdcg/index/shigellosis</w:t>
        </w:r>
      </w:hyperlink>
      <w:r>
        <w:t>.</w:t>
      </w:r>
    </w:p>
    <w:p w14:paraId="0ADC18E8" w14:textId="34114034" w:rsidR="00696359" w:rsidRDefault="00696359" w:rsidP="00696359">
      <w:pPr>
        <w:pStyle w:val="CDINumberedList1L1"/>
        <w:ind w:left="397" w:hanging="397"/>
      </w:pPr>
      <w:r>
        <w:t xml:space="preserve">Charles H, Prochazka M, Thorley K, Crewdson A, Greig DR, Jenkins C et al. Outbreak of sexually transmitted, extensively drug-resistant </w:t>
      </w:r>
      <w:r w:rsidRPr="00696359">
        <w:rPr>
          <w:i/>
          <w:iCs/>
        </w:rPr>
        <w:t>Shigella sonnei</w:t>
      </w:r>
      <w:r>
        <w:t xml:space="preserve"> in the UK, 2021–2022: a descriptive epidemiological study. </w:t>
      </w:r>
      <w:r w:rsidRPr="00696359">
        <w:rPr>
          <w:i/>
          <w:iCs/>
        </w:rPr>
        <w:t>Lancet Infect Dis</w:t>
      </w:r>
      <w:r>
        <w:t>. 2022;22(10):1503–10. doi: </w:t>
      </w:r>
      <w:hyperlink r:id="rId35" w:history="1">
        <w:r w:rsidRPr="0034637C">
          <w:rPr>
            <w:rStyle w:val="Hyperlink"/>
          </w:rPr>
          <w:t>https://doi.org/10.1016/S1473-3099(22)00370-X</w:t>
        </w:r>
      </w:hyperlink>
      <w:r>
        <w:t xml:space="preserve">. </w:t>
      </w:r>
    </w:p>
    <w:p w14:paraId="38B427F7" w14:textId="1E3470CA" w:rsidR="00696359" w:rsidRDefault="00696359" w:rsidP="00696359">
      <w:pPr>
        <w:pStyle w:val="CDINumberedList1L1"/>
        <w:ind w:left="397" w:hanging="397"/>
      </w:pPr>
      <w:r>
        <w:t xml:space="preserve">Burns-Lynch C, Garcia-Williams A, </w:t>
      </w:r>
      <w:proofErr w:type="spellStart"/>
      <w:r>
        <w:t>Besrat</w:t>
      </w:r>
      <w:proofErr w:type="spellEnd"/>
      <w:r>
        <w:t xml:space="preserve"> B, Kachur R, Rosenberger J, Rutt C et al. A qualitative evaluation of the acceptability of shigellosis prevention recommendations among gay, bisexual, and other men who have sex with men. </w:t>
      </w:r>
      <w:r w:rsidRPr="00696359">
        <w:rPr>
          <w:i/>
          <w:iCs/>
        </w:rPr>
        <w:t>Sex Transm Dis</w:t>
      </w:r>
      <w:r>
        <w:t>. 2024;51(8):534–9. doi:</w:t>
      </w:r>
      <w:r w:rsidR="00E81322">
        <w:t> </w:t>
      </w:r>
      <w:hyperlink r:id="rId36" w:history="1">
        <w:r w:rsidR="00E81322" w:rsidRPr="0034637C">
          <w:rPr>
            <w:rStyle w:val="Hyperlink"/>
          </w:rPr>
          <w:t>https://doi.org/10.1097/OLQ.0000000000001968</w:t>
        </w:r>
      </w:hyperlink>
      <w:r>
        <w:t xml:space="preserve">. </w:t>
      </w:r>
    </w:p>
    <w:p w14:paraId="6593CA54" w14:textId="6F82E1C1" w:rsidR="0058264F" w:rsidRPr="001E3ECB" w:rsidRDefault="00696359" w:rsidP="00696359">
      <w:pPr>
        <w:pStyle w:val="CDINumberedList1L1"/>
        <w:ind w:left="397" w:hanging="397"/>
      </w:pPr>
      <w:r>
        <w:t xml:space="preserve">Jennison AV, Sherry NL, Howden BP. Enhanced data sharing and coordination to ensure Australia can address the threat of extensively drug-resistant </w:t>
      </w:r>
      <w:r w:rsidRPr="00696359">
        <w:rPr>
          <w:i/>
          <w:iCs/>
        </w:rPr>
        <w:t>Shigella</w:t>
      </w:r>
      <w:r>
        <w:t xml:space="preserve"> – a case study for consideration by the Australian Centre for Disease Control. </w:t>
      </w:r>
      <w:r w:rsidRPr="00696359">
        <w:rPr>
          <w:i/>
          <w:iCs/>
        </w:rPr>
        <w:t>Commun Dis Intell (2018)</w:t>
      </w:r>
      <w:r>
        <w:t xml:space="preserve">. 2025;49. doi: </w:t>
      </w:r>
      <w:hyperlink r:id="rId37" w:history="1">
        <w:r w:rsidR="00E81322" w:rsidRPr="0034637C">
          <w:rPr>
            <w:rStyle w:val="Hyperlink"/>
          </w:rPr>
          <w:t>https://doi.org/10.33321/cdi.2025.49.064</w:t>
        </w:r>
      </w:hyperlink>
      <w: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8A1A" w14:textId="77777777" w:rsidR="00B570DE" w:rsidRDefault="00B570DE" w:rsidP="00E54DBA">
      <w:r>
        <w:separator/>
      </w:r>
    </w:p>
    <w:p w14:paraId="45B8F823" w14:textId="77777777" w:rsidR="00B570DE" w:rsidRDefault="00B570DE"/>
    <w:p w14:paraId="641437BF" w14:textId="77777777" w:rsidR="00B570DE" w:rsidRDefault="00B570DE" w:rsidP="008714B0"/>
  </w:endnote>
  <w:endnote w:type="continuationSeparator" w:id="0">
    <w:p w14:paraId="2BE137DF" w14:textId="77777777" w:rsidR="00B570DE" w:rsidRDefault="00B570DE" w:rsidP="00E54DBA">
      <w:r>
        <w:continuationSeparator/>
      </w:r>
    </w:p>
    <w:p w14:paraId="7A2931E9" w14:textId="77777777" w:rsidR="00B570DE" w:rsidRDefault="00B570DE"/>
    <w:p w14:paraId="196CB7ED" w14:textId="77777777" w:rsidR="00B570DE" w:rsidRDefault="00B570D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6CBC"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0E25D7D7" wp14:editId="5CD60C20">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A04A46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5D7D7"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A04A46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47BC" w14:textId="5626742E"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B570DE">
        <w:t>2026</w:t>
      </w:r>
    </w:fldSimple>
    <w:r w:rsidR="009B78A9">
      <w:t>;</w:t>
    </w:r>
    <w:fldSimple w:instr=" DOCPROPERTY  Vol  \* MERGEFORMAT ">
      <w:r w:rsidR="00B570DE">
        <w:t>50</w:t>
      </w:r>
    </w:fldSimple>
    <w:r w:rsidR="00385655" w:rsidRPr="001D0612">
      <w:t xml:space="preserve"> </w:t>
    </w:r>
    <w:r w:rsidR="00385655" w:rsidRPr="00B85B74">
      <w:t>•</w:t>
    </w:r>
    <w:r w:rsidR="00385655">
      <w:t xml:space="preserve"> </w:t>
    </w:r>
    <w:fldSimple w:instr=" DOCPROPERTY  DOI  \* MERGEFORMAT ">
      <w:r w:rsidR="00252B9A">
        <w:t>doi.org/10.33321/cdi.2026.50.026</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252B9A">
        <w:t>24.03.2026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9680"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385DF384" wp14:editId="0753E2CD">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B98A1C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DF384"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2B98A1C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6701" w14:textId="77777777" w:rsidR="00B570DE" w:rsidRPr="00B91FB5" w:rsidRDefault="00B570DE" w:rsidP="00B91FB5">
      <w:pPr>
        <w:spacing w:line="240" w:lineRule="auto"/>
        <w:rPr>
          <w:sz w:val="18"/>
          <w:szCs w:val="18"/>
        </w:rPr>
      </w:pPr>
      <w:r w:rsidRPr="00B91FB5">
        <w:rPr>
          <w:sz w:val="18"/>
          <w:szCs w:val="18"/>
        </w:rPr>
        <w:separator/>
      </w:r>
    </w:p>
  </w:footnote>
  <w:footnote w:type="continuationSeparator" w:id="0">
    <w:p w14:paraId="3E92226B" w14:textId="77777777" w:rsidR="00B570DE" w:rsidRDefault="00B570DE" w:rsidP="00E54DBA">
      <w:r>
        <w:continuationSeparator/>
      </w:r>
    </w:p>
  </w:footnote>
  <w:footnote w:type="continuationNotice" w:id="1">
    <w:p w14:paraId="1E3458DF" w14:textId="77777777" w:rsidR="00B570DE" w:rsidRPr="00224EFF" w:rsidRDefault="00B570DE" w:rsidP="00224EFF"/>
  </w:footnote>
  <w:footnote w:id="2">
    <w:p w14:paraId="33396899" w14:textId="7065BA41" w:rsidR="00252B9A" w:rsidRDefault="00252B9A" w:rsidP="00252B9A">
      <w:pPr>
        <w:pStyle w:val="FootnoteText"/>
      </w:pPr>
      <w:r w:rsidRPr="00252B9A">
        <w:footnoteRef/>
      </w:r>
      <w:r>
        <w:tab/>
        <w:t>R. Wright, Australian Government Department of Health, Disability and Ageing; email communication, March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8524"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3790C10A" wp14:editId="474A72E0">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4274F5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0C10A"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64274F5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4CF7"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F0CE"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1A9C0A3C" wp14:editId="6F4154C5">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C42E13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C0A3C"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C42E13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E1926348"/>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27067557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DE"/>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2A8C"/>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B9A"/>
    <w:rsid w:val="00252C9A"/>
    <w:rsid w:val="00253616"/>
    <w:rsid w:val="00254E56"/>
    <w:rsid w:val="00256309"/>
    <w:rsid w:val="002571C9"/>
    <w:rsid w:val="00257484"/>
    <w:rsid w:val="00260636"/>
    <w:rsid w:val="00262EA6"/>
    <w:rsid w:val="00264B29"/>
    <w:rsid w:val="00271616"/>
    <w:rsid w:val="00271AFA"/>
    <w:rsid w:val="00272A9B"/>
    <w:rsid w:val="00275C5C"/>
    <w:rsid w:val="00275C78"/>
    <w:rsid w:val="00275F5D"/>
    <w:rsid w:val="00277B60"/>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6359"/>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32BF"/>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570DE"/>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1322"/>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BBF"/>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2B35"/>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5C0D"/>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BD80B"/>
  <w15:docId w15:val="{5EA5F3A0-3CFA-4799-81F4-E124AD4D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252B9A"/>
    <w:pPr>
      <w:spacing w:before="400"/>
    </w:pPr>
    <w:rPr>
      <w:rFonts w:asciiTheme="majorHAnsi" w:hAnsiTheme="majorHAnsi" w:cs="Arial"/>
      <w:b/>
      <w:bCs/>
      <w:sz w:val="52"/>
      <w:szCs w:val="52"/>
    </w:rPr>
  </w:style>
  <w:style w:type="character" w:customStyle="1" w:styleId="TitleChar">
    <w:name w:val="Title Char"/>
    <w:basedOn w:val="DefaultParagraphFont"/>
    <w:link w:val="Title"/>
    <w:uiPriority w:val="10"/>
    <w:rsid w:val="00252B9A"/>
    <w:rPr>
      <w:rFonts w:asciiTheme="majorHAnsi" w:hAnsiTheme="majorHAnsi" w:cs="Arial"/>
      <w:b/>
      <w:bCs/>
      <w:sz w:val="52"/>
      <w:szCs w:val="52"/>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header" Target="header1.xml"/><Relationship Id="rId26" Type="http://schemas.openxmlformats.org/officeDocument/2006/relationships/hyperlink" Target="https://app.tg.org.au/viewTopic?etgAccess=true&amp;guidelinePage=Antibiotic&amp;topicfile=c_ABG_Shigella-enteritis-shigellosis_topic_1" TargetMode="Externa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yperlink" Target="https://www.health.qld.gov.au/cdcg/index/shigellosis" TargetMode="External"/><Relationship Id="rId7" Type="http://schemas.openxmlformats.org/officeDocument/2006/relationships/footnotes" Target="footnotes.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doi.org/10.1038/s41579-023-00906-1" TargetMode="External"/><Relationship Id="rId33" Type="http://schemas.openxmlformats.org/officeDocument/2006/relationships/hyperlink" Target="https://doi.org/10.1056/NEJMc191064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au/cdi" TargetMode="External"/><Relationship Id="rId20" Type="http://schemas.openxmlformats.org/officeDocument/2006/relationships/footer" Target="footer1.xml"/><Relationship Id="rId29" Type="http://schemas.openxmlformats.org/officeDocument/2006/relationships/hyperlink" Target="https://www.safetyandquality.gov.au/publications-and-resources/resource-library/caralert-laboratory-handboo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mailto:Bhakti.Vasant@health.qld.gov.au" TargetMode="External"/><Relationship Id="rId32" Type="http://schemas.openxmlformats.org/officeDocument/2006/relationships/hyperlink" Target="https://doi.org/10.1016/j.pathol.2024.07.004" TargetMode="External"/><Relationship Id="rId37" Type="http://schemas.openxmlformats.org/officeDocument/2006/relationships/hyperlink" Target="https://doi.org/10.33321/cdi.2025.49.064" TargetMode="Externa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footer" Target="footer3.xml"/><Relationship Id="rId28" Type="http://schemas.openxmlformats.org/officeDocument/2006/relationships/hyperlink" Target="https://www.healthequitymatters.org.au/resources/chemsex-party-and-play-challenging-assumptions-responding-to-need" TargetMode="External"/><Relationship Id="rId36" Type="http://schemas.openxmlformats.org/officeDocument/2006/relationships/hyperlink" Target="https://doi.org/10.1097/OLQ.0000000000001968" TargetMode="External"/><Relationship Id="rId10" Type="http://schemas.openxmlformats.org/officeDocument/2006/relationships/hyperlink" Target="https://www.cdc.gov.au/cdi" TargetMode="External"/><Relationship Id="rId19" Type="http://schemas.openxmlformats.org/officeDocument/2006/relationships/header" Target="header2.xml"/><Relationship Id="rId31" Type="http://schemas.openxmlformats.org/officeDocument/2006/relationships/hyperlink" Target="https://doi.org/10.1093/jac/dkaa345"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eader" Target="header3.xml"/><Relationship Id="rId27" Type="http://schemas.openxmlformats.org/officeDocument/2006/relationships/hyperlink" Target="https://doi.org/10.1136/sextrans-2022-055583" TargetMode="External"/><Relationship Id="rId30" Type="http://schemas.openxmlformats.org/officeDocument/2006/relationships/hyperlink" Target="https://www.cdc.gov.au/resources/publications/surveillance-case-definition-shigellosis" TargetMode="External"/><Relationship Id="rId35" Type="http://schemas.openxmlformats.org/officeDocument/2006/relationships/hyperlink" Target="https://doi.org/10.1016/S1473-3099(22)00370-X"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46</TotalTime>
  <Pages>13</Pages>
  <Words>2381</Words>
  <Characters>15149</Characters>
  <Application>Microsoft Office Word</Application>
  <DocSecurity>0</DocSecurity>
  <Lines>381</Lines>
  <Paragraphs>229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Communicable Diseases Intelligence - Shigellosis: antibiotics should be strictly reserved for severe disease and cases at very high risk of onward transmission</vt:lpstr>
      <vt:lpstr>Contents</vt:lpstr>
      <vt:lpstr>Abstract</vt:lpstr>
      <vt:lpstr>Introduction</vt:lpstr>
      <vt:lpstr>Methods</vt:lpstr>
      <vt:lpstr>Results</vt:lpstr>
      <vt:lpstr>Discussion and conclusions</vt:lpstr>
      <vt:lpstr>Author details</vt:lpstr>
      <vt:lpstr>    Corresponding author</vt:lpstr>
      <vt:lpstr>References</vt:lpstr>
    </vt:vector>
  </TitlesOfParts>
  <Company/>
  <LinksUpToDate>false</LinksUpToDate>
  <CharactersWithSpaces>17335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Shigellosis: antibiotics should be strictly reserved for severe disease and cases at very high risk of onward transmission</dc:title>
  <dc:subject>This retrospective review of Shigellosis notifications in Southeast Queensland found that XDR Shigella accounted for 47% of notifications. Antimicrobial treatment should be reserved for individuals with severe disease, immunocompromise or high risk of onward transmission.</dc:subject>
  <dc:creator>Bhakti R Vasant; Mark Stickley; Megan Young; Kate Alexander; Robert Bell; Amy V Jennison; Rikki Graham; Asha Kakkanat; Russell Stafford</dc:creator>
  <cp:keywords>antimicrobial resistance; public health; shigellosis</cp:keywords>
  <dc:description>© 2026 Commonwealth of Australia as represented by the Australian Centre for Disease Control. This publication is licenced under a CC BY-NC-ND licence.</dc:description>
  <cp:revision>6</cp:revision>
  <cp:lastPrinted>2024-03-07T01:06:00Z</cp:lastPrinted>
  <dcterms:created xsi:type="dcterms:W3CDTF">2026-03-16T02:39:00Z</dcterms:created>
  <dcterms:modified xsi:type="dcterms:W3CDTF">2026-03-16T23:54:00Z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24.03.2026</vt:lpwstr>
  </property>
  <property fmtid="{D5CDD505-2E9C-101B-9397-08002B2CF9AE}" pid="5" name="DOI">
    <vt:lpwstr>doi.org/10.33321/cdi.2026.50.026</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