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8542C" w14:textId="3A96FE20"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5428BABB" wp14:editId="39907F69">
            <wp:simplePos x="0" y="0"/>
            <wp:positionH relativeFrom="page">
              <wp:align>left</wp:align>
            </wp:positionH>
            <wp:positionV relativeFrom="page">
              <wp:align>top</wp:align>
            </wp:positionV>
            <wp:extent cx="7559675" cy="10690860"/>
            <wp:effectExtent l="0" t="0" r="3175" b="0"/>
            <wp:wrapNone/>
            <wp:doc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tretch>
                      <a:fillRect/>
                    </a:stretch>
                  </pic:blipFill>
                  <pic:spPr>
                    <a:xfrm>
                      <a:off x="0" y="0"/>
                      <a:ext cx="7559998" cy="10690953"/>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5F0686">
          <w:t>2026</w:t>
        </w:r>
      </w:fldSimple>
      <w:r w:rsidR="00D22CC8" w:rsidRPr="00B85B74">
        <w:t xml:space="preserve"> • Volume </w:t>
      </w:r>
      <w:fldSimple w:instr=" DOCPROPERTY  Vol  \* MERGEFORMAT ">
        <w:r w:rsidR="005F0686">
          <w:t>50</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9A5BCC">
          <w:t>24.03.2026</w:t>
        </w:r>
      </w:fldSimple>
      <w:r w:rsidR="00700338">
        <w:t xml:space="preserve"> </w:t>
      </w:r>
      <w:r w:rsidR="00700338" w:rsidRPr="00B85B74">
        <w:t xml:space="preserve">• </w:t>
      </w:r>
      <w:fldSimple w:instr=" DOCPROPERTY  DOI  \* MERGEFORMAT ">
        <w:r w:rsidR="009A5BCC">
          <w:t>doi.org/10.33321/cdi.2026.50.025</w:t>
        </w:r>
      </w:fldSimple>
    </w:p>
    <w:p w14:paraId="52D027F7" w14:textId="77777777" w:rsidR="009A5BCC" w:rsidRPr="009A5BCC" w:rsidRDefault="009A5BCC" w:rsidP="009A5BCC">
      <w:pPr>
        <w:pStyle w:val="Title"/>
        <w:rPr>
          <w:lang w:val="en-GB"/>
        </w:rPr>
      </w:pPr>
      <w:r w:rsidRPr="009A5BCC">
        <w:rPr>
          <w:lang w:val="en-GB"/>
        </w:rPr>
        <w:t xml:space="preserve">Restaurant-associated </w:t>
      </w:r>
      <w:r w:rsidRPr="009A5BCC">
        <w:t>campylobacteriosis</w:t>
      </w:r>
      <w:r w:rsidRPr="009A5BCC">
        <w:rPr>
          <w:lang w:val="en-GB"/>
        </w:rPr>
        <w:t xml:space="preserve"> outbreak likely linked to duck liver pâté</w:t>
      </w:r>
    </w:p>
    <w:p w14:paraId="54D3C76C" w14:textId="5E7B9CBF" w:rsidR="00013B65" w:rsidRDefault="009A5BCC" w:rsidP="00BB3320">
      <w:pPr>
        <w:pStyle w:val="Subtitle"/>
      </w:pPr>
      <w:r w:rsidRPr="009A5BCC">
        <w:t>Emily Gibson, Craig Dalton, Megan Vidler, Peter Murray, Rebecca King, Sarie Wheatland, Megan Whitley, Alan Edwards</w:t>
      </w:r>
      <w:r w:rsidR="00013B65">
        <w:br w:type="page"/>
      </w:r>
    </w:p>
    <w:p w14:paraId="5B965B1E"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5F0686">
          <w:t>2026</w:t>
        </w:r>
      </w:fldSimple>
      <w:r w:rsidRPr="0089025E">
        <w:t xml:space="preserve"> Commonwealth of Australia as represented by the </w:t>
      </w:r>
      <w:r w:rsidR="00C722FD">
        <w:t>Australian Centre for Disease Control</w:t>
      </w:r>
    </w:p>
    <w:p w14:paraId="3232626B" w14:textId="77777777" w:rsidR="00B52457" w:rsidRPr="0089025E" w:rsidRDefault="00B52457" w:rsidP="00087CC4">
      <w:pPr>
        <w:pStyle w:val="CDICopyright"/>
      </w:pPr>
      <w:r w:rsidRPr="0089025E">
        <w:t>ISSN: 2209-6051 Online</w:t>
      </w:r>
    </w:p>
    <w:p w14:paraId="51F67883" w14:textId="77777777" w:rsidR="00B52457" w:rsidRDefault="00B52457" w:rsidP="00087CC4">
      <w:pPr>
        <w:pStyle w:val="CDICopyright"/>
      </w:pPr>
      <w:r w:rsidRPr="0089025E">
        <w:t>This journal is indexed by Index Medicus and Medline.</w:t>
      </w:r>
    </w:p>
    <w:p w14:paraId="777A2B07" w14:textId="77777777" w:rsidR="00B52457" w:rsidRPr="007F2B27" w:rsidRDefault="00B52457" w:rsidP="00CC3648">
      <w:pPr>
        <w:pStyle w:val="CDICopyrightHeading"/>
      </w:pPr>
      <w:r w:rsidRPr="007F2B27">
        <w:t>Creative Commons Licence</w:t>
      </w:r>
    </w:p>
    <w:p w14:paraId="24D1ABE6"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1ABC4FE1" w14:textId="77777777" w:rsidR="00B52457" w:rsidRPr="007F2B27" w:rsidRDefault="00B52457" w:rsidP="00CC3648">
      <w:pPr>
        <w:pStyle w:val="CDICopyrightHeading"/>
      </w:pPr>
      <w:r w:rsidRPr="007F2B27">
        <w:t>Restrictions</w:t>
      </w:r>
    </w:p>
    <w:p w14:paraId="45511C7E"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53BED8A0" w14:textId="77777777" w:rsidR="00B52457" w:rsidRPr="00E9313B" w:rsidRDefault="00B52457" w:rsidP="00E9313B">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C722FD">
        <w:t>)</w:t>
      </w:r>
      <w:r w:rsidRPr="00E9313B">
        <w:t>;</w:t>
      </w:r>
    </w:p>
    <w:p w14:paraId="5B895D92" w14:textId="77777777" w:rsidR="00B52457" w:rsidRPr="003C23C9" w:rsidRDefault="0022524E" w:rsidP="00E9313B">
      <w:pPr>
        <w:pStyle w:val="CDICopyrightBullets"/>
      </w:pPr>
      <w:r w:rsidRPr="0022524E">
        <w:t>any logos (including the Australian Centre for Disease Control’s logo) and trademarks</w:t>
      </w:r>
      <w:r w:rsidR="00B52457" w:rsidRPr="003C23C9">
        <w:t>;</w:t>
      </w:r>
    </w:p>
    <w:p w14:paraId="3FD79603" w14:textId="77777777" w:rsidR="00B52457" w:rsidRPr="00E9313B" w:rsidRDefault="00B52457" w:rsidP="00E9313B">
      <w:pPr>
        <w:pStyle w:val="CDICopyrightBullets"/>
      </w:pPr>
      <w:r w:rsidRPr="00E9313B">
        <w:t xml:space="preserve">any photographs and images; </w:t>
      </w:r>
    </w:p>
    <w:p w14:paraId="4CA2C11D" w14:textId="77777777" w:rsidR="00B52457" w:rsidRPr="00E9313B" w:rsidRDefault="00B52457" w:rsidP="00E9313B">
      <w:pPr>
        <w:pStyle w:val="CDICopyrightBullets"/>
      </w:pPr>
      <w:r w:rsidRPr="00E9313B">
        <w:t>any signatures; and</w:t>
      </w:r>
    </w:p>
    <w:p w14:paraId="1AD74F14" w14:textId="77777777" w:rsidR="00B52457" w:rsidRPr="003C23C9" w:rsidRDefault="00B52457" w:rsidP="00E9313B">
      <w:pPr>
        <w:pStyle w:val="CDICopyrightBullets"/>
      </w:pPr>
      <w:r w:rsidRPr="00E9313B">
        <w:t>any</w:t>
      </w:r>
      <w:r w:rsidRPr="003C23C9">
        <w:t xml:space="preserve"> material belonging to third parties.</w:t>
      </w:r>
    </w:p>
    <w:p w14:paraId="51016810" w14:textId="77777777" w:rsidR="00B52457" w:rsidRPr="00CC3648" w:rsidRDefault="00B52457" w:rsidP="00CC3648">
      <w:pPr>
        <w:pStyle w:val="CDICopyrightHeading"/>
      </w:pPr>
      <w:r w:rsidRPr="00CC3648">
        <w:t>Disclaimer</w:t>
      </w:r>
    </w:p>
    <w:p w14:paraId="3E0217B0"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w:t>
      </w:r>
      <w:r w:rsidR="00C722FD">
        <w:t xml:space="preserve"> or </w:t>
      </w:r>
      <w:r w:rsidR="0022524E" w:rsidRPr="0022524E">
        <w:t>the Australian Centre for Disease Control</w:t>
      </w:r>
      <w:r w:rsidRPr="0089025E">
        <w:t>. Data may be subject to revision.</w:t>
      </w:r>
    </w:p>
    <w:p w14:paraId="715387A9" w14:textId="77777777" w:rsidR="00B52457" w:rsidRPr="007F2B27" w:rsidRDefault="00B52457" w:rsidP="00CC3648">
      <w:pPr>
        <w:pStyle w:val="CDICopyrightHeading"/>
      </w:pPr>
      <w:r w:rsidRPr="007F2B27">
        <w:t>Enquiries</w:t>
      </w:r>
    </w:p>
    <w:p w14:paraId="2C885E99"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06A1E555" w14:textId="77777777" w:rsidR="00B52457" w:rsidRPr="00A65DFA" w:rsidRDefault="00B52457" w:rsidP="00B52457">
      <w:pPr>
        <w:pStyle w:val="CDIAbout"/>
      </w:pPr>
      <w:bookmarkStart w:id="1" w:name="_Toc190257376"/>
      <w:r>
        <w:t xml:space="preserve">About </w:t>
      </w:r>
      <w:bookmarkEnd w:id="1"/>
      <w:r w:rsidR="0022524E">
        <w:t>CDI</w:t>
      </w:r>
    </w:p>
    <w:p w14:paraId="0BE7A7E0"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Australian Centre for Disease Control.</w:t>
      </w:r>
    </w:p>
    <w:p w14:paraId="5120067A" w14:textId="77777777" w:rsidR="009572C6" w:rsidRDefault="009572C6" w:rsidP="00C722FD">
      <w:pPr>
        <w:pStyle w:val="CDIAbouttextLess"/>
        <w:spacing w:before="120"/>
      </w:pPr>
      <w:r w:rsidRPr="009572C6">
        <w:t>The journal aims to disseminate information on the epidemiology, surveillance, prevention and control of communicable diseases of relevance to Australia and the near region.</w:t>
      </w:r>
    </w:p>
    <w:p w14:paraId="54A568CF" w14:textId="77777777" w:rsidR="00B52457" w:rsidRPr="00D8087F" w:rsidRDefault="00B52457" w:rsidP="00D8087F">
      <w:pPr>
        <w:pStyle w:val="CDIAbouttext"/>
      </w:pPr>
      <w:r w:rsidRPr="00D8087F">
        <w:rPr>
          <w:b/>
          <w:bCs/>
        </w:rPr>
        <w:t>Editor</w:t>
      </w:r>
      <w:r w:rsidRPr="00D8087F">
        <w:t xml:space="preserve">: </w:t>
      </w:r>
      <w:r w:rsidR="00AC69D8">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68B2BC04"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2BE3D818"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5EE5E71C"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34E00792" w14:textId="77777777" w:rsidR="00B52457" w:rsidRPr="00B87589" w:rsidRDefault="00B52457" w:rsidP="00B87589">
      <w:pPr>
        <w:pStyle w:val="CDIAbouttext"/>
        <w:rPr>
          <w:b/>
          <w:bCs/>
        </w:rPr>
      </w:pPr>
      <w:r w:rsidRPr="00B87589">
        <w:rPr>
          <w:b/>
          <w:bCs/>
        </w:rPr>
        <w:t>Contact us</w:t>
      </w:r>
    </w:p>
    <w:p w14:paraId="118F432F" w14:textId="77777777" w:rsidR="00B52457" w:rsidRPr="00087CC4" w:rsidRDefault="00B52457" w:rsidP="00360B3A">
      <w:pPr>
        <w:pStyle w:val="CDIAbouttextLess"/>
      </w:pPr>
      <w:r w:rsidRPr="009572C6">
        <w:t>Communicable Diseases Intelligence</w:t>
      </w:r>
      <w:r w:rsidRPr="00087CC4">
        <w:t xml:space="preserve"> (CDI)</w:t>
      </w:r>
    </w:p>
    <w:p w14:paraId="40111F11" w14:textId="77777777" w:rsidR="00B52457" w:rsidRPr="00087CC4" w:rsidRDefault="009572C6" w:rsidP="00360B3A">
      <w:pPr>
        <w:pStyle w:val="CDIAbouttextLess"/>
      </w:pPr>
      <w:r>
        <w:t>Australian Centre for Disease Control</w:t>
      </w:r>
    </w:p>
    <w:p w14:paraId="6BE1A378" w14:textId="77777777" w:rsidR="00B52457" w:rsidRPr="0089025E" w:rsidRDefault="00B52457" w:rsidP="00360B3A">
      <w:pPr>
        <w:pStyle w:val="CDIAbouttextLess"/>
      </w:pPr>
      <w:r w:rsidRPr="00087CC4">
        <w:t xml:space="preserve">GPO Box </w:t>
      </w:r>
      <w:r w:rsidR="0010368E">
        <w:t>79</w:t>
      </w:r>
      <w:r w:rsidRPr="00087CC4">
        <w:t>8, CANBERRA</w:t>
      </w:r>
      <w:r w:rsidRPr="0089025E">
        <w:t xml:space="preserve"> ACT 2601</w:t>
      </w:r>
    </w:p>
    <w:p w14:paraId="4A4919B2"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716B991A" w14:textId="77777777" w:rsidR="00B52457" w:rsidRPr="0089025E" w:rsidRDefault="00B52457" w:rsidP="00360B3A">
      <w:pPr>
        <w:pStyle w:val="CDIAbouttextLess"/>
      </w:pPr>
      <w:r w:rsidRPr="0089025E">
        <w:t xml:space="preserve">Email: </w:t>
      </w:r>
      <w:hyperlink r:id="rId17" w:history="1">
        <w:r w:rsidR="002368EA">
          <w:rPr>
            <w:rStyle w:val="Hyperlink"/>
          </w:rPr>
          <w:t>cdi.editor@cdc.gov.au</w:t>
        </w:r>
      </w:hyperlink>
    </w:p>
    <w:p w14:paraId="47DD79AC"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24560076"/>
      <w:bookmarkStart w:id="7" w:name="_Toc195530496"/>
      <w:r>
        <w:t>Contents</w:t>
      </w:r>
      <w:bookmarkEnd w:id="2"/>
      <w:bookmarkEnd w:id="3"/>
      <w:bookmarkEnd w:id="4"/>
      <w:bookmarkEnd w:id="5"/>
      <w:bookmarkEnd w:id="6"/>
    </w:p>
    <w:p w14:paraId="0054C567" w14:textId="624AFF5D" w:rsidR="00C96B62" w:rsidRPr="00491280" w:rsidRDefault="005A4E9D">
      <w:pPr>
        <w:pStyle w:val="TOC1"/>
      </w:pPr>
      <w:r>
        <w:fldChar w:fldCharType="begin"/>
      </w:r>
      <w:r>
        <w:instrText xml:space="preserve"> TOC \o "1-1" \h \z \t "Heading 2,2,Heading 2 - no space before,2,Heading 2 - less space before,2,Heading 2 - new page,2" </w:instrText>
      </w:r>
      <w:r>
        <w:fldChar w:fldCharType="separate"/>
      </w:r>
      <w:hyperlink w:anchor="_Toc224560077" w:history="1">
        <w:r w:rsidR="00C96B62" w:rsidRPr="00F528A4">
          <w:rPr>
            <w:rStyle w:val="Hyperlink"/>
            <w:noProof/>
          </w:rPr>
          <w:t>Abstract</w:t>
        </w:r>
        <w:r w:rsidR="00C96B62">
          <w:rPr>
            <w:noProof/>
            <w:webHidden/>
          </w:rPr>
          <w:tab/>
        </w:r>
        <w:r w:rsidR="00C96B62">
          <w:rPr>
            <w:noProof/>
            <w:webHidden/>
          </w:rPr>
          <w:fldChar w:fldCharType="begin"/>
        </w:r>
        <w:r w:rsidR="00C96B62">
          <w:rPr>
            <w:noProof/>
            <w:webHidden/>
          </w:rPr>
          <w:instrText xml:space="preserve"> PAGEREF _Toc224560077 \h </w:instrText>
        </w:r>
        <w:r w:rsidR="00C96B62">
          <w:rPr>
            <w:noProof/>
            <w:webHidden/>
          </w:rPr>
        </w:r>
        <w:r w:rsidR="00C96B62">
          <w:rPr>
            <w:noProof/>
            <w:webHidden/>
          </w:rPr>
          <w:fldChar w:fldCharType="separate"/>
        </w:r>
        <w:r w:rsidR="00C96B62">
          <w:rPr>
            <w:noProof/>
            <w:webHidden/>
          </w:rPr>
          <w:t>4</w:t>
        </w:r>
        <w:r w:rsidR="00C96B62">
          <w:rPr>
            <w:noProof/>
            <w:webHidden/>
          </w:rPr>
          <w:fldChar w:fldCharType="end"/>
        </w:r>
      </w:hyperlink>
    </w:p>
    <w:p w14:paraId="4F25AC40" w14:textId="7EF1035D" w:rsidR="00C96B62" w:rsidRPr="00491280" w:rsidRDefault="00C96B62">
      <w:pPr>
        <w:pStyle w:val="TOC1"/>
      </w:pPr>
      <w:hyperlink w:anchor="_Toc224560078" w:history="1">
        <w:r w:rsidRPr="00F528A4">
          <w:rPr>
            <w:rStyle w:val="Hyperlink"/>
            <w:noProof/>
          </w:rPr>
          <w:t>Introduction</w:t>
        </w:r>
        <w:r>
          <w:rPr>
            <w:noProof/>
            <w:webHidden/>
          </w:rPr>
          <w:tab/>
        </w:r>
        <w:r>
          <w:rPr>
            <w:noProof/>
            <w:webHidden/>
          </w:rPr>
          <w:fldChar w:fldCharType="begin"/>
        </w:r>
        <w:r>
          <w:rPr>
            <w:noProof/>
            <w:webHidden/>
          </w:rPr>
          <w:instrText xml:space="preserve"> PAGEREF _Toc224560078 \h </w:instrText>
        </w:r>
        <w:r>
          <w:rPr>
            <w:noProof/>
            <w:webHidden/>
          </w:rPr>
        </w:r>
        <w:r>
          <w:rPr>
            <w:noProof/>
            <w:webHidden/>
          </w:rPr>
          <w:fldChar w:fldCharType="separate"/>
        </w:r>
        <w:r>
          <w:rPr>
            <w:noProof/>
            <w:webHidden/>
          </w:rPr>
          <w:t>5</w:t>
        </w:r>
        <w:r>
          <w:rPr>
            <w:noProof/>
            <w:webHidden/>
          </w:rPr>
          <w:fldChar w:fldCharType="end"/>
        </w:r>
      </w:hyperlink>
    </w:p>
    <w:p w14:paraId="734DF70E" w14:textId="48783408" w:rsidR="00C96B62" w:rsidRPr="00491280" w:rsidRDefault="00C96B62">
      <w:pPr>
        <w:pStyle w:val="TOC1"/>
      </w:pPr>
      <w:hyperlink w:anchor="_Toc224560079" w:history="1">
        <w:r w:rsidRPr="00F528A4">
          <w:rPr>
            <w:rStyle w:val="Hyperlink"/>
            <w:noProof/>
            <w:lang w:val="en-GB"/>
          </w:rPr>
          <w:t>Methods</w:t>
        </w:r>
        <w:r>
          <w:rPr>
            <w:noProof/>
            <w:webHidden/>
          </w:rPr>
          <w:tab/>
        </w:r>
        <w:r>
          <w:rPr>
            <w:noProof/>
            <w:webHidden/>
          </w:rPr>
          <w:fldChar w:fldCharType="begin"/>
        </w:r>
        <w:r>
          <w:rPr>
            <w:noProof/>
            <w:webHidden/>
          </w:rPr>
          <w:instrText xml:space="preserve"> PAGEREF _Toc224560079 \h </w:instrText>
        </w:r>
        <w:r>
          <w:rPr>
            <w:noProof/>
            <w:webHidden/>
          </w:rPr>
        </w:r>
        <w:r>
          <w:rPr>
            <w:noProof/>
            <w:webHidden/>
          </w:rPr>
          <w:fldChar w:fldCharType="separate"/>
        </w:r>
        <w:r>
          <w:rPr>
            <w:noProof/>
            <w:webHidden/>
          </w:rPr>
          <w:t>6</w:t>
        </w:r>
        <w:r>
          <w:rPr>
            <w:noProof/>
            <w:webHidden/>
          </w:rPr>
          <w:fldChar w:fldCharType="end"/>
        </w:r>
      </w:hyperlink>
    </w:p>
    <w:p w14:paraId="110BBA37" w14:textId="76D3556B" w:rsidR="00C96B62" w:rsidRPr="00491280" w:rsidRDefault="00C96B62">
      <w:pPr>
        <w:pStyle w:val="TOC2"/>
        <w:tabs>
          <w:tab w:val="right" w:leader="dot" w:pos="9629"/>
        </w:tabs>
      </w:pPr>
      <w:hyperlink w:anchor="_Toc224560080" w:history="1">
        <w:r w:rsidRPr="00F528A4">
          <w:rPr>
            <w:rStyle w:val="Hyperlink"/>
            <w:noProof/>
            <w:lang w:val="en-GB"/>
          </w:rPr>
          <w:t>Epidemiological investigation</w:t>
        </w:r>
        <w:r>
          <w:rPr>
            <w:noProof/>
            <w:webHidden/>
          </w:rPr>
          <w:tab/>
        </w:r>
        <w:r>
          <w:rPr>
            <w:noProof/>
            <w:webHidden/>
          </w:rPr>
          <w:fldChar w:fldCharType="begin"/>
        </w:r>
        <w:r>
          <w:rPr>
            <w:noProof/>
            <w:webHidden/>
          </w:rPr>
          <w:instrText xml:space="preserve"> PAGEREF _Toc224560080 \h </w:instrText>
        </w:r>
        <w:r>
          <w:rPr>
            <w:noProof/>
            <w:webHidden/>
          </w:rPr>
        </w:r>
        <w:r>
          <w:rPr>
            <w:noProof/>
            <w:webHidden/>
          </w:rPr>
          <w:fldChar w:fldCharType="separate"/>
        </w:r>
        <w:r>
          <w:rPr>
            <w:noProof/>
            <w:webHidden/>
          </w:rPr>
          <w:t>6</w:t>
        </w:r>
        <w:r>
          <w:rPr>
            <w:noProof/>
            <w:webHidden/>
          </w:rPr>
          <w:fldChar w:fldCharType="end"/>
        </w:r>
      </w:hyperlink>
    </w:p>
    <w:p w14:paraId="09F399A3" w14:textId="7CB859A7" w:rsidR="00C96B62" w:rsidRPr="00491280" w:rsidRDefault="00C96B62">
      <w:pPr>
        <w:pStyle w:val="TOC2"/>
        <w:tabs>
          <w:tab w:val="right" w:leader="dot" w:pos="9629"/>
        </w:tabs>
      </w:pPr>
      <w:hyperlink w:anchor="_Toc224560081" w:history="1">
        <w:r w:rsidRPr="00F528A4">
          <w:rPr>
            <w:rStyle w:val="Hyperlink"/>
            <w:noProof/>
            <w:lang w:val="en-GB"/>
          </w:rPr>
          <w:t>Environmental health investigation</w:t>
        </w:r>
        <w:r>
          <w:rPr>
            <w:noProof/>
            <w:webHidden/>
          </w:rPr>
          <w:tab/>
        </w:r>
        <w:r>
          <w:rPr>
            <w:noProof/>
            <w:webHidden/>
          </w:rPr>
          <w:fldChar w:fldCharType="begin"/>
        </w:r>
        <w:r>
          <w:rPr>
            <w:noProof/>
            <w:webHidden/>
          </w:rPr>
          <w:instrText xml:space="preserve"> PAGEREF _Toc224560081 \h </w:instrText>
        </w:r>
        <w:r>
          <w:rPr>
            <w:noProof/>
            <w:webHidden/>
          </w:rPr>
        </w:r>
        <w:r>
          <w:rPr>
            <w:noProof/>
            <w:webHidden/>
          </w:rPr>
          <w:fldChar w:fldCharType="separate"/>
        </w:r>
        <w:r>
          <w:rPr>
            <w:noProof/>
            <w:webHidden/>
          </w:rPr>
          <w:t>6</w:t>
        </w:r>
        <w:r>
          <w:rPr>
            <w:noProof/>
            <w:webHidden/>
          </w:rPr>
          <w:fldChar w:fldCharType="end"/>
        </w:r>
      </w:hyperlink>
    </w:p>
    <w:p w14:paraId="6159CAE5" w14:textId="07C30974" w:rsidR="00C96B62" w:rsidRPr="00491280" w:rsidRDefault="00C96B62">
      <w:pPr>
        <w:pStyle w:val="TOC1"/>
      </w:pPr>
      <w:hyperlink w:anchor="_Toc224560082" w:history="1">
        <w:r w:rsidRPr="00F528A4">
          <w:rPr>
            <w:rStyle w:val="Hyperlink"/>
            <w:noProof/>
          </w:rPr>
          <w:t>Results</w:t>
        </w:r>
        <w:r>
          <w:rPr>
            <w:noProof/>
            <w:webHidden/>
          </w:rPr>
          <w:tab/>
        </w:r>
        <w:r>
          <w:rPr>
            <w:noProof/>
            <w:webHidden/>
          </w:rPr>
          <w:fldChar w:fldCharType="begin"/>
        </w:r>
        <w:r>
          <w:rPr>
            <w:noProof/>
            <w:webHidden/>
          </w:rPr>
          <w:instrText xml:space="preserve"> PAGEREF _Toc224560082 \h </w:instrText>
        </w:r>
        <w:r>
          <w:rPr>
            <w:noProof/>
            <w:webHidden/>
          </w:rPr>
        </w:r>
        <w:r>
          <w:rPr>
            <w:noProof/>
            <w:webHidden/>
          </w:rPr>
          <w:fldChar w:fldCharType="separate"/>
        </w:r>
        <w:r>
          <w:rPr>
            <w:noProof/>
            <w:webHidden/>
          </w:rPr>
          <w:t>7</w:t>
        </w:r>
        <w:r>
          <w:rPr>
            <w:noProof/>
            <w:webHidden/>
          </w:rPr>
          <w:fldChar w:fldCharType="end"/>
        </w:r>
      </w:hyperlink>
    </w:p>
    <w:p w14:paraId="4CC9945F" w14:textId="38AF544E" w:rsidR="00C96B62" w:rsidRPr="00491280" w:rsidRDefault="00C96B62">
      <w:pPr>
        <w:pStyle w:val="TOC2"/>
        <w:tabs>
          <w:tab w:val="right" w:leader="dot" w:pos="9629"/>
        </w:tabs>
      </w:pPr>
      <w:hyperlink w:anchor="_Toc224560083" w:history="1">
        <w:r w:rsidRPr="00F528A4">
          <w:rPr>
            <w:rStyle w:val="Hyperlink"/>
            <w:noProof/>
            <w:lang w:val="en-GB"/>
          </w:rPr>
          <w:t>Epidemiological investigation</w:t>
        </w:r>
        <w:r>
          <w:rPr>
            <w:noProof/>
            <w:webHidden/>
          </w:rPr>
          <w:tab/>
        </w:r>
        <w:r>
          <w:rPr>
            <w:noProof/>
            <w:webHidden/>
          </w:rPr>
          <w:fldChar w:fldCharType="begin"/>
        </w:r>
        <w:r>
          <w:rPr>
            <w:noProof/>
            <w:webHidden/>
          </w:rPr>
          <w:instrText xml:space="preserve"> PAGEREF _Toc224560083 \h </w:instrText>
        </w:r>
        <w:r>
          <w:rPr>
            <w:noProof/>
            <w:webHidden/>
          </w:rPr>
        </w:r>
        <w:r>
          <w:rPr>
            <w:noProof/>
            <w:webHidden/>
          </w:rPr>
          <w:fldChar w:fldCharType="separate"/>
        </w:r>
        <w:r>
          <w:rPr>
            <w:noProof/>
            <w:webHidden/>
          </w:rPr>
          <w:t>7</w:t>
        </w:r>
        <w:r>
          <w:rPr>
            <w:noProof/>
            <w:webHidden/>
          </w:rPr>
          <w:fldChar w:fldCharType="end"/>
        </w:r>
      </w:hyperlink>
    </w:p>
    <w:p w14:paraId="6C4DF0E7" w14:textId="34469B9E" w:rsidR="00C96B62" w:rsidRPr="00491280" w:rsidRDefault="00C96B62">
      <w:pPr>
        <w:pStyle w:val="TOC2"/>
        <w:tabs>
          <w:tab w:val="right" w:leader="dot" w:pos="9629"/>
        </w:tabs>
      </w:pPr>
      <w:hyperlink w:anchor="_Toc224560084" w:history="1">
        <w:r w:rsidRPr="00F528A4">
          <w:rPr>
            <w:rStyle w:val="Hyperlink"/>
            <w:noProof/>
            <w:lang w:val="en-GB"/>
          </w:rPr>
          <w:t>Environmental health investigation</w:t>
        </w:r>
        <w:r>
          <w:rPr>
            <w:noProof/>
            <w:webHidden/>
          </w:rPr>
          <w:tab/>
        </w:r>
        <w:r>
          <w:rPr>
            <w:noProof/>
            <w:webHidden/>
          </w:rPr>
          <w:fldChar w:fldCharType="begin"/>
        </w:r>
        <w:r>
          <w:rPr>
            <w:noProof/>
            <w:webHidden/>
          </w:rPr>
          <w:instrText xml:space="preserve"> PAGEREF _Toc224560084 \h </w:instrText>
        </w:r>
        <w:r>
          <w:rPr>
            <w:noProof/>
            <w:webHidden/>
          </w:rPr>
        </w:r>
        <w:r>
          <w:rPr>
            <w:noProof/>
            <w:webHidden/>
          </w:rPr>
          <w:fldChar w:fldCharType="separate"/>
        </w:r>
        <w:r>
          <w:rPr>
            <w:noProof/>
            <w:webHidden/>
          </w:rPr>
          <w:t>8</w:t>
        </w:r>
        <w:r>
          <w:rPr>
            <w:noProof/>
            <w:webHidden/>
          </w:rPr>
          <w:fldChar w:fldCharType="end"/>
        </w:r>
      </w:hyperlink>
    </w:p>
    <w:p w14:paraId="051FB972" w14:textId="33D9589E" w:rsidR="00C96B62" w:rsidRPr="00491280" w:rsidRDefault="00C96B62">
      <w:pPr>
        <w:pStyle w:val="TOC1"/>
      </w:pPr>
      <w:hyperlink w:anchor="_Toc224560085" w:history="1">
        <w:r w:rsidRPr="00F528A4">
          <w:rPr>
            <w:rStyle w:val="Hyperlink"/>
            <w:noProof/>
          </w:rPr>
          <w:t>Conclusion</w:t>
        </w:r>
        <w:r>
          <w:rPr>
            <w:noProof/>
            <w:webHidden/>
          </w:rPr>
          <w:tab/>
        </w:r>
        <w:r>
          <w:rPr>
            <w:noProof/>
            <w:webHidden/>
          </w:rPr>
          <w:fldChar w:fldCharType="begin"/>
        </w:r>
        <w:r>
          <w:rPr>
            <w:noProof/>
            <w:webHidden/>
          </w:rPr>
          <w:instrText xml:space="preserve"> PAGEREF _Toc224560085 \h </w:instrText>
        </w:r>
        <w:r>
          <w:rPr>
            <w:noProof/>
            <w:webHidden/>
          </w:rPr>
        </w:r>
        <w:r>
          <w:rPr>
            <w:noProof/>
            <w:webHidden/>
          </w:rPr>
          <w:fldChar w:fldCharType="separate"/>
        </w:r>
        <w:r>
          <w:rPr>
            <w:noProof/>
            <w:webHidden/>
          </w:rPr>
          <w:t>9</w:t>
        </w:r>
        <w:r>
          <w:rPr>
            <w:noProof/>
            <w:webHidden/>
          </w:rPr>
          <w:fldChar w:fldCharType="end"/>
        </w:r>
      </w:hyperlink>
    </w:p>
    <w:p w14:paraId="2D19F0B4" w14:textId="36CC7B4A" w:rsidR="00C96B62" w:rsidRPr="00491280" w:rsidRDefault="00C96B62">
      <w:pPr>
        <w:pStyle w:val="TOC1"/>
      </w:pPr>
      <w:hyperlink w:anchor="_Toc224560086" w:history="1">
        <w:r w:rsidRPr="00F528A4">
          <w:rPr>
            <w:rStyle w:val="Hyperlink"/>
            <w:noProof/>
          </w:rPr>
          <w:t>Author details</w:t>
        </w:r>
        <w:r>
          <w:rPr>
            <w:noProof/>
            <w:webHidden/>
          </w:rPr>
          <w:tab/>
        </w:r>
        <w:r>
          <w:rPr>
            <w:noProof/>
            <w:webHidden/>
          </w:rPr>
          <w:fldChar w:fldCharType="begin"/>
        </w:r>
        <w:r>
          <w:rPr>
            <w:noProof/>
            <w:webHidden/>
          </w:rPr>
          <w:instrText xml:space="preserve"> PAGEREF _Toc224560086 \h </w:instrText>
        </w:r>
        <w:r>
          <w:rPr>
            <w:noProof/>
            <w:webHidden/>
          </w:rPr>
        </w:r>
        <w:r>
          <w:rPr>
            <w:noProof/>
            <w:webHidden/>
          </w:rPr>
          <w:fldChar w:fldCharType="separate"/>
        </w:r>
        <w:r>
          <w:rPr>
            <w:noProof/>
            <w:webHidden/>
          </w:rPr>
          <w:t>10</w:t>
        </w:r>
        <w:r>
          <w:rPr>
            <w:noProof/>
            <w:webHidden/>
          </w:rPr>
          <w:fldChar w:fldCharType="end"/>
        </w:r>
      </w:hyperlink>
    </w:p>
    <w:p w14:paraId="5733FC43" w14:textId="43016BF0" w:rsidR="00C96B62" w:rsidRPr="00491280" w:rsidRDefault="00C96B62">
      <w:pPr>
        <w:pStyle w:val="TOC1"/>
      </w:pPr>
      <w:hyperlink w:anchor="_Toc224560087" w:history="1">
        <w:r w:rsidRPr="00F528A4">
          <w:rPr>
            <w:rStyle w:val="Hyperlink"/>
            <w:noProof/>
          </w:rPr>
          <w:t>References</w:t>
        </w:r>
        <w:r>
          <w:rPr>
            <w:noProof/>
            <w:webHidden/>
          </w:rPr>
          <w:tab/>
        </w:r>
        <w:r>
          <w:rPr>
            <w:noProof/>
            <w:webHidden/>
          </w:rPr>
          <w:fldChar w:fldCharType="begin"/>
        </w:r>
        <w:r>
          <w:rPr>
            <w:noProof/>
            <w:webHidden/>
          </w:rPr>
          <w:instrText xml:space="preserve"> PAGEREF _Toc224560087 \h </w:instrText>
        </w:r>
        <w:r>
          <w:rPr>
            <w:noProof/>
            <w:webHidden/>
          </w:rPr>
        </w:r>
        <w:r>
          <w:rPr>
            <w:noProof/>
            <w:webHidden/>
          </w:rPr>
          <w:fldChar w:fldCharType="separate"/>
        </w:r>
        <w:r>
          <w:rPr>
            <w:noProof/>
            <w:webHidden/>
          </w:rPr>
          <w:t>11</w:t>
        </w:r>
        <w:r>
          <w:rPr>
            <w:noProof/>
            <w:webHidden/>
          </w:rPr>
          <w:fldChar w:fldCharType="end"/>
        </w:r>
      </w:hyperlink>
    </w:p>
    <w:p w14:paraId="28D17071" w14:textId="00616C23" w:rsidR="00F216F0" w:rsidRPr="00F216F0" w:rsidRDefault="005A4E9D" w:rsidP="00F216F0">
      <w:r>
        <w:rPr>
          <w:rFonts w:eastAsiaTheme="minorHAnsi" w:cstheme="minorHAnsi"/>
          <w:szCs w:val="24"/>
          <w:lang w:eastAsia="en-US"/>
        </w:rPr>
        <w:fldChar w:fldCharType="end"/>
      </w:r>
    </w:p>
    <w:p w14:paraId="3ECA7241" w14:textId="77777777" w:rsidR="00F25C00" w:rsidRDefault="0098426C" w:rsidP="00A24E95">
      <w:pPr>
        <w:pStyle w:val="Heading1"/>
      </w:pPr>
      <w:bookmarkStart w:id="8" w:name="_Toc195530498"/>
      <w:bookmarkStart w:id="9" w:name="_Toc224560077"/>
      <w:bookmarkEnd w:id="7"/>
      <w:r>
        <w:t>Abstract</w:t>
      </w:r>
      <w:bookmarkEnd w:id="8"/>
      <w:bookmarkEnd w:id="9"/>
    </w:p>
    <w:p w14:paraId="09F6AA3F" w14:textId="77777777" w:rsidR="009A5BCC" w:rsidRPr="009A5BCC" w:rsidRDefault="009A5BCC" w:rsidP="009A5BCC">
      <w:pPr>
        <w:pStyle w:val="Normal-morespaceafter"/>
        <w:rPr>
          <w:lang w:val="en-GB"/>
        </w:rPr>
      </w:pPr>
      <w:r w:rsidRPr="009A5BCC">
        <w:rPr>
          <w:lang w:val="en-GB"/>
        </w:rPr>
        <w:t xml:space="preserve">An outbreak of </w:t>
      </w:r>
      <w:r w:rsidRPr="009A5BCC">
        <w:rPr>
          <w:i/>
          <w:iCs/>
          <w:lang w:val="en-GB"/>
        </w:rPr>
        <w:t xml:space="preserve">Campylobacter </w:t>
      </w:r>
      <w:proofErr w:type="spellStart"/>
      <w:r w:rsidRPr="009A5BCC">
        <w:rPr>
          <w:i/>
          <w:iCs/>
          <w:lang w:val="en-GB"/>
        </w:rPr>
        <w:t>jejuni</w:t>
      </w:r>
      <w:proofErr w:type="spellEnd"/>
      <w:r w:rsidRPr="009A5BCC">
        <w:rPr>
          <w:lang w:val="en-GB"/>
        </w:rPr>
        <w:t xml:space="preserve"> gastroenteritis was reported to the Hunter New England Public Health Unit in July 2025. Seven cases were identified from 26 people who had attended an event held at a local restaurant. Investigation included case interviews; a site visit to the restaurant in conjunction with local council; and an online survey administered to attendees. Observation of the pâté making process revealed the potential for both undercooking of the raw pâté product and for raw pâté product to be re-introduced to cooked product. New South Wales Food Authority issued a prohibition order requiring the restaurant to remove the item from the menu. Following this action, no further cases of campylobacteriosis associated with the premises have been reported.</w:t>
      </w:r>
    </w:p>
    <w:p w14:paraId="7A5A963B" w14:textId="64928178" w:rsidR="00B73144" w:rsidRDefault="00B73144" w:rsidP="00E61A68">
      <w:pPr>
        <w:pStyle w:val="CDIBoxText"/>
        <w:rPr>
          <w:lang w:val="en-GB"/>
        </w:rPr>
      </w:pPr>
      <w:r w:rsidRPr="00E61A68">
        <w:t>Keywords</w:t>
      </w:r>
      <w:r w:rsidR="00BF1476">
        <w:t xml:space="preserve">: </w:t>
      </w:r>
      <w:r w:rsidR="009A5BCC" w:rsidRPr="009A5BCC">
        <w:rPr>
          <w:lang w:val="en-GB"/>
        </w:rPr>
        <w:t>Australia; foodborne disease; restaurant-associated; campylobacteriosis; outbreaks; pâté</w:t>
      </w:r>
    </w:p>
    <w:p w14:paraId="00423E30" w14:textId="77777777" w:rsidR="0037146D" w:rsidRDefault="00B73144" w:rsidP="00B73144">
      <w:pPr>
        <w:pStyle w:val="Heading1"/>
      </w:pPr>
      <w:bookmarkStart w:id="10" w:name="_Toc195530501"/>
      <w:bookmarkStart w:id="11" w:name="_Toc224560078"/>
      <w:r>
        <w:t>Introduction</w:t>
      </w:r>
      <w:bookmarkEnd w:id="10"/>
      <w:bookmarkEnd w:id="11"/>
    </w:p>
    <w:p w14:paraId="37157E7B" w14:textId="77777777" w:rsidR="009A5BCC" w:rsidRPr="009A5BCC" w:rsidRDefault="009A5BCC" w:rsidP="009A5BCC">
      <w:pPr>
        <w:rPr>
          <w:lang w:val="en-GB"/>
        </w:rPr>
      </w:pPr>
      <w:r w:rsidRPr="009A5BCC">
        <w:rPr>
          <w:lang w:val="en-GB"/>
        </w:rPr>
        <w:t xml:space="preserve">While campylobacteriosis is a common enteric disease, foodborne outbreaks caused by </w:t>
      </w:r>
      <w:r w:rsidRPr="009A5BCC">
        <w:rPr>
          <w:i/>
          <w:iCs/>
          <w:lang w:val="en-GB"/>
        </w:rPr>
        <w:t>Campylobacter</w:t>
      </w:r>
      <w:r w:rsidRPr="009A5BCC">
        <w:rPr>
          <w:lang w:val="en-GB"/>
        </w:rPr>
        <w:t xml:space="preserve"> offer a rare opportunity to identify potential food sources. Most presentations are mild, though it can have serious outcomes in high-risk groups and occasionally causes Guillain-Barré syndrome and reactive arthritis.</w:t>
      </w:r>
      <w:r w:rsidRPr="009A5BCC">
        <w:rPr>
          <w:vertAlign w:val="superscript"/>
          <w:lang w:val="en-GB"/>
        </w:rPr>
        <w:t>1,2</w:t>
      </w:r>
      <w:r w:rsidRPr="009A5BCC">
        <w:rPr>
          <w:lang w:val="en-GB"/>
        </w:rPr>
        <w:t xml:space="preserve"> In Australia, case numbers have steadily increased since 2013, with an average of 41,036 cases reported over the last three years.</w:t>
      </w:r>
      <w:r w:rsidRPr="009A5BCC">
        <w:rPr>
          <w:vertAlign w:val="superscript"/>
          <w:lang w:val="en-GB"/>
        </w:rPr>
        <w:t>3</w:t>
      </w:r>
      <w:r w:rsidRPr="009A5BCC">
        <w:rPr>
          <w:lang w:val="en-GB"/>
        </w:rPr>
        <w:t xml:space="preserve"> As with many foodborne illnesses, case ascertainment is low.</w:t>
      </w:r>
      <w:r w:rsidRPr="009A5BCC">
        <w:rPr>
          <w:vertAlign w:val="superscript"/>
          <w:lang w:val="en-GB"/>
        </w:rPr>
        <w:t>4</w:t>
      </w:r>
      <w:r w:rsidRPr="009A5BCC">
        <w:rPr>
          <w:lang w:val="en-GB"/>
        </w:rPr>
        <w:t xml:space="preserve"> </w:t>
      </w:r>
    </w:p>
    <w:p w14:paraId="4EA2030F" w14:textId="77777777" w:rsidR="009A5BCC" w:rsidRPr="009A5BCC" w:rsidRDefault="009A5BCC" w:rsidP="009A5BCC">
      <w:pPr>
        <w:rPr>
          <w:lang w:val="en-GB"/>
        </w:rPr>
      </w:pPr>
      <w:r w:rsidRPr="009A5BCC">
        <w:rPr>
          <w:lang w:val="en-GB"/>
        </w:rPr>
        <w:t xml:space="preserve">On 25 July 2025, the Hunter New England Public Health Unit (HNEPHU) was notified of campylobacteriosis in a two-year-old child, and the grandmother of that child, both of whom attended a family event held at a local restaurant. Concurrently, a complaint of foodborne illness was made to the NSW Food Authority by the organiser of the family event, concerning the notified cases and the same restaurant in the Hunter New England (HNE) district. The complaint implicated the pâté de canard (duck liver pâté) served at the event, as the two-year-old had eaten more of this than other menu items. There were several high-risk foods served, including pâté de canard, chicken, seafood dishes, and a bone marrow-based sauce. </w:t>
      </w:r>
    </w:p>
    <w:p w14:paraId="385C3024" w14:textId="77777777" w:rsidR="009A5BCC" w:rsidRPr="009A5BCC" w:rsidRDefault="009A5BCC" w:rsidP="009A5BCC">
      <w:pPr>
        <w:rPr>
          <w:lang w:val="en-GB"/>
        </w:rPr>
      </w:pPr>
      <w:r w:rsidRPr="009A5BCC">
        <w:rPr>
          <w:lang w:val="en-GB"/>
        </w:rPr>
        <w:t>An outbreak investigation was undertaken to elicit the aetiology of the outbreak.</w:t>
      </w:r>
    </w:p>
    <w:p w14:paraId="42AE68D2" w14:textId="77777777" w:rsidR="00A24E95" w:rsidRDefault="00B73144" w:rsidP="00B73144">
      <w:pPr>
        <w:pStyle w:val="Heading1"/>
        <w:rPr>
          <w:lang w:val="en-GB"/>
        </w:rPr>
      </w:pPr>
      <w:bookmarkStart w:id="12" w:name="_Toc195530502"/>
      <w:bookmarkStart w:id="13" w:name="_Toc224560079"/>
      <w:r>
        <w:rPr>
          <w:lang w:val="en-GB"/>
        </w:rPr>
        <w:t>Methods</w:t>
      </w:r>
      <w:bookmarkEnd w:id="12"/>
      <w:bookmarkEnd w:id="13"/>
    </w:p>
    <w:p w14:paraId="5F8113C5" w14:textId="77777777" w:rsidR="009A5BCC" w:rsidRPr="009A5BCC" w:rsidRDefault="009A5BCC" w:rsidP="009A5BCC">
      <w:pPr>
        <w:pStyle w:val="Heading2-lessspacebefore"/>
        <w:rPr>
          <w:lang w:val="en-GB"/>
        </w:rPr>
      </w:pPr>
      <w:bookmarkStart w:id="14" w:name="_Toc224560080"/>
      <w:r w:rsidRPr="009A5BCC">
        <w:rPr>
          <w:lang w:val="en-GB"/>
        </w:rPr>
        <w:t>Epidemiological investigation</w:t>
      </w:r>
      <w:bookmarkEnd w:id="14"/>
    </w:p>
    <w:p w14:paraId="75E05F81" w14:textId="77777777" w:rsidR="009A5BCC" w:rsidRPr="009A5BCC" w:rsidRDefault="009A5BCC" w:rsidP="009A5BCC">
      <w:pPr>
        <w:rPr>
          <w:lang w:val="en-GB"/>
        </w:rPr>
      </w:pPr>
      <w:r w:rsidRPr="009A5BCC">
        <w:rPr>
          <w:lang w:val="en-GB"/>
        </w:rPr>
        <w:t xml:space="preserve">An initial interview took place with the complainant, who was also the organiser of the event, and parent to the two-year-old with confirmed campylobacteriosis. This interview aimed to elicit as much information as possible about the event, the menu, the attendees and their child’s illness. The interviewer (EG) requested a line list of attendees, and photos of the event where possible. Hypothesis generating interviews were then conducted by EG with six of the seven attendees reporting illness; one attendee did not respond to contact. One interviewee was able to provide a photo of the menu, later confirmed by the restaurant. Further samples for laboratory testing were not sought, as it was several weeks post-event and cases had recovered. </w:t>
      </w:r>
    </w:p>
    <w:p w14:paraId="3BBCCA21" w14:textId="77777777" w:rsidR="009A5BCC" w:rsidRPr="009A5BCC" w:rsidRDefault="009A5BCC" w:rsidP="009A5BCC">
      <w:pPr>
        <w:rPr>
          <w:lang w:val="en-GB"/>
        </w:rPr>
      </w:pPr>
      <w:r w:rsidRPr="009A5BCC">
        <w:rPr>
          <w:lang w:val="en-GB"/>
        </w:rPr>
        <w:t>An outbreak-related case was defined as an individual who had attended the event on 13 July 2025, who subsequently developed diarrhoea (loose stools, at least three times in 24 hours) or stomach cramps and fever during the ten days after 13 July 2025. This was based on the incubation period for campylobacteriosis, which is reportedly up to 10 days (median 2–5 days). A probable case was defined as a person who attended the event at the restaurant on 13 July and developed stomach cramps during the ten days after 13 July.</w:t>
      </w:r>
    </w:p>
    <w:p w14:paraId="54A32DFA" w14:textId="77777777" w:rsidR="009A5BCC" w:rsidRPr="009A5BCC" w:rsidRDefault="009A5BCC" w:rsidP="009A5BCC">
      <w:pPr>
        <w:rPr>
          <w:lang w:val="en-GB"/>
        </w:rPr>
      </w:pPr>
      <w:r w:rsidRPr="009A5BCC">
        <w:rPr>
          <w:lang w:val="en-GB"/>
        </w:rPr>
        <w:t>A REDCap questionnaire developed by the HNEPHU team elicited demographics, symptom onset and clinical presentation, and the amount and type of food eaten by the attendees was emailed to all attendees at the family event (n = 26). Descriptive epidemiological analysis was performed in R, version 4.1.</w:t>
      </w:r>
      <w:r w:rsidRPr="009A5BCC">
        <w:rPr>
          <w:vertAlign w:val="superscript"/>
          <w:lang w:val="en-GB"/>
        </w:rPr>
        <w:t>5</w:t>
      </w:r>
      <w:r w:rsidRPr="009A5BCC">
        <w:rPr>
          <w:lang w:val="en-GB"/>
        </w:rPr>
        <w:t xml:space="preserve"> The mean consumption (by number of servings) was assessed for each menu item by cases and non-cases. This implicated several menu items. We then calculated attack rates and risk differences for the implicated menu items in the cohort attending the event.</w:t>
      </w:r>
    </w:p>
    <w:p w14:paraId="1327AF6F" w14:textId="77777777" w:rsidR="009A5BCC" w:rsidRPr="009A5BCC" w:rsidRDefault="009A5BCC" w:rsidP="009A5BCC">
      <w:pPr>
        <w:rPr>
          <w:lang w:val="en-GB"/>
        </w:rPr>
      </w:pPr>
      <w:r w:rsidRPr="009A5BCC">
        <w:rPr>
          <w:lang w:val="en-GB"/>
        </w:rPr>
        <w:t xml:space="preserve">Ethics approval was not sought for this investigation as it was conducted under the </w:t>
      </w:r>
      <w:r w:rsidRPr="009A5BCC">
        <w:rPr>
          <w:i/>
          <w:iCs/>
          <w:lang w:val="en-GB"/>
        </w:rPr>
        <w:t>NSW Public Health Act 2010</w:t>
      </w:r>
      <w:r w:rsidRPr="009A5BCC">
        <w:rPr>
          <w:lang w:val="en-GB"/>
        </w:rPr>
        <w:t xml:space="preserve">. </w:t>
      </w:r>
    </w:p>
    <w:p w14:paraId="7481E01B" w14:textId="77777777" w:rsidR="009A5BCC" w:rsidRPr="009A5BCC" w:rsidRDefault="009A5BCC" w:rsidP="009A5BCC">
      <w:pPr>
        <w:pStyle w:val="Heading2"/>
        <w:rPr>
          <w:lang w:val="en-GB"/>
        </w:rPr>
      </w:pPr>
      <w:bookmarkStart w:id="15" w:name="_Toc224560081"/>
      <w:r w:rsidRPr="009A5BCC">
        <w:rPr>
          <w:lang w:val="en-GB"/>
        </w:rPr>
        <w:t>Environmental health investigation</w:t>
      </w:r>
      <w:bookmarkEnd w:id="15"/>
    </w:p>
    <w:p w14:paraId="357F6126" w14:textId="77777777" w:rsidR="009A5BCC" w:rsidRPr="009A5BCC" w:rsidRDefault="009A5BCC" w:rsidP="009A5BCC">
      <w:pPr>
        <w:rPr>
          <w:lang w:val="en-GB"/>
        </w:rPr>
      </w:pPr>
      <w:r w:rsidRPr="009A5BCC">
        <w:rPr>
          <w:lang w:val="en-GB"/>
        </w:rPr>
        <w:t xml:space="preserve">On 1 August 2025, an onsite joint investigation was conducted by NSWFA inspectors and HNEPHU in the presence of the restaurant owner. An interview with the owner determined the cooking and food handling processes, suppliers, and cleaning and hygiene procedures at the restaurant. The owner provided a list of all patrons who ate at the restaurant on the date of the event (n ~ 60, including attendees of the family event). The purpose of obtaining this list was to cross-check against notifications of campylobacteriosis received in the same timeframe (defined as four weeks post the event to allow for results of testing to be reported). No environmental samples were taken, as none of the food eaten by attendees remained on the premises. </w:t>
      </w:r>
    </w:p>
    <w:p w14:paraId="42E9A6D7" w14:textId="77777777" w:rsidR="008A0736" w:rsidRDefault="000073ED" w:rsidP="005A4E9D">
      <w:pPr>
        <w:pStyle w:val="Heading1"/>
      </w:pPr>
      <w:bookmarkStart w:id="16" w:name="_Toc195530503"/>
      <w:bookmarkStart w:id="17" w:name="_Toc224560082"/>
      <w:r>
        <w:t>Results</w:t>
      </w:r>
      <w:bookmarkEnd w:id="16"/>
      <w:bookmarkEnd w:id="17"/>
    </w:p>
    <w:p w14:paraId="3E05B5F5" w14:textId="21717983" w:rsidR="009A5BCC" w:rsidRPr="009A5BCC" w:rsidRDefault="009A5BCC" w:rsidP="00C42419">
      <w:pPr>
        <w:pStyle w:val="Heading2-lessspacebefore"/>
        <w:rPr>
          <w:lang w:val="en-GB"/>
        </w:rPr>
      </w:pPr>
      <w:bookmarkStart w:id="18" w:name="_Toc224560083"/>
      <w:r w:rsidRPr="009A5BCC">
        <w:rPr>
          <w:lang w:val="en-GB"/>
        </w:rPr>
        <w:t>Epidemiological investigation</w:t>
      </w:r>
      <w:bookmarkEnd w:id="18"/>
    </w:p>
    <w:p w14:paraId="7C223D4F" w14:textId="77777777" w:rsidR="009A5BCC" w:rsidRPr="009A5BCC" w:rsidRDefault="009A5BCC" w:rsidP="009A5BCC">
      <w:pPr>
        <w:rPr>
          <w:lang w:val="en-GB"/>
        </w:rPr>
      </w:pPr>
      <w:r w:rsidRPr="009A5BCC">
        <w:rPr>
          <w:lang w:val="en-GB"/>
        </w:rPr>
        <w:t xml:space="preserve">Five met the confirmed case definition, and two met the probable case definition. No further cases were laboratory confirmed beyond the first two cases notified. </w:t>
      </w:r>
    </w:p>
    <w:p w14:paraId="48970093" w14:textId="77777777" w:rsidR="009A5BCC" w:rsidRDefault="009A5BCC" w:rsidP="009A5BCC">
      <w:pPr>
        <w:rPr>
          <w:lang w:val="en-GB"/>
        </w:rPr>
      </w:pPr>
      <w:r w:rsidRPr="009A5BCC">
        <w:rPr>
          <w:lang w:val="en-GB"/>
        </w:rPr>
        <w:t xml:space="preserve">The meal consumed by the party was also consumed by other diners and staff members that day (n ~ 60), with no other illness reported to the proprietor of the restaurant or to the public health unit. A review conducted of 43 campylobacteriosis cases reported to HNEPHU between 13 and 31 July 2025 (based on the plausible incubation period, and cumulative reporting delays) revealed no further cases associated with the restaurant. </w:t>
      </w:r>
    </w:p>
    <w:p w14:paraId="7C259454" w14:textId="77777777" w:rsidR="00C42419" w:rsidRPr="00C42419" w:rsidRDefault="00C42419" w:rsidP="00C42419">
      <w:pPr>
        <w:pStyle w:val="CDIFigure-Title"/>
        <w:rPr>
          <w:lang w:val="en-GB"/>
        </w:rPr>
      </w:pPr>
      <w:r w:rsidRPr="00C42419">
        <w:rPr>
          <w:lang w:val="en-GB"/>
        </w:rPr>
        <w:t xml:space="preserve">Figure 1: Epidemic curve of a restaurant-associated campylobacteriosis </w:t>
      </w:r>
      <w:proofErr w:type="spellStart"/>
      <w:proofErr w:type="gramStart"/>
      <w:r w:rsidRPr="00C42419">
        <w:rPr>
          <w:lang w:val="en-GB"/>
        </w:rPr>
        <w:t>outbreak,</w:t>
      </w:r>
      <w:r w:rsidRPr="00C42419">
        <w:rPr>
          <w:vertAlign w:val="superscript"/>
          <w:lang w:val="en-GB"/>
        </w:rPr>
        <w:t>a</w:t>
      </w:r>
      <w:proofErr w:type="spellEnd"/>
      <w:proofErr w:type="gramEnd"/>
      <w:r w:rsidRPr="00C42419">
        <w:rPr>
          <w:lang w:val="en-GB"/>
        </w:rPr>
        <w:t xml:space="preserve"> Hunter New England Local Health District, July 2025</w:t>
      </w:r>
    </w:p>
    <w:p w14:paraId="21D8CE06" w14:textId="2EBE2C2F" w:rsidR="00C42419" w:rsidRDefault="00C42419" w:rsidP="00C42419">
      <w:pPr>
        <w:pStyle w:val="CDIFigure-Placeholder"/>
        <w:rPr>
          <w:lang w:val="en-GB"/>
        </w:rPr>
      </w:pPr>
      <w:r>
        <w:rPr>
          <w:noProof/>
          <w:lang w:val="en-GB"/>
          <w14:ligatures w14:val="none"/>
        </w:rPr>
        <w:drawing>
          <wp:inline distT="0" distB="0" distL="0" distR="0" wp14:anchorId="50B1CBDC" wp14:editId="2C1B61D4">
            <wp:extent cx="6120753" cy="2692400"/>
            <wp:effectExtent l="0" t="0" r="0" b="0"/>
            <wp:docPr id="1604013095" name="Picture 1" descr="Figure 1. The epidemic curve shows the seven cases (two probable and five confirmed, per the outbreak definition outlined in the text) with symptom onset dates ranging from 16-19 July 2025. Also shown is the date of the event marked in an orange dashed line, dated 13 July 202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013095" name="Picture 1" descr="Figure 1. The epidemic curve shows the seven cases (two probable and five confirmed, per the outbreak definition outlined in the text) with symptom onset dates ranging from 16-19 July 2025. Also shown is the date of the event marked in an orange dashed line, dated 13 July 2025. "/>
                    <pic:cNvPicPr/>
                  </pic:nvPicPr>
                  <pic:blipFill>
                    <a:blip r:embed="rId18">
                      <a:extLst>
                        <a:ext uri="{28A0092B-C50C-407E-A947-70E740481C1C}">
                          <a14:useLocalDpi xmlns:a14="http://schemas.microsoft.com/office/drawing/2010/main" val="0"/>
                        </a:ext>
                      </a:extLst>
                    </a:blip>
                    <a:stretch>
                      <a:fillRect/>
                    </a:stretch>
                  </pic:blipFill>
                  <pic:spPr>
                    <a:xfrm>
                      <a:off x="0" y="0"/>
                      <a:ext cx="6120753" cy="2692400"/>
                    </a:xfrm>
                    <a:prstGeom prst="rect">
                      <a:avLst/>
                    </a:prstGeom>
                  </pic:spPr>
                </pic:pic>
              </a:graphicData>
            </a:graphic>
          </wp:inline>
        </w:drawing>
      </w:r>
    </w:p>
    <w:p w14:paraId="052AC6A4" w14:textId="2FA48745" w:rsidR="00917290" w:rsidRPr="00917290" w:rsidRDefault="00917290" w:rsidP="00917290">
      <w:pPr>
        <w:pStyle w:val="CDITable-FirstFootnote"/>
      </w:pPr>
      <w:r>
        <w:rPr>
          <w:lang w:val="en-GB"/>
        </w:rPr>
        <w:t>a</w:t>
      </w:r>
      <w:r>
        <w:rPr>
          <w:lang w:val="en-GB"/>
        </w:rPr>
        <w:tab/>
        <w:t>The orange dashed line indicates the date of the family event.</w:t>
      </w:r>
    </w:p>
    <w:p w14:paraId="0355200A" w14:textId="5F03F5E3" w:rsidR="00C42419" w:rsidRDefault="009A5BCC" w:rsidP="00C42419">
      <w:pPr>
        <w:pStyle w:val="Normal-morespacebefore"/>
        <w:rPr>
          <w:lang w:val="en-GB"/>
        </w:rPr>
      </w:pPr>
      <w:r w:rsidRPr="009A5BCC">
        <w:rPr>
          <w:lang w:val="en-GB"/>
        </w:rPr>
        <w:t>The survey response rate of event attendees was 88.5% (n = 23/26), with all cases (n = 7) responding. Epidemiological analysis revealed that the top two food items with the strongest association with illness were pâté de canard and artichoke fritter (Table 1). The artichoke fritter was considered low risk, as it was deep fried. These menu items were consumed by all seven cases. The greatest risk difference in attack rates (46.7%) was for pâté de canard.</w:t>
      </w:r>
      <w:r w:rsidR="00C42419">
        <w:rPr>
          <w:lang w:val="en-GB"/>
        </w:rPr>
        <w:br w:type="page"/>
      </w:r>
    </w:p>
    <w:p w14:paraId="0ED40C41" w14:textId="77777777" w:rsidR="00C42419" w:rsidRPr="00C42419" w:rsidRDefault="00C42419" w:rsidP="00C42419">
      <w:pPr>
        <w:pStyle w:val="CDITable-Title"/>
        <w:rPr>
          <w:lang w:val="en-GB"/>
        </w:rPr>
      </w:pPr>
      <w:r w:rsidRPr="00C42419">
        <w:rPr>
          <w:lang w:val="en-GB"/>
        </w:rPr>
        <w:t>Table 1: Analysis of the five highest-risk menu items served to attendees of the family event implicated in the restaurant-associated campylobacteriosis outbreak, Hunter New England Local Health District, July 2025</w:t>
      </w:r>
    </w:p>
    <w:tbl>
      <w:tblPr>
        <w:tblW w:w="0" w:type="auto"/>
        <w:tblLayout w:type="fixed"/>
        <w:tblCellMar>
          <w:left w:w="0" w:type="dxa"/>
          <w:right w:w="0" w:type="dxa"/>
        </w:tblCellMar>
        <w:tblLook w:val="0000" w:firstRow="0" w:lastRow="0" w:firstColumn="0" w:lastColumn="0" w:noHBand="0" w:noVBand="0"/>
        <w:tblCaption w:val="Table 1: Analysis of the five highest-risk menu items served to attendees of the family event implicated in the restaurant-associated campylobacteriosis outbreak, Hunter New England Local Health District, July 2025"/>
        <w:tblDescription w:val="Table 1 shows the top five high risk menu items served at the event, from highest risk to lowest risk. Numbers of exposed and unexposed persons are presented with attack rates, relative risk, and associated 95% confidence intervals. "/>
      </w:tblPr>
      <w:tblGrid>
        <w:gridCol w:w="2835"/>
        <w:gridCol w:w="737"/>
        <w:gridCol w:w="793"/>
        <w:gridCol w:w="907"/>
        <w:gridCol w:w="737"/>
        <w:gridCol w:w="794"/>
        <w:gridCol w:w="907"/>
        <w:gridCol w:w="964"/>
        <w:gridCol w:w="964"/>
      </w:tblGrid>
      <w:tr w:rsidR="00C42419" w:rsidRPr="00C42419" w14:paraId="2C60AB35" w14:textId="77777777" w:rsidTr="00C42419">
        <w:trPr>
          <w:trHeight w:val="60"/>
          <w:tblHeader/>
        </w:trPr>
        <w:tc>
          <w:tcPr>
            <w:tcW w:w="2835" w:type="dxa"/>
            <w:vMerge w:val="restart"/>
            <w:shd w:val="clear" w:color="auto" w:fill="1E4496" w:themeFill="text2"/>
            <w:tcMar>
              <w:top w:w="113" w:type="dxa"/>
              <w:left w:w="113" w:type="dxa"/>
              <w:bottom w:w="113" w:type="dxa"/>
              <w:right w:w="113" w:type="dxa"/>
            </w:tcMar>
            <w:vAlign w:val="bottom"/>
          </w:tcPr>
          <w:p w14:paraId="5FED9ABE" w14:textId="77777777" w:rsidR="00C42419" w:rsidRPr="00C42419" w:rsidRDefault="00C42419" w:rsidP="00C42419">
            <w:pPr>
              <w:pStyle w:val="CDITable-HeaderRowLeft"/>
            </w:pPr>
            <w:r w:rsidRPr="00C42419">
              <w:t>Food item</w:t>
            </w:r>
          </w:p>
        </w:tc>
        <w:tc>
          <w:tcPr>
            <w:tcW w:w="2437" w:type="dxa"/>
            <w:gridSpan w:val="3"/>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39564889" w14:textId="77777777" w:rsidR="00C42419" w:rsidRPr="00C42419" w:rsidRDefault="00C42419" w:rsidP="00C42419">
            <w:pPr>
              <w:pStyle w:val="CDITable-HeaderRowCentre"/>
            </w:pPr>
            <w:r w:rsidRPr="00C42419">
              <w:t>Exposed</w:t>
            </w:r>
          </w:p>
        </w:tc>
        <w:tc>
          <w:tcPr>
            <w:tcW w:w="2438" w:type="dxa"/>
            <w:gridSpan w:val="3"/>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3E297D9F" w14:textId="77777777" w:rsidR="00C42419" w:rsidRPr="00C42419" w:rsidRDefault="00C42419" w:rsidP="00C42419">
            <w:pPr>
              <w:pStyle w:val="CDITable-HeaderRowCentre"/>
            </w:pPr>
            <w:r w:rsidRPr="00C42419">
              <w:t>Unexposed</w:t>
            </w:r>
          </w:p>
        </w:tc>
        <w:tc>
          <w:tcPr>
            <w:tcW w:w="964" w:type="dxa"/>
            <w:vMerge w:val="restart"/>
            <w:shd w:val="clear" w:color="auto" w:fill="1E4496" w:themeFill="text2"/>
            <w:tcMar>
              <w:top w:w="113" w:type="dxa"/>
              <w:left w:w="113" w:type="dxa"/>
              <w:bottom w:w="113" w:type="dxa"/>
              <w:right w:w="113" w:type="dxa"/>
            </w:tcMar>
            <w:vAlign w:val="bottom"/>
          </w:tcPr>
          <w:p w14:paraId="58C50C09" w14:textId="77777777" w:rsidR="00C42419" w:rsidRPr="00C42419" w:rsidRDefault="00C42419" w:rsidP="00C42419">
            <w:pPr>
              <w:pStyle w:val="CDITable-HeaderRowCentre"/>
            </w:pPr>
            <w:r w:rsidRPr="00C42419">
              <w:t>Relative risk</w:t>
            </w:r>
          </w:p>
        </w:tc>
        <w:tc>
          <w:tcPr>
            <w:tcW w:w="964" w:type="dxa"/>
            <w:vMerge w:val="restart"/>
            <w:shd w:val="clear" w:color="auto" w:fill="1E4496" w:themeFill="text2"/>
            <w:tcMar>
              <w:top w:w="113" w:type="dxa"/>
              <w:left w:w="113" w:type="dxa"/>
              <w:bottom w:w="113" w:type="dxa"/>
              <w:right w:w="113" w:type="dxa"/>
            </w:tcMar>
            <w:vAlign w:val="bottom"/>
          </w:tcPr>
          <w:p w14:paraId="1A6B95DB" w14:textId="77777777" w:rsidR="00C42419" w:rsidRPr="00C42419" w:rsidRDefault="00C42419" w:rsidP="00C42419">
            <w:pPr>
              <w:pStyle w:val="CDITable-HeaderRowCentre"/>
            </w:pPr>
            <w:r w:rsidRPr="00C42419">
              <w:t xml:space="preserve">95% </w:t>
            </w:r>
            <w:proofErr w:type="spellStart"/>
            <w:r w:rsidRPr="00C42419">
              <w:t>CI</w:t>
            </w:r>
            <w:r w:rsidRPr="00C42419">
              <w:rPr>
                <w:vertAlign w:val="superscript"/>
              </w:rPr>
              <w:t>b</w:t>
            </w:r>
            <w:proofErr w:type="spellEnd"/>
          </w:p>
        </w:tc>
      </w:tr>
      <w:tr w:rsidR="00C42419" w:rsidRPr="00C42419" w14:paraId="631103F4" w14:textId="77777777" w:rsidTr="00C42419">
        <w:trPr>
          <w:trHeight w:val="60"/>
          <w:tblHeader/>
        </w:trPr>
        <w:tc>
          <w:tcPr>
            <w:tcW w:w="2835" w:type="dxa"/>
            <w:vMerge/>
            <w:shd w:val="clear" w:color="auto" w:fill="1E4496" w:themeFill="text2"/>
          </w:tcPr>
          <w:p w14:paraId="1394D005" w14:textId="77777777" w:rsidR="00C42419" w:rsidRPr="00C42419" w:rsidRDefault="00C42419" w:rsidP="00C42419"/>
        </w:tc>
        <w:tc>
          <w:tcPr>
            <w:tcW w:w="73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4EFD1965" w14:textId="77777777" w:rsidR="00C42419" w:rsidRPr="00C42419" w:rsidRDefault="00C42419" w:rsidP="00C42419">
            <w:pPr>
              <w:pStyle w:val="CDITable-HeaderRowCentre"/>
            </w:pPr>
            <w:r w:rsidRPr="00C42419">
              <w:t>Total</w:t>
            </w:r>
          </w:p>
        </w:tc>
        <w:tc>
          <w:tcPr>
            <w:tcW w:w="793"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5EC41FC4" w14:textId="77777777" w:rsidR="00C42419" w:rsidRPr="00C42419" w:rsidRDefault="00C42419" w:rsidP="00C42419">
            <w:pPr>
              <w:pStyle w:val="CDITable-HeaderRowCentre"/>
            </w:pPr>
            <w:r w:rsidRPr="00C42419">
              <w:t>Cases</w:t>
            </w:r>
          </w:p>
        </w:tc>
        <w:tc>
          <w:tcPr>
            <w:tcW w:w="907"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25038782" w14:textId="77777777" w:rsidR="00C42419" w:rsidRPr="00C42419" w:rsidRDefault="00C42419" w:rsidP="00C42419">
            <w:pPr>
              <w:pStyle w:val="CDITable-HeaderRowCentre"/>
            </w:pPr>
            <w:proofErr w:type="spellStart"/>
            <w:r w:rsidRPr="00C42419">
              <w:t>AR</w:t>
            </w:r>
            <w:r w:rsidRPr="00C42419">
              <w:rPr>
                <w:vertAlign w:val="superscript"/>
              </w:rPr>
              <w:t>a</w:t>
            </w:r>
            <w:proofErr w:type="spellEnd"/>
            <w:r w:rsidRPr="00C42419">
              <w:t xml:space="preserve"> (%)</w:t>
            </w:r>
          </w:p>
        </w:tc>
        <w:tc>
          <w:tcPr>
            <w:tcW w:w="737"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13724FE2" w14:textId="77777777" w:rsidR="00C42419" w:rsidRPr="00C42419" w:rsidRDefault="00C42419" w:rsidP="00C42419">
            <w:pPr>
              <w:pStyle w:val="CDITable-HeaderRowCentre"/>
            </w:pPr>
            <w:r w:rsidRPr="00C42419">
              <w:t>Total</w:t>
            </w:r>
          </w:p>
        </w:tc>
        <w:tc>
          <w:tcPr>
            <w:tcW w:w="794"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236F59C9" w14:textId="77777777" w:rsidR="00C42419" w:rsidRPr="00C42419" w:rsidRDefault="00C42419" w:rsidP="00C42419">
            <w:pPr>
              <w:pStyle w:val="CDITable-HeaderRowCentre"/>
            </w:pPr>
            <w:r w:rsidRPr="00C42419">
              <w:t>Cases</w:t>
            </w:r>
          </w:p>
        </w:tc>
        <w:tc>
          <w:tcPr>
            <w:tcW w:w="907"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01D42ED8" w14:textId="77777777" w:rsidR="00C42419" w:rsidRPr="00C42419" w:rsidRDefault="00C42419" w:rsidP="00C42419">
            <w:pPr>
              <w:pStyle w:val="CDITable-HeaderRowCentre"/>
            </w:pPr>
            <w:proofErr w:type="spellStart"/>
            <w:r w:rsidRPr="00C42419">
              <w:t>AR</w:t>
            </w:r>
            <w:r w:rsidRPr="00C42419">
              <w:rPr>
                <w:vertAlign w:val="superscript"/>
              </w:rPr>
              <w:t>a</w:t>
            </w:r>
            <w:proofErr w:type="spellEnd"/>
            <w:r w:rsidRPr="00C42419">
              <w:t xml:space="preserve"> (%)</w:t>
            </w:r>
          </w:p>
        </w:tc>
        <w:tc>
          <w:tcPr>
            <w:tcW w:w="964" w:type="dxa"/>
            <w:vMerge/>
            <w:tcBorders>
              <w:left w:val="single" w:sz="6" w:space="0" w:color="FFFFFF" w:themeColor="background1"/>
            </w:tcBorders>
            <w:shd w:val="clear" w:color="auto" w:fill="1E4496" w:themeFill="text2"/>
          </w:tcPr>
          <w:p w14:paraId="4415B822" w14:textId="77777777" w:rsidR="00C42419" w:rsidRPr="00C42419" w:rsidRDefault="00C42419" w:rsidP="00C42419"/>
        </w:tc>
        <w:tc>
          <w:tcPr>
            <w:tcW w:w="964" w:type="dxa"/>
            <w:vMerge/>
            <w:shd w:val="clear" w:color="auto" w:fill="1E4496" w:themeFill="text2"/>
          </w:tcPr>
          <w:p w14:paraId="1045DBE1" w14:textId="77777777" w:rsidR="00C42419" w:rsidRPr="00C42419" w:rsidRDefault="00C42419" w:rsidP="00C42419"/>
        </w:tc>
      </w:tr>
      <w:tr w:rsidR="00C42419" w:rsidRPr="00C42419" w14:paraId="426426FA" w14:textId="77777777" w:rsidTr="00C42419">
        <w:trPr>
          <w:trHeight w:val="60"/>
        </w:trPr>
        <w:tc>
          <w:tcPr>
            <w:tcW w:w="2835" w:type="dxa"/>
            <w:tcBorders>
              <w:bottom w:val="single" w:sz="6" w:space="0" w:color="1E4496" w:themeColor="text2"/>
            </w:tcBorders>
            <w:tcMar>
              <w:top w:w="113" w:type="dxa"/>
              <w:left w:w="113" w:type="dxa"/>
              <w:bottom w:w="113" w:type="dxa"/>
              <w:right w:w="113" w:type="dxa"/>
            </w:tcMar>
            <w:vAlign w:val="center"/>
          </w:tcPr>
          <w:p w14:paraId="1ED190D8" w14:textId="77777777" w:rsidR="00C42419" w:rsidRPr="00C42419" w:rsidRDefault="00C42419" w:rsidP="00C42419">
            <w:pPr>
              <w:pStyle w:val="CDITable-RowLeft"/>
            </w:pPr>
            <w:r w:rsidRPr="00C42419">
              <w:t>Pâté de canard (duck liver pâté)</w:t>
            </w:r>
          </w:p>
        </w:tc>
        <w:tc>
          <w:tcPr>
            <w:tcW w:w="737" w:type="dxa"/>
            <w:tcBorders>
              <w:bottom w:val="single" w:sz="6" w:space="0" w:color="1E4496" w:themeColor="text2"/>
            </w:tcBorders>
            <w:tcMar>
              <w:top w:w="113" w:type="dxa"/>
              <w:left w:w="113" w:type="dxa"/>
              <w:bottom w:w="113" w:type="dxa"/>
              <w:right w:w="113" w:type="dxa"/>
            </w:tcMar>
            <w:vAlign w:val="center"/>
          </w:tcPr>
          <w:p w14:paraId="68AE62D7" w14:textId="77777777" w:rsidR="00C42419" w:rsidRPr="00C42419" w:rsidRDefault="00C42419" w:rsidP="00C42419">
            <w:pPr>
              <w:pStyle w:val="CDITable-RowCentre"/>
            </w:pPr>
            <w:r w:rsidRPr="00C42419">
              <w:t>15</w:t>
            </w:r>
          </w:p>
        </w:tc>
        <w:tc>
          <w:tcPr>
            <w:tcW w:w="793" w:type="dxa"/>
            <w:tcBorders>
              <w:bottom w:val="single" w:sz="6" w:space="0" w:color="1E4496" w:themeColor="text2"/>
            </w:tcBorders>
            <w:tcMar>
              <w:top w:w="113" w:type="dxa"/>
              <w:left w:w="113" w:type="dxa"/>
              <w:bottom w:w="113" w:type="dxa"/>
              <w:right w:w="113" w:type="dxa"/>
            </w:tcMar>
            <w:vAlign w:val="center"/>
          </w:tcPr>
          <w:p w14:paraId="0512D10A" w14:textId="77777777" w:rsidR="00C42419" w:rsidRPr="00C42419" w:rsidRDefault="00C42419" w:rsidP="00C42419">
            <w:pPr>
              <w:pStyle w:val="CDITable-RowCentre"/>
            </w:pPr>
            <w:r w:rsidRPr="00C42419">
              <w:t>7</w:t>
            </w:r>
          </w:p>
        </w:tc>
        <w:tc>
          <w:tcPr>
            <w:tcW w:w="907" w:type="dxa"/>
            <w:tcBorders>
              <w:bottom w:val="single" w:sz="6" w:space="0" w:color="1E4496" w:themeColor="text2"/>
              <w:right w:val="single" w:sz="6" w:space="0" w:color="1E4496" w:themeColor="text2"/>
            </w:tcBorders>
            <w:tcMar>
              <w:top w:w="113" w:type="dxa"/>
              <w:left w:w="113" w:type="dxa"/>
              <w:bottom w:w="113" w:type="dxa"/>
              <w:right w:w="113" w:type="dxa"/>
            </w:tcMar>
            <w:vAlign w:val="center"/>
          </w:tcPr>
          <w:p w14:paraId="3DEA1492" w14:textId="77777777" w:rsidR="00C42419" w:rsidRPr="00C42419" w:rsidRDefault="00C42419" w:rsidP="00C42419">
            <w:pPr>
              <w:pStyle w:val="CDITable-RowCentre"/>
            </w:pPr>
            <w:r w:rsidRPr="00C42419">
              <w:t>46.7%</w:t>
            </w:r>
          </w:p>
        </w:tc>
        <w:tc>
          <w:tcPr>
            <w:tcW w:w="737" w:type="dxa"/>
            <w:tcBorders>
              <w:left w:val="single" w:sz="6" w:space="0" w:color="1E4496" w:themeColor="text2"/>
              <w:bottom w:val="single" w:sz="6" w:space="0" w:color="1E4496" w:themeColor="text2"/>
            </w:tcBorders>
            <w:tcMar>
              <w:top w:w="113" w:type="dxa"/>
              <w:left w:w="113" w:type="dxa"/>
              <w:bottom w:w="113" w:type="dxa"/>
              <w:right w:w="113" w:type="dxa"/>
            </w:tcMar>
            <w:vAlign w:val="center"/>
          </w:tcPr>
          <w:p w14:paraId="5823F7C2" w14:textId="77777777" w:rsidR="00C42419" w:rsidRPr="00C42419" w:rsidRDefault="00C42419" w:rsidP="00C42419">
            <w:pPr>
              <w:pStyle w:val="CDITable-RowCentre"/>
            </w:pPr>
            <w:r w:rsidRPr="00C42419">
              <w:t>8</w:t>
            </w:r>
          </w:p>
        </w:tc>
        <w:tc>
          <w:tcPr>
            <w:tcW w:w="794" w:type="dxa"/>
            <w:tcBorders>
              <w:bottom w:val="single" w:sz="6" w:space="0" w:color="1E4496" w:themeColor="text2"/>
            </w:tcBorders>
            <w:tcMar>
              <w:top w:w="113" w:type="dxa"/>
              <w:left w:w="113" w:type="dxa"/>
              <w:bottom w:w="113" w:type="dxa"/>
              <w:right w:w="113" w:type="dxa"/>
            </w:tcMar>
            <w:vAlign w:val="center"/>
          </w:tcPr>
          <w:p w14:paraId="76E4BBB1" w14:textId="77777777" w:rsidR="00C42419" w:rsidRPr="00C42419" w:rsidRDefault="00C42419" w:rsidP="00C42419">
            <w:pPr>
              <w:pStyle w:val="CDITable-RowCentre"/>
            </w:pPr>
            <w:r w:rsidRPr="00C42419">
              <w:t>0</w:t>
            </w:r>
          </w:p>
        </w:tc>
        <w:tc>
          <w:tcPr>
            <w:tcW w:w="907" w:type="dxa"/>
            <w:tcBorders>
              <w:bottom w:val="single" w:sz="6" w:space="0" w:color="1E4496" w:themeColor="text2"/>
              <w:right w:val="single" w:sz="6" w:space="0" w:color="1E4496" w:themeColor="text2"/>
            </w:tcBorders>
            <w:tcMar>
              <w:top w:w="113" w:type="dxa"/>
              <w:left w:w="113" w:type="dxa"/>
              <w:bottom w:w="113" w:type="dxa"/>
              <w:right w:w="113" w:type="dxa"/>
            </w:tcMar>
            <w:vAlign w:val="center"/>
          </w:tcPr>
          <w:p w14:paraId="40017CEC" w14:textId="77777777" w:rsidR="00C42419" w:rsidRPr="00C42419" w:rsidRDefault="00C42419" w:rsidP="00C42419">
            <w:pPr>
              <w:pStyle w:val="CDITable-RowCentre"/>
            </w:pPr>
            <w:r w:rsidRPr="00C42419">
              <w:t>0.0%</w:t>
            </w:r>
          </w:p>
        </w:tc>
        <w:tc>
          <w:tcPr>
            <w:tcW w:w="964" w:type="dxa"/>
            <w:tcBorders>
              <w:left w:val="single" w:sz="6" w:space="0" w:color="1E4496" w:themeColor="text2"/>
              <w:bottom w:val="single" w:sz="6" w:space="0" w:color="1E4496" w:themeColor="text2"/>
            </w:tcBorders>
            <w:tcMar>
              <w:top w:w="113" w:type="dxa"/>
              <w:left w:w="113" w:type="dxa"/>
              <w:bottom w:w="113" w:type="dxa"/>
              <w:right w:w="113" w:type="dxa"/>
            </w:tcMar>
            <w:vAlign w:val="center"/>
          </w:tcPr>
          <w:p w14:paraId="14223AE2" w14:textId="77777777" w:rsidR="00C42419" w:rsidRPr="00C42419" w:rsidRDefault="00C42419" w:rsidP="00C42419">
            <w:pPr>
              <w:pStyle w:val="CDITable-RowCentre"/>
            </w:pPr>
            <w:r w:rsidRPr="00C42419">
              <w:t>—</w:t>
            </w:r>
            <w:r w:rsidRPr="00C42419">
              <w:rPr>
                <w:vertAlign w:val="superscript"/>
              </w:rPr>
              <w:t>c</w:t>
            </w:r>
          </w:p>
        </w:tc>
        <w:tc>
          <w:tcPr>
            <w:tcW w:w="964" w:type="dxa"/>
            <w:tcBorders>
              <w:bottom w:val="single" w:sz="6" w:space="0" w:color="1E4496" w:themeColor="text2"/>
            </w:tcBorders>
            <w:tcMar>
              <w:top w:w="113" w:type="dxa"/>
              <w:left w:w="113" w:type="dxa"/>
              <w:bottom w:w="113" w:type="dxa"/>
              <w:right w:w="113" w:type="dxa"/>
            </w:tcMar>
            <w:vAlign w:val="center"/>
          </w:tcPr>
          <w:p w14:paraId="0039BF15" w14:textId="77777777" w:rsidR="00C42419" w:rsidRPr="00C42419" w:rsidRDefault="00C42419" w:rsidP="00C42419">
            <w:pPr>
              <w:pStyle w:val="CDITable-RowCentre"/>
            </w:pPr>
            <w:r w:rsidRPr="00C42419">
              <w:t>—</w:t>
            </w:r>
            <w:r w:rsidRPr="00C42419">
              <w:rPr>
                <w:vertAlign w:val="superscript"/>
              </w:rPr>
              <w:t>c</w:t>
            </w:r>
          </w:p>
        </w:tc>
      </w:tr>
      <w:tr w:rsidR="00C42419" w:rsidRPr="00C42419" w14:paraId="50F1E05C" w14:textId="77777777" w:rsidTr="00C42419">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380DF4" w14:textId="77777777" w:rsidR="00C42419" w:rsidRPr="00C42419" w:rsidRDefault="00C42419" w:rsidP="00C42419">
            <w:pPr>
              <w:pStyle w:val="CDITable-RowLeft"/>
            </w:pPr>
            <w:r w:rsidRPr="00C42419">
              <w:t>Artichoke fritter</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7C164A" w14:textId="77777777" w:rsidR="00C42419" w:rsidRPr="00C42419" w:rsidRDefault="00C42419" w:rsidP="00C42419">
            <w:pPr>
              <w:pStyle w:val="CDITable-RowCentre"/>
            </w:pPr>
            <w:r w:rsidRPr="00C42419">
              <w:t>19</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700E1E" w14:textId="77777777" w:rsidR="00C42419" w:rsidRPr="00C42419" w:rsidRDefault="00C42419" w:rsidP="00C42419">
            <w:pPr>
              <w:pStyle w:val="CDITable-RowCentre"/>
            </w:pPr>
            <w:r w:rsidRPr="00C42419">
              <w:t>7</w:t>
            </w:r>
          </w:p>
        </w:tc>
        <w:tc>
          <w:tcPr>
            <w:tcW w:w="90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28DA6AB1" w14:textId="77777777" w:rsidR="00C42419" w:rsidRPr="00C42419" w:rsidRDefault="00C42419" w:rsidP="00C42419">
            <w:pPr>
              <w:pStyle w:val="CDITable-RowCentre"/>
            </w:pPr>
            <w:r w:rsidRPr="00C42419">
              <w:t>36.8%</w:t>
            </w:r>
          </w:p>
        </w:tc>
        <w:tc>
          <w:tcPr>
            <w:tcW w:w="737"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5E3BE150" w14:textId="77777777" w:rsidR="00C42419" w:rsidRPr="00C42419" w:rsidRDefault="00C42419" w:rsidP="00C42419">
            <w:pPr>
              <w:pStyle w:val="CDITable-RowCentre"/>
            </w:pPr>
            <w:r w:rsidRPr="00C42419">
              <w:t>4</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3FB22C" w14:textId="77777777" w:rsidR="00C42419" w:rsidRPr="00C42419" w:rsidRDefault="00C42419" w:rsidP="00C42419">
            <w:pPr>
              <w:pStyle w:val="CDITable-RowCentre"/>
            </w:pPr>
            <w:r w:rsidRPr="00C42419">
              <w:t>0</w:t>
            </w:r>
          </w:p>
        </w:tc>
        <w:tc>
          <w:tcPr>
            <w:tcW w:w="90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38A32258" w14:textId="77777777" w:rsidR="00C42419" w:rsidRPr="00C42419" w:rsidRDefault="00C42419" w:rsidP="00C42419">
            <w:pPr>
              <w:pStyle w:val="CDITable-RowCentre"/>
            </w:pPr>
            <w:r w:rsidRPr="00C42419">
              <w:t>0.0%</w:t>
            </w:r>
          </w:p>
        </w:tc>
        <w:tc>
          <w:tcPr>
            <w:tcW w:w="964"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65695412" w14:textId="77777777" w:rsidR="00C42419" w:rsidRPr="00C42419" w:rsidRDefault="00C42419" w:rsidP="00C42419">
            <w:pPr>
              <w:pStyle w:val="CDITable-RowCentre"/>
            </w:pPr>
            <w:r w:rsidRPr="00C42419">
              <w:t>—</w:t>
            </w:r>
            <w:r w:rsidRPr="00C42419">
              <w:rPr>
                <w:vertAlign w:val="superscript"/>
              </w:rPr>
              <w:t>c</w:t>
            </w:r>
          </w:p>
        </w:tc>
        <w:tc>
          <w:tcPr>
            <w:tcW w:w="96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CB2908" w14:textId="77777777" w:rsidR="00C42419" w:rsidRPr="00C42419" w:rsidRDefault="00C42419" w:rsidP="00C42419">
            <w:pPr>
              <w:pStyle w:val="CDITable-RowCentre"/>
            </w:pPr>
            <w:r w:rsidRPr="00C42419">
              <w:t>—</w:t>
            </w:r>
            <w:r w:rsidRPr="00C42419">
              <w:rPr>
                <w:vertAlign w:val="superscript"/>
              </w:rPr>
              <w:t>c</w:t>
            </w:r>
          </w:p>
        </w:tc>
      </w:tr>
      <w:tr w:rsidR="00C42419" w:rsidRPr="00C42419" w14:paraId="443715C0" w14:textId="77777777" w:rsidTr="00C42419">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391C0F" w14:textId="77777777" w:rsidR="00C42419" w:rsidRPr="00C42419" w:rsidRDefault="00C42419" w:rsidP="00C42419">
            <w:pPr>
              <w:pStyle w:val="CDITable-RowLeft"/>
            </w:pPr>
            <w:r w:rsidRPr="00C42419">
              <w:t>Mushrooms, sausage, toast</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F66835" w14:textId="77777777" w:rsidR="00C42419" w:rsidRPr="00C42419" w:rsidRDefault="00C42419" w:rsidP="00C42419">
            <w:pPr>
              <w:pStyle w:val="CDITable-RowCentre"/>
            </w:pPr>
            <w:r w:rsidRPr="00C42419">
              <w:t>12</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087D4A" w14:textId="77777777" w:rsidR="00C42419" w:rsidRPr="00C42419" w:rsidRDefault="00C42419" w:rsidP="00C42419">
            <w:pPr>
              <w:pStyle w:val="CDITable-RowCentre"/>
            </w:pPr>
            <w:r w:rsidRPr="00C42419">
              <w:t>6</w:t>
            </w:r>
          </w:p>
        </w:tc>
        <w:tc>
          <w:tcPr>
            <w:tcW w:w="90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0BBB5707" w14:textId="77777777" w:rsidR="00C42419" w:rsidRPr="00C42419" w:rsidRDefault="00C42419" w:rsidP="00C42419">
            <w:pPr>
              <w:pStyle w:val="CDITable-RowCentre"/>
            </w:pPr>
            <w:r w:rsidRPr="00C42419">
              <w:t>50.0%</w:t>
            </w:r>
          </w:p>
        </w:tc>
        <w:tc>
          <w:tcPr>
            <w:tcW w:w="737"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2D066489" w14:textId="77777777" w:rsidR="00C42419" w:rsidRPr="00C42419" w:rsidRDefault="00C42419" w:rsidP="00C42419">
            <w:pPr>
              <w:pStyle w:val="CDITable-RowCentre"/>
            </w:pPr>
            <w:r w:rsidRPr="00C42419">
              <w:t>11</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4BB010" w14:textId="77777777" w:rsidR="00C42419" w:rsidRPr="00C42419" w:rsidRDefault="00C42419" w:rsidP="00C42419">
            <w:pPr>
              <w:pStyle w:val="CDITable-RowCentre"/>
            </w:pPr>
            <w:r w:rsidRPr="00C42419">
              <w:t>1</w:t>
            </w:r>
          </w:p>
        </w:tc>
        <w:tc>
          <w:tcPr>
            <w:tcW w:w="90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17AE3CEB" w14:textId="77777777" w:rsidR="00C42419" w:rsidRPr="00C42419" w:rsidRDefault="00C42419" w:rsidP="00C42419">
            <w:pPr>
              <w:pStyle w:val="CDITable-RowCentre"/>
            </w:pPr>
            <w:r w:rsidRPr="00C42419">
              <w:t>9.1%</w:t>
            </w:r>
          </w:p>
        </w:tc>
        <w:tc>
          <w:tcPr>
            <w:tcW w:w="964"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1263B474" w14:textId="77777777" w:rsidR="00C42419" w:rsidRPr="00C42419" w:rsidRDefault="00C42419" w:rsidP="00C42419">
            <w:pPr>
              <w:pStyle w:val="CDITable-RowCentre"/>
            </w:pPr>
            <w:r w:rsidRPr="00C42419">
              <w:t>5.5</w:t>
            </w:r>
          </w:p>
        </w:tc>
        <w:tc>
          <w:tcPr>
            <w:tcW w:w="96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0E78A5" w14:textId="77777777" w:rsidR="00C42419" w:rsidRPr="00C42419" w:rsidRDefault="00C42419" w:rsidP="00C42419">
            <w:pPr>
              <w:pStyle w:val="CDITable-RowCentre"/>
            </w:pPr>
            <w:r w:rsidRPr="00C42419">
              <w:t>0.0–38.8</w:t>
            </w:r>
          </w:p>
        </w:tc>
      </w:tr>
      <w:tr w:rsidR="00C42419" w:rsidRPr="00C42419" w14:paraId="5E478CDC" w14:textId="77777777" w:rsidTr="00C42419">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4A4F5A" w14:textId="77777777" w:rsidR="00C42419" w:rsidRPr="00C42419" w:rsidRDefault="00C42419" w:rsidP="00C42419">
            <w:pPr>
              <w:pStyle w:val="CDITable-RowLeft"/>
            </w:pPr>
            <w:r w:rsidRPr="00C42419">
              <w:t>Chicken and chorizo meatballs</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D2F90E" w14:textId="77777777" w:rsidR="00C42419" w:rsidRPr="00C42419" w:rsidRDefault="00C42419" w:rsidP="00C42419">
            <w:pPr>
              <w:pStyle w:val="CDITable-RowCentre"/>
            </w:pPr>
            <w:r w:rsidRPr="00C42419">
              <w:t>14</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A93AE4" w14:textId="77777777" w:rsidR="00C42419" w:rsidRPr="00C42419" w:rsidRDefault="00C42419" w:rsidP="00C42419">
            <w:pPr>
              <w:pStyle w:val="CDITable-RowCentre"/>
            </w:pPr>
            <w:r w:rsidRPr="00C42419">
              <w:t>6</w:t>
            </w:r>
          </w:p>
        </w:tc>
        <w:tc>
          <w:tcPr>
            <w:tcW w:w="90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04452E80" w14:textId="77777777" w:rsidR="00C42419" w:rsidRPr="00C42419" w:rsidRDefault="00C42419" w:rsidP="00C42419">
            <w:pPr>
              <w:pStyle w:val="CDITable-RowCentre"/>
            </w:pPr>
            <w:r w:rsidRPr="00C42419">
              <w:t>42.9%</w:t>
            </w:r>
          </w:p>
        </w:tc>
        <w:tc>
          <w:tcPr>
            <w:tcW w:w="737"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6D1586BD" w14:textId="77777777" w:rsidR="00C42419" w:rsidRPr="00C42419" w:rsidRDefault="00C42419" w:rsidP="00C42419">
            <w:pPr>
              <w:pStyle w:val="CDITable-RowCentre"/>
            </w:pPr>
            <w:r w:rsidRPr="00C42419">
              <w:t>8</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DF013C" w14:textId="77777777" w:rsidR="00C42419" w:rsidRPr="00C42419" w:rsidRDefault="00C42419" w:rsidP="00C42419">
            <w:pPr>
              <w:pStyle w:val="CDITable-RowCentre"/>
            </w:pPr>
            <w:r w:rsidRPr="00C42419">
              <w:t>1</w:t>
            </w:r>
          </w:p>
        </w:tc>
        <w:tc>
          <w:tcPr>
            <w:tcW w:w="90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1F3F4F50" w14:textId="77777777" w:rsidR="00C42419" w:rsidRPr="00C42419" w:rsidRDefault="00C42419" w:rsidP="00C42419">
            <w:pPr>
              <w:pStyle w:val="CDITable-RowCentre"/>
            </w:pPr>
            <w:r w:rsidRPr="00C42419">
              <w:t>12.5%</w:t>
            </w:r>
          </w:p>
        </w:tc>
        <w:tc>
          <w:tcPr>
            <w:tcW w:w="964"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5AD274EC" w14:textId="77777777" w:rsidR="00C42419" w:rsidRPr="00C42419" w:rsidRDefault="00C42419" w:rsidP="00C42419">
            <w:pPr>
              <w:pStyle w:val="CDITable-RowCentre"/>
            </w:pPr>
            <w:r w:rsidRPr="00C42419">
              <w:t>3.4</w:t>
            </w:r>
          </w:p>
        </w:tc>
        <w:tc>
          <w:tcPr>
            <w:tcW w:w="96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DC58CD" w14:textId="77777777" w:rsidR="00C42419" w:rsidRPr="00C42419" w:rsidRDefault="00C42419" w:rsidP="00C42419">
            <w:pPr>
              <w:pStyle w:val="CDITable-RowCentre"/>
            </w:pPr>
            <w:r w:rsidRPr="00C42419">
              <w:t>0.5–23.6</w:t>
            </w:r>
          </w:p>
        </w:tc>
      </w:tr>
      <w:tr w:rsidR="00C42419" w:rsidRPr="00C42419" w14:paraId="2DECDEAC" w14:textId="77777777" w:rsidTr="00C42419">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F3AC56" w14:textId="77777777" w:rsidR="00C42419" w:rsidRPr="00C42419" w:rsidRDefault="00C42419" w:rsidP="00C42419">
            <w:pPr>
              <w:pStyle w:val="CDITable-RowLeft"/>
            </w:pPr>
            <w:r w:rsidRPr="00C42419">
              <w:t>Tomato and prosciutto</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2745F9" w14:textId="77777777" w:rsidR="00C42419" w:rsidRPr="00C42419" w:rsidRDefault="00C42419" w:rsidP="00C42419">
            <w:pPr>
              <w:pStyle w:val="CDITable-RowCentre"/>
            </w:pPr>
            <w:r w:rsidRPr="00C42419">
              <w:t>15</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B41622" w14:textId="77777777" w:rsidR="00C42419" w:rsidRPr="00C42419" w:rsidRDefault="00C42419" w:rsidP="00C42419">
            <w:pPr>
              <w:pStyle w:val="CDITable-RowCentre"/>
            </w:pPr>
            <w:r w:rsidRPr="00C42419">
              <w:t>6</w:t>
            </w:r>
          </w:p>
        </w:tc>
        <w:tc>
          <w:tcPr>
            <w:tcW w:w="90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34C1E46E" w14:textId="77777777" w:rsidR="00C42419" w:rsidRPr="00C42419" w:rsidRDefault="00C42419" w:rsidP="00C42419">
            <w:pPr>
              <w:pStyle w:val="CDITable-RowCentre"/>
            </w:pPr>
            <w:r w:rsidRPr="00C42419">
              <w:t>40.0%</w:t>
            </w:r>
          </w:p>
        </w:tc>
        <w:tc>
          <w:tcPr>
            <w:tcW w:w="737"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0D650DC8" w14:textId="77777777" w:rsidR="00C42419" w:rsidRPr="00C42419" w:rsidRDefault="00C42419" w:rsidP="00C42419">
            <w:pPr>
              <w:pStyle w:val="CDITable-RowCentre"/>
            </w:pPr>
            <w:r w:rsidRPr="00C42419">
              <w:t>8</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CE5F82" w14:textId="77777777" w:rsidR="00C42419" w:rsidRPr="00C42419" w:rsidRDefault="00C42419" w:rsidP="00C42419">
            <w:pPr>
              <w:pStyle w:val="CDITable-RowCentre"/>
            </w:pPr>
            <w:r w:rsidRPr="00C42419">
              <w:t>1</w:t>
            </w:r>
          </w:p>
        </w:tc>
        <w:tc>
          <w:tcPr>
            <w:tcW w:w="907"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203304BA" w14:textId="77777777" w:rsidR="00C42419" w:rsidRPr="00C42419" w:rsidRDefault="00C42419" w:rsidP="00C42419">
            <w:pPr>
              <w:pStyle w:val="CDITable-RowCentre"/>
            </w:pPr>
            <w:r w:rsidRPr="00C42419">
              <w:t>12.5%</w:t>
            </w:r>
          </w:p>
        </w:tc>
        <w:tc>
          <w:tcPr>
            <w:tcW w:w="964"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604908D8" w14:textId="77777777" w:rsidR="00C42419" w:rsidRPr="00C42419" w:rsidRDefault="00C42419" w:rsidP="00C42419">
            <w:pPr>
              <w:pStyle w:val="CDITable-RowCentre"/>
            </w:pPr>
            <w:r w:rsidRPr="00C42419">
              <w:t>3.2</w:t>
            </w:r>
          </w:p>
        </w:tc>
        <w:tc>
          <w:tcPr>
            <w:tcW w:w="96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E525ED" w14:textId="77777777" w:rsidR="00C42419" w:rsidRPr="00C42419" w:rsidRDefault="00C42419" w:rsidP="00C42419">
            <w:pPr>
              <w:pStyle w:val="CDITable-RowCentre"/>
            </w:pPr>
            <w:r w:rsidRPr="00C42419">
              <w:t>0.5–22.2</w:t>
            </w:r>
          </w:p>
        </w:tc>
      </w:tr>
    </w:tbl>
    <w:p w14:paraId="06098E30" w14:textId="77777777" w:rsidR="00C42419" w:rsidRPr="00C42419" w:rsidRDefault="00C42419" w:rsidP="00C42419">
      <w:pPr>
        <w:pStyle w:val="CDITable-FirstFootnote"/>
        <w:rPr>
          <w:lang w:val="en-GB"/>
        </w:rPr>
      </w:pPr>
      <w:proofErr w:type="gramStart"/>
      <w:r w:rsidRPr="00C42419">
        <w:rPr>
          <w:lang w:val="en-GB"/>
        </w:rPr>
        <w:t>a</w:t>
      </w:r>
      <w:proofErr w:type="gramEnd"/>
      <w:r w:rsidRPr="00C42419">
        <w:rPr>
          <w:lang w:val="en-GB"/>
        </w:rPr>
        <w:tab/>
        <w:t>AR: attack rate.</w:t>
      </w:r>
    </w:p>
    <w:p w14:paraId="37A07538" w14:textId="77777777" w:rsidR="00C42419" w:rsidRPr="00C42419" w:rsidRDefault="00C42419" w:rsidP="00C42419">
      <w:pPr>
        <w:pStyle w:val="CDITable-Footnote"/>
        <w:rPr>
          <w:lang w:val="en-GB"/>
        </w:rPr>
      </w:pPr>
      <w:r w:rsidRPr="00C42419">
        <w:rPr>
          <w:lang w:val="en-GB"/>
        </w:rPr>
        <w:t>b</w:t>
      </w:r>
      <w:r w:rsidRPr="00C42419">
        <w:rPr>
          <w:lang w:val="en-GB"/>
        </w:rPr>
        <w:tab/>
        <w:t>95% CI: 95% confidence interval.</w:t>
      </w:r>
    </w:p>
    <w:p w14:paraId="21BDBE83" w14:textId="77777777" w:rsidR="00C42419" w:rsidRPr="00C42419" w:rsidRDefault="00C42419" w:rsidP="00C42419">
      <w:pPr>
        <w:pStyle w:val="CDITable-Footnote"/>
        <w:rPr>
          <w:lang w:val="en-GB"/>
        </w:rPr>
      </w:pPr>
      <w:r w:rsidRPr="00C42419">
        <w:rPr>
          <w:lang w:val="en-GB"/>
        </w:rPr>
        <w:t>c</w:t>
      </w:r>
      <w:r w:rsidRPr="00C42419">
        <w:rPr>
          <w:lang w:val="en-GB"/>
        </w:rPr>
        <w:tab/>
        <w:t>This measure is undefined for this food item.</w:t>
      </w:r>
    </w:p>
    <w:p w14:paraId="55D59619" w14:textId="77777777" w:rsidR="00C96B62" w:rsidRPr="00C96B62" w:rsidRDefault="00C96B62" w:rsidP="00C96B62">
      <w:pPr>
        <w:pStyle w:val="Heading2"/>
        <w:rPr>
          <w:lang w:val="en-GB"/>
        </w:rPr>
      </w:pPr>
      <w:bookmarkStart w:id="19" w:name="_Toc224560084"/>
      <w:r w:rsidRPr="00C96B62">
        <w:rPr>
          <w:lang w:val="en-GB"/>
        </w:rPr>
        <w:t>Environmental health investigation</w:t>
      </w:r>
      <w:bookmarkEnd w:id="19"/>
    </w:p>
    <w:p w14:paraId="7DEC1246" w14:textId="77777777" w:rsidR="00C96B62" w:rsidRPr="00C96B62" w:rsidRDefault="00C96B62" w:rsidP="00C96B62">
      <w:pPr>
        <w:rPr>
          <w:lang w:val="en-GB"/>
        </w:rPr>
      </w:pPr>
      <w:r w:rsidRPr="00C96B62">
        <w:rPr>
          <w:lang w:val="en-GB"/>
        </w:rPr>
        <w:t xml:space="preserve">The site </w:t>
      </w:r>
      <w:proofErr w:type="gramStart"/>
      <w:r w:rsidRPr="00C96B62">
        <w:rPr>
          <w:lang w:val="en-GB"/>
        </w:rPr>
        <w:t>visit</w:t>
      </w:r>
      <w:proofErr w:type="gramEnd"/>
      <w:r w:rsidRPr="00C96B62">
        <w:rPr>
          <w:lang w:val="en-GB"/>
        </w:rPr>
        <w:t xml:space="preserve"> established cooking processes and timings, and restaurant suppliers. The pâté was typically made on Wednesday and served until Sunday, unless sold out prior. The supplier substituted chicken with duck livers in the outbreak week’s delivery. Pâté served to smaller bookings was individually portioned in ramekins and had a gelée (aspic jelly) seal, whereas pâté served to larger groups, including the event in question, was prepared in a large stainless-steel pan and did not include the gelée. All fridges that held high-risk foods were maintaining correct temperatures. The inspection did not reveal anything that could have contributed to the outbreak.</w:t>
      </w:r>
    </w:p>
    <w:p w14:paraId="6485F56C" w14:textId="77777777" w:rsidR="00C96B62" w:rsidRPr="00C96B62" w:rsidRDefault="00C96B62" w:rsidP="00C96B62">
      <w:pPr>
        <w:rPr>
          <w:lang w:val="en-GB"/>
        </w:rPr>
      </w:pPr>
      <w:r w:rsidRPr="00C96B62">
        <w:rPr>
          <w:lang w:val="en-GB"/>
        </w:rPr>
        <w:t xml:space="preserve">Due to the substitution of duck liver, NSWFA inspectors arranged a further inspection to observe pâté preparation. This visit revealed that the production of pâté did not include verification of final cook temperature with a calibrated thermometer. The </w:t>
      </w:r>
      <w:proofErr w:type="spellStart"/>
      <w:r w:rsidRPr="00C96B62">
        <w:rPr>
          <w:lang w:val="en-GB"/>
        </w:rPr>
        <w:t>paté</w:t>
      </w:r>
      <w:proofErr w:type="spellEnd"/>
      <w:r w:rsidRPr="00C96B62">
        <w:rPr>
          <w:lang w:val="en-GB"/>
        </w:rPr>
        <w:t xml:space="preserve"> may have been undercooked as food handlers relied on a </w:t>
      </w:r>
      <w:proofErr w:type="spellStart"/>
      <w:r w:rsidRPr="00C96B62">
        <w:rPr>
          <w:lang w:val="en-GB"/>
        </w:rPr>
        <w:t>Magimix</w:t>
      </w:r>
      <w:proofErr w:type="spellEnd"/>
      <w:r w:rsidRPr="00C96B62">
        <w:rPr>
          <w:lang w:val="en-GB"/>
        </w:rPr>
        <w:t xml:space="preserve"> appliance display which indicated a temperature ~6 °C higher than the actual measured core temperature at the final stage of cooking. Additionally, at the conclusion of the cooking process, raw </w:t>
      </w:r>
      <w:proofErr w:type="spellStart"/>
      <w:r w:rsidRPr="00C96B62">
        <w:rPr>
          <w:lang w:val="en-GB"/>
        </w:rPr>
        <w:t>paté</w:t>
      </w:r>
      <w:proofErr w:type="spellEnd"/>
      <w:r w:rsidRPr="00C96B62">
        <w:rPr>
          <w:lang w:val="en-GB"/>
        </w:rPr>
        <w:t xml:space="preserve"> was observed under the mixer lid seal, indicating the potential for contamination of cooked product with raw product. Given this, NSWFA issued a prohibition ordering the restaurant to cease making pâté. </w:t>
      </w:r>
    </w:p>
    <w:p w14:paraId="594F1FEB" w14:textId="77777777" w:rsidR="00FE2847" w:rsidRDefault="008017B6" w:rsidP="008017B6">
      <w:pPr>
        <w:pStyle w:val="Heading1"/>
      </w:pPr>
      <w:bookmarkStart w:id="20" w:name="_Toc224560085"/>
      <w:r>
        <w:t>Conclusion</w:t>
      </w:r>
      <w:bookmarkEnd w:id="20"/>
    </w:p>
    <w:p w14:paraId="3C59B139" w14:textId="77777777" w:rsidR="00C96B62" w:rsidRPr="00C96B62" w:rsidRDefault="00C96B62" w:rsidP="00C96B62">
      <w:pPr>
        <w:rPr>
          <w:lang w:val="en-GB"/>
        </w:rPr>
      </w:pPr>
      <w:r w:rsidRPr="00C96B62">
        <w:rPr>
          <w:lang w:val="en-GB"/>
        </w:rPr>
        <w:t>In the context of delayed reporting and the absence of environmental microbiological findings, the epidemiological data and problems observed during the pâté preparation strongly suggest the pâté de canard as the likely source, although it could not be definitively proven. Duck and other poultry liver dishes have been implicated in previous outbreaks of campylobacteriosis.</w:t>
      </w:r>
      <w:r w:rsidRPr="00C96B62">
        <w:rPr>
          <w:vertAlign w:val="superscript"/>
          <w:lang w:val="en-GB"/>
        </w:rPr>
        <w:t>6,7</w:t>
      </w:r>
      <w:r w:rsidRPr="00C96B62">
        <w:rPr>
          <w:lang w:val="en-GB"/>
        </w:rPr>
        <w:t xml:space="preserve"> When conducting routine inspections of premises making pâté or other poultry liver dishes, food safety inspectors should take particular interest in the preparation process.</w:t>
      </w:r>
    </w:p>
    <w:p w14:paraId="12B63E01" w14:textId="77777777" w:rsidR="008A0736" w:rsidRDefault="008A0736" w:rsidP="008A0736">
      <w:pPr>
        <w:pStyle w:val="Heading1"/>
      </w:pPr>
      <w:bookmarkStart w:id="21" w:name="_Toc195530508"/>
      <w:bookmarkStart w:id="22" w:name="_Toc224560086"/>
      <w:r>
        <w:t>Author details</w:t>
      </w:r>
      <w:bookmarkEnd w:id="21"/>
      <w:bookmarkEnd w:id="22"/>
    </w:p>
    <w:p w14:paraId="5B0F1BBC" w14:textId="152FC263" w:rsidR="00C96B62" w:rsidRPr="00C96B62" w:rsidRDefault="00C96B62" w:rsidP="00C96B62">
      <w:pPr>
        <w:rPr>
          <w:lang w:val="en-GB"/>
        </w:rPr>
      </w:pPr>
      <w:r w:rsidRPr="00C96B62">
        <w:rPr>
          <w:lang w:val="en-GB"/>
        </w:rPr>
        <w:t>Emily Gibson,</w:t>
      </w:r>
      <w:r w:rsidRPr="00C96B62">
        <w:rPr>
          <w:vertAlign w:val="superscript"/>
          <w:lang w:val="en-GB"/>
        </w:rPr>
        <w:t>1</w:t>
      </w:r>
    </w:p>
    <w:p w14:paraId="6DA7E159" w14:textId="64410A7B" w:rsidR="00C96B62" w:rsidRPr="00C96B62" w:rsidRDefault="00C96B62" w:rsidP="00C96B62">
      <w:pPr>
        <w:rPr>
          <w:lang w:val="en-GB"/>
        </w:rPr>
      </w:pPr>
      <w:r w:rsidRPr="00C96B62">
        <w:rPr>
          <w:lang w:val="en-GB"/>
        </w:rPr>
        <w:t>Craig Dalton,</w:t>
      </w:r>
      <w:r w:rsidRPr="00C96B62">
        <w:rPr>
          <w:vertAlign w:val="superscript"/>
          <w:lang w:val="en-GB"/>
        </w:rPr>
        <w:t>1,2</w:t>
      </w:r>
    </w:p>
    <w:p w14:paraId="5C7CFC4E" w14:textId="2E3C0B91" w:rsidR="00C96B62" w:rsidRPr="00C96B62" w:rsidRDefault="00C96B62" w:rsidP="00C96B62">
      <w:pPr>
        <w:rPr>
          <w:lang w:val="en-GB"/>
        </w:rPr>
      </w:pPr>
      <w:r w:rsidRPr="00C96B62">
        <w:rPr>
          <w:lang w:val="en-GB"/>
        </w:rPr>
        <w:t>Megan Vidler,</w:t>
      </w:r>
      <w:r w:rsidRPr="00C96B62">
        <w:rPr>
          <w:vertAlign w:val="superscript"/>
          <w:lang w:val="en-GB"/>
        </w:rPr>
        <w:t>1</w:t>
      </w:r>
    </w:p>
    <w:p w14:paraId="41E8289C" w14:textId="50948F51" w:rsidR="00C96B62" w:rsidRPr="00C96B62" w:rsidRDefault="00C96B62" w:rsidP="00C96B62">
      <w:pPr>
        <w:rPr>
          <w:lang w:val="en-GB"/>
        </w:rPr>
      </w:pPr>
      <w:r w:rsidRPr="00C96B62">
        <w:rPr>
          <w:lang w:val="en-GB"/>
        </w:rPr>
        <w:t>Peter Murray,</w:t>
      </w:r>
      <w:r w:rsidRPr="00C96B62">
        <w:rPr>
          <w:vertAlign w:val="superscript"/>
          <w:lang w:val="en-GB"/>
        </w:rPr>
        <w:t>1</w:t>
      </w:r>
    </w:p>
    <w:p w14:paraId="026AAE36" w14:textId="6E4B07DD" w:rsidR="00C96B62" w:rsidRPr="00C96B62" w:rsidRDefault="00C96B62" w:rsidP="00C96B62">
      <w:pPr>
        <w:rPr>
          <w:lang w:val="en-GB"/>
        </w:rPr>
      </w:pPr>
      <w:r w:rsidRPr="00C96B62">
        <w:rPr>
          <w:lang w:val="en-GB"/>
        </w:rPr>
        <w:t>Rebecca King,</w:t>
      </w:r>
      <w:r w:rsidRPr="00C96B62">
        <w:rPr>
          <w:vertAlign w:val="superscript"/>
          <w:lang w:val="en-GB"/>
        </w:rPr>
        <w:t>3</w:t>
      </w:r>
    </w:p>
    <w:p w14:paraId="51A9F04F" w14:textId="4F79A9A3" w:rsidR="00C96B62" w:rsidRPr="00C96B62" w:rsidRDefault="00C96B62" w:rsidP="00C96B62">
      <w:pPr>
        <w:rPr>
          <w:lang w:val="en-GB"/>
        </w:rPr>
      </w:pPr>
      <w:r w:rsidRPr="00C96B62">
        <w:rPr>
          <w:lang w:val="en-GB"/>
        </w:rPr>
        <w:t>Sarie Wheatland,</w:t>
      </w:r>
      <w:r w:rsidRPr="00C96B62">
        <w:rPr>
          <w:vertAlign w:val="superscript"/>
          <w:lang w:val="en-GB"/>
        </w:rPr>
        <w:t>3</w:t>
      </w:r>
    </w:p>
    <w:p w14:paraId="7F74E45C" w14:textId="096DB1E7" w:rsidR="00C96B62" w:rsidRPr="00C96B62" w:rsidRDefault="00C96B62" w:rsidP="00C96B62">
      <w:pPr>
        <w:rPr>
          <w:lang w:val="en-GB"/>
        </w:rPr>
      </w:pPr>
      <w:r w:rsidRPr="00C96B62">
        <w:rPr>
          <w:lang w:val="en-GB"/>
        </w:rPr>
        <w:t>Megan Whitley,</w:t>
      </w:r>
      <w:r w:rsidRPr="00C96B62">
        <w:rPr>
          <w:vertAlign w:val="superscript"/>
          <w:lang w:val="en-GB"/>
        </w:rPr>
        <w:t>1</w:t>
      </w:r>
    </w:p>
    <w:p w14:paraId="42699036" w14:textId="77777777" w:rsidR="00C96B62" w:rsidRPr="00C96B62" w:rsidRDefault="00C96B62" w:rsidP="00C96B62">
      <w:pPr>
        <w:rPr>
          <w:lang w:val="en-GB"/>
        </w:rPr>
      </w:pPr>
      <w:r w:rsidRPr="00C96B62">
        <w:rPr>
          <w:lang w:val="en-GB"/>
        </w:rPr>
        <w:t>Alan Edwards</w:t>
      </w:r>
      <w:r w:rsidRPr="00C96B62">
        <w:rPr>
          <w:vertAlign w:val="superscript"/>
          <w:lang w:val="en-GB"/>
        </w:rPr>
        <w:t>4</w:t>
      </w:r>
    </w:p>
    <w:p w14:paraId="66CE4BF2" w14:textId="77777777" w:rsidR="00C96B62" w:rsidRPr="00C96B62" w:rsidRDefault="00C96B62" w:rsidP="00C96B62">
      <w:pPr>
        <w:pStyle w:val="CDINumberedList1L1"/>
        <w:rPr>
          <w:lang w:val="en-GB"/>
        </w:rPr>
      </w:pPr>
      <w:r w:rsidRPr="00C96B62">
        <w:rPr>
          <w:lang w:val="en-GB"/>
        </w:rPr>
        <w:t>Hunter New England Public Health, Wallsend, New South Wales, 2287, Australia</w:t>
      </w:r>
    </w:p>
    <w:p w14:paraId="13446513" w14:textId="4A4FB1A4" w:rsidR="00C96B62" w:rsidRPr="00C96B62" w:rsidRDefault="00C96B62" w:rsidP="00C96B62">
      <w:pPr>
        <w:pStyle w:val="CDINumberedList1L1"/>
        <w:rPr>
          <w:lang w:val="en-GB"/>
        </w:rPr>
      </w:pPr>
      <w:r w:rsidRPr="00C96B62">
        <w:rPr>
          <w:lang w:val="en-GB"/>
        </w:rPr>
        <w:t>HMRI and School of Medicine and Public Health, University of Newcastle, Callaghan, New</w:t>
      </w:r>
      <w:r>
        <w:rPr>
          <w:lang w:val="en-GB"/>
        </w:rPr>
        <w:t> </w:t>
      </w:r>
      <w:r w:rsidRPr="00C96B62">
        <w:rPr>
          <w:lang w:val="en-GB"/>
        </w:rPr>
        <w:t>South Wales, 2308, Australia</w:t>
      </w:r>
    </w:p>
    <w:p w14:paraId="41E63B6E" w14:textId="77777777" w:rsidR="00C96B62" w:rsidRPr="00C96B62" w:rsidRDefault="00C96B62" w:rsidP="00C96B62">
      <w:pPr>
        <w:pStyle w:val="CDINumberedList1L1"/>
        <w:rPr>
          <w:lang w:val="en-GB"/>
        </w:rPr>
      </w:pPr>
      <w:r w:rsidRPr="00C96B62">
        <w:rPr>
          <w:lang w:val="en-GB"/>
        </w:rPr>
        <w:t>City of Newcastle, Planning and Environment, Newcastle West, New South Wales, 2300, Australia</w:t>
      </w:r>
    </w:p>
    <w:p w14:paraId="3882C746" w14:textId="60ADE1B5" w:rsidR="00C96B62" w:rsidRPr="00C96B62" w:rsidRDefault="00C96B62" w:rsidP="00C96B62">
      <w:pPr>
        <w:pStyle w:val="CDINumberedList1L1"/>
        <w:rPr>
          <w:lang w:val="en-GB"/>
        </w:rPr>
      </w:pPr>
      <w:r w:rsidRPr="00C96B62">
        <w:rPr>
          <w:lang w:val="en-GB"/>
        </w:rPr>
        <w:t>New South Wales Food Authority, Department of Primary Industries and Regional Development, Newington,</w:t>
      </w:r>
      <w:r w:rsidR="00491280">
        <w:rPr>
          <w:lang w:val="en-GB"/>
        </w:rPr>
        <w:t xml:space="preserve"> </w:t>
      </w:r>
      <w:r w:rsidRPr="00C96B62">
        <w:rPr>
          <w:lang w:val="en-GB"/>
        </w:rPr>
        <w:t>New South Wales, 2127, Australia</w:t>
      </w:r>
    </w:p>
    <w:p w14:paraId="565D879A" w14:textId="77777777" w:rsidR="00423436" w:rsidRDefault="00423436" w:rsidP="00423436">
      <w:pPr>
        <w:pStyle w:val="CDICorrespondingauthor"/>
      </w:pPr>
      <w:r>
        <w:t>Corresponding author</w:t>
      </w:r>
    </w:p>
    <w:p w14:paraId="23DCDEC4" w14:textId="77777777" w:rsidR="00C96B62" w:rsidRPr="00C96B62" w:rsidRDefault="00C96B62" w:rsidP="00C96B62">
      <w:pPr>
        <w:rPr>
          <w:lang w:val="en-GB"/>
        </w:rPr>
      </w:pPr>
      <w:r w:rsidRPr="00C96B62">
        <w:rPr>
          <w:lang w:val="en-GB"/>
        </w:rPr>
        <w:t>Emily Gibson</w:t>
      </w:r>
    </w:p>
    <w:p w14:paraId="6B5AC27E" w14:textId="77777777" w:rsidR="00C96B62" w:rsidRPr="00C96B62" w:rsidRDefault="00C96B62" w:rsidP="00C96B62">
      <w:pPr>
        <w:rPr>
          <w:lang w:val="en-GB"/>
        </w:rPr>
      </w:pPr>
      <w:r w:rsidRPr="00C96B62">
        <w:rPr>
          <w:lang w:val="en-GB"/>
        </w:rPr>
        <w:t>Population Health, Hunter New England Local Health District, Booth Building, Longworth Avenue, Wallsend, NSW 2287, Australia</w:t>
      </w:r>
    </w:p>
    <w:p w14:paraId="13E44BF2" w14:textId="77777777" w:rsidR="00C96B62" w:rsidRPr="00C96B62" w:rsidRDefault="00C96B62" w:rsidP="00C96B62">
      <w:pPr>
        <w:rPr>
          <w:lang w:val="en-GB"/>
        </w:rPr>
      </w:pPr>
      <w:r w:rsidRPr="00C96B62">
        <w:rPr>
          <w:lang w:val="en-GB"/>
        </w:rPr>
        <w:t xml:space="preserve">Telephone: +61 2 4924 6499 </w:t>
      </w:r>
    </w:p>
    <w:p w14:paraId="5D281375" w14:textId="20B665CB" w:rsidR="008A0736" w:rsidRDefault="00C96B62" w:rsidP="00423436">
      <w:r w:rsidRPr="00C96B62">
        <w:rPr>
          <w:lang w:val="en-GB"/>
        </w:rPr>
        <w:t xml:space="preserve">Email: </w:t>
      </w:r>
      <w:hyperlink r:id="rId19" w:history="1">
        <w:r w:rsidRPr="00C96B62">
          <w:rPr>
            <w:rStyle w:val="Hyperlink"/>
            <w:lang w:val="en-GB"/>
          </w:rPr>
          <w:t>emily.gibson3@health.nsw.gov.au</w:t>
        </w:r>
      </w:hyperlink>
      <w:r>
        <w:rPr>
          <w:lang w:val="en-GB"/>
        </w:rPr>
        <w:t xml:space="preserve"> </w:t>
      </w:r>
    </w:p>
    <w:p w14:paraId="657F5AA6" w14:textId="77777777" w:rsidR="008A0736" w:rsidRDefault="008A0736" w:rsidP="00122ADA">
      <w:pPr>
        <w:pStyle w:val="Heading1"/>
      </w:pPr>
      <w:bookmarkStart w:id="23" w:name="_Toc195530511"/>
      <w:bookmarkStart w:id="24" w:name="_Toc224560087"/>
      <w:r>
        <w:t>References</w:t>
      </w:r>
      <w:bookmarkEnd w:id="23"/>
      <w:bookmarkEnd w:id="24"/>
    </w:p>
    <w:p w14:paraId="677D8CBF" w14:textId="44EB4CD1" w:rsidR="00C96B62" w:rsidRPr="00C96B62" w:rsidRDefault="00C96B62" w:rsidP="00C96B62">
      <w:pPr>
        <w:pStyle w:val="CDINumberedList1L1"/>
        <w:numPr>
          <w:ilvl w:val="0"/>
          <w:numId w:val="4"/>
        </w:numPr>
        <w:ind w:left="397" w:hanging="397"/>
        <w:rPr>
          <w:lang w:val="en-GB"/>
        </w:rPr>
      </w:pPr>
      <w:r w:rsidRPr="00C96B62">
        <w:rPr>
          <w:lang w:val="en-GB"/>
        </w:rPr>
        <w:t xml:space="preserve">United States Centers for Disease Control and Prevention (US CDC). About </w:t>
      </w:r>
      <w:r w:rsidRPr="00C96B62">
        <w:rPr>
          <w:i/>
          <w:iCs/>
          <w:lang w:val="en-GB"/>
        </w:rPr>
        <w:t>Campylobacter</w:t>
      </w:r>
      <w:r w:rsidRPr="00C96B62">
        <w:rPr>
          <w:lang w:val="en-GB"/>
        </w:rPr>
        <w:t xml:space="preserve"> infection. [Webpage.] Atlanta: United States Government Department of Health and Human Services, US CDC; 10 May 2024. [Accessed on 15 September 2025.] Available from: </w:t>
      </w:r>
      <w:hyperlink r:id="rId20" w:history="1">
        <w:r w:rsidRPr="00C96B62">
          <w:rPr>
            <w:rStyle w:val="Hyperlink"/>
            <w:lang w:val="en-GB"/>
          </w:rPr>
          <w:t>https://www.cdc.gov/campylobacter/about/index.html</w:t>
        </w:r>
      </w:hyperlink>
      <w:r w:rsidRPr="00C96B62">
        <w:rPr>
          <w:lang w:val="en-GB"/>
        </w:rPr>
        <w:t xml:space="preserve">. </w:t>
      </w:r>
    </w:p>
    <w:p w14:paraId="568D621D" w14:textId="791C4B2B" w:rsidR="00C96B62" w:rsidRPr="00C96B62" w:rsidRDefault="00C96B62" w:rsidP="00C96B62">
      <w:pPr>
        <w:pStyle w:val="CDINumberedList1L1"/>
        <w:numPr>
          <w:ilvl w:val="0"/>
          <w:numId w:val="4"/>
        </w:numPr>
        <w:ind w:left="397" w:hanging="397"/>
        <w:rPr>
          <w:lang w:val="en-GB"/>
        </w:rPr>
      </w:pPr>
      <w:r w:rsidRPr="00C96B62">
        <w:rPr>
          <w:lang w:val="en-GB"/>
        </w:rPr>
        <w:t xml:space="preserve">New South Wales State Government Department of Health (NSW Health). Campylobacteriosis control guideline. [Webpage.] Sydney: NSW Health; 1 April 2017. [Accessed on 16 September 2025.] Available from: </w:t>
      </w:r>
      <w:hyperlink r:id="rId21" w:history="1">
        <w:r w:rsidRPr="00C96B62">
          <w:rPr>
            <w:rStyle w:val="Hyperlink"/>
            <w:lang w:val="en-GB"/>
          </w:rPr>
          <w:t>https://www.health.nsw.gov.au/Infectious/controlguideline/Pages/campylobacteriosis.aspx</w:t>
        </w:r>
      </w:hyperlink>
      <w:r w:rsidRPr="00C96B62">
        <w:rPr>
          <w:lang w:val="en-GB"/>
        </w:rPr>
        <w:t xml:space="preserve">. </w:t>
      </w:r>
    </w:p>
    <w:p w14:paraId="08F9D8F7" w14:textId="61A175B4" w:rsidR="00C96B62" w:rsidRPr="00C96B62" w:rsidRDefault="00C96B62" w:rsidP="00C96B62">
      <w:pPr>
        <w:pStyle w:val="CDINumberedList1L1"/>
        <w:numPr>
          <w:ilvl w:val="0"/>
          <w:numId w:val="4"/>
        </w:numPr>
        <w:ind w:left="397" w:hanging="397"/>
        <w:rPr>
          <w:lang w:val="en-GB"/>
        </w:rPr>
      </w:pPr>
      <w:r w:rsidRPr="00C96B62">
        <w:rPr>
          <w:lang w:val="en-GB"/>
        </w:rPr>
        <w:t xml:space="preserve">Australian Government Department of Health and Aged Care, National Notifiable Disease Surveillance System. National Communicable Disease Surveillance Dashboard. [Webpage.] Canberra: Australian Government Department of Health and Aged Care; 2025. Available from: </w:t>
      </w:r>
      <w:hyperlink r:id="rId22" w:history="1">
        <w:r w:rsidRPr="00C96B62">
          <w:rPr>
            <w:rStyle w:val="Hyperlink"/>
            <w:lang w:val="en-GB"/>
          </w:rPr>
          <w:t>https://nindss.health.gov.au/pbi-dashboard/</w:t>
        </w:r>
      </w:hyperlink>
      <w:r w:rsidRPr="00C96B62">
        <w:rPr>
          <w:lang w:val="en-GB"/>
        </w:rPr>
        <w:t xml:space="preserve">. </w:t>
      </w:r>
    </w:p>
    <w:p w14:paraId="74053AD1" w14:textId="5C56749A" w:rsidR="00C96B62" w:rsidRPr="00C96B62" w:rsidRDefault="00C96B62" w:rsidP="00C96B62">
      <w:pPr>
        <w:pStyle w:val="CDINumberedList1L1"/>
        <w:numPr>
          <w:ilvl w:val="0"/>
          <w:numId w:val="4"/>
        </w:numPr>
        <w:ind w:left="397" w:hanging="397"/>
        <w:rPr>
          <w:lang w:val="en-GB"/>
        </w:rPr>
      </w:pPr>
      <w:r w:rsidRPr="00C96B62">
        <w:rPr>
          <w:lang w:val="en-GB"/>
        </w:rPr>
        <w:t xml:space="preserve">World Health Organization (WHO). Food safety. [Webpage.] Geneva: WHO; 4 October 2024. [Accessed on 16 September 2025.] Available from: </w:t>
      </w:r>
      <w:hyperlink r:id="rId23" w:history="1">
        <w:r w:rsidRPr="00C96B62">
          <w:rPr>
            <w:rStyle w:val="Hyperlink"/>
            <w:lang w:val="en-GB"/>
          </w:rPr>
          <w:t>https://www.who.int/news-room/fact-sheets/detail/food-safety</w:t>
        </w:r>
      </w:hyperlink>
      <w:r w:rsidRPr="00C96B62">
        <w:rPr>
          <w:lang w:val="en-GB"/>
        </w:rPr>
        <w:t>.</w:t>
      </w:r>
    </w:p>
    <w:p w14:paraId="07AE61E2" w14:textId="3F6E1E4B" w:rsidR="00C96B62" w:rsidRPr="00C96B62" w:rsidRDefault="00C96B62" w:rsidP="00C96B62">
      <w:pPr>
        <w:pStyle w:val="CDINumberedList1L1"/>
        <w:numPr>
          <w:ilvl w:val="0"/>
          <w:numId w:val="4"/>
        </w:numPr>
        <w:ind w:left="397" w:hanging="397"/>
        <w:rPr>
          <w:lang w:val="en-GB"/>
        </w:rPr>
      </w:pPr>
      <w:r w:rsidRPr="00C96B62">
        <w:rPr>
          <w:lang w:val="en-GB"/>
        </w:rPr>
        <w:t xml:space="preserve">R Core Team. R: A Language and Environment for Statistical Computing. [Application.] Vienna: R Foundation for Statistical Computing; 2023. Available from: </w:t>
      </w:r>
      <w:hyperlink r:id="rId24" w:history="1">
        <w:r w:rsidRPr="00C96B62">
          <w:rPr>
            <w:rStyle w:val="Hyperlink"/>
            <w:lang w:val="en-GB"/>
          </w:rPr>
          <w:t>https://www.R-project.org/</w:t>
        </w:r>
      </w:hyperlink>
      <w:r w:rsidRPr="00C96B62">
        <w:rPr>
          <w:lang w:val="en-GB"/>
        </w:rPr>
        <w:t>.</w:t>
      </w:r>
    </w:p>
    <w:p w14:paraId="47EDDB9D" w14:textId="689DA421" w:rsidR="00C96B62" w:rsidRPr="00C96B62" w:rsidRDefault="00C96B62" w:rsidP="00C96B62">
      <w:pPr>
        <w:pStyle w:val="CDINumberedList1L1"/>
        <w:numPr>
          <w:ilvl w:val="0"/>
          <w:numId w:val="4"/>
        </w:numPr>
        <w:ind w:left="397" w:hanging="397"/>
        <w:rPr>
          <w:lang w:val="en-GB"/>
        </w:rPr>
      </w:pPr>
      <w:r w:rsidRPr="00C96B62">
        <w:rPr>
          <w:lang w:val="en-GB"/>
        </w:rPr>
        <w:t xml:space="preserve">Hope KG, Merritt TD, Durrheim DN. Short incubation periods in </w:t>
      </w:r>
      <w:r w:rsidRPr="00C96B62">
        <w:rPr>
          <w:i/>
          <w:iCs/>
          <w:lang w:val="en-GB"/>
        </w:rPr>
        <w:t>Campylobacter</w:t>
      </w:r>
      <w:r w:rsidRPr="00C96B62">
        <w:rPr>
          <w:lang w:val="en-GB"/>
        </w:rPr>
        <w:t xml:space="preserve"> outbreaks associated with poultry liver dishes. </w:t>
      </w:r>
      <w:r w:rsidRPr="00C96B62">
        <w:rPr>
          <w:i/>
          <w:iCs/>
          <w:lang w:val="en-GB"/>
        </w:rPr>
        <w:t>Commun Dis Intell Q Rep</w:t>
      </w:r>
      <w:r w:rsidRPr="00C96B62">
        <w:rPr>
          <w:lang w:val="en-GB"/>
        </w:rPr>
        <w:t>. 2014;38(1</w:t>
      </w:r>
      <w:proofErr w:type="gramStart"/>
      <w:r w:rsidRPr="00C96B62">
        <w:rPr>
          <w:lang w:val="en-GB"/>
        </w:rPr>
        <w:t>):E</w:t>
      </w:r>
      <w:proofErr w:type="gramEnd"/>
      <w:r w:rsidRPr="00C96B62">
        <w:rPr>
          <w:lang w:val="en-GB"/>
        </w:rPr>
        <w:t>20–3. doi:</w:t>
      </w:r>
      <w:r>
        <w:rPr>
          <w:lang w:val="en-GB"/>
        </w:rPr>
        <w:t> </w:t>
      </w:r>
      <w:hyperlink r:id="rId25" w:history="1">
        <w:r w:rsidRPr="00C96B62">
          <w:rPr>
            <w:rStyle w:val="Hyperlink"/>
            <w:lang w:val="en-GB"/>
          </w:rPr>
          <w:t>https://doi.org/10.33321/cdi.2014.38.5</w:t>
        </w:r>
      </w:hyperlink>
      <w:r w:rsidRPr="00C96B62">
        <w:rPr>
          <w:lang w:val="en-GB"/>
        </w:rPr>
        <w:t xml:space="preserve">. </w:t>
      </w:r>
    </w:p>
    <w:p w14:paraId="61C588C4" w14:textId="6D5CB135" w:rsidR="0058264F" w:rsidRPr="001E3ECB" w:rsidRDefault="00C96B62" w:rsidP="00C96B62">
      <w:pPr>
        <w:pStyle w:val="CDINumberedList1L1"/>
        <w:numPr>
          <w:ilvl w:val="0"/>
          <w:numId w:val="4"/>
        </w:numPr>
        <w:ind w:left="397" w:hanging="397"/>
      </w:pPr>
      <w:r w:rsidRPr="00C96B62">
        <w:rPr>
          <w:lang w:val="en-GB"/>
        </w:rPr>
        <w:t xml:space="preserve">Merritt T, Combs B, Pingault N. </w:t>
      </w:r>
      <w:r w:rsidRPr="00C96B62">
        <w:rPr>
          <w:i/>
          <w:iCs/>
          <w:lang w:val="en-GB"/>
        </w:rPr>
        <w:t>Campylobacter</w:t>
      </w:r>
      <w:r w:rsidRPr="00C96B62">
        <w:rPr>
          <w:lang w:val="en-GB"/>
        </w:rPr>
        <w:t xml:space="preserve"> outbreaks associated with poultry liver dishes. </w:t>
      </w:r>
      <w:r w:rsidRPr="00C96B62">
        <w:rPr>
          <w:i/>
          <w:iCs/>
          <w:lang w:val="en-GB"/>
        </w:rPr>
        <w:t>Commun Dis Intell Q Rep</w:t>
      </w:r>
      <w:r w:rsidRPr="00C96B62">
        <w:rPr>
          <w:lang w:val="en-GB"/>
        </w:rPr>
        <w:t xml:space="preserve">. 2011;35(4):299–300. doi: </w:t>
      </w:r>
      <w:hyperlink r:id="rId26" w:history="1">
        <w:r w:rsidRPr="0034637C">
          <w:rPr>
            <w:rStyle w:val="Hyperlink"/>
            <w:lang w:val="en-GB"/>
          </w:rPr>
          <w:t>https://doi.org/10.33321/cdi.2011.35.29</w:t>
        </w:r>
      </w:hyperlink>
      <w:r w:rsidRPr="00C96B62">
        <w:rPr>
          <w:lang w:val="en-GB"/>
        </w:rPr>
        <w:t>.</w:t>
      </w:r>
    </w:p>
    <w:sectPr w:rsidR="0058264F" w:rsidRPr="001E3ECB" w:rsidSect="001E3ECB">
      <w:headerReference w:type="even" r:id="rId27"/>
      <w:headerReference w:type="default" r:id="rId28"/>
      <w:footerReference w:type="even" r:id="rId29"/>
      <w:footerReference w:type="default" r:id="rId30"/>
      <w:headerReference w:type="first" r:id="rId31"/>
      <w:footerReference w:type="first" r:id="rId32"/>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0410" w14:textId="77777777" w:rsidR="005F0686" w:rsidRDefault="005F0686" w:rsidP="00E54DBA">
      <w:r>
        <w:separator/>
      </w:r>
    </w:p>
    <w:p w14:paraId="548D9109" w14:textId="77777777" w:rsidR="005F0686" w:rsidRDefault="005F0686"/>
    <w:p w14:paraId="5601DB16" w14:textId="77777777" w:rsidR="005F0686" w:rsidRDefault="005F0686" w:rsidP="008714B0"/>
  </w:endnote>
  <w:endnote w:type="continuationSeparator" w:id="0">
    <w:p w14:paraId="24387830" w14:textId="77777777" w:rsidR="005F0686" w:rsidRDefault="005F0686" w:rsidP="00E54DBA">
      <w:r>
        <w:continuationSeparator/>
      </w:r>
    </w:p>
    <w:p w14:paraId="25677E90" w14:textId="77777777" w:rsidR="005F0686" w:rsidRDefault="005F0686"/>
    <w:p w14:paraId="0E6F2BD6" w14:textId="77777777" w:rsidR="005F0686" w:rsidRDefault="005F068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7EE9" w14:textId="77777777" w:rsidR="00B87589" w:rsidRDefault="00271616">
    <w:r>
      <w:rPr>
        <w:noProof/>
        <w14:ligatures w14:val="none"/>
      </w:rPr>
      <mc:AlternateContent>
        <mc:Choice Requires="wps">
          <w:drawing>
            <wp:anchor distT="0" distB="0" distL="0" distR="0" simplePos="0" relativeHeight="251667456" behindDoc="0" locked="0" layoutInCell="1" allowOverlap="1" wp14:anchorId="171AB919" wp14:editId="773BAA2D">
              <wp:simplePos x="635" y="635"/>
              <wp:positionH relativeFrom="page">
                <wp:align>center</wp:align>
              </wp:positionH>
              <wp:positionV relativeFrom="page">
                <wp:align>bottom</wp:align>
              </wp:positionV>
              <wp:extent cx="551815" cy="518795"/>
              <wp:effectExtent l="0" t="0" r="635" b="0"/>
              <wp:wrapNone/>
              <wp:docPr id="18445740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3FD64F78"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1AB919"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3FD64F78"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D565" w14:textId="3EEF5F0D"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5F0686">
        <w:t>2026</w:t>
      </w:r>
    </w:fldSimple>
    <w:r w:rsidR="009B78A9">
      <w:t>;</w:t>
    </w:r>
    <w:fldSimple w:instr=" DOCPROPERTY  Vol  \* MERGEFORMAT ">
      <w:r w:rsidR="005F0686">
        <w:t>50</w:t>
      </w:r>
    </w:fldSimple>
    <w:r w:rsidR="00385655" w:rsidRPr="001D0612">
      <w:t xml:space="preserve"> </w:t>
    </w:r>
    <w:r w:rsidR="00385655" w:rsidRPr="00B85B74">
      <w:t>•</w:t>
    </w:r>
    <w:r w:rsidR="00385655">
      <w:t xml:space="preserve"> </w:t>
    </w:r>
    <w:fldSimple w:instr=" DOCPROPERTY  DOI  \* MERGEFORMAT ">
      <w:r w:rsidR="009A5BCC">
        <w:t>doi.org/10.33321/cdi.2026.50.025</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9A5BCC">
        <w:t>24.03.2026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9CF8" w14:textId="77777777" w:rsidR="00B87589" w:rsidRDefault="00271616">
    <w:r>
      <w:rPr>
        <w:noProof/>
        <w14:ligatures w14:val="none"/>
      </w:rPr>
      <mc:AlternateContent>
        <mc:Choice Requires="wps">
          <w:drawing>
            <wp:anchor distT="0" distB="0" distL="0" distR="0" simplePos="0" relativeHeight="251666432" behindDoc="0" locked="0" layoutInCell="1" allowOverlap="1" wp14:anchorId="078E105D" wp14:editId="70167F3F">
              <wp:simplePos x="635" y="635"/>
              <wp:positionH relativeFrom="page">
                <wp:align>center</wp:align>
              </wp:positionH>
              <wp:positionV relativeFrom="page">
                <wp:align>bottom</wp:align>
              </wp:positionV>
              <wp:extent cx="551815" cy="518795"/>
              <wp:effectExtent l="0" t="0" r="635" b="0"/>
              <wp:wrapNone/>
              <wp:docPr id="9427397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E248A4E"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8E105D"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0E248A4E"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6576F" w14:textId="77777777" w:rsidR="005F0686" w:rsidRPr="00B91FB5" w:rsidRDefault="005F0686" w:rsidP="00B91FB5">
      <w:pPr>
        <w:spacing w:line="240" w:lineRule="auto"/>
        <w:rPr>
          <w:sz w:val="18"/>
          <w:szCs w:val="18"/>
        </w:rPr>
      </w:pPr>
      <w:r w:rsidRPr="00B91FB5">
        <w:rPr>
          <w:sz w:val="18"/>
          <w:szCs w:val="18"/>
        </w:rPr>
        <w:separator/>
      </w:r>
    </w:p>
  </w:footnote>
  <w:footnote w:type="continuationSeparator" w:id="0">
    <w:p w14:paraId="1F23D860" w14:textId="77777777" w:rsidR="005F0686" w:rsidRDefault="005F0686" w:rsidP="00E54DBA">
      <w:r>
        <w:continuationSeparator/>
      </w:r>
    </w:p>
  </w:footnote>
  <w:footnote w:type="continuationNotice" w:id="1">
    <w:p w14:paraId="0F49F0E6" w14:textId="77777777" w:rsidR="005F0686" w:rsidRPr="00224EFF" w:rsidRDefault="005F0686"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60A2" w14:textId="77777777" w:rsidR="00B87589" w:rsidRDefault="00271616">
    <w:pPr>
      <w:pStyle w:val="Header"/>
    </w:pPr>
    <w:r>
      <w:rPr>
        <w:noProof/>
        <w14:ligatures w14:val="none"/>
      </w:rPr>
      <mc:AlternateContent>
        <mc:Choice Requires="wps">
          <w:drawing>
            <wp:anchor distT="0" distB="0" distL="0" distR="0" simplePos="0" relativeHeight="251664384" behindDoc="0" locked="0" layoutInCell="1" allowOverlap="1" wp14:anchorId="2A818439" wp14:editId="45BA4CA2">
              <wp:simplePos x="635" y="635"/>
              <wp:positionH relativeFrom="page">
                <wp:align>center</wp:align>
              </wp:positionH>
              <wp:positionV relativeFrom="page">
                <wp:align>top</wp:align>
              </wp:positionV>
              <wp:extent cx="551815" cy="518795"/>
              <wp:effectExtent l="0" t="0" r="635" b="14605"/>
              <wp:wrapNone/>
              <wp:docPr id="4654446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49AB418"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818439"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449AB418"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3195"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1C27" w14:textId="77777777" w:rsidR="00B87589" w:rsidRDefault="00271616">
    <w:pPr>
      <w:pStyle w:val="Header"/>
    </w:pPr>
    <w:r>
      <w:rPr>
        <w:noProof/>
        <w14:ligatures w14:val="none"/>
      </w:rPr>
      <mc:AlternateContent>
        <mc:Choice Requires="wps">
          <w:drawing>
            <wp:anchor distT="0" distB="0" distL="0" distR="0" simplePos="0" relativeHeight="251663360" behindDoc="0" locked="0" layoutInCell="1" allowOverlap="1" wp14:anchorId="46FC8618" wp14:editId="60B12966">
              <wp:simplePos x="635" y="635"/>
              <wp:positionH relativeFrom="page">
                <wp:align>center</wp:align>
              </wp:positionH>
              <wp:positionV relativeFrom="page">
                <wp:align>top</wp:align>
              </wp:positionV>
              <wp:extent cx="551815" cy="518795"/>
              <wp:effectExtent l="0" t="0" r="635" b="14605"/>
              <wp:wrapNone/>
              <wp:docPr id="16966496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071E869"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FC8618"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5071E869"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FBF47AD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686"/>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0E8"/>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232"/>
    <w:rsid w:val="0010368E"/>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64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8EA"/>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1616"/>
    <w:rsid w:val="00271AFA"/>
    <w:rsid w:val="00272A9B"/>
    <w:rsid w:val="00275C5C"/>
    <w:rsid w:val="00275C78"/>
    <w:rsid w:val="00275F5D"/>
    <w:rsid w:val="00280594"/>
    <w:rsid w:val="00281EE3"/>
    <w:rsid w:val="00282B56"/>
    <w:rsid w:val="0028429F"/>
    <w:rsid w:val="00284E4A"/>
    <w:rsid w:val="00290E04"/>
    <w:rsid w:val="002A0FB8"/>
    <w:rsid w:val="002A3799"/>
    <w:rsid w:val="002A3BCC"/>
    <w:rsid w:val="002A4516"/>
    <w:rsid w:val="002A569F"/>
    <w:rsid w:val="002A5B2C"/>
    <w:rsid w:val="002A7066"/>
    <w:rsid w:val="002B001E"/>
    <w:rsid w:val="002B09B7"/>
    <w:rsid w:val="002B3482"/>
    <w:rsid w:val="002B3A40"/>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6727"/>
    <w:rsid w:val="00316CCD"/>
    <w:rsid w:val="003230B3"/>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6268"/>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2C2E"/>
    <w:rsid w:val="004568FC"/>
    <w:rsid w:val="00461653"/>
    <w:rsid w:val="00464A58"/>
    <w:rsid w:val="00464E0D"/>
    <w:rsid w:val="00470721"/>
    <w:rsid w:val="00470C19"/>
    <w:rsid w:val="00471494"/>
    <w:rsid w:val="00472B68"/>
    <w:rsid w:val="00473D2D"/>
    <w:rsid w:val="00481503"/>
    <w:rsid w:val="00484919"/>
    <w:rsid w:val="00491280"/>
    <w:rsid w:val="004914F7"/>
    <w:rsid w:val="00491C26"/>
    <w:rsid w:val="00492014"/>
    <w:rsid w:val="004973B4"/>
    <w:rsid w:val="004A19B8"/>
    <w:rsid w:val="004A2125"/>
    <w:rsid w:val="004A2E24"/>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F5434"/>
    <w:rsid w:val="004F55C9"/>
    <w:rsid w:val="00505184"/>
    <w:rsid w:val="0050662A"/>
    <w:rsid w:val="00510EAC"/>
    <w:rsid w:val="005138AF"/>
    <w:rsid w:val="00514F40"/>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0686"/>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40F"/>
    <w:rsid w:val="006F5FEC"/>
    <w:rsid w:val="00700338"/>
    <w:rsid w:val="0070113C"/>
    <w:rsid w:val="00702D05"/>
    <w:rsid w:val="00703009"/>
    <w:rsid w:val="00704CA9"/>
    <w:rsid w:val="0071048D"/>
    <w:rsid w:val="00710F86"/>
    <w:rsid w:val="007110B8"/>
    <w:rsid w:val="007111A8"/>
    <w:rsid w:val="007114BA"/>
    <w:rsid w:val="00714CD2"/>
    <w:rsid w:val="0071536A"/>
    <w:rsid w:val="007179BE"/>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0C24"/>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66FF"/>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1729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5BCC"/>
    <w:rsid w:val="009A76F8"/>
    <w:rsid w:val="009B2B11"/>
    <w:rsid w:val="009B2B83"/>
    <w:rsid w:val="009B720F"/>
    <w:rsid w:val="009B78A9"/>
    <w:rsid w:val="009C31B2"/>
    <w:rsid w:val="009C49F8"/>
    <w:rsid w:val="009D0F93"/>
    <w:rsid w:val="009D56E7"/>
    <w:rsid w:val="009D77CC"/>
    <w:rsid w:val="009D797A"/>
    <w:rsid w:val="009E07CF"/>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37B04"/>
    <w:rsid w:val="00A40894"/>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5D6"/>
    <w:rsid w:val="00A95A81"/>
    <w:rsid w:val="00AA075C"/>
    <w:rsid w:val="00AA3329"/>
    <w:rsid w:val="00AA35E6"/>
    <w:rsid w:val="00AA50B6"/>
    <w:rsid w:val="00AA78FF"/>
    <w:rsid w:val="00AB1606"/>
    <w:rsid w:val="00AB3472"/>
    <w:rsid w:val="00AB3C13"/>
    <w:rsid w:val="00AB7613"/>
    <w:rsid w:val="00AC0F5D"/>
    <w:rsid w:val="00AC27EF"/>
    <w:rsid w:val="00AC3843"/>
    <w:rsid w:val="00AC3AD3"/>
    <w:rsid w:val="00AC4595"/>
    <w:rsid w:val="00AC46DC"/>
    <w:rsid w:val="00AC659C"/>
    <w:rsid w:val="00AC66D9"/>
    <w:rsid w:val="00AC69D8"/>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79F"/>
    <w:rsid w:val="00BE4C25"/>
    <w:rsid w:val="00BE6C3D"/>
    <w:rsid w:val="00BE73E6"/>
    <w:rsid w:val="00BF1476"/>
    <w:rsid w:val="00BF42FE"/>
    <w:rsid w:val="00C02B29"/>
    <w:rsid w:val="00C06DA4"/>
    <w:rsid w:val="00C07606"/>
    <w:rsid w:val="00C12542"/>
    <w:rsid w:val="00C130EE"/>
    <w:rsid w:val="00C230DA"/>
    <w:rsid w:val="00C245C5"/>
    <w:rsid w:val="00C24725"/>
    <w:rsid w:val="00C30BA9"/>
    <w:rsid w:val="00C32396"/>
    <w:rsid w:val="00C32715"/>
    <w:rsid w:val="00C3541E"/>
    <w:rsid w:val="00C36A8F"/>
    <w:rsid w:val="00C401C8"/>
    <w:rsid w:val="00C41603"/>
    <w:rsid w:val="00C42419"/>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22FD"/>
    <w:rsid w:val="00C735E0"/>
    <w:rsid w:val="00C7723C"/>
    <w:rsid w:val="00C81439"/>
    <w:rsid w:val="00C82027"/>
    <w:rsid w:val="00C838F5"/>
    <w:rsid w:val="00C841C0"/>
    <w:rsid w:val="00C91F37"/>
    <w:rsid w:val="00C96B62"/>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26FF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D25"/>
    <w:rsid w:val="00DA6E56"/>
    <w:rsid w:val="00DA78DD"/>
    <w:rsid w:val="00DB0DF2"/>
    <w:rsid w:val="00DB1C65"/>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1FEF"/>
    <w:rsid w:val="00E62A74"/>
    <w:rsid w:val="00E62A9E"/>
    <w:rsid w:val="00E63D7C"/>
    <w:rsid w:val="00E640D5"/>
    <w:rsid w:val="00E64C4F"/>
    <w:rsid w:val="00E66E2E"/>
    <w:rsid w:val="00E67691"/>
    <w:rsid w:val="00E6790C"/>
    <w:rsid w:val="00E714F6"/>
    <w:rsid w:val="00E734F1"/>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BBF"/>
    <w:rsid w:val="00EB5E0B"/>
    <w:rsid w:val="00EB7247"/>
    <w:rsid w:val="00EB7C2A"/>
    <w:rsid w:val="00EC05A3"/>
    <w:rsid w:val="00EC2171"/>
    <w:rsid w:val="00ED14CC"/>
    <w:rsid w:val="00ED3E32"/>
    <w:rsid w:val="00ED442D"/>
    <w:rsid w:val="00ED70C2"/>
    <w:rsid w:val="00EE155D"/>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7AB"/>
    <w:rsid w:val="00FB48CF"/>
    <w:rsid w:val="00FC002E"/>
    <w:rsid w:val="00FC4C23"/>
    <w:rsid w:val="00FC5C0D"/>
    <w:rsid w:val="00FC6204"/>
    <w:rsid w:val="00FC642E"/>
    <w:rsid w:val="00FD2E5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3C6E4"/>
  <w15:docId w15:val="{226D1A48-1B9B-416A-92C2-6CCC56B9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280"/>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9A5BCC"/>
    <w:pPr>
      <w:spacing w:before="400"/>
    </w:pPr>
    <w:rPr>
      <w:rFonts w:asciiTheme="majorHAnsi" w:hAnsiTheme="majorHAnsi" w:cs="Arial"/>
      <w:b/>
      <w:bCs/>
      <w:sz w:val="56"/>
      <w:szCs w:val="54"/>
    </w:rPr>
  </w:style>
  <w:style w:type="character" w:customStyle="1" w:styleId="TitleChar">
    <w:name w:val="Title Char"/>
    <w:basedOn w:val="DefaultParagraphFont"/>
    <w:link w:val="Title"/>
    <w:uiPriority w:val="10"/>
    <w:rsid w:val="009A5BCC"/>
    <w:rPr>
      <w:rFonts w:asciiTheme="majorHAnsi" w:hAnsiTheme="majorHAnsi" w:cs="Arial"/>
      <w:b/>
      <w:bCs/>
      <w:sz w:val="56"/>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A37B04"/>
    <w:pPr>
      <w:spacing w:before="240"/>
    </w:pPr>
    <w:rPr>
      <w:rFonts w:asciiTheme="majorHAnsi" w:hAnsiTheme="majorHAnsi"/>
      <w:sz w:val="28"/>
    </w:rPr>
  </w:style>
  <w:style w:type="character" w:customStyle="1" w:styleId="SubtitleChar">
    <w:name w:val="Subtitle Char"/>
    <w:basedOn w:val="DefaultParagraphFont"/>
    <w:link w:val="Subtitle"/>
    <w:uiPriority w:val="11"/>
    <w:rsid w:val="00A37B04"/>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7179BE"/>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7179BE"/>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ind w:left="397" w:hanging="397"/>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BE479F"/>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BE479F"/>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7179BE"/>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character" w:customStyle="1" w:styleId="Superscript">
    <w:name w:val="Superscript"/>
    <w:uiPriority w:val="99"/>
    <w:rsid w:val="00C424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resources/communicable-diseases-intelligence/cdi-editorial-advisory-board-biographies" TargetMode="External"/><Relationship Id="rId18" Type="http://schemas.openxmlformats.org/officeDocument/2006/relationships/image" Target="media/image2.jpg"/><Relationship Id="rId26" Type="http://schemas.openxmlformats.org/officeDocument/2006/relationships/hyperlink" Target="https://doi.org/10.33321/cdi.2011.35.29" TargetMode="External"/><Relationship Id="rId3" Type="http://schemas.openxmlformats.org/officeDocument/2006/relationships/numbering" Target="numbering.xml"/><Relationship Id="rId21" Type="http://schemas.openxmlformats.org/officeDocument/2006/relationships/hyperlink" Target="https://www.health.nsw.gov.au/Infectious/controlguideline/Pages/campylobacteriosis.aspx"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di.editor@cdc.gov.au" TargetMode="External"/><Relationship Id="rId17" Type="http://schemas.openxmlformats.org/officeDocument/2006/relationships/hyperlink" Target="mailto:cdi.editor@cdc.gov.au" TargetMode="External"/><Relationship Id="rId25" Type="http://schemas.openxmlformats.org/officeDocument/2006/relationships/hyperlink" Target="https://doi.org/10.33321/cdi.2014.38.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c.gov.au/cdi" TargetMode="External"/><Relationship Id="rId20" Type="http://schemas.openxmlformats.org/officeDocument/2006/relationships/hyperlink" Target="https://www.cdc.gov/campylobacter/about/index.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nc-nd/4.0/legalcode" TargetMode="External"/><Relationship Id="rId24" Type="http://schemas.openxmlformats.org/officeDocument/2006/relationships/hyperlink" Target="https://www.R-project.org/"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cdi.editor@cdc.gov.au" TargetMode="External"/><Relationship Id="rId23" Type="http://schemas.openxmlformats.org/officeDocument/2006/relationships/hyperlink" Target="https://www.who.int/news-room/fact-sheets/detail/food-safety" TargetMode="External"/><Relationship Id="rId28" Type="http://schemas.openxmlformats.org/officeDocument/2006/relationships/header" Target="header2.xml"/><Relationship Id="rId10" Type="http://schemas.openxmlformats.org/officeDocument/2006/relationships/hyperlink" Target="https://www.cdc.gov.au/cdi" TargetMode="External"/><Relationship Id="rId19" Type="http://schemas.openxmlformats.org/officeDocument/2006/relationships/hyperlink" Target="mailto:emily.gibson3@health.nsw.gov.au"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dc.gov.au/resources/communicable-diseases-intelligence/guidelines-cdi-authors" TargetMode="External"/><Relationship Id="rId22" Type="http://schemas.openxmlformats.org/officeDocument/2006/relationships/hyperlink" Target="https://nindss.health.gov.au/pbi-dashboard/"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long-report-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CDI-long-report-template-2026.dotx</Template>
  <TotalTime>28</TotalTime>
  <Pages>11</Pages>
  <Words>2075</Words>
  <Characters>11992</Characters>
  <Application>Microsoft Office Word</Application>
  <DocSecurity>0</DocSecurity>
  <Lines>268</Lines>
  <Paragraphs>157</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Communicable Diseases Intelligence - Restaurant-associated campylobacteriosis outbreak likely linked to duck liver pâté</vt:lpstr>
      <vt:lpstr>Contents</vt:lpstr>
      <vt:lpstr>Abstract</vt:lpstr>
      <vt:lpstr>Introduction</vt:lpstr>
      <vt:lpstr>Methods</vt:lpstr>
      <vt:lpstr>    Epidemiological investigation</vt:lpstr>
      <vt:lpstr>    Environmental health investigation</vt:lpstr>
      <vt:lpstr>Results</vt:lpstr>
      <vt:lpstr>    Epidemiological investigation</vt:lpstr>
      <vt:lpstr>    Environmental health investigation</vt:lpstr>
      <vt:lpstr>Conclusion</vt:lpstr>
      <vt:lpstr>Author details</vt:lpstr>
      <vt:lpstr>    Corresponding author</vt:lpstr>
      <vt:lpstr>References</vt:lpstr>
    </vt:vector>
  </TitlesOfParts>
  <Company/>
  <LinksUpToDate>false</LinksUpToDate>
  <CharactersWithSpaces>13931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Restaurant-associated campylobacteriosis outbreak likely linked to duck liver pâté</dc:title>
  <dc:subject>A report of a restaurant-associated outbreak of campylobacterosis linked to duck liver pate, in the Hunter New England region of NSW, July 2025.</dc:subject>
  <dc:creator>Emily Gibson; Craig Dalton; Megan Vidler; Peter Murray; Rebecca King; Sarie Wheatland; Megan Whitley; Alan Edwards</dc:creator>
  <cp:keywords>Australia; foodborne disease; restaurant-associated; campylobacteriosis; outbreaks; pâté</cp:keywords>
  <dc:description>© 2026 Commonwealth of Australia as represented by the Australian Centre for Disease Control. This publication is licenced under a CC BY-NC-ND licence.</dc:description>
  <cp:revision>6</cp:revision>
  <cp:lastPrinted>2024-03-07T01:06:00Z</cp:lastPrinted>
  <dcterms:created xsi:type="dcterms:W3CDTF">2026-03-16T02:36:00Z</dcterms:created>
  <dcterms:modified xsi:type="dcterms:W3CDTF">2026-03-17T04:05:00Z</dcterms:modified>
  <cp:category>Outbreak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24.03.2026</vt:lpwstr>
  </property>
  <property fmtid="{D5CDD505-2E9C-101B-9397-08002B2CF9AE}" pid="5" name="DOI">
    <vt:lpwstr>doi.org/10.33321/cdi.2026.50.025</vt:lpwstr>
  </property>
  <property fmtid="{D5CDD505-2E9C-101B-9397-08002B2CF9AE}" pid="6" name="ClassificationContentMarkingHeaderShapeIds">
    <vt:lpwstr>6520d1bd,1bbe1eff,6affb1e4</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3831110b,6df1f75b,3cfbd6bf</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2025-11-21T03:40:04Z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3d130504-3f00-4302-9cfc-b9df9a1005dc</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