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79CC" w14:textId="086E595C"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402031B5" wp14:editId="2E1FD0DC">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C977B8">
          <w:t>2026</w:t>
        </w:r>
      </w:fldSimple>
      <w:r w:rsidR="00D22CC8" w:rsidRPr="00B85B74">
        <w:t xml:space="preserve"> • Volume </w:t>
      </w:r>
      <w:fldSimple w:instr=" DOCPROPERTY  Vol  \* MERGEFORMAT ">
        <w:r w:rsidR="00C977B8">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A816CB">
          <w:t>24.03.2026</w:t>
        </w:r>
      </w:fldSimple>
      <w:r w:rsidR="00700338">
        <w:t xml:space="preserve"> </w:t>
      </w:r>
      <w:r w:rsidR="00700338" w:rsidRPr="00B85B74">
        <w:t xml:space="preserve">• </w:t>
      </w:r>
      <w:fldSimple w:instr=" DOCPROPERTY  DOI  \* MERGEFORMAT ">
        <w:r w:rsidR="00A816CB">
          <w:t>doi.org/10.33321/cdi.2026.50.016</w:t>
        </w:r>
      </w:fldSimple>
    </w:p>
    <w:p w14:paraId="471E526A" w14:textId="74ABBF8C" w:rsidR="006B16A5" w:rsidRPr="00142578" w:rsidRDefault="00A816CB" w:rsidP="00CE2CC7">
      <w:pPr>
        <w:pStyle w:val="Title"/>
      </w:pPr>
      <w:r w:rsidRPr="00A816CB">
        <w:t>Measles epidemiology in Australia: 2014 to 2024</w:t>
      </w:r>
    </w:p>
    <w:p w14:paraId="714C7509" w14:textId="231CE2F9" w:rsidR="00013B65" w:rsidRDefault="00A816CB" w:rsidP="00BB3320">
      <w:pPr>
        <w:pStyle w:val="Subtitle"/>
      </w:pPr>
      <w:r w:rsidRPr="00A816CB">
        <w:t>Lizzie Gorrell, Benjamin G Polkinghorne, David N Durrheim</w:t>
      </w:r>
      <w:r w:rsidR="00013B65">
        <w:br w:type="page"/>
      </w:r>
    </w:p>
    <w:p w14:paraId="1D32D3E1"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C977B8">
          <w:t>2026</w:t>
        </w:r>
      </w:fldSimple>
      <w:r w:rsidRPr="0089025E">
        <w:t xml:space="preserve"> Commonwealth of Australia as represented by the </w:t>
      </w:r>
      <w:r w:rsidR="00C722FD">
        <w:t>Australian Centre for Disease Control</w:t>
      </w:r>
    </w:p>
    <w:p w14:paraId="41F73116" w14:textId="77777777" w:rsidR="00B52457" w:rsidRPr="0089025E" w:rsidRDefault="00B52457" w:rsidP="00087CC4">
      <w:pPr>
        <w:pStyle w:val="CDICopyright"/>
      </w:pPr>
      <w:r w:rsidRPr="0089025E">
        <w:t>ISSN: 2209-6051 Online</w:t>
      </w:r>
    </w:p>
    <w:p w14:paraId="4322E45F" w14:textId="77777777" w:rsidR="00B52457" w:rsidRDefault="00B52457" w:rsidP="00087CC4">
      <w:pPr>
        <w:pStyle w:val="CDICopyright"/>
      </w:pPr>
      <w:r w:rsidRPr="0089025E">
        <w:t>This journal is indexed by Index Medicus and Medline.</w:t>
      </w:r>
    </w:p>
    <w:p w14:paraId="2C9FE003" w14:textId="77777777" w:rsidR="00B52457" w:rsidRPr="007F2B27" w:rsidRDefault="00B52457" w:rsidP="00CC3648">
      <w:pPr>
        <w:pStyle w:val="CDICopyrightHeading"/>
      </w:pPr>
      <w:r w:rsidRPr="007F2B27">
        <w:t>Creative Commons Licence</w:t>
      </w:r>
    </w:p>
    <w:p w14:paraId="0C61A238"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1898EAA1" w14:textId="77777777" w:rsidR="00B52457" w:rsidRPr="007F2B27" w:rsidRDefault="00B52457" w:rsidP="00CC3648">
      <w:pPr>
        <w:pStyle w:val="CDICopyrightHeading"/>
      </w:pPr>
      <w:r w:rsidRPr="007F2B27">
        <w:t>Restrictions</w:t>
      </w:r>
    </w:p>
    <w:p w14:paraId="3D6DE360"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BB8BF41"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398DF13D"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156C75B9" w14:textId="77777777" w:rsidR="00B52457" w:rsidRPr="00E9313B" w:rsidRDefault="00B52457" w:rsidP="00E9313B">
      <w:pPr>
        <w:pStyle w:val="CDICopyrightBullets"/>
      </w:pPr>
      <w:r w:rsidRPr="00E9313B">
        <w:t xml:space="preserve">any photographs and images; </w:t>
      </w:r>
    </w:p>
    <w:p w14:paraId="7CECF566" w14:textId="77777777" w:rsidR="00B52457" w:rsidRPr="00E9313B" w:rsidRDefault="00B52457" w:rsidP="00E9313B">
      <w:pPr>
        <w:pStyle w:val="CDICopyrightBullets"/>
      </w:pPr>
      <w:r w:rsidRPr="00E9313B">
        <w:t>any signatures; and</w:t>
      </w:r>
    </w:p>
    <w:p w14:paraId="298F36ED" w14:textId="77777777" w:rsidR="00B52457" w:rsidRPr="003C23C9" w:rsidRDefault="00B52457" w:rsidP="00E9313B">
      <w:pPr>
        <w:pStyle w:val="CDICopyrightBullets"/>
      </w:pPr>
      <w:r w:rsidRPr="00E9313B">
        <w:t>any</w:t>
      </w:r>
      <w:r w:rsidRPr="003C23C9">
        <w:t xml:space="preserve"> material belonging to third parties.</w:t>
      </w:r>
    </w:p>
    <w:p w14:paraId="763AF916" w14:textId="77777777" w:rsidR="00B52457" w:rsidRPr="00CC3648" w:rsidRDefault="00B52457" w:rsidP="00CC3648">
      <w:pPr>
        <w:pStyle w:val="CDICopyrightHeading"/>
      </w:pPr>
      <w:r w:rsidRPr="00CC3648">
        <w:t>Disclaimer</w:t>
      </w:r>
    </w:p>
    <w:p w14:paraId="4F72BCC6"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7FC0D476" w14:textId="77777777" w:rsidR="00B52457" w:rsidRPr="007F2B27" w:rsidRDefault="00B52457" w:rsidP="00CC3648">
      <w:pPr>
        <w:pStyle w:val="CDICopyrightHeading"/>
      </w:pPr>
      <w:r w:rsidRPr="007F2B27">
        <w:t>Enquiries</w:t>
      </w:r>
    </w:p>
    <w:p w14:paraId="23A3BF96"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5BF995C3" w14:textId="77777777" w:rsidR="00B52457" w:rsidRPr="00A65DFA" w:rsidRDefault="00B52457" w:rsidP="00B52457">
      <w:pPr>
        <w:pStyle w:val="CDIAbout"/>
      </w:pPr>
      <w:bookmarkStart w:id="1" w:name="_Toc190257376"/>
      <w:r>
        <w:t xml:space="preserve">About </w:t>
      </w:r>
      <w:bookmarkEnd w:id="1"/>
      <w:r w:rsidR="0022524E">
        <w:t>CDI</w:t>
      </w:r>
    </w:p>
    <w:p w14:paraId="10F3437E"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5F70F098"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0ACADD6D" w14:textId="77777777" w:rsidR="00B52457" w:rsidRPr="00D8087F" w:rsidRDefault="00B52457" w:rsidP="00D8087F">
      <w:pPr>
        <w:pStyle w:val="CDIAbouttext"/>
      </w:pPr>
      <w:r w:rsidRPr="00D8087F">
        <w:rPr>
          <w:b/>
          <w:bCs/>
        </w:rPr>
        <w:t>Editor</w:t>
      </w:r>
      <w:r w:rsidRPr="00D8087F">
        <w:t xml:space="preserve">: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39D48C9"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63FE049C"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2303BA5A"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6110D4D4" w14:textId="77777777" w:rsidR="00B52457" w:rsidRPr="00B87589" w:rsidRDefault="00B52457" w:rsidP="00B87589">
      <w:pPr>
        <w:pStyle w:val="CDIAbouttext"/>
        <w:rPr>
          <w:b/>
          <w:bCs/>
        </w:rPr>
      </w:pPr>
      <w:r w:rsidRPr="00B87589">
        <w:rPr>
          <w:b/>
          <w:bCs/>
        </w:rPr>
        <w:t>Contact us</w:t>
      </w:r>
    </w:p>
    <w:p w14:paraId="5DC1A374" w14:textId="77777777" w:rsidR="00B52457" w:rsidRPr="00087CC4" w:rsidRDefault="00B52457" w:rsidP="00360B3A">
      <w:pPr>
        <w:pStyle w:val="CDIAbouttextLess"/>
      </w:pPr>
      <w:r w:rsidRPr="009572C6">
        <w:t>Communicable Diseases Intelligence</w:t>
      </w:r>
      <w:r w:rsidRPr="00087CC4">
        <w:t xml:space="preserve"> (CDI)</w:t>
      </w:r>
    </w:p>
    <w:p w14:paraId="68A87C32" w14:textId="77777777" w:rsidR="00B52457" w:rsidRPr="00087CC4" w:rsidRDefault="009572C6" w:rsidP="00360B3A">
      <w:pPr>
        <w:pStyle w:val="CDIAbouttextLess"/>
      </w:pPr>
      <w:r>
        <w:t>Australian Centre for Disease Control</w:t>
      </w:r>
    </w:p>
    <w:p w14:paraId="22B168F3"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0B140381"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9D71B72"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6C44A500"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4572812"/>
      <w:bookmarkStart w:id="7" w:name="_Toc195530496"/>
      <w:r>
        <w:lastRenderedPageBreak/>
        <w:t>Contents</w:t>
      </w:r>
      <w:bookmarkEnd w:id="2"/>
      <w:bookmarkEnd w:id="3"/>
      <w:bookmarkEnd w:id="4"/>
      <w:bookmarkEnd w:id="5"/>
      <w:bookmarkEnd w:id="6"/>
    </w:p>
    <w:p w14:paraId="353AF244" w14:textId="3CA5EA1A" w:rsidR="00F366B5" w:rsidRPr="00D47541" w:rsidRDefault="005A4E9D">
      <w:pPr>
        <w:pStyle w:val="TOC1"/>
        <w:rPr>
          <w:noProof/>
        </w:rPr>
      </w:pPr>
      <w:r>
        <w:fldChar w:fldCharType="begin"/>
      </w:r>
      <w:r>
        <w:instrText xml:space="preserve"> TOC \o "1-1" \h \z \t "Heading 2,2,Heading 2 - no space before,2,Heading 2 - less space before,2,Heading 2 - new page,2" </w:instrText>
      </w:r>
      <w:r>
        <w:fldChar w:fldCharType="separate"/>
      </w:r>
      <w:hyperlink w:anchor="_Toc224572813" w:history="1">
        <w:r w:rsidR="00F366B5" w:rsidRPr="003713FE">
          <w:rPr>
            <w:rStyle w:val="Hyperlink"/>
            <w:noProof/>
          </w:rPr>
          <w:t>Abstract</w:t>
        </w:r>
        <w:r w:rsidR="00F366B5">
          <w:rPr>
            <w:noProof/>
            <w:webHidden/>
          </w:rPr>
          <w:tab/>
        </w:r>
        <w:r w:rsidR="00F366B5">
          <w:rPr>
            <w:noProof/>
            <w:webHidden/>
          </w:rPr>
          <w:fldChar w:fldCharType="begin"/>
        </w:r>
        <w:r w:rsidR="00F366B5">
          <w:rPr>
            <w:noProof/>
            <w:webHidden/>
          </w:rPr>
          <w:instrText xml:space="preserve"> PAGEREF _Toc224572813 \h </w:instrText>
        </w:r>
        <w:r w:rsidR="00F366B5">
          <w:rPr>
            <w:noProof/>
            <w:webHidden/>
          </w:rPr>
        </w:r>
        <w:r w:rsidR="00F366B5">
          <w:rPr>
            <w:noProof/>
            <w:webHidden/>
          </w:rPr>
          <w:fldChar w:fldCharType="separate"/>
        </w:r>
        <w:r w:rsidR="00C51B10">
          <w:rPr>
            <w:noProof/>
            <w:webHidden/>
          </w:rPr>
          <w:t>4</w:t>
        </w:r>
        <w:r w:rsidR="00F366B5">
          <w:rPr>
            <w:noProof/>
            <w:webHidden/>
          </w:rPr>
          <w:fldChar w:fldCharType="end"/>
        </w:r>
      </w:hyperlink>
    </w:p>
    <w:p w14:paraId="316CDC44" w14:textId="5D1EFEB5" w:rsidR="00F366B5" w:rsidRPr="00D47541" w:rsidRDefault="00F366B5">
      <w:pPr>
        <w:pStyle w:val="TOC2"/>
        <w:tabs>
          <w:tab w:val="right" w:leader="dot" w:pos="9629"/>
        </w:tabs>
        <w:rPr>
          <w:noProof/>
        </w:rPr>
      </w:pPr>
      <w:hyperlink w:anchor="_Toc224572814" w:history="1">
        <w:r w:rsidRPr="003713FE">
          <w:rPr>
            <w:rStyle w:val="Hyperlink"/>
            <w:noProof/>
            <w:lang w:val="en-GB"/>
          </w:rPr>
          <w:t>Background</w:t>
        </w:r>
        <w:r>
          <w:rPr>
            <w:noProof/>
            <w:webHidden/>
          </w:rPr>
          <w:tab/>
        </w:r>
        <w:r>
          <w:rPr>
            <w:noProof/>
            <w:webHidden/>
          </w:rPr>
          <w:fldChar w:fldCharType="begin"/>
        </w:r>
        <w:r>
          <w:rPr>
            <w:noProof/>
            <w:webHidden/>
          </w:rPr>
          <w:instrText xml:space="preserve"> PAGEREF _Toc224572814 \h </w:instrText>
        </w:r>
        <w:r>
          <w:rPr>
            <w:noProof/>
            <w:webHidden/>
          </w:rPr>
        </w:r>
        <w:r>
          <w:rPr>
            <w:noProof/>
            <w:webHidden/>
          </w:rPr>
          <w:fldChar w:fldCharType="separate"/>
        </w:r>
        <w:r w:rsidR="00C51B10">
          <w:rPr>
            <w:noProof/>
            <w:webHidden/>
          </w:rPr>
          <w:t>4</w:t>
        </w:r>
        <w:r>
          <w:rPr>
            <w:noProof/>
            <w:webHidden/>
          </w:rPr>
          <w:fldChar w:fldCharType="end"/>
        </w:r>
      </w:hyperlink>
    </w:p>
    <w:p w14:paraId="384AF412" w14:textId="76DE758C" w:rsidR="00F366B5" w:rsidRPr="00D47541" w:rsidRDefault="00F366B5">
      <w:pPr>
        <w:pStyle w:val="TOC2"/>
        <w:tabs>
          <w:tab w:val="right" w:leader="dot" w:pos="9629"/>
        </w:tabs>
        <w:rPr>
          <w:noProof/>
        </w:rPr>
      </w:pPr>
      <w:hyperlink w:anchor="_Toc224572815" w:history="1">
        <w:r w:rsidRPr="003713FE">
          <w:rPr>
            <w:rStyle w:val="Hyperlink"/>
            <w:noProof/>
            <w:lang w:val="en-GB"/>
          </w:rPr>
          <w:t>Methods</w:t>
        </w:r>
        <w:r>
          <w:rPr>
            <w:noProof/>
            <w:webHidden/>
          </w:rPr>
          <w:tab/>
        </w:r>
        <w:r>
          <w:rPr>
            <w:noProof/>
            <w:webHidden/>
          </w:rPr>
          <w:fldChar w:fldCharType="begin"/>
        </w:r>
        <w:r>
          <w:rPr>
            <w:noProof/>
            <w:webHidden/>
          </w:rPr>
          <w:instrText xml:space="preserve"> PAGEREF _Toc224572815 \h </w:instrText>
        </w:r>
        <w:r>
          <w:rPr>
            <w:noProof/>
            <w:webHidden/>
          </w:rPr>
        </w:r>
        <w:r>
          <w:rPr>
            <w:noProof/>
            <w:webHidden/>
          </w:rPr>
          <w:fldChar w:fldCharType="separate"/>
        </w:r>
        <w:r w:rsidR="00C51B10">
          <w:rPr>
            <w:noProof/>
            <w:webHidden/>
          </w:rPr>
          <w:t>4</w:t>
        </w:r>
        <w:r>
          <w:rPr>
            <w:noProof/>
            <w:webHidden/>
          </w:rPr>
          <w:fldChar w:fldCharType="end"/>
        </w:r>
      </w:hyperlink>
    </w:p>
    <w:p w14:paraId="2E822870" w14:textId="77C4EE27" w:rsidR="00F366B5" w:rsidRPr="00D47541" w:rsidRDefault="00F366B5">
      <w:pPr>
        <w:pStyle w:val="TOC2"/>
        <w:tabs>
          <w:tab w:val="right" w:leader="dot" w:pos="9629"/>
        </w:tabs>
        <w:rPr>
          <w:noProof/>
        </w:rPr>
      </w:pPr>
      <w:hyperlink w:anchor="_Toc224572816" w:history="1">
        <w:r w:rsidRPr="003713FE">
          <w:rPr>
            <w:rStyle w:val="Hyperlink"/>
            <w:noProof/>
            <w:lang w:val="en-GB"/>
          </w:rPr>
          <w:t>Results</w:t>
        </w:r>
        <w:r>
          <w:rPr>
            <w:noProof/>
            <w:webHidden/>
          </w:rPr>
          <w:tab/>
        </w:r>
        <w:r>
          <w:rPr>
            <w:noProof/>
            <w:webHidden/>
          </w:rPr>
          <w:fldChar w:fldCharType="begin"/>
        </w:r>
        <w:r>
          <w:rPr>
            <w:noProof/>
            <w:webHidden/>
          </w:rPr>
          <w:instrText xml:space="preserve"> PAGEREF _Toc224572816 \h </w:instrText>
        </w:r>
        <w:r>
          <w:rPr>
            <w:noProof/>
            <w:webHidden/>
          </w:rPr>
        </w:r>
        <w:r>
          <w:rPr>
            <w:noProof/>
            <w:webHidden/>
          </w:rPr>
          <w:fldChar w:fldCharType="separate"/>
        </w:r>
        <w:r w:rsidR="00C51B10">
          <w:rPr>
            <w:noProof/>
            <w:webHidden/>
          </w:rPr>
          <w:t>4</w:t>
        </w:r>
        <w:r>
          <w:rPr>
            <w:noProof/>
            <w:webHidden/>
          </w:rPr>
          <w:fldChar w:fldCharType="end"/>
        </w:r>
      </w:hyperlink>
    </w:p>
    <w:p w14:paraId="5256189E" w14:textId="5A5AB609" w:rsidR="00F366B5" w:rsidRPr="00D47541" w:rsidRDefault="00F366B5">
      <w:pPr>
        <w:pStyle w:val="TOC2"/>
        <w:tabs>
          <w:tab w:val="right" w:leader="dot" w:pos="9629"/>
        </w:tabs>
        <w:rPr>
          <w:noProof/>
        </w:rPr>
      </w:pPr>
      <w:hyperlink w:anchor="_Toc224572817" w:history="1">
        <w:r w:rsidRPr="003713FE">
          <w:rPr>
            <w:rStyle w:val="Hyperlink"/>
            <w:noProof/>
            <w:lang w:val="en-GB"/>
          </w:rPr>
          <w:t>Conclusion</w:t>
        </w:r>
        <w:r>
          <w:rPr>
            <w:noProof/>
            <w:webHidden/>
          </w:rPr>
          <w:tab/>
        </w:r>
        <w:r>
          <w:rPr>
            <w:noProof/>
            <w:webHidden/>
          </w:rPr>
          <w:fldChar w:fldCharType="begin"/>
        </w:r>
        <w:r>
          <w:rPr>
            <w:noProof/>
            <w:webHidden/>
          </w:rPr>
          <w:instrText xml:space="preserve"> PAGEREF _Toc224572817 \h </w:instrText>
        </w:r>
        <w:r>
          <w:rPr>
            <w:noProof/>
            <w:webHidden/>
          </w:rPr>
        </w:r>
        <w:r>
          <w:rPr>
            <w:noProof/>
            <w:webHidden/>
          </w:rPr>
          <w:fldChar w:fldCharType="separate"/>
        </w:r>
        <w:r w:rsidR="00C51B10">
          <w:rPr>
            <w:noProof/>
            <w:webHidden/>
          </w:rPr>
          <w:t>4</w:t>
        </w:r>
        <w:r>
          <w:rPr>
            <w:noProof/>
            <w:webHidden/>
          </w:rPr>
          <w:fldChar w:fldCharType="end"/>
        </w:r>
      </w:hyperlink>
    </w:p>
    <w:p w14:paraId="4BFB4DA0" w14:textId="20799345" w:rsidR="00F366B5" w:rsidRPr="00D47541" w:rsidRDefault="00F366B5">
      <w:pPr>
        <w:pStyle w:val="TOC1"/>
        <w:rPr>
          <w:noProof/>
        </w:rPr>
      </w:pPr>
      <w:hyperlink w:anchor="_Toc224572818" w:history="1">
        <w:r w:rsidRPr="003713FE">
          <w:rPr>
            <w:rStyle w:val="Hyperlink"/>
            <w:noProof/>
          </w:rPr>
          <w:t>Introduction</w:t>
        </w:r>
        <w:r>
          <w:rPr>
            <w:noProof/>
            <w:webHidden/>
          </w:rPr>
          <w:tab/>
        </w:r>
        <w:r>
          <w:rPr>
            <w:noProof/>
            <w:webHidden/>
          </w:rPr>
          <w:fldChar w:fldCharType="begin"/>
        </w:r>
        <w:r>
          <w:rPr>
            <w:noProof/>
            <w:webHidden/>
          </w:rPr>
          <w:instrText xml:space="preserve"> PAGEREF _Toc224572818 \h </w:instrText>
        </w:r>
        <w:r>
          <w:rPr>
            <w:noProof/>
            <w:webHidden/>
          </w:rPr>
        </w:r>
        <w:r>
          <w:rPr>
            <w:noProof/>
            <w:webHidden/>
          </w:rPr>
          <w:fldChar w:fldCharType="separate"/>
        </w:r>
        <w:r w:rsidR="00C51B10">
          <w:rPr>
            <w:noProof/>
            <w:webHidden/>
          </w:rPr>
          <w:t>5</w:t>
        </w:r>
        <w:r>
          <w:rPr>
            <w:noProof/>
            <w:webHidden/>
          </w:rPr>
          <w:fldChar w:fldCharType="end"/>
        </w:r>
      </w:hyperlink>
    </w:p>
    <w:p w14:paraId="02DDC001" w14:textId="604BEA6E" w:rsidR="00F366B5" w:rsidRPr="00D47541" w:rsidRDefault="00F366B5">
      <w:pPr>
        <w:pStyle w:val="TOC2"/>
        <w:tabs>
          <w:tab w:val="right" w:leader="dot" w:pos="9629"/>
        </w:tabs>
        <w:rPr>
          <w:noProof/>
        </w:rPr>
      </w:pPr>
      <w:hyperlink w:anchor="_Toc224572819" w:history="1">
        <w:r w:rsidRPr="003713FE">
          <w:rPr>
            <w:rStyle w:val="Hyperlink"/>
            <w:noProof/>
            <w:lang w:val="en-GB"/>
          </w:rPr>
          <w:t>Global context</w:t>
        </w:r>
        <w:r>
          <w:rPr>
            <w:noProof/>
            <w:webHidden/>
          </w:rPr>
          <w:tab/>
        </w:r>
        <w:r>
          <w:rPr>
            <w:noProof/>
            <w:webHidden/>
          </w:rPr>
          <w:fldChar w:fldCharType="begin"/>
        </w:r>
        <w:r>
          <w:rPr>
            <w:noProof/>
            <w:webHidden/>
          </w:rPr>
          <w:instrText xml:space="preserve"> PAGEREF _Toc224572819 \h </w:instrText>
        </w:r>
        <w:r>
          <w:rPr>
            <w:noProof/>
            <w:webHidden/>
          </w:rPr>
        </w:r>
        <w:r>
          <w:rPr>
            <w:noProof/>
            <w:webHidden/>
          </w:rPr>
          <w:fldChar w:fldCharType="separate"/>
        </w:r>
        <w:r w:rsidR="00C51B10">
          <w:rPr>
            <w:noProof/>
            <w:webHidden/>
          </w:rPr>
          <w:t>5</w:t>
        </w:r>
        <w:r>
          <w:rPr>
            <w:noProof/>
            <w:webHidden/>
          </w:rPr>
          <w:fldChar w:fldCharType="end"/>
        </w:r>
      </w:hyperlink>
    </w:p>
    <w:p w14:paraId="101BA7C7" w14:textId="6CBD08CC" w:rsidR="00F366B5" w:rsidRPr="00D47541" w:rsidRDefault="00F366B5">
      <w:pPr>
        <w:pStyle w:val="TOC2"/>
        <w:tabs>
          <w:tab w:val="right" w:leader="dot" w:pos="9629"/>
        </w:tabs>
        <w:rPr>
          <w:noProof/>
        </w:rPr>
      </w:pPr>
      <w:hyperlink w:anchor="_Toc224572820" w:history="1">
        <w:r w:rsidRPr="003713FE">
          <w:rPr>
            <w:rStyle w:val="Hyperlink"/>
            <w:noProof/>
            <w:lang w:val="en-GB"/>
          </w:rPr>
          <w:t>Australian context</w:t>
        </w:r>
        <w:r>
          <w:rPr>
            <w:noProof/>
            <w:webHidden/>
          </w:rPr>
          <w:tab/>
        </w:r>
        <w:r>
          <w:rPr>
            <w:noProof/>
            <w:webHidden/>
          </w:rPr>
          <w:fldChar w:fldCharType="begin"/>
        </w:r>
        <w:r>
          <w:rPr>
            <w:noProof/>
            <w:webHidden/>
          </w:rPr>
          <w:instrText xml:space="preserve"> PAGEREF _Toc224572820 \h </w:instrText>
        </w:r>
        <w:r>
          <w:rPr>
            <w:noProof/>
            <w:webHidden/>
          </w:rPr>
        </w:r>
        <w:r>
          <w:rPr>
            <w:noProof/>
            <w:webHidden/>
          </w:rPr>
          <w:fldChar w:fldCharType="separate"/>
        </w:r>
        <w:r w:rsidR="00C51B10">
          <w:rPr>
            <w:noProof/>
            <w:webHidden/>
          </w:rPr>
          <w:t>5</w:t>
        </w:r>
        <w:r>
          <w:rPr>
            <w:noProof/>
            <w:webHidden/>
          </w:rPr>
          <w:fldChar w:fldCharType="end"/>
        </w:r>
      </w:hyperlink>
    </w:p>
    <w:p w14:paraId="100046BA" w14:textId="183AE947" w:rsidR="00F366B5" w:rsidRPr="00D47541" w:rsidRDefault="00F366B5">
      <w:pPr>
        <w:pStyle w:val="TOC1"/>
        <w:rPr>
          <w:noProof/>
        </w:rPr>
      </w:pPr>
      <w:hyperlink w:anchor="_Toc224572821" w:history="1">
        <w:r w:rsidRPr="003713FE">
          <w:rPr>
            <w:rStyle w:val="Hyperlink"/>
            <w:noProof/>
            <w:lang w:val="en-GB"/>
          </w:rPr>
          <w:t>Methods</w:t>
        </w:r>
        <w:r>
          <w:rPr>
            <w:noProof/>
            <w:webHidden/>
          </w:rPr>
          <w:tab/>
        </w:r>
        <w:r>
          <w:rPr>
            <w:noProof/>
            <w:webHidden/>
          </w:rPr>
          <w:fldChar w:fldCharType="begin"/>
        </w:r>
        <w:r>
          <w:rPr>
            <w:noProof/>
            <w:webHidden/>
          </w:rPr>
          <w:instrText xml:space="preserve"> PAGEREF _Toc224572821 \h </w:instrText>
        </w:r>
        <w:r>
          <w:rPr>
            <w:noProof/>
            <w:webHidden/>
          </w:rPr>
        </w:r>
        <w:r>
          <w:rPr>
            <w:noProof/>
            <w:webHidden/>
          </w:rPr>
          <w:fldChar w:fldCharType="separate"/>
        </w:r>
        <w:r w:rsidR="00C51B10">
          <w:rPr>
            <w:noProof/>
            <w:webHidden/>
          </w:rPr>
          <w:t>6</w:t>
        </w:r>
        <w:r>
          <w:rPr>
            <w:noProof/>
            <w:webHidden/>
          </w:rPr>
          <w:fldChar w:fldCharType="end"/>
        </w:r>
      </w:hyperlink>
    </w:p>
    <w:p w14:paraId="75A61859" w14:textId="3752169C" w:rsidR="00F366B5" w:rsidRPr="00D47541" w:rsidRDefault="00F366B5">
      <w:pPr>
        <w:pStyle w:val="TOC2"/>
        <w:tabs>
          <w:tab w:val="right" w:leader="dot" w:pos="9629"/>
        </w:tabs>
        <w:rPr>
          <w:noProof/>
        </w:rPr>
      </w:pPr>
      <w:hyperlink w:anchor="_Toc224572822" w:history="1">
        <w:r w:rsidRPr="003713FE">
          <w:rPr>
            <w:rStyle w:val="Hyperlink"/>
            <w:noProof/>
            <w:lang w:val="en-GB"/>
          </w:rPr>
          <w:t>Notifications</w:t>
        </w:r>
        <w:r>
          <w:rPr>
            <w:noProof/>
            <w:webHidden/>
          </w:rPr>
          <w:tab/>
        </w:r>
        <w:r>
          <w:rPr>
            <w:noProof/>
            <w:webHidden/>
          </w:rPr>
          <w:fldChar w:fldCharType="begin"/>
        </w:r>
        <w:r>
          <w:rPr>
            <w:noProof/>
            <w:webHidden/>
          </w:rPr>
          <w:instrText xml:space="preserve"> PAGEREF _Toc224572822 \h </w:instrText>
        </w:r>
        <w:r>
          <w:rPr>
            <w:noProof/>
            <w:webHidden/>
          </w:rPr>
        </w:r>
        <w:r>
          <w:rPr>
            <w:noProof/>
            <w:webHidden/>
          </w:rPr>
          <w:fldChar w:fldCharType="separate"/>
        </w:r>
        <w:r w:rsidR="00C51B10">
          <w:rPr>
            <w:noProof/>
            <w:webHidden/>
          </w:rPr>
          <w:t>6</w:t>
        </w:r>
        <w:r>
          <w:rPr>
            <w:noProof/>
            <w:webHidden/>
          </w:rPr>
          <w:fldChar w:fldCharType="end"/>
        </w:r>
      </w:hyperlink>
    </w:p>
    <w:p w14:paraId="0000F2D1" w14:textId="74CDB6FC" w:rsidR="00F366B5" w:rsidRPr="00D47541" w:rsidRDefault="00F366B5">
      <w:pPr>
        <w:pStyle w:val="TOC2"/>
        <w:tabs>
          <w:tab w:val="right" w:leader="dot" w:pos="9629"/>
        </w:tabs>
        <w:rPr>
          <w:noProof/>
        </w:rPr>
      </w:pPr>
      <w:hyperlink w:anchor="_Toc224572823" w:history="1">
        <w:r w:rsidRPr="003713FE">
          <w:rPr>
            <w:rStyle w:val="Hyperlink"/>
            <w:noProof/>
            <w:lang w:val="en-GB"/>
          </w:rPr>
          <w:t>Population estimates</w:t>
        </w:r>
        <w:r>
          <w:rPr>
            <w:noProof/>
            <w:webHidden/>
          </w:rPr>
          <w:tab/>
        </w:r>
        <w:r>
          <w:rPr>
            <w:noProof/>
            <w:webHidden/>
          </w:rPr>
          <w:fldChar w:fldCharType="begin"/>
        </w:r>
        <w:r>
          <w:rPr>
            <w:noProof/>
            <w:webHidden/>
          </w:rPr>
          <w:instrText xml:space="preserve"> PAGEREF _Toc224572823 \h </w:instrText>
        </w:r>
        <w:r>
          <w:rPr>
            <w:noProof/>
            <w:webHidden/>
          </w:rPr>
        </w:r>
        <w:r>
          <w:rPr>
            <w:noProof/>
            <w:webHidden/>
          </w:rPr>
          <w:fldChar w:fldCharType="separate"/>
        </w:r>
        <w:r w:rsidR="00C51B10">
          <w:rPr>
            <w:noProof/>
            <w:webHidden/>
          </w:rPr>
          <w:t>6</w:t>
        </w:r>
        <w:r>
          <w:rPr>
            <w:noProof/>
            <w:webHidden/>
          </w:rPr>
          <w:fldChar w:fldCharType="end"/>
        </w:r>
      </w:hyperlink>
    </w:p>
    <w:p w14:paraId="3F6FDF5E" w14:textId="47292524" w:rsidR="00F366B5" w:rsidRPr="00D47541" w:rsidRDefault="00F366B5">
      <w:pPr>
        <w:pStyle w:val="TOC2"/>
        <w:tabs>
          <w:tab w:val="right" w:leader="dot" w:pos="9629"/>
        </w:tabs>
        <w:rPr>
          <w:noProof/>
        </w:rPr>
      </w:pPr>
      <w:hyperlink w:anchor="_Toc224572824" w:history="1">
        <w:r w:rsidRPr="003713FE">
          <w:rPr>
            <w:rStyle w:val="Hyperlink"/>
            <w:noProof/>
            <w:lang w:val="en-GB"/>
          </w:rPr>
          <w:t>Data analyses</w:t>
        </w:r>
        <w:r>
          <w:rPr>
            <w:noProof/>
            <w:webHidden/>
          </w:rPr>
          <w:tab/>
        </w:r>
        <w:r>
          <w:rPr>
            <w:noProof/>
            <w:webHidden/>
          </w:rPr>
          <w:fldChar w:fldCharType="begin"/>
        </w:r>
        <w:r>
          <w:rPr>
            <w:noProof/>
            <w:webHidden/>
          </w:rPr>
          <w:instrText xml:space="preserve"> PAGEREF _Toc224572824 \h </w:instrText>
        </w:r>
        <w:r>
          <w:rPr>
            <w:noProof/>
            <w:webHidden/>
          </w:rPr>
        </w:r>
        <w:r>
          <w:rPr>
            <w:noProof/>
            <w:webHidden/>
          </w:rPr>
          <w:fldChar w:fldCharType="separate"/>
        </w:r>
        <w:r w:rsidR="00C51B10">
          <w:rPr>
            <w:noProof/>
            <w:webHidden/>
          </w:rPr>
          <w:t>6</w:t>
        </w:r>
        <w:r>
          <w:rPr>
            <w:noProof/>
            <w:webHidden/>
          </w:rPr>
          <w:fldChar w:fldCharType="end"/>
        </w:r>
      </w:hyperlink>
    </w:p>
    <w:p w14:paraId="41D8EFC4" w14:textId="2EDA48ED" w:rsidR="00F366B5" w:rsidRPr="00D47541" w:rsidRDefault="00F366B5">
      <w:pPr>
        <w:pStyle w:val="TOC1"/>
        <w:rPr>
          <w:noProof/>
        </w:rPr>
      </w:pPr>
      <w:hyperlink w:anchor="_Toc224572825" w:history="1">
        <w:r w:rsidRPr="003713FE">
          <w:rPr>
            <w:rStyle w:val="Hyperlink"/>
            <w:noProof/>
          </w:rPr>
          <w:t>Results</w:t>
        </w:r>
        <w:r>
          <w:rPr>
            <w:noProof/>
            <w:webHidden/>
          </w:rPr>
          <w:tab/>
        </w:r>
        <w:r>
          <w:rPr>
            <w:noProof/>
            <w:webHidden/>
          </w:rPr>
          <w:fldChar w:fldCharType="begin"/>
        </w:r>
        <w:r>
          <w:rPr>
            <w:noProof/>
            <w:webHidden/>
          </w:rPr>
          <w:instrText xml:space="preserve"> PAGEREF _Toc224572825 \h </w:instrText>
        </w:r>
        <w:r>
          <w:rPr>
            <w:noProof/>
            <w:webHidden/>
          </w:rPr>
        </w:r>
        <w:r>
          <w:rPr>
            <w:noProof/>
            <w:webHidden/>
          </w:rPr>
          <w:fldChar w:fldCharType="separate"/>
        </w:r>
        <w:r w:rsidR="00C51B10">
          <w:rPr>
            <w:noProof/>
            <w:webHidden/>
          </w:rPr>
          <w:t>7</w:t>
        </w:r>
        <w:r>
          <w:rPr>
            <w:noProof/>
            <w:webHidden/>
          </w:rPr>
          <w:fldChar w:fldCharType="end"/>
        </w:r>
      </w:hyperlink>
    </w:p>
    <w:p w14:paraId="3A7318EE" w14:textId="54AC214E" w:rsidR="00F366B5" w:rsidRPr="00D47541" w:rsidRDefault="00F366B5">
      <w:pPr>
        <w:pStyle w:val="TOC2"/>
        <w:tabs>
          <w:tab w:val="right" w:leader="dot" w:pos="9629"/>
        </w:tabs>
        <w:rPr>
          <w:noProof/>
        </w:rPr>
      </w:pPr>
      <w:hyperlink w:anchor="_Toc224572826" w:history="1">
        <w:r w:rsidRPr="003713FE">
          <w:rPr>
            <w:rStyle w:val="Hyperlink"/>
            <w:noProof/>
            <w:lang w:val="en-GB"/>
          </w:rPr>
          <w:t>Seasonality</w:t>
        </w:r>
        <w:r>
          <w:rPr>
            <w:noProof/>
            <w:webHidden/>
          </w:rPr>
          <w:tab/>
        </w:r>
        <w:r>
          <w:rPr>
            <w:noProof/>
            <w:webHidden/>
          </w:rPr>
          <w:fldChar w:fldCharType="begin"/>
        </w:r>
        <w:r>
          <w:rPr>
            <w:noProof/>
            <w:webHidden/>
          </w:rPr>
          <w:instrText xml:space="preserve"> PAGEREF _Toc224572826 \h </w:instrText>
        </w:r>
        <w:r>
          <w:rPr>
            <w:noProof/>
            <w:webHidden/>
          </w:rPr>
        </w:r>
        <w:r>
          <w:rPr>
            <w:noProof/>
            <w:webHidden/>
          </w:rPr>
          <w:fldChar w:fldCharType="separate"/>
        </w:r>
        <w:r w:rsidR="00C51B10">
          <w:rPr>
            <w:noProof/>
            <w:webHidden/>
          </w:rPr>
          <w:t>7</w:t>
        </w:r>
        <w:r>
          <w:rPr>
            <w:noProof/>
            <w:webHidden/>
          </w:rPr>
          <w:fldChar w:fldCharType="end"/>
        </w:r>
      </w:hyperlink>
    </w:p>
    <w:p w14:paraId="6C903D6C" w14:textId="7F2F6E63" w:rsidR="00F366B5" w:rsidRPr="00D47541" w:rsidRDefault="00F366B5">
      <w:pPr>
        <w:pStyle w:val="TOC2"/>
        <w:tabs>
          <w:tab w:val="right" w:leader="dot" w:pos="9629"/>
        </w:tabs>
        <w:rPr>
          <w:noProof/>
        </w:rPr>
      </w:pPr>
      <w:hyperlink w:anchor="_Toc224572827" w:history="1">
        <w:r w:rsidRPr="003713FE">
          <w:rPr>
            <w:rStyle w:val="Hyperlink"/>
            <w:noProof/>
            <w:lang w:val="en-GB"/>
          </w:rPr>
          <w:t>Trends by jurisdiction</w:t>
        </w:r>
        <w:r>
          <w:rPr>
            <w:noProof/>
            <w:webHidden/>
          </w:rPr>
          <w:tab/>
        </w:r>
        <w:r>
          <w:rPr>
            <w:noProof/>
            <w:webHidden/>
          </w:rPr>
          <w:fldChar w:fldCharType="begin"/>
        </w:r>
        <w:r>
          <w:rPr>
            <w:noProof/>
            <w:webHidden/>
          </w:rPr>
          <w:instrText xml:space="preserve"> PAGEREF _Toc224572827 \h </w:instrText>
        </w:r>
        <w:r>
          <w:rPr>
            <w:noProof/>
            <w:webHidden/>
          </w:rPr>
        </w:r>
        <w:r>
          <w:rPr>
            <w:noProof/>
            <w:webHidden/>
          </w:rPr>
          <w:fldChar w:fldCharType="separate"/>
        </w:r>
        <w:r w:rsidR="00C51B10">
          <w:rPr>
            <w:noProof/>
            <w:webHidden/>
          </w:rPr>
          <w:t>8</w:t>
        </w:r>
        <w:r>
          <w:rPr>
            <w:noProof/>
            <w:webHidden/>
          </w:rPr>
          <w:fldChar w:fldCharType="end"/>
        </w:r>
      </w:hyperlink>
    </w:p>
    <w:p w14:paraId="749145B4" w14:textId="081B7B69" w:rsidR="00F366B5" w:rsidRPr="00D47541" w:rsidRDefault="00F366B5">
      <w:pPr>
        <w:pStyle w:val="TOC2"/>
        <w:tabs>
          <w:tab w:val="right" w:leader="dot" w:pos="9629"/>
        </w:tabs>
        <w:rPr>
          <w:noProof/>
        </w:rPr>
      </w:pPr>
      <w:hyperlink w:anchor="_Toc224572828" w:history="1">
        <w:r w:rsidRPr="003713FE">
          <w:rPr>
            <w:rStyle w:val="Hyperlink"/>
            <w:noProof/>
          </w:rPr>
          <w:t>Trends by age and sex</w:t>
        </w:r>
        <w:r>
          <w:rPr>
            <w:noProof/>
            <w:webHidden/>
          </w:rPr>
          <w:tab/>
        </w:r>
        <w:r>
          <w:rPr>
            <w:noProof/>
            <w:webHidden/>
          </w:rPr>
          <w:fldChar w:fldCharType="begin"/>
        </w:r>
        <w:r>
          <w:rPr>
            <w:noProof/>
            <w:webHidden/>
          </w:rPr>
          <w:instrText xml:space="preserve"> PAGEREF _Toc224572828 \h </w:instrText>
        </w:r>
        <w:r>
          <w:rPr>
            <w:noProof/>
            <w:webHidden/>
          </w:rPr>
        </w:r>
        <w:r>
          <w:rPr>
            <w:noProof/>
            <w:webHidden/>
          </w:rPr>
          <w:fldChar w:fldCharType="separate"/>
        </w:r>
        <w:r w:rsidR="00C51B10">
          <w:rPr>
            <w:noProof/>
            <w:webHidden/>
          </w:rPr>
          <w:t>10</w:t>
        </w:r>
        <w:r>
          <w:rPr>
            <w:noProof/>
            <w:webHidden/>
          </w:rPr>
          <w:fldChar w:fldCharType="end"/>
        </w:r>
      </w:hyperlink>
    </w:p>
    <w:p w14:paraId="042BF2C5" w14:textId="619908B4" w:rsidR="00F366B5" w:rsidRPr="00D47541" w:rsidRDefault="00F366B5">
      <w:pPr>
        <w:pStyle w:val="TOC2"/>
        <w:tabs>
          <w:tab w:val="right" w:leader="dot" w:pos="9629"/>
        </w:tabs>
        <w:rPr>
          <w:noProof/>
        </w:rPr>
      </w:pPr>
      <w:hyperlink w:anchor="_Toc224572829" w:history="1">
        <w:r w:rsidRPr="003713FE">
          <w:rPr>
            <w:rStyle w:val="Hyperlink"/>
            <w:noProof/>
          </w:rPr>
          <w:t>Genotype trends</w:t>
        </w:r>
        <w:r>
          <w:rPr>
            <w:noProof/>
            <w:webHidden/>
          </w:rPr>
          <w:tab/>
        </w:r>
        <w:r>
          <w:rPr>
            <w:noProof/>
            <w:webHidden/>
          </w:rPr>
          <w:fldChar w:fldCharType="begin"/>
        </w:r>
        <w:r>
          <w:rPr>
            <w:noProof/>
            <w:webHidden/>
          </w:rPr>
          <w:instrText xml:space="preserve"> PAGEREF _Toc224572829 \h </w:instrText>
        </w:r>
        <w:r>
          <w:rPr>
            <w:noProof/>
            <w:webHidden/>
          </w:rPr>
        </w:r>
        <w:r>
          <w:rPr>
            <w:noProof/>
            <w:webHidden/>
          </w:rPr>
          <w:fldChar w:fldCharType="separate"/>
        </w:r>
        <w:r w:rsidR="00C51B10">
          <w:rPr>
            <w:noProof/>
            <w:webHidden/>
          </w:rPr>
          <w:t>12</w:t>
        </w:r>
        <w:r>
          <w:rPr>
            <w:noProof/>
            <w:webHidden/>
          </w:rPr>
          <w:fldChar w:fldCharType="end"/>
        </w:r>
      </w:hyperlink>
    </w:p>
    <w:p w14:paraId="250D2418" w14:textId="4FDDA60A" w:rsidR="00F366B5" w:rsidRPr="00D47541" w:rsidRDefault="00F366B5">
      <w:pPr>
        <w:pStyle w:val="TOC2"/>
        <w:tabs>
          <w:tab w:val="right" w:leader="dot" w:pos="9629"/>
        </w:tabs>
        <w:rPr>
          <w:noProof/>
        </w:rPr>
      </w:pPr>
      <w:hyperlink w:anchor="_Toc224572830" w:history="1">
        <w:r w:rsidRPr="003713FE">
          <w:rPr>
            <w:rStyle w:val="Hyperlink"/>
            <w:noProof/>
            <w:lang w:val="en-GB"/>
          </w:rPr>
          <w:t xml:space="preserve">Vaccination </w:t>
        </w:r>
        <w:r w:rsidRPr="003713FE">
          <w:rPr>
            <w:rStyle w:val="Hyperlink"/>
            <w:noProof/>
          </w:rPr>
          <w:t>status</w:t>
        </w:r>
        <w:r>
          <w:rPr>
            <w:noProof/>
            <w:webHidden/>
          </w:rPr>
          <w:tab/>
        </w:r>
        <w:r>
          <w:rPr>
            <w:noProof/>
            <w:webHidden/>
          </w:rPr>
          <w:fldChar w:fldCharType="begin"/>
        </w:r>
        <w:r>
          <w:rPr>
            <w:noProof/>
            <w:webHidden/>
          </w:rPr>
          <w:instrText xml:space="preserve"> PAGEREF _Toc224572830 \h </w:instrText>
        </w:r>
        <w:r>
          <w:rPr>
            <w:noProof/>
            <w:webHidden/>
          </w:rPr>
        </w:r>
        <w:r>
          <w:rPr>
            <w:noProof/>
            <w:webHidden/>
          </w:rPr>
          <w:fldChar w:fldCharType="separate"/>
        </w:r>
        <w:r w:rsidR="00C51B10">
          <w:rPr>
            <w:noProof/>
            <w:webHidden/>
          </w:rPr>
          <w:t>12</w:t>
        </w:r>
        <w:r>
          <w:rPr>
            <w:noProof/>
            <w:webHidden/>
          </w:rPr>
          <w:fldChar w:fldCharType="end"/>
        </w:r>
      </w:hyperlink>
    </w:p>
    <w:p w14:paraId="042E6CDD" w14:textId="0DEBCF79" w:rsidR="00F366B5" w:rsidRPr="00D47541" w:rsidRDefault="00F366B5">
      <w:pPr>
        <w:pStyle w:val="TOC2"/>
        <w:tabs>
          <w:tab w:val="right" w:leader="dot" w:pos="9629"/>
        </w:tabs>
        <w:rPr>
          <w:noProof/>
        </w:rPr>
      </w:pPr>
      <w:hyperlink w:anchor="_Toc224572831" w:history="1">
        <w:r w:rsidRPr="003713FE">
          <w:rPr>
            <w:rStyle w:val="Hyperlink"/>
            <w:noProof/>
            <w:lang w:val="en-GB"/>
          </w:rPr>
          <w:t>Country of acquisition</w:t>
        </w:r>
        <w:r>
          <w:rPr>
            <w:noProof/>
            <w:webHidden/>
          </w:rPr>
          <w:tab/>
        </w:r>
        <w:r>
          <w:rPr>
            <w:noProof/>
            <w:webHidden/>
          </w:rPr>
          <w:fldChar w:fldCharType="begin"/>
        </w:r>
        <w:r>
          <w:rPr>
            <w:noProof/>
            <w:webHidden/>
          </w:rPr>
          <w:instrText xml:space="preserve"> PAGEREF _Toc224572831 \h </w:instrText>
        </w:r>
        <w:r>
          <w:rPr>
            <w:noProof/>
            <w:webHidden/>
          </w:rPr>
        </w:r>
        <w:r>
          <w:rPr>
            <w:noProof/>
            <w:webHidden/>
          </w:rPr>
          <w:fldChar w:fldCharType="separate"/>
        </w:r>
        <w:r w:rsidR="00C51B10">
          <w:rPr>
            <w:noProof/>
            <w:webHidden/>
          </w:rPr>
          <w:t>15</w:t>
        </w:r>
        <w:r>
          <w:rPr>
            <w:noProof/>
            <w:webHidden/>
          </w:rPr>
          <w:fldChar w:fldCharType="end"/>
        </w:r>
      </w:hyperlink>
    </w:p>
    <w:p w14:paraId="0412F9FC" w14:textId="1D7B3BCD" w:rsidR="00F366B5" w:rsidRPr="00D47541" w:rsidRDefault="00F366B5">
      <w:pPr>
        <w:pStyle w:val="TOC1"/>
        <w:rPr>
          <w:noProof/>
        </w:rPr>
      </w:pPr>
      <w:hyperlink w:anchor="_Toc224572832" w:history="1">
        <w:r w:rsidRPr="003713FE">
          <w:rPr>
            <w:rStyle w:val="Hyperlink"/>
            <w:noProof/>
          </w:rPr>
          <w:t>Discussion and conclusion</w:t>
        </w:r>
        <w:r>
          <w:rPr>
            <w:noProof/>
            <w:webHidden/>
          </w:rPr>
          <w:tab/>
        </w:r>
        <w:r>
          <w:rPr>
            <w:noProof/>
            <w:webHidden/>
          </w:rPr>
          <w:fldChar w:fldCharType="begin"/>
        </w:r>
        <w:r>
          <w:rPr>
            <w:noProof/>
            <w:webHidden/>
          </w:rPr>
          <w:instrText xml:space="preserve"> PAGEREF _Toc224572832 \h </w:instrText>
        </w:r>
        <w:r>
          <w:rPr>
            <w:noProof/>
            <w:webHidden/>
          </w:rPr>
        </w:r>
        <w:r>
          <w:rPr>
            <w:noProof/>
            <w:webHidden/>
          </w:rPr>
          <w:fldChar w:fldCharType="separate"/>
        </w:r>
        <w:r w:rsidR="00C51B10">
          <w:rPr>
            <w:noProof/>
            <w:webHidden/>
          </w:rPr>
          <w:t>22</w:t>
        </w:r>
        <w:r>
          <w:rPr>
            <w:noProof/>
            <w:webHidden/>
          </w:rPr>
          <w:fldChar w:fldCharType="end"/>
        </w:r>
      </w:hyperlink>
    </w:p>
    <w:p w14:paraId="670CE5A7" w14:textId="4834A34E" w:rsidR="00F366B5" w:rsidRPr="00D47541" w:rsidRDefault="00F366B5">
      <w:pPr>
        <w:pStyle w:val="TOC1"/>
        <w:rPr>
          <w:noProof/>
        </w:rPr>
      </w:pPr>
      <w:hyperlink w:anchor="_Toc224572833" w:history="1">
        <w:r w:rsidRPr="003713FE">
          <w:rPr>
            <w:rStyle w:val="Hyperlink"/>
            <w:noProof/>
          </w:rPr>
          <w:t>Acknowledgments</w:t>
        </w:r>
        <w:r>
          <w:rPr>
            <w:noProof/>
            <w:webHidden/>
          </w:rPr>
          <w:tab/>
        </w:r>
        <w:r>
          <w:rPr>
            <w:noProof/>
            <w:webHidden/>
          </w:rPr>
          <w:fldChar w:fldCharType="begin"/>
        </w:r>
        <w:r>
          <w:rPr>
            <w:noProof/>
            <w:webHidden/>
          </w:rPr>
          <w:instrText xml:space="preserve"> PAGEREF _Toc224572833 \h </w:instrText>
        </w:r>
        <w:r>
          <w:rPr>
            <w:noProof/>
            <w:webHidden/>
          </w:rPr>
        </w:r>
        <w:r>
          <w:rPr>
            <w:noProof/>
            <w:webHidden/>
          </w:rPr>
          <w:fldChar w:fldCharType="separate"/>
        </w:r>
        <w:r w:rsidR="00C51B10">
          <w:rPr>
            <w:noProof/>
            <w:webHidden/>
          </w:rPr>
          <w:t>23</w:t>
        </w:r>
        <w:r>
          <w:rPr>
            <w:noProof/>
            <w:webHidden/>
          </w:rPr>
          <w:fldChar w:fldCharType="end"/>
        </w:r>
      </w:hyperlink>
    </w:p>
    <w:p w14:paraId="74D31ED7" w14:textId="090BDC15" w:rsidR="00F366B5" w:rsidRPr="00D47541" w:rsidRDefault="00F366B5">
      <w:pPr>
        <w:pStyle w:val="TOC1"/>
        <w:rPr>
          <w:noProof/>
        </w:rPr>
      </w:pPr>
      <w:hyperlink w:anchor="_Toc224572834" w:history="1">
        <w:r w:rsidRPr="003713FE">
          <w:rPr>
            <w:rStyle w:val="Hyperlink"/>
            <w:noProof/>
          </w:rPr>
          <w:t>Author details</w:t>
        </w:r>
        <w:r>
          <w:rPr>
            <w:noProof/>
            <w:webHidden/>
          </w:rPr>
          <w:tab/>
        </w:r>
        <w:r>
          <w:rPr>
            <w:noProof/>
            <w:webHidden/>
          </w:rPr>
          <w:fldChar w:fldCharType="begin"/>
        </w:r>
        <w:r>
          <w:rPr>
            <w:noProof/>
            <w:webHidden/>
          </w:rPr>
          <w:instrText xml:space="preserve"> PAGEREF _Toc224572834 \h </w:instrText>
        </w:r>
        <w:r>
          <w:rPr>
            <w:noProof/>
            <w:webHidden/>
          </w:rPr>
        </w:r>
        <w:r>
          <w:rPr>
            <w:noProof/>
            <w:webHidden/>
          </w:rPr>
          <w:fldChar w:fldCharType="separate"/>
        </w:r>
        <w:r w:rsidR="00C51B10">
          <w:rPr>
            <w:noProof/>
            <w:webHidden/>
          </w:rPr>
          <w:t>24</w:t>
        </w:r>
        <w:r>
          <w:rPr>
            <w:noProof/>
            <w:webHidden/>
          </w:rPr>
          <w:fldChar w:fldCharType="end"/>
        </w:r>
      </w:hyperlink>
    </w:p>
    <w:p w14:paraId="625322E0" w14:textId="7AF1D330" w:rsidR="00F366B5" w:rsidRPr="00D47541" w:rsidRDefault="00F366B5">
      <w:pPr>
        <w:pStyle w:val="TOC1"/>
        <w:rPr>
          <w:noProof/>
        </w:rPr>
      </w:pPr>
      <w:hyperlink w:anchor="_Toc224572835" w:history="1">
        <w:r w:rsidRPr="003713FE">
          <w:rPr>
            <w:rStyle w:val="Hyperlink"/>
            <w:noProof/>
          </w:rPr>
          <w:t>References</w:t>
        </w:r>
        <w:r>
          <w:rPr>
            <w:noProof/>
            <w:webHidden/>
          </w:rPr>
          <w:tab/>
        </w:r>
        <w:r>
          <w:rPr>
            <w:noProof/>
            <w:webHidden/>
          </w:rPr>
          <w:fldChar w:fldCharType="begin"/>
        </w:r>
        <w:r>
          <w:rPr>
            <w:noProof/>
            <w:webHidden/>
          </w:rPr>
          <w:instrText xml:space="preserve"> PAGEREF _Toc224572835 \h </w:instrText>
        </w:r>
        <w:r>
          <w:rPr>
            <w:noProof/>
            <w:webHidden/>
          </w:rPr>
        </w:r>
        <w:r>
          <w:rPr>
            <w:noProof/>
            <w:webHidden/>
          </w:rPr>
          <w:fldChar w:fldCharType="separate"/>
        </w:r>
        <w:r w:rsidR="00C51B10">
          <w:rPr>
            <w:noProof/>
            <w:webHidden/>
          </w:rPr>
          <w:t>25</w:t>
        </w:r>
        <w:r>
          <w:rPr>
            <w:noProof/>
            <w:webHidden/>
          </w:rPr>
          <w:fldChar w:fldCharType="end"/>
        </w:r>
      </w:hyperlink>
    </w:p>
    <w:p w14:paraId="6C0584B7" w14:textId="2A6DE67C" w:rsidR="00F216F0" w:rsidRPr="00F216F0" w:rsidRDefault="005A4E9D" w:rsidP="00F216F0">
      <w:r>
        <w:rPr>
          <w:rFonts w:eastAsiaTheme="minorHAnsi" w:cstheme="minorHAnsi"/>
          <w:szCs w:val="24"/>
          <w:lang w:eastAsia="en-US"/>
        </w:rPr>
        <w:fldChar w:fldCharType="end"/>
      </w:r>
    </w:p>
    <w:p w14:paraId="75A2557E" w14:textId="77777777" w:rsidR="00F25C00" w:rsidRDefault="0098426C" w:rsidP="00A24E95">
      <w:pPr>
        <w:pStyle w:val="Heading1"/>
      </w:pPr>
      <w:bookmarkStart w:id="8" w:name="_Toc195530498"/>
      <w:bookmarkStart w:id="9" w:name="_Toc224572813"/>
      <w:bookmarkEnd w:id="7"/>
      <w:r>
        <w:lastRenderedPageBreak/>
        <w:t>Abstract</w:t>
      </w:r>
      <w:bookmarkEnd w:id="8"/>
      <w:bookmarkEnd w:id="9"/>
    </w:p>
    <w:p w14:paraId="73FED2CF" w14:textId="77777777" w:rsidR="00A816CB" w:rsidRPr="00A816CB" w:rsidRDefault="00A816CB" w:rsidP="00A816CB">
      <w:pPr>
        <w:pStyle w:val="Heading2-lessspacebefore"/>
        <w:rPr>
          <w:lang w:val="en-GB"/>
        </w:rPr>
      </w:pPr>
      <w:bookmarkStart w:id="10" w:name="_Toc224572814"/>
      <w:r w:rsidRPr="00A816CB">
        <w:rPr>
          <w:lang w:val="en-GB"/>
        </w:rPr>
        <w:t>Background</w:t>
      </w:r>
      <w:bookmarkEnd w:id="10"/>
    </w:p>
    <w:p w14:paraId="11EA3F25" w14:textId="77777777" w:rsidR="00A816CB" w:rsidRPr="00A816CB" w:rsidRDefault="00A816CB" w:rsidP="00A816CB">
      <w:pPr>
        <w:rPr>
          <w:lang w:val="en-GB"/>
        </w:rPr>
      </w:pPr>
      <w:r w:rsidRPr="00A816CB">
        <w:rPr>
          <w:lang w:val="en-GB"/>
        </w:rPr>
        <w:t>Endemic measles was verified as eliminated in Australia in 2014. We describe Australian measles epidemiology, 2014–2024.</w:t>
      </w:r>
    </w:p>
    <w:p w14:paraId="6285304D" w14:textId="45B50C3B" w:rsidR="00A816CB" w:rsidRPr="00A816CB" w:rsidRDefault="00A816CB" w:rsidP="00A816CB">
      <w:pPr>
        <w:pStyle w:val="Heading2"/>
        <w:rPr>
          <w:lang w:val="en-GB"/>
        </w:rPr>
      </w:pPr>
      <w:bookmarkStart w:id="11" w:name="_Toc224572815"/>
      <w:r w:rsidRPr="00A816CB">
        <w:rPr>
          <w:lang w:val="en-GB"/>
        </w:rPr>
        <w:t>Methods</w:t>
      </w:r>
      <w:bookmarkEnd w:id="11"/>
    </w:p>
    <w:p w14:paraId="2A9AED37" w14:textId="77777777" w:rsidR="00A816CB" w:rsidRPr="00A816CB" w:rsidRDefault="00A816CB" w:rsidP="00A816CB">
      <w:pPr>
        <w:rPr>
          <w:lang w:val="en-GB"/>
        </w:rPr>
      </w:pPr>
      <w:r w:rsidRPr="00A816CB">
        <w:rPr>
          <w:lang w:val="en-GB"/>
        </w:rPr>
        <w:t xml:space="preserve">National measles notification data were analysed by age; sex; state/territory of residence; genotype; place of acquisition (overseas/Australia); vaccination status (number of doses); and outbreak reference ID (for clusters). </w:t>
      </w:r>
    </w:p>
    <w:p w14:paraId="148B1865" w14:textId="77777777" w:rsidR="00A816CB" w:rsidRPr="00A816CB" w:rsidRDefault="00A816CB" w:rsidP="00A816CB">
      <w:pPr>
        <w:pStyle w:val="Heading2"/>
        <w:rPr>
          <w:lang w:val="en-GB"/>
        </w:rPr>
      </w:pPr>
      <w:bookmarkStart w:id="12" w:name="_Toc224572816"/>
      <w:r w:rsidRPr="00A816CB">
        <w:rPr>
          <w:lang w:val="en-GB"/>
        </w:rPr>
        <w:t>Results</w:t>
      </w:r>
      <w:bookmarkEnd w:id="12"/>
    </w:p>
    <w:p w14:paraId="3733A41F" w14:textId="77777777" w:rsidR="00A816CB" w:rsidRPr="00A816CB" w:rsidRDefault="00A816CB" w:rsidP="00A816CB">
      <w:pPr>
        <w:rPr>
          <w:lang w:val="en-GB"/>
        </w:rPr>
      </w:pPr>
      <w:r w:rsidRPr="00A816CB">
        <w:rPr>
          <w:lang w:val="en-GB"/>
        </w:rPr>
        <w:t>Between 2014 and 2024, there were 1,095 measles notifications (average annual notification rate 0.4 per 100,000 population per year). The highest annual notification rates were recorded in 2014 (1.4 per 100,000 per year) and 2019 (1.1 per 100,000 per year), when rates in the Northern Territory were 21.4 and 12.6 per 100,000 population per year, respectively. Although notification rates were highest among infants &lt; 1 year of age (average 3.8 notifications per 100,000 population per year), people aged 20–49 accounted for 57.2% of total notifications (n = 626). Of cases with a known immunisation status (n = 766), there were 513 cases (66.9%) who reported being unvaccinated; 20.1% (n = 154) reported having received one dose of MMR vaccine prior to infection; and 12.1% (n = 93) reported two or more doses. For notifications where country of acquisition was available (n =1,077), just over half of cases (55.1%) were acquired in Australia. Where measles was acquired overseas (n = 493), the most common countries of acquisition were Indonesia (n = 99; 20.1%), the Philippines (n = 82; 16.6%) and India (n = 52; 10.5%). There were 47 clusters during the reporting period, of which the largest involved 74 linked cases in 2019. Of recorded clusters, 44 (93.6%) had a source country outside of Australia. Notifications tended to peak each year in the months coinciding with the end of Australian school holiday periods.</w:t>
      </w:r>
    </w:p>
    <w:p w14:paraId="532C1366" w14:textId="77777777" w:rsidR="00A816CB" w:rsidRPr="00A816CB" w:rsidRDefault="00A816CB" w:rsidP="00A816CB">
      <w:pPr>
        <w:pStyle w:val="Heading2"/>
        <w:rPr>
          <w:lang w:val="en-GB"/>
        </w:rPr>
      </w:pPr>
      <w:bookmarkStart w:id="13" w:name="_Toc224572817"/>
      <w:r w:rsidRPr="00A816CB">
        <w:rPr>
          <w:lang w:val="en-GB"/>
        </w:rPr>
        <w:t>Conclusion</w:t>
      </w:r>
      <w:bookmarkEnd w:id="13"/>
    </w:p>
    <w:p w14:paraId="5CF11D99" w14:textId="77777777" w:rsidR="00A816CB" w:rsidRPr="00A816CB" w:rsidRDefault="00A816CB" w:rsidP="00A816CB">
      <w:pPr>
        <w:pStyle w:val="Normal-morespaceafter"/>
        <w:rPr>
          <w:lang w:val="en-GB"/>
        </w:rPr>
      </w:pPr>
      <w:r w:rsidRPr="00A816CB">
        <w:rPr>
          <w:lang w:val="en-GB"/>
        </w:rPr>
        <w:t xml:space="preserve">Australia has sustained measles elimination since 2014; this review of measles epidemiology, demonstrating a predominance of unvaccinated returning international travellers 20–49 years of age, provides strong motivation for maintaining high routine two-dose coverage and promoting measles vaccination to adults travelling internationally. </w:t>
      </w:r>
    </w:p>
    <w:p w14:paraId="5AA5BE47" w14:textId="72333D9C" w:rsidR="00B73144" w:rsidRDefault="00B73144" w:rsidP="00E61A68">
      <w:pPr>
        <w:pStyle w:val="CDIBoxText"/>
        <w:rPr>
          <w:lang w:val="en-GB"/>
        </w:rPr>
      </w:pPr>
      <w:r w:rsidRPr="00E61A68">
        <w:t>Keywords</w:t>
      </w:r>
      <w:r w:rsidR="00BF1476">
        <w:t xml:space="preserve">: </w:t>
      </w:r>
      <w:r w:rsidR="00A816CB" w:rsidRPr="00A816CB">
        <w:t>Measles; measles epidemiology; measles elimination; vaccine preventable disease; measles surveillance; measles importation; vaccination; immunisation</w:t>
      </w:r>
    </w:p>
    <w:p w14:paraId="238186DB" w14:textId="77777777" w:rsidR="0037146D" w:rsidRDefault="00B73144" w:rsidP="00B73144">
      <w:pPr>
        <w:pStyle w:val="Heading1"/>
      </w:pPr>
      <w:bookmarkStart w:id="14" w:name="_Toc195530501"/>
      <w:bookmarkStart w:id="15" w:name="_Toc224572818"/>
      <w:r>
        <w:lastRenderedPageBreak/>
        <w:t>Introduction</w:t>
      </w:r>
      <w:bookmarkEnd w:id="14"/>
      <w:bookmarkEnd w:id="15"/>
    </w:p>
    <w:p w14:paraId="65B4D044" w14:textId="77777777" w:rsidR="00A816CB" w:rsidRPr="00A816CB" w:rsidRDefault="00A816CB" w:rsidP="00A816CB">
      <w:pPr>
        <w:rPr>
          <w:lang w:val="en-GB"/>
        </w:rPr>
      </w:pPr>
      <w:r w:rsidRPr="00A816CB">
        <w:rPr>
          <w:lang w:val="en-GB"/>
        </w:rPr>
        <w:t>Measles virus is a highly infectious paramyxovirus; infection is characterised by coryza, cough, fever, and a maculopapular rash.</w:t>
      </w:r>
      <w:r w:rsidRPr="00A816CB">
        <w:rPr>
          <w:vertAlign w:val="superscript"/>
          <w:lang w:val="en-GB"/>
        </w:rPr>
        <w:t>1</w:t>
      </w:r>
      <w:r w:rsidRPr="00A816CB">
        <w:rPr>
          <w:lang w:val="en-GB"/>
        </w:rPr>
        <w:t xml:space="preserve"> Complications of infection can include otitis media, diarrhoea, pneumonia, encephalitis, death, and, rarely, subacute sclerosing panencephalitis.</w:t>
      </w:r>
      <w:r w:rsidRPr="00A816CB">
        <w:rPr>
          <w:vertAlign w:val="superscript"/>
          <w:lang w:val="en-GB"/>
        </w:rPr>
        <w:t>1</w:t>
      </w:r>
      <w:r w:rsidRPr="00A816CB">
        <w:rPr>
          <w:lang w:val="en-GB"/>
        </w:rPr>
        <w:t xml:space="preserve"> Despite being vaccine-preventable, measles remains a significant global public health concern, and in 2023 there were an estimated 107,500 measles deaths globally, mostly among unvaccinated or under-vaccinated children below 5 years of age.</w:t>
      </w:r>
      <w:r w:rsidRPr="00A816CB">
        <w:rPr>
          <w:vertAlign w:val="superscript"/>
          <w:lang w:val="en-GB"/>
        </w:rPr>
        <w:t>2</w:t>
      </w:r>
    </w:p>
    <w:p w14:paraId="64A6BFA1" w14:textId="77777777" w:rsidR="00A816CB" w:rsidRPr="00A816CB" w:rsidRDefault="00A816CB" w:rsidP="00A816CB">
      <w:pPr>
        <w:rPr>
          <w:lang w:val="en-GB"/>
        </w:rPr>
      </w:pPr>
      <w:r w:rsidRPr="00A816CB">
        <w:rPr>
          <w:lang w:val="en-GB"/>
        </w:rPr>
        <w:t>The last detailed review of measles epidemiology in Australia covered the period 2012–2019.</w:t>
      </w:r>
      <w:r w:rsidRPr="00A816CB">
        <w:rPr>
          <w:vertAlign w:val="superscript"/>
          <w:lang w:val="en-GB"/>
        </w:rPr>
        <w:t>3</w:t>
      </w:r>
      <w:r w:rsidRPr="00A816CB">
        <w:rPr>
          <w:lang w:val="en-GB"/>
        </w:rPr>
        <w:t xml:space="preserve"> The current analysis provides an updated description of the epidemiology of measles in Australia from 1 January 2014 to 31 December 2024, from verification of endemic measles elimination by the Regional Verification Commission through the COVID-19 pandemic, and in the context of global outbreaks and falling immunisation coverage.</w:t>
      </w:r>
      <w:r w:rsidRPr="00A816CB">
        <w:rPr>
          <w:vertAlign w:val="superscript"/>
          <w:lang w:val="en-GB"/>
        </w:rPr>
        <w:t>4</w:t>
      </w:r>
      <w:r w:rsidRPr="00A816CB">
        <w:rPr>
          <w:lang w:val="en-GB"/>
        </w:rPr>
        <w:t xml:space="preserve"> </w:t>
      </w:r>
    </w:p>
    <w:p w14:paraId="6C127826" w14:textId="5E8A1869" w:rsidR="00A816CB" w:rsidRPr="00A816CB" w:rsidRDefault="00A816CB" w:rsidP="00A816CB">
      <w:pPr>
        <w:pStyle w:val="Heading2"/>
        <w:rPr>
          <w:lang w:val="en-GB"/>
        </w:rPr>
      </w:pPr>
      <w:bookmarkStart w:id="16" w:name="_Toc224572819"/>
      <w:r w:rsidRPr="00A816CB">
        <w:rPr>
          <w:lang w:val="en-GB"/>
        </w:rPr>
        <w:t>Global context</w:t>
      </w:r>
      <w:bookmarkEnd w:id="16"/>
    </w:p>
    <w:p w14:paraId="1B9842E4" w14:textId="77777777" w:rsidR="00A816CB" w:rsidRPr="00A816CB" w:rsidRDefault="00A816CB" w:rsidP="00A816CB">
      <w:pPr>
        <w:rPr>
          <w:lang w:val="en-GB"/>
        </w:rPr>
      </w:pPr>
      <w:r w:rsidRPr="00A816CB">
        <w:rPr>
          <w:lang w:val="en-GB"/>
        </w:rPr>
        <w:t>Following a period of declining international incidence, global measles cases surged more than fivefold between 2016 and 2019, with endemic transmission re-established in several countries across the Americas and Europe.</w:t>
      </w:r>
      <w:r w:rsidRPr="00A816CB">
        <w:rPr>
          <w:vertAlign w:val="superscript"/>
          <w:lang w:val="en-GB"/>
        </w:rPr>
        <w:t>3</w:t>
      </w:r>
    </w:p>
    <w:p w14:paraId="3B4AECAF" w14:textId="77777777" w:rsidR="00A816CB" w:rsidRPr="00A816CB" w:rsidRDefault="00A816CB" w:rsidP="00A816CB">
      <w:pPr>
        <w:rPr>
          <w:lang w:val="en-GB"/>
        </w:rPr>
      </w:pPr>
      <w:r w:rsidRPr="00A816CB">
        <w:rPr>
          <w:lang w:val="en-GB"/>
        </w:rPr>
        <w:t>Major outbreaks occurred in many countries including the Philippines, China, Democratic Republic of Congo (DRC), India, and Madagascar, with the DRC alone reporting over 333,000 cases in 2019. These outbreaks resulted in major global surges of cases in 2019 and again in 2024.</w:t>
      </w:r>
      <w:r w:rsidRPr="00A816CB">
        <w:rPr>
          <w:vertAlign w:val="superscript"/>
          <w:lang w:val="en-GB"/>
        </w:rPr>
        <w:t>5,6</w:t>
      </w:r>
      <w:r w:rsidRPr="00A816CB">
        <w:rPr>
          <w:lang w:val="en-GB"/>
        </w:rPr>
        <w:t xml:space="preserve"> According to the World Health Organization (WHO), there were over 3.6 million reported measles cases globally between 2014 and 2024, with an estimated 477,000 cases and 95,000 deaths in 2024 alone.</w:t>
      </w:r>
      <w:r w:rsidRPr="00A816CB">
        <w:rPr>
          <w:vertAlign w:val="superscript"/>
          <w:lang w:val="en-GB"/>
        </w:rPr>
        <w:t>5,7</w:t>
      </w:r>
    </w:p>
    <w:p w14:paraId="4466D6D5" w14:textId="77777777" w:rsidR="00A816CB" w:rsidRPr="00A816CB" w:rsidRDefault="00A816CB" w:rsidP="00A816CB">
      <w:pPr>
        <w:rPr>
          <w:lang w:val="en-GB"/>
        </w:rPr>
      </w:pPr>
      <w:r w:rsidRPr="00A816CB">
        <w:rPr>
          <w:lang w:val="en-GB"/>
        </w:rPr>
        <w:t>Routine immunisation and campaign interruptions associated with the COVID-19 pandemic, and decreased routine vaccination coverage in the post-pandemic period, are driving the current global surge in cases, with more than 22 million children estimated to have missed their first dose of measles vaccine in 2023, and only an estimated 74% of children ever receiving their second dose.</w:t>
      </w:r>
      <w:r w:rsidRPr="00A816CB">
        <w:rPr>
          <w:vertAlign w:val="superscript"/>
          <w:lang w:val="en-GB"/>
        </w:rPr>
        <w:t>8</w:t>
      </w:r>
    </w:p>
    <w:p w14:paraId="384C7A61" w14:textId="77777777" w:rsidR="00A816CB" w:rsidRPr="00A816CB" w:rsidRDefault="00A816CB" w:rsidP="00A816CB">
      <w:pPr>
        <w:rPr>
          <w:lang w:val="en-GB"/>
        </w:rPr>
      </w:pPr>
      <w:r w:rsidRPr="00A816CB">
        <w:rPr>
          <w:lang w:val="en-GB"/>
        </w:rPr>
        <w:t>A formal commitment to measles eradication has been postponed by the World Health Assembly (WHA)</w:t>
      </w:r>
      <w:r w:rsidRPr="00A816CB">
        <w:rPr>
          <w:vertAlign w:val="superscript"/>
          <w:lang w:val="en-GB"/>
        </w:rPr>
        <w:t>9</w:t>
      </w:r>
      <w:r w:rsidRPr="00A816CB">
        <w:rPr>
          <w:lang w:val="en-GB"/>
        </w:rPr>
        <w:t xml:space="preserve"> and replaced by a goal of achieving elimination in all six WHO regions by 2030.</w:t>
      </w:r>
      <w:r w:rsidRPr="00A816CB">
        <w:rPr>
          <w:vertAlign w:val="superscript"/>
          <w:lang w:val="en-GB"/>
        </w:rPr>
        <w:t>10</w:t>
      </w:r>
      <w:r w:rsidRPr="00A816CB">
        <w:rPr>
          <w:lang w:val="en-GB"/>
        </w:rPr>
        <w:t xml:space="preserve"> </w:t>
      </w:r>
    </w:p>
    <w:p w14:paraId="68FF9C46" w14:textId="77777777" w:rsidR="00A816CB" w:rsidRPr="00A816CB" w:rsidRDefault="00A816CB" w:rsidP="00A816CB">
      <w:pPr>
        <w:pStyle w:val="Heading2"/>
        <w:rPr>
          <w:lang w:val="en-GB"/>
        </w:rPr>
      </w:pPr>
      <w:bookmarkStart w:id="17" w:name="_Toc224572820"/>
      <w:r w:rsidRPr="00A816CB">
        <w:rPr>
          <w:lang w:val="en-GB"/>
        </w:rPr>
        <w:t>Australian context</w:t>
      </w:r>
      <w:bookmarkEnd w:id="17"/>
    </w:p>
    <w:p w14:paraId="311B1CBF" w14:textId="77777777" w:rsidR="00A816CB" w:rsidRPr="00A816CB" w:rsidRDefault="00A816CB" w:rsidP="00A816CB">
      <w:pPr>
        <w:rPr>
          <w:lang w:val="en-GB"/>
        </w:rPr>
      </w:pPr>
      <w:r w:rsidRPr="00A816CB">
        <w:rPr>
          <w:lang w:val="en-GB"/>
        </w:rPr>
        <w:t xml:space="preserve">Australia, declared free of endemic measles in 2014, has largely maintained low case numbers due to high vaccination coverage and effective public health responses. However, imported cases continue to pose a risk. Measles notifications dropped significantly during the years when COVID-19 pandemic control measures were in place, with zero cases reported in 2021. However, in the post-pandemic control period, cases have risen again, with 26 cases notified in 2023 and 57 in 2024. This rise in notifications was primarily linked to the reintroduction of overseas travel, underscoring the importance of maintaining high vaccination rates and vigilant surveillance. </w:t>
      </w:r>
    </w:p>
    <w:p w14:paraId="782A93C4" w14:textId="77777777" w:rsidR="00A816CB" w:rsidRPr="00A816CB" w:rsidRDefault="00A816CB" w:rsidP="00A816CB">
      <w:pPr>
        <w:rPr>
          <w:lang w:val="en-GB"/>
        </w:rPr>
      </w:pPr>
      <w:r w:rsidRPr="00A816CB">
        <w:rPr>
          <w:lang w:val="en-GB"/>
        </w:rPr>
        <w:t>No changes were made to the two-dose Measles Mumps Rubella (MMR) vaccine schedule under the National Immunisation Program (NIP) during the reporting period. However, national MMR vaccination coverage rates have declined year-on-year since 2020 (from 94.0% to 91.4% in 2024), with two-dose coverage at 24 months as low as 85% in some geographic areas in 2024.</w:t>
      </w:r>
      <w:r w:rsidRPr="00A816CB">
        <w:rPr>
          <w:vertAlign w:val="superscript"/>
          <w:lang w:val="en-GB"/>
        </w:rPr>
        <w:t>11–13</w:t>
      </w:r>
      <w:r w:rsidRPr="00A816CB">
        <w:rPr>
          <w:lang w:val="en-GB"/>
        </w:rPr>
        <w:t xml:space="preserve"> </w:t>
      </w:r>
    </w:p>
    <w:p w14:paraId="3A654A5E" w14:textId="77777777" w:rsidR="00A24E95" w:rsidRDefault="00B73144" w:rsidP="00B73144">
      <w:pPr>
        <w:pStyle w:val="Heading1"/>
        <w:rPr>
          <w:lang w:val="en-GB"/>
        </w:rPr>
      </w:pPr>
      <w:bookmarkStart w:id="18" w:name="_Toc195530502"/>
      <w:bookmarkStart w:id="19" w:name="_Toc224572821"/>
      <w:r>
        <w:rPr>
          <w:lang w:val="en-GB"/>
        </w:rPr>
        <w:lastRenderedPageBreak/>
        <w:t>Methods</w:t>
      </w:r>
      <w:bookmarkEnd w:id="18"/>
      <w:bookmarkEnd w:id="19"/>
    </w:p>
    <w:p w14:paraId="18139927" w14:textId="77777777" w:rsidR="00A816CB" w:rsidRPr="00A816CB" w:rsidRDefault="00A816CB" w:rsidP="00A816CB">
      <w:pPr>
        <w:pStyle w:val="Heading2-lessspacebefore"/>
        <w:rPr>
          <w:lang w:val="en-GB"/>
        </w:rPr>
      </w:pPr>
      <w:bookmarkStart w:id="20" w:name="_Toc224572822"/>
      <w:r w:rsidRPr="00A816CB">
        <w:rPr>
          <w:lang w:val="en-GB"/>
        </w:rPr>
        <w:t>Notifications</w:t>
      </w:r>
      <w:bookmarkEnd w:id="20"/>
    </w:p>
    <w:p w14:paraId="42E72657" w14:textId="77777777" w:rsidR="00A816CB" w:rsidRPr="00A816CB" w:rsidRDefault="00A816CB" w:rsidP="00A816CB">
      <w:pPr>
        <w:rPr>
          <w:lang w:val="en-GB"/>
        </w:rPr>
      </w:pPr>
      <w:r w:rsidRPr="00A816CB">
        <w:rPr>
          <w:lang w:val="en-GB"/>
        </w:rPr>
        <w:t>Notification data were extracted from the National Notifiable Diseases Surveillance System (NNDSS) on 7 April 2025. Data are collected by state and territory health departments under the provisions of the public health legislation in each jurisdiction and are submitted daily to the Australian Government Department of Health, Disability and Ageing for inclusion in the NNDSS. Data included all notifications for confirmed or probable measles, as per the national case definition,</w:t>
      </w:r>
      <w:r w:rsidRPr="00A816CB">
        <w:rPr>
          <w:vertAlign w:val="superscript"/>
          <w:lang w:val="en-GB"/>
        </w:rPr>
        <w:t>14</w:t>
      </w:r>
      <w:r w:rsidRPr="00A816CB">
        <w:rPr>
          <w:lang w:val="en-GB"/>
        </w:rPr>
        <w:t xml:space="preserve"> with a diagnosis date between 1 January 2014 and 31 December 2024.</w:t>
      </w:r>
      <w:r w:rsidRPr="00A816CB">
        <w:rPr>
          <w:vertAlign w:val="superscript"/>
          <w:lang w:val="en-GB"/>
        </w:rPr>
        <w:footnoteReference w:id="2"/>
      </w:r>
    </w:p>
    <w:p w14:paraId="38B6A1C9" w14:textId="77777777" w:rsidR="00A816CB" w:rsidRPr="00A816CB" w:rsidRDefault="00A816CB" w:rsidP="00A816CB">
      <w:pPr>
        <w:pStyle w:val="Heading2"/>
        <w:rPr>
          <w:lang w:val="en-GB"/>
        </w:rPr>
      </w:pPr>
      <w:bookmarkStart w:id="21" w:name="_Toc224572823"/>
      <w:r w:rsidRPr="00A816CB">
        <w:rPr>
          <w:lang w:val="en-GB"/>
        </w:rPr>
        <w:t>Population estimates</w:t>
      </w:r>
      <w:bookmarkEnd w:id="21"/>
    </w:p>
    <w:p w14:paraId="51696F1D" w14:textId="77777777" w:rsidR="00A816CB" w:rsidRPr="00A816CB" w:rsidRDefault="00A816CB" w:rsidP="00A816CB">
      <w:pPr>
        <w:rPr>
          <w:lang w:val="en-GB"/>
        </w:rPr>
      </w:pPr>
      <w:r w:rsidRPr="00A816CB">
        <w:rPr>
          <w:lang w:val="en-GB"/>
        </w:rPr>
        <w:t>Mid-year resident population estimates by age, sex and jurisdiction of residence for each year were obtained from the Australian Bureau of Statistics (ABS).</w:t>
      </w:r>
    </w:p>
    <w:p w14:paraId="3A2A8AAE" w14:textId="77777777" w:rsidR="00A816CB" w:rsidRPr="00A816CB" w:rsidRDefault="00A816CB" w:rsidP="00A816CB">
      <w:pPr>
        <w:pStyle w:val="Heading2"/>
        <w:rPr>
          <w:lang w:val="en-GB"/>
        </w:rPr>
      </w:pPr>
      <w:bookmarkStart w:id="22" w:name="_Toc224572824"/>
      <w:r w:rsidRPr="00A816CB">
        <w:rPr>
          <w:lang w:val="en-GB"/>
        </w:rPr>
        <w:t>Data analyses</w:t>
      </w:r>
      <w:bookmarkEnd w:id="22"/>
    </w:p>
    <w:p w14:paraId="0D16F80D" w14:textId="77777777" w:rsidR="00A816CB" w:rsidRPr="00A816CB" w:rsidRDefault="00A816CB" w:rsidP="00A816CB">
      <w:pPr>
        <w:rPr>
          <w:lang w:val="en-GB"/>
        </w:rPr>
      </w:pPr>
      <w:r w:rsidRPr="00A816CB">
        <w:rPr>
          <w:lang w:val="en-GB"/>
        </w:rPr>
        <w:t xml:space="preserve">A descriptive analysis of the data was performed. Notifications were analysed by variables including age; sex; state/territory of residence; genotype; place of acquisition (overseas/Australia); vaccination status (number of doses) and outbreak reference ID (for clusters). Rates were calculated per 100,000 population per year using mid-year ABS resident population data, age-specific or jurisdiction-specific mid-year resident population data. </w:t>
      </w:r>
    </w:p>
    <w:p w14:paraId="4536BF19" w14:textId="77777777" w:rsidR="00A816CB" w:rsidRPr="00A816CB" w:rsidRDefault="00A816CB" w:rsidP="00A816CB">
      <w:pPr>
        <w:rPr>
          <w:lang w:val="en-GB"/>
        </w:rPr>
      </w:pPr>
      <w:r w:rsidRPr="00A816CB">
        <w:rPr>
          <w:lang w:val="en-GB"/>
        </w:rPr>
        <w:t>For the purposes of some analyses in this report, the ‘pre-pandemic period’ is defined as between 1 January 2014 and 31 December 2019 and the ‘COVID-19 post-emergence period’ is defined as between 1 January 2020 and 31 December 2024 (i.e., the period from which COVID-19 began impacting communicable disease notifications in Australia, noting there were no measles notifications in 2021).</w:t>
      </w:r>
    </w:p>
    <w:p w14:paraId="604DFAA5" w14:textId="77777777" w:rsidR="00A816CB" w:rsidRPr="00A816CB" w:rsidRDefault="00A816CB" w:rsidP="00A816CB">
      <w:pPr>
        <w:rPr>
          <w:lang w:val="en-GB"/>
        </w:rPr>
      </w:pPr>
      <w:r w:rsidRPr="00A816CB">
        <w:rPr>
          <w:lang w:val="en-GB"/>
        </w:rPr>
        <w:t xml:space="preserve">Data tables concerning vaccination status exclude cases whose date of vaccination was after their onset date and cases where vaccine dose date was less than 14 days to onset date. </w:t>
      </w:r>
    </w:p>
    <w:p w14:paraId="2A95809B" w14:textId="77777777" w:rsidR="00A816CB" w:rsidRPr="00A816CB" w:rsidRDefault="00A816CB" w:rsidP="00A816CB">
      <w:pPr>
        <w:rPr>
          <w:lang w:val="en-GB"/>
        </w:rPr>
      </w:pPr>
      <w:r w:rsidRPr="00A816CB">
        <w:rPr>
          <w:lang w:val="en-GB"/>
        </w:rPr>
        <w:t xml:space="preserve">Analysis was performed using Microsoft Excel (Version 2508 Build 16.0.19127.20314) and RStudio 4.3.1 (Posit Software, PBC, Boston, Massachusetts). </w:t>
      </w:r>
    </w:p>
    <w:p w14:paraId="4B4B20D2" w14:textId="77777777" w:rsidR="008A0736" w:rsidRDefault="000073ED" w:rsidP="005A4E9D">
      <w:pPr>
        <w:pStyle w:val="Heading1"/>
      </w:pPr>
      <w:bookmarkStart w:id="23" w:name="_Toc195530503"/>
      <w:bookmarkStart w:id="24" w:name="_Toc224572825"/>
      <w:r>
        <w:lastRenderedPageBreak/>
        <w:t>Results</w:t>
      </w:r>
      <w:bookmarkEnd w:id="23"/>
      <w:bookmarkEnd w:id="24"/>
    </w:p>
    <w:p w14:paraId="7B24D559" w14:textId="77777777" w:rsidR="00A816CB" w:rsidRPr="00A816CB" w:rsidRDefault="00A816CB" w:rsidP="00A816CB">
      <w:pPr>
        <w:rPr>
          <w:lang w:val="en-GB"/>
        </w:rPr>
      </w:pPr>
      <w:r w:rsidRPr="00A816CB">
        <w:rPr>
          <w:lang w:val="en-GB"/>
        </w:rPr>
        <w:t>Between 2014 and 2024, there were a total of 1,095 cases of measles notified to the NNDSS. In 2019, there were 284 notifications reported, mainly imported by Australians returning from countries affected by large outbreaks. In 2020, measles notifications decreased because of international travel restrictions in response to the COVID-19 pandemic. No measles notifications were reported in 2021 in Australia. Following the lifting of travel restrictions in 2022, measles notifications increased in Australia; however, notifications remained lower than pre-pandemic levels until 2024.</w:t>
      </w:r>
    </w:p>
    <w:p w14:paraId="4F19AB52" w14:textId="77777777" w:rsidR="00A816CB" w:rsidRPr="00A816CB" w:rsidRDefault="00A816CB" w:rsidP="00A816CB">
      <w:pPr>
        <w:pStyle w:val="Heading2"/>
        <w:rPr>
          <w:lang w:val="en-GB"/>
        </w:rPr>
      </w:pPr>
      <w:bookmarkStart w:id="25" w:name="_Toc224572826"/>
      <w:r w:rsidRPr="00A816CB">
        <w:rPr>
          <w:lang w:val="en-GB"/>
        </w:rPr>
        <w:t>Seasonality</w:t>
      </w:r>
      <w:bookmarkEnd w:id="25"/>
    </w:p>
    <w:p w14:paraId="26CE4986" w14:textId="77777777" w:rsidR="00A816CB" w:rsidRDefault="00A816CB" w:rsidP="00A816CB">
      <w:pPr>
        <w:rPr>
          <w:lang w:val="en-GB"/>
        </w:rPr>
      </w:pPr>
      <w:r w:rsidRPr="00A816CB">
        <w:rPr>
          <w:lang w:val="en-GB"/>
        </w:rPr>
        <w:t>Across the study period, notifications tended to peak in February, followed by some smaller peaks in August, October and November (Figure 1). This seasonal pattern aligns with Australian school holiday periods and peak tourism times for Australians travelling and returning from overseas.</w:t>
      </w:r>
      <w:r w:rsidRPr="00A816CB">
        <w:rPr>
          <w:vertAlign w:val="superscript"/>
          <w:lang w:val="en-GB"/>
        </w:rPr>
        <w:t>15,16</w:t>
      </w:r>
      <w:r w:rsidRPr="00A816CB">
        <w:rPr>
          <w:lang w:val="en-GB"/>
        </w:rPr>
        <w:t xml:space="preserve"> </w:t>
      </w:r>
    </w:p>
    <w:p w14:paraId="0857C0C6" w14:textId="77777777" w:rsidR="00BC053B" w:rsidRPr="00A816CB" w:rsidRDefault="00BC053B" w:rsidP="00BC053B">
      <w:pPr>
        <w:pStyle w:val="CDIFigure-Title"/>
        <w:rPr>
          <w:lang w:val="en-GB"/>
        </w:rPr>
      </w:pPr>
      <w:r w:rsidRPr="00A816CB">
        <w:rPr>
          <w:lang w:val="en-GB"/>
        </w:rPr>
        <w:t>Figure 1: Notifications of measles by month and year, Australia, 1 January 2014 – 30</w:t>
      </w:r>
      <w:r>
        <w:rPr>
          <w:lang w:val="en-GB"/>
        </w:rPr>
        <w:t> </w:t>
      </w:r>
      <w:r w:rsidRPr="00A816CB">
        <w:rPr>
          <w:lang w:val="en-GB"/>
        </w:rPr>
        <w:t>December 2024</w:t>
      </w:r>
    </w:p>
    <w:p w14:paraId="2FFF776C" w14:textId="3FA72172" w:rsidR="00BC053B" w:rsidRDefault="00BC053B" w:rsidP="00BC053B">
      <w:pPr>
        <w:pStyle w:val="CDIFigure-Placeholder"/>
      </w:pPr>
      <w:r>
        <w:rPr>
          <w:noProof/>
          <w14:ligatures w14:val="none"/>
        </w:rPr>
        <w:drawing>
          <wp:inline distT="0" distB="0" distL="0" distR="0" wp14:anchorId="591E2C01" wp14:editId="7FB8817F">
            <wp:extent cx="6120000" cy="3794400"/>
            <wp:effectExtent l="0" t="0" r="0" b="0"/>
            <wp:docPr id="851514069" name="Picture 1" descr="Figure 1: A bar chart shows the number of cases of measles notified to the National Notifiable Disease Surveillance System (NNDSS) 2014–2024 by month and year from 1 January 2014 to 31 December 2024. The number of notifications are highest at the beginning of the time period, decreasing over time until cases increase sharply in early 2017, early 2018 and a larger sustained increase in 2019. There are very few cases in 2020 and none in 2021. Increases in cases begin again in May to September of 2022, with small increases in early 2024 – though these are much smaller increases than earlier in the reporting periods. Spikes in cases appear to be associated with periods of Australian school holi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14069" name="Picture 1" descr="Figure 1: A bar chart shows the number of cases of measles notified to the National Notifiable Disease Surveillance System (NNDSS) 2014–2024 by month and year from 1 January 2014 to 31 December 2024. The number of notifications are highest at the beginning of the time period, decreasing over time until cases increase sharply in early 2017, early 2018 and a larger sustained increase in 2019. There are very few cases in 2020 and none in 2021. Increases in cases begin again in May to September of 2022, with small increases in early 2024 – though these are much smaller increases than earlier in the reporting periods. Spikes in cases appear to be associated with periods of Australian school holidays. "/>
                    <pic:cNvPicPr/>
                  </pic:nvPicPr>
                  <pic:blipFill>
                    <a:blip r:embed="rId18">
                      <a:extLst>
                        <a:ext uri="{28A0092B-C50C-407E-A947-70E740481C1C}">
                          <a14:useLocalDpi xmlns:a14="http://schemas.microsoft.com/office/drawing/2010/main" val="0"/>
                        </a:ext>
                      </a:extLst>
                    </a:blip>
                    <a:stretch>
                      <a:fillRect/>
                    </a:stretch>
                  </pic:blipFill>
                  <pic:spPr>
                    <a:xfrm>
                      <a:off x="0" y="0"/>
                      <a:ext cx="6120000" cy="3794400"/>
                    </a:xfrm>
                    <a:prstGeom prst="rect">
                      <a:avLst/>
                    </a:prstGeom>
                  </pic:spPr>
                </pic:pic>
              </a:graphicData>
            </a:graphic>
          </wp:inline>
        </w:drawing>
      </w:r>
      <w:r>
        <w:br w:type="page"/>
      </w:r>
    </w:p>
    <w:p w14:paraId="5E086110" w14:textId="77777777" w:rsidR="00BC053B" w:rsidRPr="00A816CB" w:rsidRDefault="00BC053B" w:rsidP="00BC053B">
      <w:pPr>
        <w:pStyle w:val="Heading2"/>
        <w:rPr>
          <w:lang w:val="en-GB"/>
        </w:rPr>
      </w:pPr>
      <w:bookmarkStart w:id="26" w:name="_Toc224572827"/>
      <w:r w:rsidRPr="00A816CB">
        <w:rPr>
          <w:lang w:val="en-GB"/>
        </w:rPr>
        <w:lastRenderedPageBreak/>
        <w:t>Trends by jurisdiction</w:t>
      </w:r>
      <w:bookmarkEnd w:id="26"/>
    </w:p>
    <w:p w14:paraId="02808592" w14:textId="77777777" w:rsidR="00BC053B" w:rsidRPr="00A816CB" w:rsidRDefault="00BC053B" w:rsidP="00BC053B">
      <w:pPr>
        <w:rPr>
          <w:lang w:val="en-GB"/>
        </w:rPr>
      </w:pPr>
      <w:r w:rsidRPr="00A816CB">
        <w:rPr>
          <w:lang w:val="en-GB"/>
        </w:rPr>
        <w:t xml:space="preserve">During the reporting period, most measles cases were notified in Victoria (n = 282; 25.7%), New South Wales (n = 241; 22.0%), Queensland (n = 224; 20.5%) and Western Australia (n = 185; 16.9%). However, the Northern Territory had the highest rate of notification (32.6 per 100,000 population across the reporting period), followed by Western Australia (11.9 per 100,000 population across the reporting period), with some variation in rates by year (Table 1, Figure 2). While rates are overall low in most states compared to other communicable diseases, the impact of COVID-19 pandemic measures is demonstrated in the pre-pandemic and COVID-19 post-emergence period mean rate ratio, with mean rates in some states up to 11 times higher in the pre-pandemic period. </w:t>
      </w:r>
    </w:p>
    <w:p w14:paraId="2B4CEC4D" w14:textId="77777777" w:rsidR="00BC053B" w:rsidRPr="00BC053B" w:rsidRDefault="00BC053B" w:rsidP="00BC053B">
      <w:pPr>
        <w:pStyle w:val="CDIFigure-Title"/>
        <w:rPr>
          <w:lang w:val="en-GB"/>
        </w:rPr>
      </w:pPr>
      <w:r w:rsidRPr="00BC053B">
        <w:rPr>
          <w:lang w:val="en-GB"/>
        </w:rPr>
        <w:t>Figure 2: Notifications of measles by year and jurisdiction of residence, Australia, 2014–2024</w:t>
      </w:r>
    </w:p>
    <w:p w14:paraId="7D1F6909" w14:textId="77777777" w:rsidR="00BC053B" w:rsidRDefault="00BC053B" w:rsidP="00BC053B">
      <w:pPr>
        <w:pStyle w:val="CDIFigure-Placeholder"/>
        <w:rPr>
          <w:lang w:val="en-GB"/>
        </w:rPr>
        <w:sectPr w:rsidR="00BC053B" w:rsidSect="001E3ECB">
          <w:headerReference w:type="even" r:id="rId19"/>
          <w:headerReference w:type="default" r:id="rId20"/>
          <w:footerReference w:type="even" r:id="rId21"/>
          <w:footerReference w:type="default" r:id="rId22"/>
          <w:headerReference w:type="first" r:id="rId23"/>
          <w:footerReference w:type="first" r:id="rId24"/>
          <w:footnotePr>
            <w:numFmt w:val="lowerRoman"/>
          </w:footnotePr>
          <w:pgSz w:w="11907" w:h="16840" w:code="9"/>
          <w:pgMar w:top="1134" w:right="1134" w:bottom="1134" w:left="1134" w:header="709" w:footer="567" w:gutter="0"/>
          <w:cols w:space="708"/>
          <w:docGrid w:linePitch="360"/>
        </w:sectPr>
      </w:pPr>
      <w:r>
        <w:rPr>
          <w:noProof/>
          <w:lang w:val="en-GB"/>
          <w14:ligatures w14:val="none"/>
        </w:rPr>
        <w:drawing>
          <wp:inline distT="0" distB="0" distL="0" distR="0" wp14:anchorId="36E93B3D" wp14:editId="6B05A7C8">
            <wp:extent cx="6120417" cy="4173220"/>
            <wp:effectExtent l="0" t="0" r="0" b="0"/>
            <wp:docPr id="432944653" name="Picture 2" descr="Figure 2: A stacked bar chart shows the number of cases of measles notified to the National Notifiable Disease Surveillance System (NNDSS) 2014–2024 by year, stacked by state or territory. The chart shows the highest number of cases in 2014 and 2019, followed by few or no cases in 2020–2022. Cases begin to increase again in 2023 and 2024. The stacks indicate that Queensland, Victoria and New South Wales account for a larger proportion of cases across years, with Western Australia also more prominently represented in 2014, 2018 and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944653" name="Picture 2" descr="Figure 2: A stacked bar chart shows the number of cases of measles notified to the National Notifiable Disease Surveillance System (NNDSS) 2014–2024 by year, stacked by state or territory. The chart shows the highest number of cases in 2014 and 2019, followed by few or no cases in 2020–2022. Cases begin to increase again in 2023 and 2024. The stacks indicate that Queensland, Victoria and New South Wales account for a larger proportion of cases across years, with Western Australia also more prominently represented in 2014, 2018 and 2019. "/>
                    <pic:cNvPicPr/>
                  </pic:nvPicPr>
                  <pic:blipFill>
                    <a:blip r:embed="rId25">
                      <a:extLst>
                        <a:ext uri="{28A0092B-C50C-407E-A947-70E740481C1C}">
                          <a14:useLocalDpi xmlns:a14="http://schemas.microsoft.com/office/drawing/2010/main" val="0"/>
                        </a:ext>
                      </a:extLst>
                    </a:blip>
                    <a:stretch>
                      <a:fillRect/>
                    </a:stretch>
                  </pic:blipFill>
                  <pic:spPr>
                    <a:xfrm>
                      <a:off x="0" y="0"/>
                      <a:ext cx="6120417" cy="4173220"/>
                    </a:xfrm>
                    <a:prstGeom prst="rect">
                      <a:avLst/>
                    </a:prstGeom>
                  </pic:spPr>
                </pic:pic>
              </a:graphicData>
            </a:graphic>
          </wp:inline>
        </w:drawing>
      </w:r>
    </w:p>
    <w:p w14:paraId="0007A3FA" w14:textId="77777777" w:rsidR="00BC053B" w:rsidRPr="00BC053B" w:rsidRDefault="00BC053B" w:rsidP="00BC053B">
      <w:pPr>
        <w:pStyle w:val="CDITable-Title"/>
        <w:rPr>
          <w:lang w:val="en-GB"/>
        </w:rPr>
      </w:pPr>
      <w:r w:rsidRPr="00BC053B">
        <w:rPr>
          <w:lang w:val="en-GB"/>
        </w:rPr>
        <w:lastRenderedPageBreak/>
        <w:t xml:space="preserve">Table 1: Number of measles notifications and notification rates by year and jurisdiction with </w:t>
      </w:r>
      <w:proofErr w:type="spellStart"/>
      <w:proofErr w:type="gramStart"/>
      <w:r w:rsidRPr="00BC053B">
        <w:rPr>
          <w:lang w:val="en-GB"/>
        </w:rPr>
        <w:t>averages,</w:t>
      </w:r>
      <w:r w:rsidRPr="00BC053B">
        <w:rPr>
          <w:vertAlign w:val="superscript"/>
          <w:lang w:val="en-GB"/>
        </w:rPr>
        <w:t>a</w:t>
      </w:r>
      <w:proofErr w:type="gramEnd"/>
      <w:r w:rsidRPr="00BC053B">
        <w:rPr>
          <w:vertAlign w:val="superscript"/>
          <w:lang w:val="en-GB"/>
        </w:rPr>
        <w:t>,b</w:t>
      </w:r>
      <w:proofErr w:type="spellEnd"/>
      <w:r w:rsidRPr="00BC053B">
        <w:rPr>
          <w:lang w:val="en-GB"/>
        </w:rPr>
        <w:t xml:space="preserve"> Australia, 2014–2024</w:t>
      </w:r>
    </w:p>
    <w:tbl>
      <w:tblPr>
        <w:tblW w:w="0" w:type="auto"/>
        <w:tblLayout w:type="fixed"/>
        <w:tblCellMar>
          <w:left w:w="0" w:type="dxa"/>
          <w:right w:w="0" w:type="dxa"/>
        </w:tblCellMar>
        <w:tblLook w:val="0000" w:firstRow="0" w:lastRow="0" w:firstColumn="0" w:lastColumn="0" w:noHBand="0" w:noVBand="0"/>
        <w:tblCaption w:val="Table 1: Number of measles notifications and notification rates by year and jurisdiction with averages,a,b Australia, 2014–2024"/>
        <w:tblDescription w:val="Table 1: Presents counts and rates per 100,000 per population, per year, of measles cases notified to the National Notifiable Disease Surveillance System (NNDSS) by state and territory and for all of Australia, with mean rates for 2014–2019 and 2020–2024 and a rate ratio between these two means. "/>
      </w:tblPr>
      <w:tblGrid>
        <w:gridCol w:w="1134"/>
        <w:gridCol w:w="510"/>
        <w:gridCol w:w="510"/>
        <w:gridCol w:w="511"/>
        <w:gridCol w:w="510"/>
        <w:gridCol w:w="510"/>
        <w:gridCol w:w="510"/>
        <w:gridCol w:w="511"/>
        <w:gridCol w:w="510"/>
        <w:gridCol w:w="510"/>
        <w:gridCol w:w="510"/>
        <w:gridCol w:w="510"/>
        <w:gridCol w:w="511"/>
        <w:gridCol w:w="510"/>
        <w:gridCol w:w="510"/>
        <w:gridCol w:w="510"/>
        <w:gridCol w:w="511"/>
        <w:gridCol w:w="510"/>
        <w:gridCol w:w="510"/>
        <w:gridCol w:w="510"/>
        <w:gridCol w:w="511"/>
        <w:gridCol w:w="538"/>
        <w:gridCol w:w="510"/>
        <w:gridCol w:w="652"/>
        <w:gridCol w:w="652"/>
        <w:gridCol w:w="652"/>
      </w:tblGrid>
      <w:tr w:rsidR="00D64512" w:rsidRPr="00D64512" w14:paraId="28A2EA68" w14:textId="77777777" w:rsidTr="00D64512">
        <w:trPr>
          <w:trHeight w:val="60"/>
          <w:tblHeader/>
        </w:trPr>
        <w:tc>
          <w:tcPr>
            <w:tcW w:w="1134" w:type="dxa"/>
            <w:vMerge w:val="restart"/>
            <w:shd w:val="clear" w:color="auto" w:fill="1E4496" w:themeFill="text2"/>
            <w:tcMar>
              <w:top w:w="113" w:type="dxa"/>
              <w:left w:w="57" w:type="dxa"/>
              <w:bottom w:w="113" w:type="dxa"/>
              <w:right w:w="57" w:type="dxa"/>
            </w:tcMar>
            <w:vAlign w:val="bottom"/>
          </w:tcPr>
          <w:p w14:paraId="48BE8008" w14:textId="77777777" w:rsidR="00D64512" w:rsidRPr="00D64512" w:rsidRDefault="00D64512" w:rsidP="00D64512">
            <w:pPr>
              <w:pStyle w:val="CDITable-HeaderRowLeft"/>
              <w:rPr>
                <w:spacing w:val="-2"/>
                <w:sz w:val="17"/>
                <w:szCs w:val="17"/>
              </w:rPr>
            </w:pPr>
            <w:proofErr w:type="spellStart"/>
            <w:r w:rsidRPr="00D64512">
              <w:rPr>
                <w:spacing w:val="-2"/>
                <w:sz w:val="17"/>
                <w:szCs w:val="17"/>
              </w:rPr>
              <w:t>Jurisdiction</w:t>
            </w:r>
            <w:r w:rsidRPr="00D64512">
              <w:rPr>
                <w:spacing w:val="-2"/>
                <w:sz w:val="17"/>
                <w:szCs w:val="17"/>
                <w:vertAlign w:val="superscript"/>
              </w:rPr>
              <w:t>d</w:t>
            </w:r>
            <w:proofErr w:type="spellEnd"/>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4F4288B3" w14:textId="77777777" w:rsidR="00D64512" w:rsidRPr="00D64512" w:rsidRDefault="00D64512" w:rsidP="00D64512">
            <w:pPr>
              <w:pStyle w:val="CDITable-HeaderRowCentre"/>
              <w:rPr>
                <w:sz w:val="17"/>
                <w:szCs w:val="17"/>
              </w:rPr>
            </w:pPr>
            <w:r w:rsidRPr="00D64512">
              <w:rPr>
                <w:sz w:val="17"/>
                <w:szCs w:val="17"/>
              </w:rPr>
              <w:t>2014</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4683140B" w14:textId="77777777" w:rsidR="00D64512" w:rsidRPr="00D64512" w:rsidRDefault="00D64512" w:rsidP="00D64512">
            <w:pPr>
              <w:pStyle w:val="CDITable-HeaderRowCentre"/>
              <w:rPr>
                <w:sz w:val="17"/>
                <w:szCs w:val="17"/>
              </w:rPr>
            </w:pPr>
            <w:r w:rsidRPr="00D64512">
              <w:rPr>
                <w:sz w:val="17"/>
                <w:szCs w:val="17"/>
              </w:rPr>
              <w:t>2015</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2DA4BBBF" w14:textId="77777777" w:rsidR="00D64512" w:rsidRPr="00D64512" w:rsidRDefault="00D64512" w:rsidP="00D64512">
            <w:pPr>
              <w:pStyle w:val="CDITable-HeaderRowCentre"/>
              <w:rPr>
                <w:sz w:val="17"/>
                <w:szCs w:val="17"/>
              </w:rPr>
            </w:pPr>
            <w:r w:rsidRPr="00D64512">
              <w:rPr>
                <w:sz w:val="17"/>
                <w:szCs w:val="17"/>
              </w:rPr>
              <w:t>2016</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23C34862" w14:textId="77777777" w:rsidR="00D64512" w:rsidRPr="00D64512" w:rsidRDefault="00D64512" w:rsidP="00D64512">
            <w:pPr>
              <w:pStyle w:val="CDITable-HeaderRowCentre"/>
              <w:rPr>
                <w:sz w:val="17"/>
                <w:szCs w:val="17"/>
              </w:rPr>
            </w:pPr>
            <w:r w:rsidRPr="00D64512">
              <w:rPr>
                <w:sz w:val="17"/>
                <w:szCs w:val="17"/>
              </w:rPr>
              <w:t>2017</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15BCA1B5" w14:textId="77777777" w:rsidR="00D64512" w:rsidRPr="00D64512" w:rsidRDefault="00D64512" w:rsidP="00D64512">
            <w:pPr>
              <w:pStyle w:val="CDITable-HeaderRowCentre"/>
              <w:rPr>
                <w:sz w:val="17"/>
                <w:szCs w:val="17"/>
              </w:rPr>
            </w:pPr>
            <w:r w:rsidRPr="00D64512">
              <w:rPr>
                <w:sz w:val="17"/>
                <w:szCs w:val="17"/>
              </w:rPr>
              <w:t>2018</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009468E3" w14:textId="77777777" w:rsidR="00D64512" w:rsidRPr="00D64512" w:rsidRDefault="00D64512" w:rsidP="00D64512">
            <w:pPr>
              <w:pStyle w:val="CDITable-HeaderRowCentre"/>
              <w:rPr>
                <w:sz w:val="17"/>
                <w:szCs w:val="17"/>
              </w:rPr>
            </w:pPr>
            <w:r w:rsidRPr="00D64512">
              <w:rPr>
                <w:sz w:val="17"/>
                <w:szCs w:val="17"/>
              </w:rPr>
              <w:t>2019</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58886E8E" w14:textId="77777777" w:rsidR="00D64512" w:rsidRPr="00D64512" w:rsidRDefault="00D64512" w:rsidP="00D64512">
            <w:pPr>
              <w:pStyle w:val="CDITable-HeaderRowCentre"/>
              <w:rPr>
                <w:sz w:val="17"/>
                <w:szCs w:val="17"/>
              </w:rPr>
            </w:pPr>
            <w:r w:rsidRPr="00D64512">
              <w:rPr>
                <w:sz w:val="17"/>
                <w:szCs w:val="17"/>
              </w:rPr>
              <w:t>2020</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0506303B" w14:textId="77777777" w:rsidR="00D64512" w:rsidRPr="00D64512" w:rsidRDefault="00D64512" w:rsidP="00D64512">
            <w:pPr>
              <w:pStyle w:val="CDITable-HeaderRowCentre"/>
              <w:rPr>
                <w:sz w:val="17"/>
                <w:szCs w:val="17"/>
              </w:rPr>
            </w:pPr>
            <w:r w:rsidRPr="00D64512">
              <w:rPr>
                <w:sz w:val="17"/>
                <w:szCs w:val="17"/>
              </w:rPr>
              <w:t>2022</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597502ED" w14:textId="77777777" w:rsidR="00D64512" w:rsidRPr="00D64512" w:rsidRDefault="00D64512" w:rsidP="00D64512">
            <w:pPr>
              <w:pStyle w:val="CDITable-HeaderRowCentre"/>
              <w:rPr>
                <w:sz w:val="17"/>
                <w:szCs w:val="17"/>
              </w:rPr>
            </w:pPr>
            <w:r w:rsidRPr="00D64512">
              <w:rPr>
                <w:sz w:val="17"/>
                <w:szCs w:val="17"/>
              </w:rPr>
              <w:t>2023</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78FE207A" w14:textId="77777777" w:rsidR="00D64512" w:rsidRPr="00D64512" w:rsidRDefault="00D64512" w:rsidP="00D64512">
            <w:pPr>
              <w:pStyle w:val="CDITable-HeaderRowCentre"/>
              <w:rPr>
                <w:sz w:val="17"/>
                <w:szCs w:val="17"/>
              </w:rPr>
            </w:pPr>
            <w:r w:rsidRPr="00D64512">
              <w:rPr>
                <w:sz w:val="17"/>
                <w:szCs w:val="17"/>
              </w:rPr>
              <w:t>2024</w:t>
            </w:r>
          </w:p>
        </w:tc>
        <w:tc>
          <w:tcPr>
            <w:tcW w:w="1048"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4830D51E" w14:textId="77777777" w:rsidR="00D64512" w:rsidRPr="00D64512" w:rsidRDefault="00D64512" w:rsidP="00D64512">
            <w:pPr>
              <w:pStyle w:val="CDITable-HeaderRowCentre"/>
              <w:rPr>
                <w:sz w:val="17"/>
                <w:szCs w:val="17"/>
              </w:rPr>
            </w:pPr>
            <w:r w:rsidRPr="00D64512">
              <w:rPr>
                <w:sz w:val="17"/>
                <w:szCs w:val="17"/>
              </w:rPr>
              <w:t>Total</w:t>
            </w:r>
          </w:p>
        </w:tc>
        <w:tc>
          <w:tcPr>
            <w:tcW w:w="1956" w:type="dxa"/>
            <w:gridSpan w:val="3"/>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146CAFDA" w14:textId="57B16F64" w:rsidR="00D64512" w:rsidRPr="00D64512" w:rsidRDefault="00D64512" w:rsidP="00D64512">
            <w:pPr>
              <w:pStyle w:val="CDITable-HeaderRowCentre"/>
              <w:rPr>
                <w:sz w:val="17"/>
                <w:szCs w:val="17"/>
              </w:rPr>
            </w:pPr>
            <w:r w:rsidRPr="00D64512">
              <w:rPr>
                <w:sz w:val="17"/>
                <w:szCs w:val="17"/>
              </w:rPr>
              <w:t>Pre-pandemic and</w:t>
            </w:r>
            <w:r>
              <w:rPr>
                <w:sz w:val="17"/>
                <w:szCs w:val="17"/>
              </w:rPr>
              <w:t> </w:t>
            </w:r>
            <w:r w:rsidRPr="00D64512">
              <w:rPr>
                <w:sz w:val="17"/>
                <w:szCs w:val="17"/>
              </w:rPr>
              <w:t xml:space="preserve">COVID-19 </w:t>
            </w:r>
            <w:r>
              <w:rPr>
                <w:sz w:val="17"/>
                <w:szCs w:val="17"/>
              </w:rPr>
              <w:br/>
            </w:r>
            <w:r w:rsidRPr="00D64512">
              <w:rPr>
                <w:sz w:val="17"/>
                <w:szCs w:val="17"/>
              </w:rPr>
              <w:t xml:space="preserve">post-emergence period </w:t>
            </w:r>
            <w:proofErr w:type="spellStart"/>
            <w:r w:rsidRPr="00D64512">
              <w:rPr>
                <w:sz w:val="17"/>
                <w:szCs w:val="17"/>
              </w:rPr>
              <w:t>means</w:t>
            </w:r>
            <w:r w:rsidRPr="00D64512">
              <w:rPr>
                <w:sz w:val="17"/>
                <w:szCs w:val="17"/>
                <w:vertAlign w:val="superscript"/>
              </w:rPr>
              <w:t>c</w:t>
            </w:r>
            <w:proofErr w:type="spellEnd"/>
          </w:p>
        </w:tc>
      </w:tr>
      <w:tr w:rsidR="00D64512" w:rsidRPr="00D64512" w14:paraId="7CF85135" w14:textId="77777777" w:rsidTr="009A5CBB">
        <w:trPr>
          <w:trHeight w:val="60"/>
          <w:tblHeader/>
        </w:trPr>
        <w:tc>
          <w:tcPr>
            <w:tcW w:w="1134" w:type="dxa"/>
            <w:vMerge/>
            <w:shd w:val="clear" w:color="auto" w:fill="1E4496" w:themeFill="text2"/>
          </w:tcPr>
          <w:p w14:paraId="0D0751B4" w14:textId="77777777" w:rsidR="00D64512" w:rsidRPr="00D64512" w:rsidRDefault="00D64512" w:rsidP="00D64512"/>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6CD62986"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6F03F04A" w14:textId="77777777" w:rsidR="00D64512" w:rsidRPr="00D64512" w:rsidRDefault="00D64512" w:rsidP="00D64512">
            <w:pPr>
              <w:pStyle w:val="CDITable-HeaderRowCentre"/>
              <w:rPr>
                <w:sz w:val="17"/>
                <w:szCs w:val="17"/>
              </w:rPr>
            </w:pPr>
            <w:r w:rsidRPr="00D64512">
              <w:rPr>
                <w:sz w:val="17"/>
                <w:szCs w:val="17"/>
              </w:rPr>
              <w:t>rate</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05263568"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25DB8743" w14:textId="77777777" w:rsidR="00D64512" w:rsidRPr="00D64512" w:rsidRDefault="00D64512" w:rsidP="00D64512">
            <w:pPr>
              <w:pStyle w:val="CDITable-HeaderRowCentre"/>
              <w:rPr>
                <w:sz w:val="17"/>
                <w:szCs w:val="17"/>
              </w:rPr>
            </w:pPr>
            <w:r w:rsidRPr="00D64512">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1E0DCD2"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5A844911" w14:textId="77777777" w:rsidR="00D64512" w:rsidRPr="00D64512" w:rsidRDefault="00D64512" w:rsidP="00D64512">
            <w:pPr>
              <w:pStyle w:val="CDITable-HeaderRowCentre"/>
              <w:rPr>
                <w:sz w:val="17"/>
                <w:szCs w:val="17"/>
              </w:rPr>
            </w:pPr>
            <w:r w:rsidRPr="00D64512">
              <w:rPr>
                <w:sz w:val="17"/>
                <w:szCs w:val="17"/>
              </w:rPr>
              <w:t>rate</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FF3F6DB"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6D51F5B0" w14:textId="77777777" w:rsidR="00D64512" w:rsidRPr="00D64512" w:rsidRDefault="00D64512" w:rsidP="00D64512">
            <w:pPr>
              <w:pStyle w:val="CDITable-HeaderRowCentre"/>
              <w:rPr>
                <w:sz w:val="17"/>
                <w:szCs w:val="17"/>
              </w:rPr>
            </w:pPr>
            <w:r w:rsidRPr="00D64512">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C4B61BC"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2F172CA" w14:textId="77777777" w:rsidR="00D64512" w:rsidRPr="00D64512" w:rsidRDefault="00D64512" w:rsidP="00D64512">
            <w:pPr>
              <w:pStyle w:val="CDITable-HeaderRowCentre"/>
              <w:rPr>
                <w:sz w:val="17"/>
                <w:szCs w:val="17"/>
              </w:rPr>
            </w:pPr>
            <w:r w:rsidRPr="00D64512">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3CD9536" w14:textId="77777777" w:rsidR="00D64512" w:rsidRPr="00D64512" w:rsidRDefault="00D64512" w:rsidP="00D64512">
            <w:pPr>
              <w:pStyle w:val="CDITable-HeaderRowCentre"/>
              <w:rPr>
                <w:sz w:val="17"/>
                <w:szCs w:val="17"/>
              </w:rPr>
            </w:pPr>
            <w:r w:rsidRPr="00D64512">
              <w:rPr>
                <w:sz w:val="17"/>
                <w:szCs w:val="17"/>
              </w:rPr>
              <w:t>n</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0E20CC2" w14:textId="77777777" w:rsidR="00D64512" w:rsidRPr="00D64512" w:rsidRDefault="00D64512" w:rsidP="00D64512">
            <w:pPr>
              <w:pStyle w:val="CDITable-HeaderRowCentre"/>
              <w:rPr>
                <w:sz w:val="17"/>
                <w:szCs w:val="17"/>
              </w:rPr>
            </w:pPr>
            <w:r w:rsidRPr="00D64512">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2B106E02"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058FC33" w14:textId="77777777" w:rsidR="00D64512" w:rsidRPr="00D64512" w:rsidRDefault="00D64512" w:rsidP="00D64512">
            <w:pPr>
              <w:pStyle w:val="CDITable-HeaderRowCentre"/>
              <w:rPr>
                <w:sz w:val="17"/>
                <w:szCs w:val="17"/>
              </w:rPr>
            </w:pPr>
            <w:r w:rsidRPr="00D64512">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60CFF037" w14:textId="77777777" w:rsidR="00D64512" w:rsidRPr="00D64512" w:rsidRDefault="00D64512" w:rsidP="00D64512">
            <w:pPr>
              <w:pStyle w:val="CDITable-HeaderRowCentre"/>
              <w:rPr>
                <w:sz w:val="17"/>
                <w:szCs w:val="17"/>
              </w:rPr>
            </w:pPr>
            <w:r w:rsidRPr="00D64512">
              <w:rPr>
                <w:sz w:val="17"/>
                <w:szCs w:val="17"/>
              </w:rPr>
              <w:t>n</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243F56F5" w14:textId="77777777" w:rsidR="00D64512" w:rsidRPr="00D64512" w:rsidRDefault="00D64512" w:rsidP="00D64512">
            <w:pPr>
              <w:pStyle w:val="CDITable-HeaderRowCentre"/>
              <w:rPr>
                <w:sz w:val="17"/>
                <w:szCs w:val="17"/>
              </w:rPr>
            </w:pPr>
            <w:r w:rsidRPr="00D64512">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2CF7BAD7"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6C788AC" w14:textId="77777777" w:rsidR="00D64512" w:rsidRPr="00D64512" w:rsidRDefault="00D64512" w:rsidP="00D64512">
            <w:pPr>
              <w:pStyle w:val="CDITable-HeaderRowCentre"/>
              <w:rPr>
                <w:sz w:val="17"/>
                <w:szCs w:val="17"/>
              </w:rPr>
            </w:pPr>
            <w:r w:rsidRPr="00D64512">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FD2FBAA" w14:textId="77777777" w:rsidR="00D64512" w:rsidRPr="00D64512" w:rsidRDefault="00D64512" w:rsidP="00D64512">
            <w:pPr>
              <w:pStyle w:val="CDITable-HeaderRowCentre"/>
              <w:rPr>
                <w:sz w:val="17"/>
                <w:szCs w:val="17"/>
              </w:rPr>
            </w:pPr>
            <w:r w:rsidRPr="00D64512">
              <w:rPr>
                <w:sz w:val="17"/>
                <w:szCs w:val="17"/>
              </w:rPr>
              <w:t>n</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C0D5FAD" w14:textId="77777777" w:rsidR="00D64512" w:rsidRPr="00D64512" w:rsidRDefault="00D64512" w:rsidP="00D64512">
            <w:pPr>
              <w:pStyle w:val="CDITable-HeaderRowCentre"/>
              <w:rPr>
                <w:sz w:val="17"/>
                <w:szCs w:val="17"/>
              </w:rPr>
            </w:pPr>
            <w:r w:rsidRPr="00D64512">
              <w:rPr>
                <w:sz w:val="17"/>
                <w:szCs w:val="17"/>
              </w:rPr>
              <w:t>rate</w:t>
            </w:r>
          </w:p>
        </w:tc>
        <w:tc>
          <w:tcPr>
            <w:tcW w:w="538"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281C7586" w14:textId="77777777" w:rsidR="00D64512" w:rsidRPr="00D64512" w:rsidRDefault="00D64512" w:rsidP="00D64512">
            <w:pPr>
              <w:pStyle w:val="CDITable-HeaderRowCentre"/>
              <w:rPr>
                <w:sz w:val="17"/>
                <w:szCs w:val="17"/>
              </w:rPr>
            </w:pPr>
            <w:r w:rsidRPr="00D64512">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66D54AF4" w14:textId="77777777" w:rsidR="00D64512" w:rsidRPr="00D64512" w:rsidRDefault="00D64512" w:rsidP="00D64512">
            <w:pPr>
              <w:pStyle w:val="CDITable-HeaderRowCentre"/>
              <w:rPr>
                <w:sz w:val="17"/>
                <w:szCs w:val="17"/>
              </w:rPr>
            </w:pPr>
            <w:r w:rsidRPr="00D64512">
              <w:rPr>
                <w:sz w:val="17"/>
                <w:szCs w:val="17"/>
              </w:rPr>
              <w:t>rate</w:t>
            </w:r>
          </w:p>
        </w:tc>
        <w:tc>
          <w:tcPr>
            <w:tcW w:w="652"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FA9521A" w14:textId="77777777" w:rsidR="00D64512" w:rsidRPr="00D64512" w:rsidRDefault="00D64512" w:rsidP="00D64512">
            <w:pPr>
              <w:pStyle w:val="CDITable-HeaderRowCentre"/>
              <w:rPr>
                <w:sz w:val="17"/>
                <w:szCs w:val="17"/>
              </w:rPr>
            </w:pPr>
            <w:r w:rsidRPr="00D64512">
              <w:rPr>
                <w:sz w:val="17"/>
                <w:szCs w:val="17"/>
              </w:rPr>
              <w:t>2014–2019 mean rate</w:t>
            </w:r>
          </w:p>
        </w:tc>
        <w:tc>
          <w:tcPr>
            <w:tcW w:w="652"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DBF72A8" w14:textId="77777777" w:rsidR="00D64512" w:rsidRPr="00D64512" w:rsidRDefault="00D64512" w:rsidP="00D64512">
            <w:pPr>
              <w:pStyle w:val="CDITable-HeaderRowCentre"/>
              <w:rPr>
                <w:sz w:val="17"/>
                <w:szCs w:val="17"/>
              </w:rPr>
            </w:pPr>
            <w:r w:rsidRPr="00D64512">
              <w:rPr>
                <w:sz w:val="17"/>
                <w:szCs w:val="17"/>
              </w:rPr>
              <w:t xml:space="preserve">2020–2024 mean </w:t>
            </w:r>
            <w:proofErr w:type="spellStart"/>
            <w:r w:rsidRPr="00D64512">
              <w:rPr>
                <w:sz w:val="17"/>
                <w:szCs w:val="17"/>
              </w:rPr>
              <w:t>rate</w:t>
            </w:r>
            <w:r w:rsidRPr="00D64512">
              <w:rPr>
                <w:sz w:val="17"/>
                <w:szCs w:val="17"/>
                <w:vertAlign w:val="superscript"/>
              </w:rPr>
              <w:t>a</w:t>
            </w:r>
            <w:proofErr w:type="spellEnd"/>
          </w:p>
        </w:tc>
        <w:tc>
          <w:tcPr>
            <w:tcW w:w="652"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49E6E3F" w14:textId="77777777" w:rsidR="00D64512" w:rsidRPr="00D64512" w:rsidRDefault="00D64512" w:rsidP="00D64512">
            <w:pPr>
              <w:pStyle w:val="CDITable-HeaderRowCentre"/>
              <w:rPr>
                <w:sz w:val="17"/>
                <w:szCs w:val="17"/>
              </w:rPr>
            </w:pPr>
            <w:r w:rsidRPr="00D64512">
              <w:rPr>
                <w:sz w:val="17"/>
                <w:szCs w:val="17"/>
              </w:rPr>
              <w:t xml:space="preserve">Two period rate </w:t>
            </w:r>
            <w:proofErr w:type="spellStart"/>
            <w:proofErr w:type="gramStart"/>
            <w:r w:rsidRPr="00D64512">
              <w:rPr>
                <w:sz w:val="17"/>
                <w:szCs w:val="17"/>
              </w:rPr>
              <w:t>ratio</w:t>
            </w:r>
            <w:r w:rsidRPr="00D64512">
              <w:rPr>
                <w:sz w:val="17"/>
                <w:szCs w:val="17"/>
                <w:vertAlign w:val="superscript"/>
              </w:rPr>
              <w:t>a,e</w:t>
            </w:r>
            <w:proofErr w:type="spellEnd"/>
            <w:proofErr w:type="gramEnd"/>
          </w:p>
        </w:tc>
      </w:tr>
      <w:tr w:rsidR="00D64512" w:rsidRPr="00D64512" w14:paraId="03211B90" w14:textId="77777777" w:rsidTr="009A5CBB">
        <w:trPr>
          <w:trHeight w:val="60"/>
        </w:trPr>
        <w:tc>
          <w:tcPr>
            <w:tcW w:w="1134" w:type="dxa"/>
            <w:tcBorders>
              <w:bottom w:val="single" w:sz="6" w:space="0" w:color="1E4496" w:themeColor="text2"/>
            </w:tcBorders>
            <w:tcMar>
              <w:top w:w="113" w:type="dxa"/>
              <w:left w:w="57" w:type="dxa"/>
              <w:bottom w:w="113" w:type="dxa"/>
              <w:right w:w="57" w:type="dxa"/>
            </w:tcMar>
            <w:vAlign w:val="center"/>
          </w:tcPr>
          <w:p w14:paraId="5D5054DD" w14:textId="77777777" w:rsidR="00D64512" w:rsidRPr="00D64512" w:rsidRDefault="00D64512" w:rsidP="00D64512">
            <w:pPr>
              <w:pStyle w:val="CDITable-RowLeft"/>
              <w:rPr>
                <w:sz w:val="17"/>
                <w:szCs w:val="17"/>
              </w:rPr>
            </w:pPr>
            <w:r w:rsidRPr="00D64512">
              <w:rPr>
                <w:sz w:val="17"/>
                <w:szCs w:val="17"/>
              </w:rPr>
              <w:t>ACT</w:t>
            </w:r>
          </w:p>
        </w:tc>
        <w:tc>
          <w:tcPr>
            <w:tcW w:w="510" w:type="dxa"/>
            <w:tcBorders>
              <w:bottom w:val="single" w:sz="6" w:space="0" w:color="1E4496" w:themeColor="text2"/>
            </w:tcBorders>
            <w:tcMar>
              <w:top w:w="113" w:type="dxa"/>
              <w:left w:w="57" w:type="dxa"/>
              <w:bottom w:w="113" w:type="dxa"/>
              <w:right w:w="57" w:type="dxa"/>
            </w:tcMar>
            <w:vAlign w:val="center"/>
          </w:tcPr>
          <w:p w14:paraId="6DD490CD" w14:textId="77777777" w:rsidR="00D64512" w:rsidRPr="00D64512" w:rsidRDefault="00D64512" w:rsidP="00D64512">
            <w:pPr>
              <w:pStyle w:val="CDITable-RowCentre"/>
              <w:rPr>
                <w:sz w:val="17"/>
                <w:szCs w:val="17"/>
              </w:rPr>
            </w:pPr>
            <w:r w:rsidRPr="00D64512">
              <w:rPr>
                <w:sz w:val="17"/>
                <w:szCs w:val="17"/>
              </w:rPr>
              <w:t>7</w:t>
            </w:r>
          </w:p>
        </w:tc>
        <w:tc>
          <w:tcPr>
            <w:tcW w:w="510" w:type="dxa"/>
            <w:tcBorders>
              <w:bottom w:val="single" w:sz="6" w:space="0" w:color="1E4496" w:themeColor="text2"/>
            </w:tcBorders>
            <w:tcMar>
              <w:top w:w="113" w:type="dxa"/>
              <w:left w:w="57" w:type="dxa"/>
              <w:bottom w:w="113" w:type="dxa"/>
              <w:right w:w="57" w:type="dxa"/>
            </w:tcMar>
            <w:vAlign w:val="center"/>
          </w:tcPr>
          <w:p w14:paraId="0EC4059B" w14:textId="77777777" w:rsidR="00D64512" w:rsidRPr="00D64512" w:rsidRDefault="00D64512" w:rsidP="00D64512">
            <w:pPr>
              <w:pStyle w:val="CDITable-RowCentre"/>
              <w:rPr>
                <w:sz w:val="17"/>
                <w:szCs w:val="17"/>
              </w:rPr>
            </w:pPr>
            <w:r w:rsidRPr="00D64512">
              <w:rPr>
                <w:sz w:val="17"/>
                <w:szCs w:val="17"/>
              </w:rPr>
              <w:t>1.8</w:t>
            </w:r>
          </w:p>
        </w:tc>
        <w:tc>
          <w:tcPr>
            <w:tcW w:w="511" w:type="dxa"/>
            <w:tcBorders>
              <w:bottom w:val="single" w:sz="6" w:space="0" w:color="1E4496" w:themeColor="text2"/>
            </w:tcBorders>
            <w:tcMar>
              <w:top w:w="113" w:type="dxa"/>
              <w:left w:w="57" w:type="dxa"/>
              <w:bottom w:w="113" w:type="dxa"/>
              <w:right w:w="57" w:type="dxa"/>
            </w:tcMar>
            <w:vAlign w:val="center"/>
          </w:tcPr>
          <w:p w14:paraId="1117CBFA" w14:textId="77777777" w:rsidR="00D64512" w:rsidRPr="00D64512" w:rsidRDefault="00D64512" w:rsidP="00D64512">
            <w:pPr>
              <w:pStyle w:val="CDITable-RowCentre"/>
              <w:rPr>
                <w:sz w:val="17"/>
                <w:szCs w:val="17"/>
              </w:rPr>
            </w:pPr>
            <w:r w:rsidRPr="00D64512">
              <w:rPr>
                <w:sz w:val="17"/>
                <w:szCs w:val="17"/>
              </w:rPr>
              <w:t>2</w:t>
            </w:r>
          </w:p>
        </w:tc>
        <w:tc>
          <w:tcPr>
            <w:tcW w:w="510" w:type="dxa"/>
            <w:tcBorders>
              <w:bottom w:val="single" w:sz="6" w:space="0" w:color="1E4496" w:themeColor="text2"/>
            </w:tcBorders>
            <w:tcMar>
              <w:top w:w="113" w:type="dxa"/>
              <w:left w:w="57" w:type="dxa"/>
              <w:bottom w:w="113" w:type="dxa"/>
              <w:right w:w="57" w:type="dxa"/>
            </w:tcMar>
            <w:vAlign w:val="center"/>
          </w:tcPr>
          <w:p w14:paraId="58F8DFEE" w14:textId="77777777" w:rsidR="00D64512" w:rsidRPr="00D64512" w:rsidRDefault="00D64512" w:rsidP="00D64512">
            <w:pPr>
              <w:pStyle w:val="CDITable-RowCentre"/>
              <w:rPr>
                <w:sz w:val="17"/>
                <w:szCs w:val="17"/>
              </w:rPr>
            </w:pPr>
            <w:r w:rsidRPr="00D64512">
              <w:rPr>
                <w:sz w:val="17"/>
                <w:szCs w:val="17"/>
              </w:rPr>
              <w:t>0.5</w:t>
            </w:r>
          </w:p>
        </w:tc>
        <w:tc>
          <w:tcPr>
            <w:tcW w:w="510" w:type="dxa"/>
            <w:tcBorders>
              <w:bottom w:val="single" w:sz="6" w:space="0" w:color="1E4496" w:themeColor="text2"/>
            </w:tcBorders>
            <w:tcMar>
              <w:top w:w="113" w:type="dxa"/>
              <w:left w:w="57" w:type="dxa"/>
              <w:bottom w:w="113" w:type="dxa"/>
              <w:right w:w="57" w:type="dxa"/>
            </w:tcMar>
            <w:vAlign w:val="center"/>
          </w:tcPr>
          <w:p w14:paraId="5EB38A72" w14:textId="77777777" w:rsidR="00D64512" w:rsidRPr="00D64512" w:rsidRDefault="00D64512" w:rsidP="00D64512">
            <w:pPr>
              <w:pStyle w:val="CDITable-RowCentre"/>
              <w:rPr>
                <w:sz w:val="17"/>
                <w:szCs w:val="17"/>
              </w:rPr>
            </w:pPr>
            <w:r w:rsidRPr="00D64512">
              <w:rPr>
                <w:sz w:val="17"/>
                <w:szCs w:val="17"/>
              </w:rPr>
              <w:t>2</w:t>
            </w:r>
          </w:p>
        </w:tc>
        <w:tc>
          <w:tcPr>
            <w:tcW w:w="510" w:type="dxa"/>
            <w:tcBorders>
              <w:bottom w:val="single" w:sz="6" w:space="0" w:color="1E4496" w:themeColor="text2"/>
            </w:tcBorders>
            <w:tcMar>
              <w:top w:w="113" w:type="dxa"/>
              <w:left w:w="57" w:type="dxa"/>
              <w:bottom w:w="113" w:type="dxa"/>
              <w:right w:w="57" w:type="dxa"/>
            </w:tcMar>
            <w:vAlign w:val="center"/>
          </w:tcPr>
          <w:p w14:paraId="28D32137" w14:textId="77777777" w:rsidR="00D64512" w:rsidRPr="00D64512" w:rsidRDefault="00D64512" w:rsidP="00D64512">
            <w:pPr>
              <w:pStyle w:val="CDITable-RowCentre"/>
              <w:rPr>
                <w:sz w:val="17"/>
                <w:szCs w:val="17"/>
              </w:rPr>
            </w:pPr>
            <w:r w:rsidRPr="00D64512">
              <w:rPr>
                <w:sz w:val="17"/>
                <w:szCs w:val="17"/>
              </w:rPr>
              <w:t>0.5</w:t>
            </w:r>
          </w:p>
        </w:tc>
        <w:tc>
          <w:tcPr>
            <w:tcW w:w="511" w:type="dxa"/>
            <w:tcBorders>
              <w:bottom w:val="single" w:sz="6" w:space="0" w:color="1E4496" w:themeColor="text2"/>
            </w:tcBorders>
            <w:tcMar>
              <w:top w:w="113" w:type="dxa"/>
              <w:left w:w="57" w:type="dxa"/>
              <w:bottom w:w="113" w:type="dxa"/>
              <w:right w:w="57" w:type="dxa"/>
            </w:tcMar>
            <w:vAlign w:val="center"/>
          </w:tcPr>
          <w:p w14:paraId="46AE00BD" w14:textId="77777777" w:rsidR="00D64512" w:rsidRPr="00D64512" w:rsidRDefault="00D64512" w:rsidP="00D64512">
            <w:pPr>
              <w:pStyle w:val="CDITable-RowCentre"/>
              <w:rPr>
                <w:sz w:val="17"/>
                <w:szCs w:val="17"/>
              </w:rPr>
            </w:pPr>
            <w:r w:rsidRPr="00D64512">
              <w:rPr>
                <w:sz w:val="17"/>
                <w:szCs w:val="17"/>
              </w:rPr>
              <w:t>2</w:t>
            </w:r>
          </w:p>
        </w:tc>
        <w:tc>
          <w:tcPr>
            <w:tcW w:w="510" w:type="dxa"/>
            <w:tcBorders>
              <w:bottom w:val="single" w:sz="6" w:space="0" w:color="1E4496" w:themeColor="text2"/>
            </w:tcBorders>
            <w:tcMar>
              <w:top w:w="113" w:type="dxa"/>
              <w:left w:w="57" w:type="dxa"/>
              <w:bottom w:w="113" w:type="dxa"/>
              <w:right w:w="57" w:type="dxa"/>
            </w:tcMar>
            <w:vAlign w:val="center"/>
          </w:tcPr>
          <w:p w14:paraId="1C5F309F" w14:textId="77777777" w:rsidR="00D64512" w:rsidRPr="00D64512" w:rsidRDefault="00D64512" w:rsidP="00D64512">
            <w:pPr>
              <w:pStyle w:val="CDITable-RowCentre"/>
              <w:rPr>
                <w:sz w:val="17"/>
                <w:szCs w:val="17"/>
              </w:rPr>
            </w:pPr>
            <w:r w:rsidRPr="00D64512">
              <w:rPr>
                <w:sz w:val="17"/>
                <w:szCs w:val="17"/>
              </w:rPr>
              <w:t>0.5</w:t>
            </w:r>
          </w:p>
        </w:tc>
        <w:tc>
          <w:tcPr>
            <w:tcW w:w="510" w:type="dxa"/>
            <w:tcBorders>
              <w:bottom w:val="single" w:sz="6" w:space="0" w:color="1E4496" w:themeColor="text2"/>
            </w:tcBorders>
            <w:tcMar>
              <w:top w:w="113" w:type="dxa"/>
              <w:left w:w="57" w:type="dxa"/>
              <w:bottom w:w="113" w:type="dxa"/>
              <w:right w:w="57" w:type="dxa"/>
            </w:tcMar>
            <w:vAlign w:val="center"/>
          </w:tcPr>
          <w:p w14:paraId="0AD91510" w14:textId="77777777" w:rsidR="00D64512" w:rsidRPr="00D64512" w:rsidRDefault="00D64512" w:rsidP="00D64512">
            <w:pPr>
              <w:pStyle w:val="CDITable-RowCentre"/>
              <w:rPr>
                <w:sz w:val="17"/>
                <w:szCs w:val="17"/>
              </w:rPr>
            </w:pPr>
            <w:r w:rsidRPr="00D64512">
              <w:rPr>
                <w:sz w:val="17"/>
                <w:szCs w:val="17"/>
              </w:rPr>
              <w:t>3</w:t>
            </w:r>
          </w:p>
        </w:tc>
        <w:tc>
          <w:tcPr>
            <w:tcW w:w="510" w:type="dxa"/>
            <w:tcBorders>
              <w:bottom w:val="single" w:sz="6" w:space="0" w:color="1E4496" w:themeColor="text2"/>
            </w:tcBorders>
            <w:tcMar>
              <w:top w:w="113" w:type="dxa"/>
              <w:left w:w="57" w:type="dxa"/>
              <w:bottom w:w="113" w:type="dxa"/>
              <w:right w:w="57" w:type="dxa"/>
            </w:tcMar>
            <w:vAlign w:val="center"/>
          </w:tcPr>
          <w:p w14:paraId="4509BD5C" w14:textId="77777777" w:rsidR="00D64512" w:rsidRPr="00D64512" w:rsidRDefault="00D64512" w:rsidP="00D64512">
            <w:pPr>
              <w:pStyle w:val="CDITable-RowCentre"/>
              <w:rPr>
                <w:sz w:val="17"/>
                <w:szCs w:val="17"/>
              </w:rPr>
            </w:pPr>
            <w:r w:rsidRPr="00D64512">
              <w:rPr>
                <w:sz w:val="17"/>
                <w:szCs w:val="17"/>
              </w:rPr>
              <w:t>0.7</w:t>
            </w:r>
          </w:p>
        </w:tc>
        <w:tc>
          <w:tcPr>
            <w:tcW w:w="510" w:type="dxa"/>
            <w:tcBorders>
              <w:bottom w:val="single" w:sz="6" w:space="0" w:color="1E4496" w:themeColor="text2"/>
            </w:tcBorders>
            <w:tcMar>
              <w:top w:w="113" w:type="dxa"/>
              <w:left w:w="57" w:type="dxa"/>
              <w:bottom w:w="113" w:type="dxa"/>
              <w:right w:w="57" w:type="dxa"/>
            </w:tcMar>
            <w:vAlign w:val="center"/>
          </w:tcPr>
          <w:p w14:paraId="21B25541" w14:textId="77777777" w:rsidR="00D64512" w:rsidRPr="00D64512" w:rsidRDefault="00D64512" w:rsidP="00D64512">
            <w:pPr>
              <w:pStyle w:val="CDITable-RowCentre"/>
              <w:rPr>
                <w:sz w:val="17"/>
                <w:szCs w:val="17"/>
              </w:rPr>
            </w:pPr>
            <w:r w:rsidRPr="00D64512">
              <w:rPr>
                <w:sz w:val="17"/>
                <w:szCs w:val="17"/>
              </w:rPr>
              <w:t>2</w:t>
            </w:r>
          </w:p>
        </w:tc>
        <w:tc>
          <w:tcPr>
            <w:tcW w:w="511" w:type="dxa"/>
            <w:tcBorders>
              <w:bottom w:val="single" w:sz="6" w:space="0" w:color="1E4496" w:themeColor="text2"/>
            </w:tcBorders>
            <w:tcMar>
              <w:top w:w="113" w:type="dxa"/>
              <w:left w:w="57" w:type="dxa"/>
              <w:bottom w:w="113" w:type="dxa"/>
              <w:right w:w="57" w:type="dxa"/>
            </w:tcMar>
            <w:vAlign w:val="center"/>
          </w:tcPr>
          <w:p w14:paraId="517D687E" w14:textId="77777777" w:rsidR="00D64512" w:rsidRPr="00D64512" w:rsidRDefault="00D64512" w:rsidP="00D64512">
            <w:pPr>
              <w:pStyle w:val="CDITable-RowCentre"/>
              <w:rPr>
                <w:sz w:val="17"/>
                <w:szCs w:val="17"/>
              </w:rPr>
            </w:pPr>
            <w:r w:rsidRPr="00D64512">
              <w:rPr>
                <w:sz w:val="17"/>
                <w:szCs w:val="17"/>
              </w:rPr>
              <w:t>0.5</w:t>
            </w:r>
          </w:p>
        </w:tc>
        <w:tc>
          <w:tcPr>
            <w:tcW w:w="510" w:type="dxa"/>
            <w:tcBorders>
              <w:bottom w:val="single" w:sz="6" w:space="0" w:color="1E4496" w:themeColor="text2"/>
            </w:tcBorders>
            <w:tcMar>
              <w:top w:w="113" w:type="dxa"/>
              <w:left w:w="57" w:type="dxa"/>
              <w:bottom w:w="113" w:type="dxa"/>
              <w:right w:w="57" w:type="dxa"/>
            </w:tcMar>
            <w:vAlign w:val="center"/>
          </w:tcPr>
          <w:p w14:paraId="531E875C" w14:textId="77777777" w:rsidR="00D64512" w:rsidRPr="00D64512" w:rsidRDefault="00D64512" w:rsidP="00D64512">
            <w:pPr>
              <w:pStyle w:val="CDITable-RowCentre"/>
              <w:rPr>
                <w:sz w:val="17"/>
                <w:szCs w:val="17"/>
              </w:rPr>
            </w:pPr>
            <w:r w:rsidRPr="00D64512">
              <w:rPr>
                <w:sz w:val="17"/>
                <w:szCs w:val="17"/>
              </w:rPr>
              <w:t>0</w:t>
            </w:r>
          </w:p>
        </w:tc>
        <w:tc>
          <w:tcPr>
            <w:tcW w:w="510" w:type="dxa"/>
            <w:tcBorders>
              <w:bottom w:val="single" w:sz="6" w:space="0" w:color="1E4496" w:themeColor="text2"/>
            </w:tcBorders>
            <w:tcMar>
              <w:top w:w="113" w:type="dxa"/>
              <w:left w:w="57" w:type="dxa"/>
              <w:bottom w:w="113" w:type="dxa"/>
              <w:right w:w="57" w:type="dxa"/>
            </w:tcMar>
            <w:vAlign w:val="center"/>
          </w:tcPr>
          <w:p w14:paraId="553BA93D" w14:textId="77777777" w:rsidR="00D64512" w:rsidRPr="00D64512" w:rsidRDefault="00D64512" w:rsidP="00D64512">
            <w:pPr>
              <w:pStyle w:val="CDITable-RowCentre"/>
              <w:rPr>
                <w:sz w:val="17"/>
                <w:szCs w:val="17"/>
              </w:rPr>
            </w:pPr>
            <w:r w:rsidRPr="00D64512">
              <w:rPr>
                <w:sz w:val="17"/>
                <w:szCs w:val="17"/>
              </w:rPr>
              <w:t>0.0</w:t>
            </w:r>
          </w:p>
        </w:tc>
        <w:tc>
          <w:tcPr>
            <w:tcW w:w="510" w:type="dxa"/>
            <w:tcBorders>
              <w:bottom w:val="single" w:sz="6" w:space="0" w:color="1E4496" w:themeColor="text2"/>
            </w:tcBorders>
            <w:tcMar>
              <w:top w:w="113" w:type="dxa"/>
              <w:left w:w="57" w:type="dxa"/>
              <w:bottom w:w="113" w:type="dxa"/>
              <w:right w:w="57" w:type="dxa"/>
            </w:tcMar>
            <w:vAlign w:val="center"/>
          </w:tcPr>
          <w:p w14:paraId="6CD87AAD" w14:textId="77777777" w:rsidR="00D64512" w:rsidRPr="00D64512" w:rsidRDefault="00D64512" w:rsidP="00D64512">
            <w:pPr>
              <w:pStyle w:val="CDITable-RowCentre"/>
              <w:rPr>
                <w:sz w:val="17"/>
                <w:szCs w:val="17"/>
              </w:rPr>
            </w:pPr>
            <w:r w:rsidRPr="00D64512">
              <w:rPr>
                <w:sz w:val="17"/>
                <w:szCs w:val="17"/>
              </w:rPr>
              <w:t>0</w:t>
            </w:r>
          </w:p>
        </w:tc>
        <w:tc>
          <w:tcPr>
            <w:tcW w:w="511" w:type="dxa"/>
            <w:tcBorders>
              <w:bottom w:val="single" w:sz="6" w:space="0" w:color="1E4496" w:themeColor="text2"/>
            </w:tcBorders>
            <w:tcMar>
              <w:top w:w="113" w:type="dxa"/>
              <w:left w:w="57" w:type="dxa"/>
              <w:bottom w:w="113" w:type="dxa"/>
              <w:right w:w="57" w:type="dxa"/>
            </w:tcMar>
            <w:vAlign w:val="center"/>
          </w:tcPr>
          <w:p w14:paraId="47E71FCE" w14:textId="77777777" w:rsidR="00D64512" w:rsidRPr="00D64512" w:rsidRDefault="00D64512" w:rsidP="00D64512">
            <w:pPr>
              <w:pStyle w:val="CDITable-RowCentre"/>
              <w:rPr>
                <w:sz w:val="17"/>
                <w:szCs w:val="17"/>
              </w:rPr>
            </w:pPr>
            <w:r w:rsidRPr="00D64512">
              <w:rPr>
                <w:sz w:val="17"/>
                <w:szCs w:val="17"/>
              </w:rPr>
              <w:t>0.0</w:t>
            </w:r>
          </w:p>
        </w:tc>
        <w:tc>
          <w:tcPr>
            <w:tcW w:w="510" w:type="dxa"/>
            <w:tcBorders>
              <w:bottom w:val="single" w:sz="6" w:space="0" w:color="1E4496" w:themeColor="text2"/>
            </w:tcBorders>
            <w:tcMar>
              <w:top w:w="113" w:type="dxa"/>
              <w:left w:w="57" w:type="dxa"/>
              <w:bottom w:w="113" w:type="dxa"/>
              <w:right w:w="57" w:type="dxa"/>
            </w:tcMar>
            <w:vAlign w:val="center"/>
          </w:tcPr>
          <w:p w14:paraId="08BBFD7A" w14:textId="77777777" w:rsidR="00D64512" w:rsidRPr="00D64512" w:rsidRDefault="00D64512" w:rsidP="00D64512">
            <w:pPr>
              <w:pStyle w:val="CDITable-RowCentre"/>
              <w:rPr>
                <w:sz w:val="17"/>
                <w:szCs w:val="17"/>
              </w:rPr>
            </w:pPr>
            <w:r w:rsidRPr="00D64512">
              <w:rPr>
                <w:sz w:val="17"/>
                <w:szCs w:val="17"/>
              </w:rPr>
              <w:t>1</w:t>
            </w:r>
          </w:p>
        </w:tc>
        <w:tc>
          <w:tcPr>
            <w:tcW w:w="510" w:type="dxa"/>
            <w:tcBorders>
              <w:bottom w:val="single" w:sz="6" w:space="0" w:color="1E4496" w:themeColor="text2"/>
            </w:tcBorders>
            <w:tcMar>
              <w:top w:w="113" w:type="dxa"/>
              <w:left w:w="57" w:type="dxa"/>
              <w:bottom w:w="113" w:type="dxa"/>
              <w:right w:w="57" w:type="dxa"/>
            </w:tcMar>
            <w:vAlign w:val="center"/>
          </w:tcPr>
          <w:p w14:paraId="2EF7EA6B" w14:textId="77777777" w:rsidR="00D64512" w:rsidRPr="00D64512" w:rsidRDefault="00D64512" w:rsidP="00D64512">
            <w:pPr>
              <w:pStyle w:val="CDITable-RowCentre"/>
              <w:rPr>
                <w:sz w:val="17"/>
                <w:szCs w:val="17"/>
              </w:rPr>
            </w:pPr>
            <w:r w:rsidRPr="00D64512">
              <w:rPr>
                <w:sz w:val="17"/>
                <w:szCs w:val="17"/>
              </w:rPr>
              <w:t>0.2</w:t>
            </w:r>
          </w:p>
        </w:tc>
        <w:tc>
          <w:tcPr>
            <w:tcW w:w="510" w:type="dxa"/>
            <w:tcBorders>
              <w:bottom w:val="single" w:sz="6" w:space="0" w:color="1E4496" w:themeColor="text2"/>
            </w:tcBorders>
            <w:tcMar>
              <w:top w:w="113" w:type="dxa"/>
              <w:left w:w="57" w:type="dxa"/>
              <w:bottom w:w="113" w:type="dxa"/>
              <w:right w:w="57" w:type="dxa"/>
            </w:tcMar>
            <w:vAlign w:val="center"/>
          </w:tcPr>
          <w:p w14:paraId="77E8CE14" w14:textId="77777777" w:rsidR="00D64512" w:rsidRPr="00D64512" w:rsidRDefault="00D64512" w:rsidP="00D64512">
            <w:pPr>
              <w:pStyle w:val="CDITable-RowCentre"/>
              <w:rPr>
                <w:sz w:val="17"/>
                <w:szCs w:val="17"/>
              </w:rPr>
            </w:pPr>
            <w:r w:rsidRPr="00D64512">
              <w:rPr>
                <w:sz w:val="17"/>
                <w:szCs w:val="17"/>
              </w:rPr>
              <w:t>1</w:t>
            </w:r>
          </w:p>
        </w:tc>
        <w:tc>
          <w:tcPr>
            <w:tcW w:w="511" w:type="dxa"/>
            <w:tcBorders>
              <w:bottom w:val="single" w:sz="6" w:space="0" w:color="1E4496" w:themeColor="text2"/>
            </w:tcBorders>
            <w:tcMar>
              <w:top w:w="113" w:type="dxa"/>
              <w:left w:w="57" w:type="dxa"/>
              <w:bottom w:w="113" w:type="dxa"/>
              <w:right w:w="57" w:type="dxa"/>
            </w:tcMar>
            <w:vAlign w:val="center"/>
          </w:tcPr>
          <w:p w14:paraId="3936D2D9" w14:textId="77777777" w:rsidR="00D64512" w:rsidRPr="00D64512" w:rsidRDefault="00D64512" w:rsidP="00D64512">
            <w:pPr>
              <w:pStyle w:val="CDITable-RowCentre"/>
              <w:rPr>
                <w:sz w:val="17"/>
                <w:szCs w:val="17"/>
              </w:rPr>
            </w:pPr>
            <w:r w:rsidRPr="00D64512">
              <w:rPr>
                <w:sz w:val="17"/>
                <w:szCs w:val="17"/>
              </w:rPr>
              <w:t>0.2</w:t>
            </w:r>
          </w:p>
        </w:tc>
        <w:tc>
          <w:tcPr>
            <w:tcW w:w="538" w:type="dxa"/>
            <w:tcBorders>
              <w:bottom w:val="single" w:sz="6" w:space="0" w:color="1E4496" w:themeColor="text2"/>
            </w:tcBorders>
            <w:tcMar>
              <w:top w:w="113" w:type="dxa"/>
              <w:left w:w="57" w:type="dxa"/>
              <w:bottom w:w="113" w:type="dxa"/>
              <w:right w:w="57" w:type="dxa"/>
            </w:tcMar>
            <w:vAlign w:val="center"/>
          </w:tcPr>
          <w:p w14:paraId="074392CC" w14:textId="77777777" w:rsidR="00D64512" w:rsidRPr="00D64512" w:rsidRDefault="00D64512" w:rsidP="00D64512">
            <w:pPr>
              <w:pStyle w:val="CDITable-RowCentre"/>
              <w:rPr>
                <w:sz w:val="17"/>
                <w:szCs w:val="17"/>
              </w:rPr>
            </w:pPr>
            <w:r w:rsidRPr="00D64512">
              <w:rPr>
                <w:sz w:val="17"/>
                <w:szCs w:val="17"/>
              </w:rPr>
              <w:t>20</w:t>
            </w:r>
          </w:p>
        </w:tc>
        <w:tc>
          <w:tcPr>
            <w:tcW w:w="510" w:type="dxa"/>
            <w:tcBorders>
              <w:bottom w:val="single" w:sz="6" w:space="0" w:color="1E4496" w:themeColor="text2"/>
            </w:tcBorders>
            <w:tcMar>
              <w:top w:w="113" w:type="dxa"/>
              <w:left w:w="57" w:type="dxa"/>
              <w:bottom w:w="113" w:type="dxa"/>
              <w:right w:w="57" w:type="dxa"/>
            </w:tcMar>
            <w:vAlign w:val="center"/>
          </w:tcPr>
          <w:p w14:paraId="466345EB" w14:textId="77777777" w:rsidR="00D64512" w:rsidRPr="00D64512" w:rsidRDefault="00D64512" w:rsidP="00D64512">
            <w:pPr>
              <w:pStyle w:val="CDITable-RowCentre"/>
              <w:rPr>
                <w:sz w:val="17"/>
                <w:szCs w:val="17"/>
              </w:rPr>
            </w:pPr>
            <w:r w:rsidRPr="00D64512">
              <w:rPr>
                <w:sz w:val="17"/>
                <w:szCs w:val="17"/>
              </w:rPr>
              <w:t>4.2</w:t>
            </w:r>
          </w:p>
        </w:tc>
        <w:tc>
          <w:tcPr>
            <w:tcW w:w="652" w:type="dxa"/>
            <w:tcBorders>
              <w:bottom w:val="single" w:sz="6" w:space="0" w:color="1E4496" w:themeColor="text2"/>
            </w:tcBorders>
            <w:tcMar>
              <w:top w:w="113" w:type="dxa"/>
              <w:left w:w="57" w:type="dxa"/>
              <w:bottom w:w="113" w:type="dxa"/>
              <w:right w:w="57" w:type="dxa"/>
            </w:tcMar>
            <w:vAlign w:val="center"/>
          </w:tcPr>
          <w:p w14:paraId="697E2FD8" w14:textId="77777777" w:rsidR="00D64512" w:rsidRPr="00D64512" w:rsidRDefault="00D64512" w:rsidP="00D64512">
            <w:pPr>
              <w:pStyle w:val="CDITable-RowCentre"/>
              <w:rPr>
                <w:sz w:val="17"/>
                <w:szCs w:val="17"/>
              </w:rPr>
            </w:pPr>
            <w:r w:rsidRPr="00D64512">
              <w:rPr>
                <w:sz w:val="17"/>
                <w:szCs w:val="17"/>
              </w:rPr>
              <w:t>0.75</w:t>
            </w:r>
          </w:p>
        </w:tc>
        <w:tc>
          <w:tcPr>
            <w:tcW w:w="652" w:type="dxa"/>
            <w:tcBorders>
              <w:bottom w:val="single" w:sz="6" w:space="0" w:color="1E4496" w:themeColor="text2"/>
            </w:tcBorders>
            <w:tcMar>
              <w:top w:w="113" w:type="dxa"/>
              <w:left w:w="57" w:type="dxa"/>
              <w:bottom w:w="113" w:type="dxa"/>
              <w:right w:w="57" w:type="dxa"/>
            </w:tcMar>
            <w:vAlign w:val="center"/>
          </w:tcPr>
          <w:p w14:paraId="28FE6BC1" w14:textId="77777777" w:rsidR="00D64512" w:rsidRPr="00D64512" w:rsidRDefault="00D64512" w:rsidP="00D64512">
            <w:pPr>
              <w:pStyle w:val="CDITable-RowCentre"/>
              <w:rPr>
                <w:sz w:val="17"/>
                <w:szCs w:val="17"/>
              </w:rPr>
            </w:pPr>
            <w:r w:rsidRPr="00D64512">
              <w:rPr>
                <w:sz w:val="17"/>
                <w:szCs w:val="17"/>
              </w:rPr>
              <w:t>0.08</w:t>
            </w:r>
          </w:p>
        </w:tc>
        <w:tc>
          <w:tcPr>
            <w:tcW w:w="652" w:type="dxa"/>
            <w:tcBorders>
              <w:bottom w:val="single" w:sz="6" w:space="0" w:color="1E4496" w:themeColor="text2"/>
            </w:tcBorders>
            <w:tcMar>
              <w:top w:w="113" w:type="dxa"/>
              <w:left w:w="57" w:type="dxa"/>
              <w:bottom w:w="113" w:type="dxa"/>
              <w:right w:w="57" w:type="dxa"/>
            </w:tcMar>
            <w:vAlign w:val="center"/>
          </w:tcPr>
          <w:p w14:paraId="43788F60" w14:textId="77777777" w:rsidR="00D64512" w:rsidRPr="00D64512" w:rsidRDefault="00D64512" w:rsidP="00D64512">
            <w:pPr>
              <w:pStyle w:val="CDITable-RowCentre"/>
              <w:rPr>
                <w:sz w:val="17"/>
                <w:szCs w:val="17"/>
              </w:rPr>
            </w:pPr>
            <w:r w:rsidRPr="00D64512">
              <w:rPr>
                <w:sz w:val="17"/>
                <w:szCs w:val="17"/>
              </w:rPr>
              <w:t>9.38</w:t>
            </w:r>
          </w:p>
        </w:tc>
      </w:tr>
      <w:tr w:rsidR="00D64512" w:rsidRPr="00D64512" w14:paraId="20A88680" w14:textId="77777777" w:rsidTr="009A5CBB">
        <w:trPr>
          <w:trHeight w:val="60"/>
        </w:trPr>
        <w:tc>
          <w:tcPr>
            <w:tcW w:w="1134"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82B13F1" w14:textId="77777777" w:rsidR="00D64512" w:rsidRPr="00D64512" w:rsidRDefault="00D64512" w:rsidP="00D64512">
            <w:pPr>
              <w:pStyle w:val="CDITable-RowLeft"/>
              <w:rPr>
                <w:sz w:val="17"/>
                <w:szCs w:val="17"/>
              </w:rPr>
            </w:pPr>
            <w:r w:rsidRPr="00D64512">
              <w:rPr>
                <w:sz w:val="17"/>
                <w:szCs w:val="17"/>
              </w:rPr>
              <w:t>NSW</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A8D9F9" w14:textId="77777777" w:rsidR="00D64512" w:rsidRPr="00D64512" w:rsidRDefault="00D64512" w:rsidP="00D64512">
            <w:pPr>
              <w:pStyle w:val="CDITable-RowCentre"/>
              <w:rPr>
                <w:sz w:val="17"/>
                <w:szCs w:val="17"/>
              </w:rPr>
            </w:pPr>
            <w:r w:rsidRPr="00D64512">
              <w:rPr>
                <w:sz w:val="17"/>
                <w:szCs w:val="17"/>
              </w:rPr>
              <w:t>67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3BEF2A2" w14:textId="77777777" w:rsidR="00D64512" w:rsidRPr="00D64512" w:rsidRDefault="00D64512" w:rsidP="00D64512">
            <w:pPr>
              <w:pStyle w:val="CDITable-RowCentre"/>
              <w:rPr>
                <w:sz w:val="17"/>
                <w:szCs w:val="17"/>
              </w:rPr>
            </w:pPr>
            <w:r w:rsidRPr="00D64512">
              <w:rPr>
                <w:sz w:val="17"/>
                <w:szCs w:val="17"/>
              </w:rPr>
              <w:t>0.9</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F6F0E24" w14:textId="77777777" w:rsidR="00D64512" w:rsidRPr="00D64512" w:rsidRDefault="00D64512" w:rsidP="00D64512">
            <w:pPr>
              <w:pStyle w:val="CDITable-RowCentre"/>
              <w:rPr>
                <w:sz w:val="17"/>
                <w:szCs w:val="17"/>
              </w:rPr>
            </w:pPr>
            <w:r w:rsidRPr="00D64512">
              <w:rPr>
                <w:sz w:val="17"/>
                <w:szCs w:val="17"/>
              </w:rPr>
              <w:t>9</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27E3406"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E9EA5D2" w14:textId="77777777" w:rsidR="00D64512" w:rsidRPr="00D64512" w:rsidRDefault="00D64512" w:rsidP="00D64512">
            <w:pPr>
              <w:pStyle w:val="CDITable-RowCentre"/>
              <w:rPr>
                <w:sz w:val="17"/>
                <w:szCs w:val="17"/>
              </w:rPr>
            </w:pPr>
            <w:r w:rsidRPr="00D64512">
              <w:rPr>
                <w:sz w:val="17"/>
                <w:szCs w:val="17"/>
              </w:rPr>
              <w:t>18</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4C2263" w14:textId="77777777" w:rsidR="00D64512" w:rsidRPr="00D64512" w:rsidRDefault="00D64512" w:rsidP="00D64512">
            <w:pPr>
              <w:pStyle w:val="CDITable-RowCentre"/>
              <w:rPr>
                <w:sz w:val="17"/>
                <w:szCs w:val="17"/>
              </w:rPr>
            </w:pPr>
            <w:r w:rsidRPr="00D64512">
              <w:rPr>
                <w:sz w:val="17"/>
                <w:szCs w:val="17"/>
              </w:rPr>
              <w:t>0.2</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ECFF32D" w14:textId="77777777" w:rsidR="00D64512" w:rsidRPr="00D64512" w:rsidRDefault="00D64512" w:rsidP="00D64512">
            <w:pPr>
              <w:pStyle w:val="CDITable-RowCentre"/>
              <w:rPr>
                <w:sz w:val="17"/>
                <w:szCs w:val="17"/>
              </w:rPr>
            </w:pPr>
            <w:r w:rsidRPr="00D64512">
              <w:rPr>
                <w:sz w:val="17"/>
                <w:szCs w:val="17"/>
              </w:rPr>
              <w:t>30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AB0DC90" w14:textId="77777777" w:rsidR="00D64512" w:rsidRPr="00D64512" w:rsidRDefault="00D64512" w:rsidP="00D64512">
            <w:pPr>
              <w:pStyle w:val="CDITable-RowCentre"/>
              <w:rPr>
                <w:sz w:val="17"/>
                <w:szCs w:val="17"/>
              </w:rPr>
            </w:pPr>
            <w:r w:rsidRPr="00D64512">
              <w:rPr>
                <w:sz w:val="17"/>
                <w:szCs w:val="17"/>
              </w:rPr>
              <w:t>0.4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E0A6AA3" w14:textId="77777777" w:rsidR="00D64512" w:rsidRPr="00D64512" w:rsidRDefault="00D64512" w:rsidP="00D64512">
            <w:pPr>
              <w:pStyle w:val="CDITable-RowCentre"/>
              <w:rPr>
                <w:sz w:val="17"/>
                <w:szCs w:val="17"/>
              </w:rPr>
            </w:pPr>
            <w:r w:rsidRPr="00D64512">
              <w:rPr>
                <w:sz w:val="17"/>
                <w:szCs w:val="17"/>
              </w:rPr>
              <w:t>19</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0A9BF64"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B202071" w14:textId="77777777" w:rsidR="00D64512" w:rsidRPr="00D64512" w:rsidRDefault="00D64512" w:rsidP="00D64512">
            <w:pPr>
              <w:pStyle w:val="CDITable-RowCentre"/>
              <w:rPr>
                <w:sz w:val="17"/>
                <w:szCs w:val="17"/>
              </w:rPr>
            </w:pPr>
            <w:r w:rsidRPr="00D64512">
              <w:rPr>
                <w:sz w:val="17"/>
                <w:szCs w:val="17"/>
              </w:rPr>
              <w:t>62</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A8962F8" w14:textId="77777777" w:rsidR="00D64512" w:rsidRPr="00D64512" w:rsidRDefault="00D64512" w:rsidP="00D64512">
            <w:pPr>
              <w:pStyle w:val="CDITable-RowCentre"/>
              <w:rPr>
                <w:sz w:val="17"/>
                <w:szCs w:val="17"/>
              </w:rPr>
            </w:pPr>
            <w:r w:rsidRPr="00D64512">
              <w:rPr>
                <w:sz w:val="17"/>
                <w:szCs w:val="17"/>
              </w:rPr>
              <w:t>0.8</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3A6AEB9" w14:textId="77777777" w:rsidR="00D64512" w:rsidRPr="00D64512" w:rsidRDefault="00D64512" w:rsidP="00D64512">
            <w:pPr>
              <w:pStyle w:val="CDITable-RowCentre"/>
              <w:rPr>
                <w:sz w:val="17"/>
                <w:szCs w:val="17"/>
              </w:rPr>
            </w:pPr>
            <w:r w:rsidRPr="00D64512">
              <w:rPr>
                <w:sz w:val="17"/>
                <w:szCs w:val="17"/>
              </w:rPr>
              <w:t>11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C898E9A"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43087E8" w14:textId="77777777" w:rsidR="00D64512" w:rsidRPr="00D64512" w:rsidRDefault="00D64512" w:rsidP="00D64512">
            <w:pPr>
              <w:pStyle w:val="CDITable-RowCentre"/>
              <w:rPr>
                <w:sz w:val="17"/>
                <w:szCs w:val="17"/>
              </w:rPr>
            </w:pPr>
            <w:r w:rsidRPr="00D64512">
              <w:rPr>
                <w:sz w:val="17"/>
                <w:szCs w:val="17"/>
              </w:rPr>
              <w:t>1</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4DAA094"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24F2AAE" w14:textId="77777777" w:rsidR="00D64512" w:rsidRPr="00D64512" w:rsidRDefault="00D64512" w:rsidP="00D64512">
            <w:pPr>
              <w:pStyle w:val="CDITable-RowCentre"/>
              <w:rPr>
                <w:sz w:val="17"/>
                <w:szCs w:val="17"/>
              </w:rPr>
            </w:pPr>
            <w:r w:rsidRPr="00D64512">
              <w:rPr>
                <w:sz w:val="17"/>
                <w:szCs w:val="17"/>
              </w:rPr>
              <w:t>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22511AF"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3240A17" w14:textId="77777777" w:rsidR="00D64512" w:rsidRPr="00D64512" w:rsidRDefault="00D64512" w:rsidP="00D64512">
            <w:pPr>
              <w:pStyle w:val="CDITable-RowCentre"/>
              <w:rPr>
                <w:sz w:val="17"/>
                <w:szCs w:val="17"/>
              </w:rPr>
            </w:pPr>
            <w:r w:rsidRPr="00D64512">
              <w:rPr>
                <w:sz w:val="17"/>
                <w:szCs w:val="17"/>
              </w:rPr>
              <w:t>18</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8A3F1F1" w14:textId="77777777" w:rsidR="00D64512" w:rsidRPr="00D64512" w:rsidRDefault="00D64512" w:rsidP="00D64512">
            <w:pPr>
              <w:pStyle w:val="CDITable-RowCentre"/>
              <w:rPr>
                <w:sz w:val="17"/>
                <w:szCs w:val="17"/>
              </w:rPr>
            </w:pPr>
            <w:r w:rsidRPr="00D64512">
              <w:rPr>
                <w:sz w:val="17"/>
                <w:szCs w:val="17"/>
              </w:rPr>
              <w:t>0.2</w:t>
            </w:r>
          </w:p>
        </w:tc>
        <w:tc>
          <w:tcPr>
            <w:tcW w:w="538"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485965F" w14:textId="77777777" w:rsidR="00D64512" w:rsidRPr="00D64512" w:rsidRDefault="00D64512" w:rsidP="00D64512">
            <w:pPr>
              <w:pStyle w:val="CDITable-RowCentre"/>
              <w:rPr>
                <w:sz w:val="17"/>
                <w:szCs w:val="17"/>
              </w:rPr>
            </w:pPr>
            <w:r w:rsidRPr="00D64512">
              <w:rPr>
                <w:sz w:val="17"/>
                <w:szCs w:val="17"/>
              </w:rPr>
              <w:t>241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3E6A309" w14:textId="77777777" w:rsidR="00D64512" w:rsidRPr="00D64512" w:rsidRDefault="00D64512" w:rsidP="00D64512">
            <w:pPr>
              <w:pStyle w:val="CDITable-RowCentre"/>
              <w:rPr>
                <w:sz w:val="17"/>
                <w:szCs w:val="17"/>
              </w:rPr>
            </w:pPr>
            <w:r w:rsidRPr="00D64512">
              <w:rPr>
                <w:sz w:val="17"/>
                <w:szCs w:val="17"/>
              </w:rPr>
              <w:t>2.8</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2097905" w14:textId="77777777" w:rsidR="00D64512" w:rsidRPr="00D64512" w:rsidRDefault="00D64512" w:rsidP="00D64512">
            <w:pPr>
              <w:pStyle w:val="CDITable-RowCentre"/>
              <w:rPr>
                <w:sz w:val="17"/>
                <w:szCs w:val="17"/>
              </w:rPr>
            </w:pPr>
            <w:r w:rsidRPr="00D64512">
              <w:rPr>
                <w:sz w:val="17"/>
                <w:szCs w:val="17"/>
              </w:rPr>
              <w:t>0.43</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0748C1B" w14:textId="77777777" w:rsidR="00D64512" w:rsidRPr="00D64512" w:rsidRDefault="00D64512" w:rsidP="00D64512">
            <w:pPr>
              <w:pStyle w:val="CDITable-RowCentre"/>
              <w:rPr>
                <w:sz w:val="17"/>
                <w:szCs w:val="17"/>
              </w:rPr>
            </w:pPr>
            <w:r w:rsidRPr="00D64512">
              <w:rPr>
                <w:sz w:val="17"/>
                <w:szCs w:val="17"/>
              </w:rPr>
              <w:t>0.08</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22FD91A" w14:textId="77777777" w:rsidR="00D64512" w:rsidRPr="00D64512" w:rsidRDefault="00D64512" w:rsidP="00D64512">
            <w:pPr>
              <w:pStyle w:val="CDITable-RowCentre"/>
              <w:rPr>
                <w:sz w:val="17"/>
                <w:szCs w:val="17"/>
              </w:rPr>
            </w:pPr>
            <w:r w:rsidRPr="00D64512">
              <w:rPr>
                <w:sz w:val="17"/>
                <w:szCs w:val="17"/>
              </w:rPr>
              <w:t>5.42</w:t>
            </w:r>
          </w:p>
        </w:tc>
      </w:tr>
      <w:tr w:rsidR="00D64512" w:rsidRPr="00D64512" w14:paraId="78300A3C" w14:textId="77777777" w:rsidTr="009A5CBB">
        <w:trPr>
          <w:trHeight w:val="60"/>
        </w:trPr>
        <w:tc>
          <w:tcPr>
            <w:tcW w:w="1134"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C3C9DFC" w14:textId="77777777" w:rsidR="00D64512" w:rsidRPr="00D64512" w:rsidRDefault="00D64512" w:rsidP="00D64512">
            <w:pPr>
              <w:pStyle w:val="CDITable-RowLeft"/>
              <w:rPr>
                <w:sz w:val="17"/>
                <w:szCs w:val="17"/>
              </w:rPr>
            </w:pPr>
            <w:r w:rsidRPr="00D64512">
              <w:rPr>
                <w:sz w:val="17"/>
                <w:szCs w:val="17"/>
              </w:rPr>
              <w:t>NT</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C85C34F" w14:textId="77777777" w:rsidR="00D64512" w:rsidRPr="00D64512" w:rsidRDefault="00D64512" w:rsidP="00D64512">
            <w:pPr>
              <w:pStyle w:val="CDITable-RowCentre"/>
              <w:rPr>
                <w:sz w:val="17"/>
                <w:szCs w:val="17"/>
              </w:rPr>
            </w:pPr>
            <w:r w:rsidRPr="00D64512">
              <w:rPr>
                <w:sz w:val="17"/>
                <w:szCs w:val="17"/>
              </w:rPr>
              <w:t>52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2A283CA" w14:textId="77777777" w:rsidR="00D64512" w:rsidRPr="00D64512" w:rsidRDefault="00D64512" w:rsidP="00D64512">
            <w:pPr>
              <w:pStyle w:val="CDITable-RowCentre"/>
              <w:rPr>
                <w:sz w:val="17"/>
                <w:szCs w:val="17"/>
              </w:rPr>
            </w:pPr>
            <w:r w:rsidRPr="00D64512">
              <w:rPr>
                <w:sz w:val="17"/>
                <w:szCs w:val="17"/>
              </w:rPr>
              <w:t>21.4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FA6D145"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DB72BB2"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140729"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6636BE9" w14:textId="77777777" w:rsidR="00D64512" w:rsidRPr="00D64512" w:rsidRDefault="00D64512" w:rsidP="00D64512">
            <w:pPr>
              <w:pStyle w:val="CDITable-RowCentre"/>
              <w:rPr>
                <w:sz w:val="17"/>
                <w:szCs w:val="17"/>
              </w:rPr>
            </w:pPr>
            <w:r w:rsidRPr="00D64512">
              <w:rPr>
                <w:sz w:val="17"/>
                <w:szCs w:val="17"/>
              </w:rPr>
              <w:t>0.0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F2FB670" w14:textId="77777777" w:rsidR="00D64512" w:rsidRPr="00D64512" w:rsidRDefault="00D64512" w:rsidP="00D64512">
            <w:pPr>
              <w:pStyle w:val="CDITable-RowCentre"/>
              <w:rPr>
                <w:sz w:val="17"/>
                <w:szCs w:val="17"/>
              </w:rPr>
            </w:pPr>
            <w:r w:rsidRPr="00D64512">
              <w:rPr>
                <w:sz w:val="17"/>
                <w:szCs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476DD00" w14:textId="77777777" w:rsidR="00D64512" w:rsidRPr="00D64512" w:rsidRDefault="00D64512" w:rsidP="00D64512">
            <w:pPr>
              <w:pStyle w:val="CDITable-RowCentre"/>
              <w:rPr>
                <w:sz w:val="17"/>
                <w:szCs w:val="17"/>
              </w:rPr>
            </w:pPr>
            <w:r w:rsidRPr="00D64512">
              <w:rPr>
                <w:sz w:val="17"/>
                <w:szCs w:val="17"/>
              </w:rPr>
              <w:t>0.8</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F091B93"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B739053"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B748349" w14:textId="77777777" w:rsidR="00D64512" w:rsidRPr="00D64512" w:rsidRDefault="00D64512" w:rsidP="00D64512">
            <w:pPr>
              <w:pStyle w:val="CDITable-RowCentre"/>
              <w:rPr>
                <w:sz w:val="17"/>
                <w:szCs w:val="17"/>
              </w:rPr>
            </w:pPr>
            <w:r w:rsidRPr="00D64512">
              <w:rPr>
                <w:sz w:val="17"/>
                <w:szCs w:val="17"/>
              </w:rPr>
              <w:t>31</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FDD7E22" w14:textId="77777777" w:rsidR="00D64512" w:rsidRPr="00D64512" w:rsidRDefault="00D64512" w:rsidP="00D64512">
            <w:pPr>
              <w:pStyle w:val="CDITable-RowCentre"/>
              <w:rPr>
                <w:sz w:val="17"/>
                <w:szCs w:val="17"/>
              </w:rPr>
            </w:pPr>
            <w:r w:rsidRPr="00D64512">
              <w:rPr>
                <w:sz w:val="17"/>
                <w:szCs w:val="17"/>
              </w:rPr>
              <w:t>12.6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F3CA670"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4C9C020"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ADC5042" w14:textId="77777777" w:rsidR="00D64512" w:rsidRPr="00D64512" w:rsidRDefault="00D64512" w:rsidP="00D64512">
            <w:pPr>
              <w:pStyle w:val="CDITable-RowCentre"/>
              <w:rPr>
                <w:sz w:val="17"/>
                <w:szCs w:val="17"/>
              </w:rPr>
            </w:pPr>
            <w:r w:rsidRPr="00D64512">
              <w:rPr>
                <w:sz w:val="17"/>
                <w:szCs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0FFDC81"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2BB0354"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B7B656A"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7EE5A51" w14:textId="77777777" w:rsidR="00D64512" w:rsidRPr="00D64512" w:rsidRDefault="00D64512" w:rsidP="00D64512">
            <w:pPr>
              <w:pStyle w:val="CDITable-RowCentre"/>
              <w:rPr>
                <w:sz w:val="17"/>
                <w:szCs w:val="17"/>
              </w:rPr>
            </w:pPr>
            <w:r w:rsidRPr="00D64512">
              <w:rPr>
                <w:sz w:val="17"/>
                <w:szCs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E0BA1DA" w14:textId="77777777" w:rsidR="00D64512" w:rsidRPr="00D64512" w:rsidRDefault="00D64512" w:rsidP="00D64512">
            <w:pPr>
              <w:pStyle w:val="CDITable-RowCentre"/>
              <w:rPr>
                <w:sz w:val="17"/>
                <w:szCs w:val="17"/>
              </w:rPr>
            </w:pPr>
            <w:r w:rsidRPr="00D64512">
              <w:rPr>
                <w:sz w:val="17"/>
                <w:szCs w:val="17"/>
              </w:rPr>
              <w:t>0.0</w:t>
            </w:r>
          </w:p>
        </w:tc>
        <w:tc>
          <w:tcPr>
            <w:tcW w:w="538"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4D0C87" w14:textId="77777777" w:rsidR="00D64512" w:rsidRPr="00D64512" w:rsidRDefault="00D64512" w:rsidP="00D64512">
            <w:pPr>
              <w:pStyle w:val="CDITable-RowCentre"/>
              <w:rPr>
                <w:sz w:val="17"/>
                <w:szCs w:val="17"/>
              </w:rPr>
            </w:pPr>
            <w:r w:rsidRPr="00D64512">
              <w:rPr>
                <w:sz w:val="17"/>
                <w:szCs w:val="17"/>
              </w:rPr>
              <w:t>85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9E652D6" w14:textId="77777777" w:rsidR="00D64512" w:rsidRPr="00D64512" w:rsidRDefault="00D64512" w:rsidP="00D64512">
            <w:pPr>
              <w:pStyle w:val="CDITable-RowCentre"/>
              <w:rPr>
                <w:sz w:val="17"/>
                <w:szCs w:val="17"/>
              </w:rPr>
            </w:pPr>
            <w:r w:rsidRPr="00D64512">
              <w:rPr>
                <w:sz w:val="17"/>
                <w:szCs w:val="17"/>
              </w:rPr>
              <w:t>32.6</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404B3A2" w14:textId="77777777" w:rsidR="00D64512" w:rsidRPr="00D64512" w:rsidRDefault="00D64512" w:rsidP="00D64512">
            <w:pPr>
              <w:pStyle w:val="CDITable-RowCentre"/>
              <w:rPr>
                <w:sz w:val="17"/>
                <w:szCs w:val="17"/>
              </w:rPr>
            </w:pPr>
            <w:r w:rsidRPr="00D64512">
              <w:rPr>
                <w:sz w:val="17"/>
                <w:szCs w:val="17"/>
              </w:rPr>
              <w:t>5.80</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36C2A2A" w14:textId="77777777" w:rsidR="00D64512" w:rsidRPr="00D64512" w:rsidRDefault="00D64512" w:rsidP="00D64512">
            <w:pPr>
              <w:pStyle w:val="CDITable-RowCentre"/>
              <w:rPr>
                <w:sz w:val="17"/>
                <w:szCs w:val="17"/>
              </w:rPr>
            </w:pPr>
            <w:r w:rsidRPr="00D64512">
              <w:rPr>
                <w:sz w:val="17"/>
                <w:szCs w:val="17"/>
              </w:rPr>
              <w:t>0.00</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79A5EB4" w14:textId="77777777" w:rsidR="00D64512" w:rsidRPr="00D64512" w:rsidRDefault="00D64512" w:rsidP="00D64512">
            <w:pPr>
              <w:pStyle w:val="CDITable-RowCentre"/>
              <w:rPr>
                <w:sz w:val="17"/>
                <w:szCs w:val="17"/>
              </w:rPr>
            </w:pPr>
            <w:r w:rsidRPr="00D64512">
              <w:rPr>
                <w:sz w:val="17"/>
                <w:szCs w:val="17"/>
              </w:rPr>
              <w:t>—</w:t>
            </w:r>
          </w:p>
        </w:tc>
      </w:tr>
      <w:tr w:rsidR="00D64512" w:rsidRPr="00D64512" w14:paraId="2A9F5365" w14:textId="77777777" w:rsidTr="009A5CBB">
        <w:trPr>
          <w:trHeight w:val="60"/>
        </w:trPr>
        <w:tc>
          <w:tcPr>
            <w:tcW w:w="1134"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605A0E5" w14:textId="77777777" w:rsidR="00D64512" w:rsidRPr="00D64512" w:rsidRDefault="00D64512" w:rsidP="00D64512">
            <w:pPr>
              <w:pStyle w:val="CDITable-RowLeft"/>
              <w:rPr>
                <w:sz w:val="17"/>
                <w:szCs w:val="17"/>
              </w:rPr>
            </w:pPr>
            <w:r w:rsidRPr="00D64512">
              <w:rPr>
                <w:sz w:val="17"/>
                <w:szCs w:val="17"/>
              </w:rPr>
              <w:t>Qld</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0FA7033" w14:textId="77777777" w:rsidR="00D64512" w:rsidRPr="00D64512" w:rsidRDefault="00D64512" w:rsidP="00D64512">
            <w:pPr>
              <w:pStyle w:val="CDITable-RowCentre"/>
              <w:rPr>
                <w:sz w:val="17"/>
                <w:szCs w:val="17"/>
              </w:rPr>
            </w:pPr>
            <w:r w:rsidRPr="00D64512">
              <w:rPr>
                <w:sz w:val="17"/>
                <w:szCs w:val="17"/>
              </w:rPr>
              <w:t>72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2AF036F" w14:textId="77777777" w:rsidR="00D64512" w:rsidRPr="00D64512" w:rsidRDefault="00D64512" w:rsidP="00D64512">
            <w:pPr>
              <w:pStyle w:val="CDITable-RowCentre"/>
              <w:rPr>
                <w:sz w:val="17"/>
                <w:szCs w:val="17"/>
              </w:rPr>
            </w:pPr>
            <w:r w:rsidRPr="00D64512">
              <w:rPr>
                <w:sz w:val="17"/>
                <w:szCs w:val="17"/>
              </w:rPr>
              <w:t>1.5</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2387ED" w14:textId="77777777" w:rsidR="00D64512" w:rsidRPr="00D64512" w:rsidRDefault="00D64512" w:rsidP="00D64512">
            <w:pPr>
              <w:pStyle w:val="CDITable-RowCentre"/>
              <w:rPr>
                <w:sz w:val="17"/>
                <w:szCs w:val="17"/>
              </w:rPr>
            </w:pPr>
            <w:r w:rsidRPr="00D64512">
              <w:rPr>
                <w:sz w:val="17"/>
                <w:szCs w:val="17"/>
              </w:rPr>
              <w:t>21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12262D6" w14:textId="77777777" w:rsidR="00D64512" w:rsidRPr="00D64512" w:rsidRDefault="00D64512" w:rsidP="00D64512">
            <w:pPr>
              <w:pStyle w:val="CDITable-RowCentre"/>
              <w:rPr>
                <w:sz w:val="17"/>
                <w:szCs w:val="17"/>
              </w:rPr>
            </w:pPr>
            <w:r w:rsidRPr="00D64512">
              <w:rPr>
                <w:sz w:val="17"/>
                <w:szCs w:val="17"/>
              </w:rPr>
              <w:t>0.4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F364B67" w14:textId="77777777" w:rsidR="00D64512" w:rsidRPr="00D64512" w:rsidRDefault="00D64512" w:rsidP="00D64512">
            <w:pPr>
              <w:pStyle w:val="CDITable-RowCentre"/>
              <w:rPr>
                <w:sz w:val="17"/>
                <w:szCs w:val="17"/>
              </w:rPr>
            </w:pPr>
            <w:r w:rsidRPr="00D64512">
              <w:rPr>
                <w:sz w:val="17"/>
                <w:szCs w:val="17"/>
              </w:rPr>
              <w:t>15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0F76B3A" w14:textId="77777777" w:rsidR="00D64512" w:rsidRPr="00D64512" w:rsidRDefault="00D64512" w:rsidP="00D64512">
            <w:pPr>
              <w:pStyle w:val="CDITable-RowCentre"/>
              <w:rPr>
                <w:sz w:val="17"/>
                <w:szCs w:val="17"/>
              </w:rPr>
            </w:pPr>
            <w:r w:rsidRPr="00D64512">
              <w:rPr>
                <w:sz w:val="17"/>
                <w:szCs w:val="17"/>
              </w:rPr>
              <w:t>0.3</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ED94B44" w14:textId="77777777" w:rsidR="00D64512" w:rsidRPr="00D64512" w:rsidRDefault="00D64512" w:rsidP="00D64512">
            <w:pPr>
              <w:pStyle w:val="CDITable-RowCentre"/>
              <w:rPr>
                <w:sz w:val="17"/>
                <w:szCs w:val="17"/>
              </w:rPr>
            </w:pPr>
            <w:r w:rsidRPr="00D64512">
              <w:rPr>
                <w:sz w:val="17"/>
                <w:szCs w:val="17"/>
              </w:rPr>
              <w:t>8</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1293636"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511980A" w14:textId="77777777" w:rsidR="00D64512" w:rsidRPr="00D64512" w:rsidRDefault="00D64512" w:rsidP="00D64512">
            <w:pPr>
              <w:pStyle w:val="CDITable-RowCentre"/>
              <w:rPr>
                <w:sz w:val="17"/>
                <w:szCs w:val="17"/>
              </w:rPr>
            </w:pPr>
            <w:r w:rsidRPr="00D64512">
              <w:rPr>
                <w:sz w:val="17"/>
                <w:szCs w:val="17"/>
              </w:rPr>
              <w:t>14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F026E55" w14:textId="77777777" w:rsidR="00D64512" w:rsidRPr="00D64512" w:rsidRDefault="00D64512" w:rsidP="00D64512">
            <w:pPr>
              <w:pStyle w:val="CDITable-RowCentre"/>
              <w:rPr>
                <w:sz w:val="17"/>
                <w:szCs w:val="17"/>
              </w:rPr>
            </w:pPr>
            <w:r w:rsidRPr="00D64512">
              <w:rPr>
                <w:sz w:val="17"/>
                <w:szCs w:val="17"/>
              </w:rPr>
              <w:t>0.3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B4F7D48" w14:textId="77777777" w:rsidR="00D64512" w:rsidRPr="00D64512" w:rsidRDefault="00D64512" w:rsidP="00D64512">
            <w:pPr>
              <w:pStyle w:val="CDITable-RowCentre"/>
              <w:rPr>
                <w:sz w:val="17"/>
                <w:szCs w:val="17"/>
              </w:rPr>
            </w:pPr>
            <w:r w:rsidRPr="00D64512">
              <w:rPr>
                <w:sz w:val="17"/>
                <w:szCs w:val="17"/>
              </w:rPr>
              <w:t>74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3861B28" w14:textId="77777777" w:rsidR="00D64512" w:rsidRPr="00D64512" w:rsidRDefault="00D64512" w:rsidP="00D64512">
            <w:pPr>
              <w:pStyle w:val="CDITable-RowCentre"/>
              <w:rPr>
                <w:sz w:val="17"/>
                <w:szCs w:val="17"/>
              </w:rPr>
            </w:pPr>
            <w:r w:rsidRPr="00D64512">
              <w:rPr>
                <w:sz w:val="17"/>
                <w:szCs w:val="17"/>
              </w:rPr>
              <w:t>1.5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ACCABDE" w14:textId="77777777" w:rsidR="00D64512" w:rsidRPr="00D64512" w:rsidRDefault="00D64512" w:rsidP="00D64512">
            <w:pPr>
              <w:pStyle w:val="CDITable-RowCentre"/>
              <w:rPr>
                <w:sz w:val="17"/>
                <w:szCs w:val="17"/>
              </w:rPr>
            </w:pPr>
            <w:r w:rsidRPr="00D64512">
              <w:rPr>
                <w:sz w:val="17"/>
                <w:szCs w:val="17"/>
              </w:rPr>
              <w:t>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8EA316D"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B76EAE8" w14:textId="77777777" w:rsidR="00D64512" w:rsidRPr="00D64512" w:rsidRDefault="00D64512" w:rsidP="00D64512">
            <w:pPr>
              <w:pStyle w:val="CDITable-RowCentre"/>
              <w:rPr>
                <w:sz w:val="17"/>
                <w:szCs w:val="17"/>
              </w:rPr>
            </w:pPr>
            <w:r w:rsidRPr="00D64512">
              <w:rPr>
                <w:sz w:val="17"/>
                <w:szCs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C1E849F"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9D2A665" w14:textId="77777777" w:rsidR="00D64512" w:rsidRPr="00D64512" w:rsidRDefault="00D64512" w:rsidP="00D64512">
            <w:pPr>
              <w:pStyle w:val="CDITable-RowCentre"/>
              <w:rPr>
                <w:sz w:val="17"/>
                <w:szCs w:val="17"/>
              </w:rPr>
            </w:pPr>
            <w:r w:rsidRPr="00D64512">
              <w:rPr>
                <w:sz w:val="17"/>
                <w:szCs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1465A58"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30499F1" w14:textId="77777777" w:rsidR="00D64512" w:rsidRPr="00D64512" w:rsidRDefault="00D64512" w:rsidP="00D64512">
            <w:pPr>
              <w:pStyle w:val="CDITable-RowCentre"/>
              <w:rPr>
                <w:sz w:val="17"/>
                <w:szCs w:val="17"/>
              </w:rPr>
            </w:pPr>
            <w:r w:rsidRPr="00D64512">
              <w:rPr>
                <w:sz w:val="17"/>
                <w:szCs w:val="17"/>
              </w:rPr>
              <w:t>9</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2928055" w14:textId="77777777" w:rsidR="00D64512" w:rsidRPr="00D64512" w:rsidRDefault="00D64512" w:rsidP="00D64512">
            <w:pPr>
              <w:pStyle w:val="CDITable-RowCentre"/>
              <w:rPr>
                <w:sz w:val="17"/>
                <w:szCs w:val="17"/>
              </w:rPr>
            </w:pPr>
            <w:r w:rsidRPr="00D64512">
              <w:rPr>
                <w:sz w:val="17"/>
                <w:szCs w:val="17"/>
              </w:rPr>
              <w:t>0.2</w:t>
            </w:r>
          </w:p>
        </w:tc>
        <w:tc>
          <w:tcPr>
            <w:tcW w:w="538"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951DED2" w14:textId="77777777" w:rsidR="00D64512" w:rsidRPr="00D64512" w:rsidRDefault="00D64512" w:rsidP="00D64512">
            <w:pPr>
              <w:pStyle w:val="CDITable-RowCentre"/>
              <w:rPr>
                <w:sz w:val="17"/>
                <w:szCs w:val="17"/>
              </w:rPr>
            </w:pPr>
            <w:r w:rsidRPr="00D64512">
              <w:rPr>
                <w:sz w:val="17"/>
                <w:szCs w:val="17"/>
              </w:rPr>
              <w:t>224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4DE02FE" w14:textId="77777777" w:rsidR="00D64512" w:rsidRPr="00D64512" w:rsidRDefault="00D64512" w:rsidP="00D64512">
            <w:pPr>
              <w:pStyle w:val="CDITable-RowCentre"/>
              <w:rPr>
                <w:sz w:val="17"/>
                <w:szCs w:val="17"/>
              </w:rPr>
            </w:pPr>
            <w:r w:rsidRPr="00D64512">
              <w:rPr>
                <w:sz w:val="17"/>
                <w:szCs w:val="17"/>
              </w:rPr>
              <w:t>4.0</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425BFE9" w14:textId="77777777" w:rsidR="00D64512" w:rsidRPr="00D64512" w:rsidRDefault="00D64512" w:rsidP="00D64512">
            <w:pPr>
              <w:pStyle w:val="CDITable-RowCentre"/>
              <w:rPr>
                <w:sz w:val="17"/>
                <w:szCs w:val="17"/>
              </w:rPr>
            </w:pPr>
            <w:r w:rsidRPr="00D64512">
              <w:rPr>
                <w:sz w:val="17"/>
                <w:szCs w:val="17"/>
              </w:rPr>
              <w:t>0.70</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7402E3B" w14:textId="77777777" w:rsidR="00D64512" w:rsidRPr="00D64512" w:rsidRDefault="00D64512" w:rsidP="00D64512">
            <w:pPr>
              <w:pStyle w:val="CDITable-RowCentre"/>
              <w:rPr>
                <w:sz w:val="17"/>
                <w:szCs w:val="17"/>
              </w:rPr>
            </w:pPr>
            <w:r w:rsidRPr="00D64512">
              <w:rPr>
                <w:sz w:val="17"/>
                <w:szCs w:val="17"/>
              </w:rPr>
              <w:t>0.08</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43A4614" w14:textId="77777777" w:rsidR="00D64512" w:rsidRPr="00D64512" w:rsidRDefault="00D64512" w:rsidP="00D64512">
            <w:pPr>
              <w:pStyle w:val="CDITable-RowCentre"/>
              <w:rPr>
                <w:sz w:val="17"/>
                <w:szCs w:val="17"/>
              </w:rPr>
            </w:pPr>
            <w:r w:rsidRPr="00D64512">
              <w:rPr>
                <w:sz w:val="17"/>
                <w:szCs w:val="17"/>
              </w:rPr>
              <w:t>8.75</w:t>
            </w:r>
          </w:p>
        </w:tc>
      </w:tr>
      <w:tr w:rsidR="00D64512" w:rsidRPr="00D64512" w14:paraId="4D7642A5" w14:textId="77777777" w:rsidTr="009A5CBB">
        <w:trPr>
          <w:trHeight w:val="60"/>
        </w:trPr>
        <w:tc>
          <w:tcPr>
            <w:tcW w:w="1134"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D4F1345" w14:textId="77777777" w:rsidR="00D64512" w:rsidRPr="00D64512" w:rsidRDefault="00D64512" w:rsidP="00D64512">
            <w:pPr>
              <w:pStyle w:val="CDITable-RowLeft"/>
              <w:rPr>
                <w:sz w:val="17"/>
                <w:szCs w:val="17"/>
              </w:rPr>
            </w:pPr>
            <w:r w:rsidRPr="00D64512">
              <w:rPr>
                <w:sz w:val="17"/>
                <w:szCs w:val="17"/>
              </w:rPr>
              <w:t>SA</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DA32625" w14:textId="77777777" w:rsidR="00D64512" w:rsidRPr="00D64512" w:rsidRDefault="00D64512" w:rsidP="00D64512">
            <w:pPr>
              <w:pStyle w:val="CDITable-RowCentre"/>
              <w:rPr>
                <w:sz w:val="17"/>
                <w:szCs w:val="17"/>
              </w:rPr>
            </w:pPr>
            <w:r w:rsidRPr="00D64512">
              <w:rPr>
                <w:sz w:val="17"/>
                <w:szCs w:val="17"/>
              </w:rPr>
              <w:t>16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6FB1862" w14:textId="77777777" w:rsidR="00D64512" w:rsidRPr="00D64512" w:rsidRDefault="00D64512" w:rsidP="00D64512">
            <w:pPr>
              <w:pStyle w:val="CDITable-RowCentre"/>
              <w:rPr>
                <w:sz w:val="17"/>
                <w:szCs w:val="17"/>
              </w:rPr>
            </w:pPr>
            <w:r w:rsidRPr="00D64512">
              <w:rPr>
                <w:sz w:val="17"/>
                <w:szCs w:val="17"/>
              </w:rPr>
              <w:t>0.9</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9E33142" w14:textId="77777777" w:rsidR="00D64512" w:rsidRPr="00D64512" w:rsidRDefault="00D64512" w:rsidP="00D64512">
            <w:pPr>
              <w:pStyle w:val="CDITable-RowCentre"/>
              <w:rPr>
                <w:sz w:val="17"/>
                <w:szCs w:val="17"/>
              </w:rPr>
            </w:pPr>
            <w:r w:rsidRPr="00D64512">
              <w:rPr>
                <w:sz w:val="17"/>
                <w:szCs w:val="17"/>
              </w:rPr>
              <w:t>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BE579A8"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D790337" w14:textId="77777777" w:rsidR="00D64512" w:rsidRPr="00D64512" w:rsidRDefault="00D64512" w:rsidP="00D64512">
            <w:pPr>
              <w:pStyle w:val="CDITable-RowCentre"/>
              <w:rPr>
                <w:sz w:val="17"/>
                <w:szCs w:val="17"/>
              </w:rPr>
            </w:pPr>
            <w:r w:rsidRPr="00D64512">
              <w:rPr>
                <w:sz w:val="17"/>
                <w:szCs w:val="17"/>
              </w:rPr>
              <w:t>11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67D1F02" w14:textId="77777777" w:rsidR="00D64512" w:rsidRPr="00D64512" w:rsidRDefault="00D64512" w:rsidP="00D64512">
            <w:pPr>
              <w:pStyle w:val="CDITable-RowCentre"/>
              <w:rPr>
                <w:sz w:val="17"/>
                <w:szCs w:val="17"/>
              </w:rPr>
            </w:pPr>
            <w:r w:rsidRPr="00D64512">
              <w:rPr>
                <w:sz w:val="17"/>
                <w:szCs w:val="17"/>
              </w:rPr>
              <w:t>0.6</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91B7B40" w14:textId="77777777" w:rsidR="00D64512" w:rsidRPr="00D64512" w:rsidRDefault="00D64512" w:rsidP="00D64512">
            <w:pPr>
              <w:pStyle w:val="CDITable-RowCentre"/>
              <w:rPr>
                <w:sz w:val="17"/>
                <w:szCs w:val="17"/>
              </w:rPr>
            </w:pPr>
            <w:r w:rsidRPr="00D64512">
              <w:rPr>
                <w:sz w:val="17"/>
                <w:szCs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E5412E6"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A65FACA" w14:textId="77777777" w:rsidR="00D64512" w:rsidRPr="00D64512" w:rsidRDefault="00D64512" w:rsidP="00D64512">
            <w:pPr>
              <w:pStyle w:val="CDITable-RowCentre"/>
              <w:rPr>
                <w:sz w:val="17"/>
                <w:szCs w:val="17"/>
              </w:rPr>
            </w:pPr>
            <w:r w:rsidRPr="00D64512">
              <w:rPr>
                <w:sz w:val="17"/>
                <w:szCs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552ED54"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967701A" w14:textId="77777777" w:rsidR="00D64512" w:rsidRPr="00D64512" w:rsidRDefault="00D64512" w:rsidP="00D64512">
            <w:pPr>
              <w:pStyle w:val="CDITable-RowCentre"/>
              <w:rPr>
                <w:sz w:val="17"/>
                <w:szCs w:val="17"/>
              </w:rPr>
            </w:pPr>
            <w:r w:rsidRPr="00D64512">
              <w:rPr>
                <w:sz w:val="17"/>
                <w:szCs w:val="17"/>
              </w:rPr>
              <w:t>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0448551"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BB2F3F"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B104DEB"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B89F587" w14:textId="77777777" w:rsidR="00D64512" w:rsidRPr="00D64512" w:rsidRDefault="00D64512" w:rsidP="00D64512">
            <w:pPr>
              <w:pStyle w:val="CDITable-RowCentre"/>
              <w:rPr>
                <w:sz w:val="17"/>
                <w:szCs w:val="17"/>
              </w:rPr>
            </w:pPr>
            <w:r w:rsidRPr="00D64512">
              <w:rPr>
                <w:sz w:val="17"/>
                <w:szCs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69D2EFB"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720459A" w14:textId="77777777" w:rsidR="00D64512" w:rsidRPr="00D64512" w:rsidRDefault="00D64512" w:rsidP="00D64512">
            <w:pPr>
              <w:pStyle w:val="CDITable-RowCentre"/>
              <w:rPr>
                <w:sz w:val="17"/>
                <w:szCs w:val="17"/>
              </w:rPr>
            </w:pPr>
            <w:r w:rsidRPr="00D64512">
              <w:rPr>
                <w:sz w:val="17"/>
                <w:szCs w:val="17"/>
              </w:rPr>
              <w:t>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C1AE681"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09E098" w14:textId="77777777" w:rsidR="00D64512" w:rsidRPr="00D64512" w:rsidRDefault="00D64512" w:rsidP="00D64512">
            <w:pPr>
              <w:pStyle w:val="CDITable-RowCentre"/>
              <w:rPr>
                <w:sz w:val="17"/>
                <w:szCs w:val="17"/>
              </w:rPr>
            </w:pPr>
            <w:r w:rsidRPr="00D64512">
              <w:rPr>
                <w:sz w:val="17"/>
                <w:szCs w:val="17"/>
              </w:rPr>
              <w:t>6</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8F9F944" w14:textId="77777777" w:rsidR="00D64512" w:rsidRPr="00D64512" w:rsidRDefault="00D64512" w:rsidP="00D64512">
            <w:pPr>
              <w:pStyle w:val="CDITable-RowCentre"/>
              <w:rPr>
                <w:sz w:val="17"/>
                <w:szCs w:val="17"/>
              </w:rPr>
            </w:pPr>
            <w:r w:rsidRPr="00D64512">
              <w:rPr>
                <w:sz w:val="17"/>
                <w:szCs w:val="17"/>
              </w:rPr>
              <w:t>0.3</w:t>
            </w:r>
          </w:p>
        </w:tc>
        <w:tc>
          <w:tcPr>
            <w:tcW w:w="538"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8DC7B93" w14:textId="77777777" w:rsidR="00D64512" w:rsidRPr="00D64512" w:rsidRDefault="00D64512" w:rsidP="00D64512">
            <w:pPr>
              <w:pStyle w:val="CDITable-RowCentre"/>
              <w:rPr>
                <w:sz w:val="17"/>
                <w:szCs w:val="17"/>
              </w:rPr>
            </w:pPr>
            <w:r w:rsidRPr="00D64512">
              <w:rPr>
                <w:sz w:val="17"/>
                <w:szCs w:val="17"/>
              </w:rPr>
              <w:t>47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D7D7005" w14:textId="77777777" w:rsidR="00D64512" w:rsidRPr="00D64512" w:rsidRDefault="00D64512" w:rsidP="00D64512">
            <w:pPr>
              <w:pStyle w:val="CDITable-RowCentre"/>
              <w:rPr>
                <w:sz w:val="17"/>
                <w:szCs w:val="17"/>
              </w:rPr>
            </w:pPr>
            <w:r w:rsidRPr="00D64512">
              <w:rPr>
                <w:sz w:val="17"/>
                <w:szCs w:val="17"/>
              </w:rPr>
              <w:t>2.5</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03F63CF" w14:textId="77777777" w:rsidR="00D64512" w:rsidRPr="00D64512" w:rsidRDefault="00D64512" w:rsidP="00D64512">
            <w:pPr>
              <w:pStyle w:val="CDITable-RowCentre"/>
              <w:rPr>
                <w:sz w:val="17"/>
                <w:szCs w:val="17"/>
              </w:rPr>
            </w:pPr>
            <w:r w:rsidRPr="00D64512">
              <w:rPr>
                <w:sz w:val="17"/>
                <w:szCs w:val="17"/>
              </w:rPr>
              <w:t>0.35</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AE4B692" w14:textId="77777777" w:rsidR="00D64512" w:rsidRPr="00D64512" w:rsidRDefault="00D64512" w:rsidP="00D64512">
            <w:pPr>
              <w:pStyle w:val="CDITable-RowCentre"/>
              <w:rPr>
                <w:sz w:val="17"/>
                <w:szCs w:val="17"/>
              </w:rPr>
            </w:pPr>
            <w:r w:rsidRPr="00D64512">
              <w:rPr>
                <w:sz w:val="17"/>
                <w:szCs w:val="17"/>
              </w:rPr>
              <w:t>0.10</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33CC5A0" w14:textId="77777777" w:rsidR="00D64512" w:rsidRPr="00D64512" w:rsidRDefault="00D64512" w:rsidP="00D64512">
            <w:pPr>
              <w:pStyle w:val="CDITable-RowCentre"/>
              <w:rPr>
                <w:sz w:val="17"/>
                <w:szCs w:val="17"/>
              </w:rPr>
            </w:pPr>
            <w:r w:rsidRPr="00D64512">
              <w:rPr>
                <w:sz w:val="17"/>
                <w:szCs w:val="17"/>
              </w:rPr>
              <w:t>3.50</w:t>
            </w:r>
          </w:p>
        </w:tc>
      </w:tr>
      <w:tr w:rsidR="00D64512" w:rsidRPr="00D64512" w14:paraId="250E17C2" w14:textId="77777777" w:rsidTr="009A5CBB">
        <w:trPr>
          <w:trHeight w:val="60"/>
        </w:trPr>
        <w:tc>
          <w:tcPr>
            <w:tcW w:w="1134"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CE7A4A3" w14:textId="77777777" w:rsidR="00D64512" w:rsidRPr="00D64512" w:rsidRDefault="00D64512" w:rsidP="00D64512">
            <w:pPr>
              <w:pStyle w:val="CDITable-RowLeft"/>
              <w:rPr>
                <w:sz w:val="17"/>
                <w:szCs w:val="17"/>
              </w:rPr>
            </w:pPr>
            <w:r w:rsidRPr="00D64512">
              <w:rPr>
                <w:sz w:val="17"/>
                <w:szCs w:val="17"/>
              </w:rPr>
              <w:t>Tas.</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DA3D2E2" w14:textId="77777777" w:rsidR="00D64512" w:rsidRPr="00D64512" w:rsidRDefault="00D64512" w:rsidP="00D64512">
            <w:pPr>
              <w:pStyle w:val="CDITable-RowCentre"/>
              <w:rPr>
                <w:sz w:val="17"/>
                <w:szCs w:val="17"/>
              </w:rPr>
            </w:pPr>
            <w:r w:rsidRPr="00D64512">
              <w:rPr>
                <w:sz w:val="17"/>
                <w:szCs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0DE27DB" w14:textId="77777777" w:rsidR="00D64512" w:rsidRPr="00D64512" w:rsidRDefault="00D64512" w:rsidP="00D64512">
            <w:pPr>
              <w:pStyle w:val="CDITable-RowCentre"/>
              <w:rPr>
                <w:sz w:val="17"/>
                <w:szCs w:val="17"/>
              </w:rPr>
            </w:pPr>
            <w:r w:rsidRPr="00D64512">
              <w:rPr>
                <w:sz w:val="17"/>
                <w:szCs w:val="17"/>
              </w:rPr>
              <w:t>1.0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5ABCADC"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A922CA4"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4C77DCC" w14:textId="77777777" w:rsidR="00D64512" w:rsidRPr="00D64512" w:rsidRDefault="00D64512" w:rsidP="00D64512">
            <w:pPr>
              <w:pStyle w:val="CDITable-RowCentre"/>
              <w:rPr>
                <w:sz w:val="17"/>
                <w:szCs w:val="17"/>
              </w:rPr>
            </w:pPr>
            <w:r w:rsidRPr="00D64512">
              <w:rPr>
                <w:sz w:val="17"/>
                <w:szCs w:val="17"/>
              </w:rPr>
              <w:t>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431DC5E" w14:textId="77777777" w:rsidR="00D64512" w:rsidRPr="00D64512" w:rsidRDefault="00D64512" w:rsidP="00D64512">
            <w:pPr>
              <w:pStyle w:val="CDITable-RowCentre"/>
              <w:rPr>
                <w:sz w:val="17"/>
                <w:szCs w:val="17"/>
              </w:rPr>
            </w:pPr>
            <w:r w:rsidRPr="00D64512">
              <w:rPr>
                <w:sz w:val="17"/>
                <w:szCs w:val="17"/>
              </w:rPr>
              <w:t>0.6</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DFD326"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0B419D9"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850406C" w14:textId="77777777" w:rsidR="00D64512" w:rsidRPr="00D64512" w:rsidRDefault="00D64512" w:rsidP="00D64512">
            <w:pPr>
              <w:pStyle w:val="CDITable-RowCentre"/>
              <w:rPr>
                <w:sz w:val="17"/>
                <w:szCs w:val="17"/>
              </w:rPr>
            </w:pPr>
            <w:r w:rsidRPr="00D64512">
              <w:rPr>
                <w:sz w:val="17"/>
                <w:szCs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9C4379D"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7967935" w14:textId="77777777" w:rsidR="00D64512" w:rsidRPr="00D64512" w:rsidRDefault="00D64512" w:rsidP="00D64512">
            <w:pPr>
              <w:pStyle w:val="CDITable-RowCentre"/>
              <w:rPr>
                <w:sz w:val="17"/>
                <w:szCs w:val="17"/>
              </w:rPr>
            </w:pPr>
            <w:r w:rsidRPr="00D64512">
              <w:rPr>
                <w:sz w:val="17"/>
                <w:szCs w:val="17"/>
              </w:rPr>
              <w:t>1</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2B4CF74"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D876FE1" w14:textId="77777777" w:rsidR="00D64512" w:rsidRPr="00D64512" w:rsidRDefault="00D64512" w:rsidP="00D64512">
            <w:pPr>
              <w:pStyle w:val="CDITable-RowCentre"/>
              <w:rPr>
                <w:sz w:val="17"/>
                <w:szCs w:val="17"/>
              </w:rPr>
            </w:pPr>
            <w:r w:rsidRPr="00D64512">
              <w:rPr>
                <w:sz w:val="17"/>
                <w:szCs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FDBE34E"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1ABF5A2" w14:textId="77777777" w:rsidR="00D64512" w:rsidRPr="00D64512" w:rsidRDefault="00D64512" w:rsidP="00D64512">
            <w:pPr>
              <w:pStyle w:val="CDITable-RowCentre"/>
              <w:rPr>
                <w:sz w:val="17"/>
                <w:szCs w:val="17"/>
              </w:rPr>
            </w:pPr>
            <w:r w:rsidRPr="00D64512">
              <w:rPr>
                <w:sz w:val="17"/>
                <w:szCs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CFB40EF"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DF6FF0A" w14:textId="77777777" w:rsidR="00D64512" w:rsidRPr="00D64512" w:rsidRDefault="00D64512" w:rsidP="00D64512">
            <w:pPr>
              <w:pStyle w:val="CDITable-RowCentre"/>
              <w:rPr>
                <w:sz w:val="17"/>
                <w:szCs w:val="17"/>
              </w:rPr>
            </w:pPr>
            <w:r w:rsidRPr="00D64512">
              <w:rPr>
                <w:sz w:val="17"/>
                <w:szCs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7A32A55"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99BB08F" w14:textId="77777777" w:rsidR="00D64512" w:rsidRPr="00D64512" w:rsidRDefault="00D64512" w:rsidP="00D64512">
            <w:pPr>
              <w:pStyle w:val="CDITable-RowCentre"/>
              <w:rPr>
                <w:sz w:val="17"/>
                <w:szCs w:val="17"/>
              </w:rPr>
            </w:pPr>
            <w:r w:rsidRPr="00D64512">
              <w:rPr>
                <w:sz w:val="17"/>
                <w:szCs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4D121D7" w14:textId="77777777" w:rsidR="00D64512" w:rsidRPr="00D64512" w:rsidRDefault="00D64512" w:rsidP="00D64512">
            <w:pPr>
              <w:pStyle w:val="CDITable-RowCentre"/>
              <w:rPr>
                <w:sz w:val="17"/>
                <w:szCs w:val="17"/>
              </w:rPr>
            </w:pPr>
            <w:r w:rsidRPr="00D64512">
              <w:rPr>
                <w:sz w:val="17"/>
                <w:szCs w:val="17"/>
              </w:rPr>
              <w:t>0.0</w:t>
            </w:r>
          </w:p>
        </w:tc>
        <w:tc>
          <w:tcPr>
            <w:tcW w:w="538"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60BD7F2" w14:textId="77777777" w:rsidR="00D64512" w:rsidRPr="00D64512" w:rsidRDefault="00D64512" w:rsidP="00D64512">
            <w:pPr>
              <w:pStyle w:val="CDITable-RowCentre"/>
              <w:rPr>
                <w:sz w:val="17"/>
                <w:szCs w:val="17"/>
              </w:rPr>
            </w:pPr>
            <w:r w:rsidRPr="00D64512">
              <w:rPr>
                <w:sz w:val="17"/>
                <w:szCs w:val="17"/>
              </w:rPr>
              <w:t>11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F684A82" w14:textId="77777777" w:rsidR="00D64512" w:rsidRPr="00D64512" w:rsidRDefault="00D64512" w:rsidP="00D64512">
            <w:pPr>
              <w:pStyle w:val="CDITable-RowCentre"/>
              <w:rPr>
                <w:sz w:val="17"/>
                <w:szCs w:val="17"/>
              </w:rPr>
            </w:pPr>
            <w:r w:rsidRPr="00D64512">
              <w:rPr>
                <w:sz w:val="17"/>
                <w:szCs w:val="17"/>
              </w:rPr>
              <w:t>1.9</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EFF5723" w14:textId="77777777" w:rsidR="00D64512" w:rsidRPr="00D64512" w:rsidRDefault="00D64512" w:rsidP="00D64512">
            <w:pPr>
              <w:pStyle w:val="CDITable-RowCentre"/>
              <w:rPr>
                <w:sz w:val="17"/>
                <w:szCs w:val="17"/>
              </w:rPr>
            </w:pPr>
            <w:r w:rsidRPr="00D64512">
              <w:rPr>
                <w:sz w:val="17"/>
                <w:szCs w:val="17"/>
              </w:rPr>
              <w:t>0.33</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4BEA191" w14:textId="77777777" w:rsidR="00D64512" w:rsidRPr="00D64512" w:rsidRDefault="00D64512" w:rsidP="00D64512">
            <w:pPr>
              <w:pStyle w:val="CDITable-RowCentre"/>
              <w:rPr>
                <w:sz w:val="17"/>
                <w:szCs w:val="17"/>
              </w:rPr>
            </w:pPr>
            <w:r w:rsidRPr="00D64512">
              <w:rPr>
                <w:sz w:val="17"/>
                <w:szCs w:val="17"/>
              </w:rPr>
              <w:t>0.04</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0493F4C" w14:textId="77777777" w:rsidR="00D64512" w:rsidRPr="00D64512" w:rsidRDefault="00D64512" w:rsidP="00D64512">
            <w:pPr>
              <w:pStyle w:val="CDITable-RowCentre"/>
              <w:rPr>
                <w:sz w:val="17"/>
                <w:szCs w:val="17"/>
              </w:rPr>
            </w:pPr>
            <w:r w:rsidRPr="00D64512">
              <w:rPr>
                <w:sz w:val="17"/>
                <w:szCs w:val="17"/>
              </w:rPr>
              <w:t>8.33</w:t>
            </w:r>
          </w:p>
        </w:tc>
      </w:tr>
      <w:tr w:rsidR="00D64512" w:rsidRPr="00D64512" w14:paraId="3CF8D0F3" w14:textId="77777777" w:rsidTr="009A5CBB">
        <w:trPr>
          <w:trHeight w:val="60"/>
        </w:trPr>
        <w:tc>
          <w:tcPr>
            <w:tcW w:w="1134"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8B23C74" w14:textId="77777777" w:rsidR="00D64512" w:rsidRPr="00D64512" w:rsidRDefault="00D64512" w:rsidP="00D64512">
            <w:pPr>
              <w:pStyle w:val="CDITable-RowLeft"/>
              <w:rPr>
                <w:sz w:val="17"/>
                <w:szCs w:val="17"/>
              </w:rPr>
            </w:pPr>
            <w:r w:rsidRPr="00D64512">
              <w:rPr>
                <w:sz w:val="17"/>
                <w:szCs w:val="17"/>
              </w:rPr>
              <w:t>Vic.</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8C5F2D9" w14:textId="77777777" w:rsidR="00D64512" w:rsidRPr="00D64512" w:rsidRDefault="00D64512" w:rsidP="00D64512">
            <w:pPr>
              <w:pStyle w:val="CDITable-RowCentre"/>
              <w:rPr>
                <w:sz w:val="17"/>
                <w:szCs w:val="17"/>
              </w:rPr>
            </w:pPr>
            <w:r w:rsidRPr="00D64512">
              <w:rPr>
                <w:sz w:val="17"/>
                <w:szCs w:val="17"/>
              </w:rPr>
              <w:t>77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D025E53" w14:textId="77777777" w:rsidR="00D64512" w:rsidRPr="00D64512" w:rsidRDefault="00D64512" w:rsidP="00D64512">
            <w:pPr>
              <w:pStyle w:val="CDITable-RowCentre"/>
              <w:rPr>
                <w:sz w:val="17"/>
                <w:szCs w:val="17"/>
              </w:rPr>
            </w:pPr>
            <w:r w:rsidRPr="00D64512">
              <w:rPr>
                <w:sz w:val="17"/>
                <w:szCs w:val="17"/>
              </w:rPr>
              <w:t>1.3</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EE97AC9" w14:textId="77777777" w:rsidR="00D64512" w:rsidRPr="00D64512" w:rsidRDefault="00D64512" w:rsidP="00D64512">
            <w:pPr>
              <w:pStyle w:val="CDITable-RowCentre"/>
              <w:rPr>
                <w:sz w:val="17"/>
                <w:szCs w:val="17"/>
              </w:rPr>
            </w:pPr>
            <w:r w:rsidRPr="00D64512">
              <w:rPr>
                <w:sz w:val="17"/>
                <w:szCs w:val="17"/>
              </w:rPr>
              <w:t>30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E182252" w14:textId="77777777" w:rsidR="00D64512" w:rsidRPr="00D64512" w:rsidRDefault="00D64512" w:rsidP="00D64512">
            <w:pPr>
              <w:pStyle w:val="CDITable-RowCentre"/>
              <w:rPr>
                <w:sz w:val="17"/>
                <w:szCs w:val="17"/>
              </w:rPr>
            </w:pPr>
            <w:r w:rsidRPr="00D64512">
              <w:rPr>
                <w:sz w:val="17"/>
                <w:szCs w:val="17"/>
              </w:rPr>
              <w:t>0.5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EE9918E" w14:textId="77777777" w:rsidR="00D64512" w:rsidRPr="00D64512" w:rsidRDefault="00D64512" w:rsidP="00D64512">
            <w:pPr>
              <w:pStyle w:val="CDITable-RowCentre"/>
              <w:rPr>
                <w:sz w:val="17"/>
                <w:szCs w:val="17"/>
              </w:rPr>
            </w:pPr>
            <w:r w:rsidRPr="00D64512">
              <w:rPr>
                <w:sz w:val="17"/>
                <w:szCs w:val="17"/>
              </w:rPr>
              <w:t>39</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181F8D5" w14:textId="77777777" w:rsidR="00D64512" w:rsidRPr="00D64512" w:rsidRDefault="00D64512" w:rsidP="00D64512">
            <w:pPr>
              <w:pStyle w:val="CDITable-RowCentre"/>
              <w:rPr>
                <w:sz w:val="17"/>
                <w:szCs w:val="17"/>
              </w:rPr>
            </w:pPr>
            <w:r w:rsidRPr="00D64512">
              <w:rPr>
                <w:sz w:val="17"/>
                <w:szCs w:val="17"/>
              </w:rPr>
              <w:t>0.6</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233F425" w14:textId="77777777" w:rsidR="00D64512" w:rsidRPr="00D64512" w:rsidRDefault="00D64512" w:rsidP="00D64512">
            <w:pPr>
              <w:pStyle w:val="CDITable-RowCentre"/>
              <w:rPr>
                <w:sz w:val="17"/>
                <w:szCs w:val="17"/>
              </w:rPr>
            </w:pPr>
            <w:r w:rsidRPr="00D64512">
              <w:rPr>
                <w:sz w:val="17"/>
                <w:szCs w:val="17"/>
              </w:rPr>
              <w:t>21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E2A1771" w14:textId="77777777" w:rsidR="00D64512" w:rsidRPr="00D64512" w:rsidRDefault="00D64512" w:rsidP="00D64512">
            <w:pPr>
              <w:pStyle w:val="CDITable-RowCentre"/>
              <w:rPr>
                <w:sz w:val="17"/>
                <w:szCs w:val="17"/>
              </w:rPr>
            </w:pPr>
            <w:r w:rsidRPr="00D64512">
              <w:rPr>
                <w:sz w:val="17"/>
                <w:szCs w:val="17"/>
              </w:rPr>
              <w:t>0.3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FD22863" w14:textId="77777777" w:rsidR="00D64512" w:rsidRPr="00D64512" w:rsidRDefault="00D64512" w:rsidP="00D64512">
            <w:pPr>
              <w:pStyle w:val="CDITable-RowCentre"/>
              <w:rPr>
                <w:sz w:val="17"/>
                <w:szCs w:val="17"/>
              </w:rPr>
            </w:pPr>
            <w:r w:rsidRPr="00D64512">
              <w:rPr>
                <w:sz w:val="17"/>
                <w:szCs w:val="17"/>
              </w:rPr>
              <w:t>26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C642BBD" w14:textId="77777777" w:rsidR="00D64512" w:rsidRPr="00D64512" w:rsidRDefault="00D64512" w:rsidP="00D64512">
            <w:pPr>
              <w:pStyle w:val="CDITable-RowCentre"/>
              <w:rPr>
                <w:sz w:val="17"/>
                <w:szCs w:val="17"/>
              </w:rPr>
            </w:pPr>
            <w:r w:rsidRPr="00D64512">
              <w:rPr>
                <w:sz w:val="17"/>
                <w:szCs w:val="17"/>
              </w:rPr>
              <w:t>0.4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9EEE055" w14:textId="77777777" w:rsidR="00D64512" w:rsidRPr="00D64512" w:rsidRDefault="00D64512" w:rsidP="00D64512">
            <w:pPr>
              <w:pStyle w:val="CDITable-RowCentre"/>
              <w:rPr>
                <w:sz w:val="17"/>
                <w:szCs w:val="17"/>
              </w:rPr>
            </w:pPr>
            <w:r w:rsidRPr="00D64512">
              <w:rPr>
                <w:sz w:val="17"/>
                <w:szCs w:val="17"/>
              </w:rPr>
              <w:t>58</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C20DB39" w14:textId="77777777" w:rsidR="00D64512" w:rsidRPr="00D64512" w:rsidRDefault="00D64512" w:rsidP="00D64512">
            <w:pPr>
              <w:pStyle w:val="CDITable-RowCentre"/>
              <w:rPr>
                <w:sz w:val="17"/>
                <w:szCs w:val="17"/>
              </w:rPr>
            </w:pPr>
            <w:r w:rsidRPr="00D64512">
              <w:rPr>
                <w:sz w:val="17"/>
                <w:szCs w:val="17"/>
              </w:rPr>
              <w:t>0.9</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386D1FB" w14:textId="77777777" w:rsidR="00D64512" w:rsidRPr="00D64512" w:rsidRDefault="00D64512" w:rsidP="00D64512">
            <w:pPr>
              <w:pStyle w:val="CDITable-RowCentre"/>
              <w:rPr>
                <w:sz w:val="17"/>
                <w:szCs w:val="17"/>
              </w:rPr>
            </w:pPr>
            <w:r w:rsidRPr="00D64512">
              <w:rPr>
                <w:sz w:val="17"/>
                <w:szCs w:val="17"/>
              </w:rPr>
              <w:t>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6324D78"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2D2D2C8" w14:textId="77777777" w:rsidR="00D64512" w:rsidRPr="00D64512" w:rsidRDefault="00D64512" w:rsidP="00D64512">
            <w:pPr>
              <w:pStyle w:val="CDITable-RowCentre"/>
              <w:rPr>
                <w:sz w:val="17"/>
                <w:szCs w:val="17"/>
              </w:rPr>
            </w:pPr>
            <w:r w:rsidRPr="00D64512">
              <w:rPr>
                <w:sz w:val="17"/>
                <w:szCs w:val="17"/>
              </w:rPr>
              <w:t>6</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CED027E"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B8592B0" w14:textId="77777777" w:rsidR="00D64512" w:rsidRPr="00D64512" w:rsidRDefault="00D64512" w:rsidP="00D64512">
            <w:pPr>
              <w:pStyle w:val="CDITable-RowCentre"/>
              <w:rPr>
                <w:sz w:val="17"/>
                <w:szCs w:val="17"/>
              </w:rPr>
            </w:pPr>
            <w:r w:rsidRPr="00D64512">
              <w:rPr>
                <w:sz w:val="17"/>
                <w:szCs w:val="17"/>
              </w:rPr>
              <w:t>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E592788"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D4E4BB8" w14:textId="77777777" w:rsidR="00D64512" w:rsidRPr="00D64512" w:rsidRDefault="00D64512" w:rsidP="00D64512">
            <w:pPr>
              <w:pStyle w:val="CDITable-RowCentre"/>
              <w:rPr>
                <w:sz w:val="17"/>
                <w:szCs w:val="17"/>
              </w:rPr>
            </w:pPr>
            <w:r w:rsidRPr="00D64512">
              <w:rPr>
                <w:sz w:val="17"/>
                <w:szCs w:val="17"/>
              </w:rPr>
              <w:t>17</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FBBBE58" w14:textId="77777777" w:rsidR="00D64512" w:rsidRPr="00D64512" w:rsidRDefault="00D64512" w:rsidP="00D64512">
            <w:pPr>
              <w:pStyle w:val="CDITable-RowCentre"/>
              <w:rPr>
                <w:sz w:val="17"/>
                <w:szCs w:val="17"/>
              </w:rPr>
            </w:pPr>
            <w:r w:rsidRPr="00D64512">
              <w:rPr>
                <w:sz w:val="17"/>
                <w:szCs w:val="17"/>
              </w:rPr>
              <w:t>0.2</w:t>
            </w:r>
          </w:p>
        </w:tc>
        <w:tc>
          <w:tcPr>
            <w:tcW w:w="538"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081EA0C" w14:textId="77777777" w:rsidR="00D64512" w:rsidRPr="00D64512" w:rsidRDefault="00D64512" w:rsidP="00D64512">
            <w:pPr>
              <w:pStyle w:val="CDITable-RowCentre"/>
              <w:rPr>
                <w:sz w:val="17"/>
                <w:szCs w:val="17"/>
              </w:rPr>
            </w:pPr>
            <w:r w:rsidRPr="00D64512">
              <w:rPr>
                <w:sz w:val="17"/>
                <w:szCs w:val="17"/>
              </w:rPr>
              <w:t>282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2FC8B0E" w14:textId="77777777" w:rsidR="00D64512" w:rsidRPr="00D64512" w:rsidRDefault="00D64512" w:rsidP="00D64512">
            <w:pPr>
              <w:pStyle w:val="CDITable-RowCentre"/>
              <w:rPr>
                <w:sz w:val="17"/>
                <w:szCs w:val="17"/>
              </w:rPr>
            </w:pPr>
            <w:r w:rsidRPr="00D64512">
              <w:rPr>
                <w:sz w:val="17"/>
                <w:szCs w:val="17"/>
              </w:rPr>
              <w:t>4.1</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D6F5081" w14:textId="77777777" w:rsidR="00D64512" w:rsidRPr="00D64512" w:rsidRDefault="00D64512" w:rsidP="00D64512">
            <w:pPr>
              <w:pStyle w:val="CDITable-RowCentre"/>
              <w:rPr>
                <w:sz w:val="17"/>
                <w:szCs w:val="17"/>
              </w:rPr>
            </w:pPr>
            <w:r w:rsidRPr="00D64512">
              <w:rPr>
                <w:sz w:val="17"/>
                <w:szCs w:val="17"/>
              </w:rPr>
              <w:t>0.66</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27067F4" w14:textId="77777777" w:rsidR="00D64512" w:rsidRPr="00D64512" w:rsidRDefault="00D64512" w:rsidP="00D64512">
            <w:pPr>
              <w:pStyle w:val="CDITable-RowCentre"/>
              <w:rPr>
                <w:sz w:val="17"/>
                <w:szCs w:val="17"/>
              </w:rPr>
            </w:pPr>
            <w:r w:rsidRPr="00D64512">
              <w:rPr>
                <w:sz w:val="17"/>
                <w:szCs w:val="17"/>
              </w:rPr>
              <w:t>0.10</w:t>
            </w:r>
          </w:p>
        </w:tc>
        <w:tc>
          <w:tcPr>
            <w:tcW w:w="652"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D50B9E9" w14:textId="77777777" w:rsidR="00D64512" w:rsidRPr="00D64512" w:rsidRDefault="00D64512" w:rsidP="00D64512">
            <w:pPr>
              <w:pStyle w:val="CDITable-RowCentre"/>
              <w:rPr>
                <w:sz w:val="17"/>
                <w:szCs w:val="17"/>
              </w:rPr>
            </w:pPr>
            <w:r w:rsidRPr="00D64512">
              <w:rPr>
                <w:sz w:val="17"/>
                <w:szCs w:val="17"/>
              </w:rPr>
              <w:t>6.67</w:t>
            </w:r>
          </w:p>
        </w:tc>
      </w:tr>
      <w:tr w:rsidR="00D64512" w:rsidRPr="00D64512" w14:paraId="7B77BFDF" w14:textId="77777777" w:rsidTr="009A5CBB">
        <w:trPr>
          <w:trHeight w:val="60"/>
        </w:trPr>
        <w:tc>
          <w:tcPr>
            <w:tcW w:w="1134" w:type="dxa"/>
            <w:tcBorders>
              <w:top w:val="single" w:sz="6" w:space="0" w:color="1E4496" w:themeColor="text2"/>
            </w:tcBorders>
            <w:tcMar>
              <w:top w:w="113" w:type="dxa"/>
              <w:left w:w="57" w:type="dxa"/>
              <w:bottom w:w="113" w:type="dxa"/>
              <w:right w:w="57" w:type="dxa"/>
            </w:tcMar>
            <w:vAlign w:val="center"/>
          </w:tcPr>
          <w:p w14:paraId="3074C1AF" w14:textId="77777777" w:rsidR="00D64512" w:rsidRPr="00D64512" w:rsidRDefault="00D64512" w:rsidP="00D64512">
            <w:pPr>
              <w:pStyle w:val="CDITable-RowLeft"/>
              <w:rPr>
                <w:sz w:val="17"/>
                <w:szCs w:val="17"/>
              </w:rPr>
            </w:pPr>
            <w:r w:rsidRPr="00D64512">
              <w:rPr>
                <w:sz w:val="17"/>
                <w:szCs w:val="17"/>
              </w:rPr>
              <w:t>WA</w:t>
            </w:r>
          </w:p>
        </w:tc>
        <w:tc>
          <w:tcPr>
            <w:tcW w:w="510" w:type="dxa"/>
            <w:tcBorders>
              <w:top w:val="single" w:sz="6" w:space="0" w:color="1E4496" w:themeColor="text2"/>
            </w:tcBorders>
            <w:tcMar>
              <w:top w:w="113" w:type="dxa"/>
              <w:left w:w="57" w:type="dxa"/>
              <w:bottom w:w="113" w:type="dxa"/>
              <w:right w:w="57" w:type="dxa"/>
            </w:tcMar>
            <w:vAlign w:val="center"/>
          </w:tcPr>
          <w:p w14:paraId="0A373463" w14:textId="77777777" w:rsidR="00D64512" w:rsidRPr="00D64512" w:rsidRDefault="00D64512" w:rsidP="00D64512">
            <w:pPr>
              <w:pStyle w:val="CDITable-RowCentre"/>
              <w:rPr>
                <w:sz w:val="17"/>
                <w:szCs w:val="17"/>
              </w:rPr>
            </w:pPr>
            <w:r w:rsidRPr="00D64512">
              <w:rPr>
                <w:sz w:val="17"/>
                <w:szCs w:val="17"/>
              </w:rPr>
              <w:t>43</w:t>
            </w:r>
          </w:p>
        </w:tc>
        <w:tc>
          <w:tcPr>
            <w:tcW w:w="510" w:type="dxa"/>
            <w:tcBorders>
              <w:top w:val="single" w:sz="6" w:space="0" w:color="1E4496" w:themeColor="text2"/>
            </w:tcBorders>
            <w:tcMar>
              <w:top w:w="113" w:type="dxa"/>
              <w:left w:w="57" w:type="dxa"/>
              <w:bottom w:w="113" w:type="dxa"/>
              <w:right w:w="57" w:type="dxa"/>
            </w:tcMar>
            <w:vAlign w:val="center"/>
          </w:tcPr>
          <w:p w14:paraId="02E17D54" w14:textId="77777777" w:rsidR="00D64512" w:rsidRPr="00D64512" w:rsidRDefault="00D64512" w:rsidP="00D64512">
            <w:pPr>
              <w:pStyle w:val="CDITable-RowCentre"/>
              <w:rPr>
                <w:sz w:val="17"/>
                <w:szCs w:val="17"/>
              </w:rPr>
            </w:pPr>
            <w:r w:rsidRPr="00D64512">
              <w:rPr>
                <w:sz w:val="17"/>
                <w:szCs w:val="17"/>
              </w:rPr>
              <w:t>1.7</w:t>
            </w:r>
          </w:p>
        </w:tc>
        <w:tc>
          <w:tcPr>
            <w:tcW w:w="511" w:type="dxa"/>
            <w:tcBorders>
              <w:top w:val="single" w:sz="6" w:space="0" w:color="1E4496" w:themeColor="text2"/>
            </w:tcBorders>
            <w:tcMar>
              <w:top w:w="113" w:type="dxa"/>
              <w:left w:w="57" w:type="dxa"/>
              <w:bottom w:w="113" w:type="dxa"/>
              <w:right w:w="57" w:type="dxa"/>
            </w:tcMar>
            <w:vAlign w:val="center"/>
          </w:tcPr>
          <w:p w14:paraId="1F91BE4F" w14:textId="77777777" w:rsidR="00D64512" w:rsidRPr="00D64512" w:rsidRDefault="00D64512" w:rsidP="00D64512">
            <w:pPr>
              <w:pStyle w:val="CDITable-RowCentre"/>
              <w:rPr>
                <w:sz w:val="17"/>
                <w:szCs w:val="17"/>
              </w:rPr>
            </w:pPr>
            <w:r w:rsidRPr="00D64512">
              <w:rPr>
                <w:sz w:val="17"/>
                <w:szCs w:val="17"/>
              </w:rPr>
              <w:t>8</w:t>
            </w:r>
          </w:p>
        </w:tc>
        <w:tc>
          <w:tcPr>
            <w:tcW w:w="510" w:type="dxa"/>
            <w:tcBorders>
              <w:top w:val="single" w:sz="6" w:space="0" w:color="1E4496" w:themeColor="text2"/>
            </w:tcBorders>
            <w:tcMar>
              <w:top w:w="113" w:type="dxa"/>
              <w:left w:w="57" w:type="dxa"/>
              <w:bottom w:w="113" w:type="dxa"/>
              <w:right w:w="57" w:type="dxa"/>
            </w:tcMar>
            <w:vAlign w:val="center"/>
          </w:tcPr>
          <w:p w14:paraId="353E986C" w14:textId="77777777" w:rsidR="00D64512" w:rsidRPr="00D64512" w:rsidRDefault="00D64512" w:rsidP="00D64512">
            <w:pPr>
              <w:pStyle w:val="CDITable-RowCentre"/>
              <w:rPr>
                <w:sz w:val="17"/>
                <w:szCs w:val="17"/>
              </w:rPr>
            </w:pPr>
            <w:r w:rsidRPr="00D64512">
              <w:rPr>
                <w:sz w:val="17"/>
                <w:szCs w:val="17"/>
              </w:rPr>
              <w:t>0.3</w:t>
            </w:r>
          </w:p>
        </w:tc>
        <w:tc>
          <w:tcPr>
            <w:tcW w:w="510" w:type="dxa"/>
            <w:tcBorders>
              <w:top w:val="single" w:sz="6" w:space="0" w:color="1E4496" w:themeColor="text2"/>
            </w:tcBorders>
            <w:tcMar>
              <w:top w:w="113" w:type="dxa"/>
              <w:left w:w="57" w:type="dxa"/>
              <w:bottom w:w="113" w:type="dxa"/>
              <w:right w:w="57" w:type="dxa"/>
            </w:tcMar>
            <w:vAlign w:val="center"/>
          </w:tcPr>
          <w:p w14:paraId="3D6A28CC" w14:textId="77777777" w:rsidR="00D64512" w:rsidRPr="00D64512" w:rsidRDefault="00D64512" w:rsidP="00D64512">
            <w:pPr>
              <w:pStyle w:val="CDITable-RowCentre"/>
              <w:rPr>
                <w:sz w:val="17"/>
                <w:szCs w:val="17"/>
              </w:rPr>
            </w:pPr>
            <w:r w:rsidRPr="00D64512">
              <w:rPr>
                <w:sz w:val="17"/>
                <w:szCs w:val="17"/>
              </w:rPr>
              <w:t>11</w:t>
            </w:r>
          </w:p>
        </w:tc>
        <w:tc>
          <w:tcPr>
            <w:tcW w:w="510" w:type="dxa"/>
            <w:tcBorders>
              <w:top w:val="single" w:sz="6" w:space="0" w:color="1E4496" w:themeColor="text2"/>
            </w:tcBorders>
            <w:tcMar>
              <w:top w:w="113" w:type="dxa"/>
              <w:left w:w="57" w:type="dxa"/>
              <w:bottom w:w="113" w:type="dxa"/>
              <w:right w:w="57" w:type="dxa"/>
            </w:tcMar>
            <w:vAlign w:val="center"/>
          </w:tcPr>
          <w:p w14:paraId="2CABF17A" w14:textId="77777777" w:rsidR="00D64512" w:rsidRPr="00D64512" w:rsidRDefault="00D64512" w:rsidP="00D64512">
            <w:pPr>
              <w:pStyle w:val="CDITable-RowCentre"/>
              <w:rPr>
                <w:sz w:val="17"/>
                <w:szCs w:val="17"/>
              </w:rPr>
            </w:pPr>
            <w:r w:rsidRPr="00D64512">
              <w:rPr>
                <w:sz w:val="17"/>
                <w:szCs w:val="17"/>
              </w:rPr>
              <w:t>0.4</w:t>
            </w:r>
          </w:p>
        </w:tc>
        <w:tc>
          <w:tcPr>
            <w:tcW w:w="511" w:type="dxa"/>
            <w:tcBorders>
              <w:top w:val="single" w:sz="6" w:space="0" w:color="1E4496" w:themeColor="text2"/>
            </w:tcBorders>
            <w:tcMar>
              <w:top w:w="113" w:type="dxa"/>
              <w:left w:w="57" w:type="dxa"/>
              <w:bottom w:w="113" w:type="dxa"/>
              <w:right w:w="57" w:type="dxa"/>
            </w:tcMar>
            <w:vAlign w:val="center"/>
          </w:tcPr>
          <w:p w14:paraId="5B5BA737" w14:textId="77777777" w:rsidR="00D64512" w:rsidRPr="00D64512" w:rsidRDefault="00D64512" w:rsidP="00D64512">
            <w:pPr>
              <w:pStyle w:val="CDITable-RowCentre"/>
              <w:rPr>
                <w:sz w:val="17"/>
                <w:szCs w:val="17"/>
              </w:rPr>
            </w:pPr>
            <w:r w:rsidRPr="00D64512">
              <w:rPr>
                <w:sz w:val="17"/>
                <w:szCs w:val="17"/>
              </w:rPr>
              <w:t>17</w:t>
            </w:r>
          </w:p>
        </w:tc>
        <w:tc>
          <w:tcPr>
            <w:tcW w:w="510" w:type="dxa"/>
            <w:tcBorders>
              <w:top w:val="single" w:sz="6" w:space="0" w:color="1E4496" w:themeColor="text2"/>
            </w:tcBorders>
            <w:tcMar>
              <w:top w:w="113" w:type="dxa"/>
              <w:left w:w="57" w:type="dxa"/>
              <w:bottom w:w="113" w:type="dxa"/>
              <w:right w:w="57" w:type="dxa"/>
            </w:tcMar>
            <w:vAlign w:val="center"/>
          </w:tcPr>
          <w:p w14:paraId="662AD746" w14:textId="77777777" w:rsidR="00D64512" w:rsidRPr="00D64512" w:rsidRDefault="00D64512" w:rsidP="00D64512">
            <w:pPr>
              <w:pStyle w:val="CDITable-RowCentre"/>
              <w:rPr>
                <w:sz w:val="17"/>
                <w:szCs w:val="17"/>
              </w:rPr>
            </w:pPr>
            <w:r w:rsidRPr="00D64512">
              <w:rPr>
                <w:sz w:val="17"/>
                <w:szCs w:val="17"/>
              </w:rPr>
              <w:t>0.7</w:t>
            </w:r>
          </w:p>
        </w:tc>
        <w:tc>
          <w:tcPr>
            <w:tcW w:w="510" w:type="dxa"/>
            <w:tcBorders>
              <w:top w:val="single" w:sz="6" w:space="0" w:color="1E4496" w:themeColor="text2"/>
            </w:tcBorders>
            <w:tcMar>
              <w:top w:w="113" w:type="dxa"/>
              <w:left w:w="57" w:type="dxa"/>
              <w:bottom w:w="113" w:type="dxa"/>
              <w:right w:w="57" w:type="dxa"/>
            </w:tcMar>
            <w:vAlign w:val="center"/>
          </w:tcPr>
          <w:p w14:paraId="149180A8" w14:textId="77777777" w:rsidR="00D64512" w:rsidRPr="00D64512" w:rsidRDefault="00D64512" w:rsidP="00D64512">
            <w:pPr>
              <w:pStyle w:val="CDITable-RowCentre"/>
              <w:rPr>
                <w:sz w:val="17"/>
                <w:szCs w:val="17"/>
              </w:rPr>
            </w:pPr>
            <w:r w:rsidRPr="00D64512">
              <w:rPr>
                <w:sz w:val="17"/>
                <w:szCs w:val="17"/>
              </w:rPr>
              <w:t>38</w:t>
            </w:r>
          </w:p>
        </w:tc>
        <w:tc>
          <w:tcPr>
            <w:tcW w:w="510" w:type="dxa"/>
            <w:tcBorders>
              <w:top w:val="single" w:sz="6" w:space="0" w:color="1E4496" w:themeColor="text2"/>
            </w:tcBorders>
            <w:tcMar>
              <w:top w:w="113" w:type="dxa"/>
              <w:left w:w="57" w:type="dxa"/>
              <w:bottom w:w="113" w:type="dxa"/>
              <w:right w:w="57" w:type="dxa"/>
            </w:tcMar>
            <w:vAlign w:val="center"/>
          </w:tcPr>
          <w:p w14:paraId="2D0179E9" w14:textId="77777777" w:rsidR="00D64512" w:rsidRPr="00D64512" w:rsidRDefault="00D64512" w:rsidP="00D64512">
            <w:pPr>
              <w:pStyle w:val="CDITable-RowCentre"/>
              <w:rPr>
                <w:sz w:val="17"/>
                <w:szCs w:val="17"/>
              </w:rPr>
            </w:pPr>
            <w:r w:rsidRPr="00D64512">
              <w:rPr>
                <w:sz w:val="17"/>
                <w:szCs w:val="17"/>
              </w:rPr>
              <w:t>1.5</w:t>
            </w:r>
          </w:p>
        </w:tc>
        <w:tc>
          <w:tcPr>
            <w:tcW w:w="510" w:type="dxa"/>
            <w:tcBorders>
              <w:top w:val="single" w:sz="6" w:space="0" w:color="1E4496" w:themeColor="text2"/>
            </w:tcBorders>
            <w:tcMar>
              <w:top w:w="113" w:type="dxa"/>
              <w:left w:w="57" w:type="dxa"/>
              <w:bottom w:w="113" w:type="dxa"/>
              <w:right w:w="57" w:type="dxa"/>
            </w:tcMar>
            <w:vAlign w:val="center"/>
          </w:tcPr>
          <w:p w14:paraId="2CAEA10F" w14:textId="77777777" w:rsidR="00D64512" w:rsidRPr="00D64512" w:rsidRDefault="00D64512" w:rsidP="00D64512">
            <w:pPr>
              <w:pStyle w:val="CDITable-RowCentre"/>
              <w:rPr>
                <w:sz w:val="17"/>
                <w:szCs w:val="17"/>
              </w:rPr>
            </w:pPr>
            <w:r w:rsidRPr="00D64512">
              <w:rPr>
                <w:sz w:val="17"/>
                <w:szCs w:val="17"/>
              </w:rPr>
              <w:t>52</w:t>
            </w:r>
          </w:p>
        </w:tc>
        <w:tc>
          <w:tcPr>
            <w:tcW w:w="511" w:type="dxa"/>
            <w:tcBorders>
              <w:top w:val="single" w:sz="6" w:space="0" w:color="1E4496" w:themeColor="text2"/>
            </w:tcBorders>
            <w:tcMar>
              <w:top w:w="113" w:type="dxa"/>
              <w:left w:w="57" w:type="dxa"/>
              <w:bottom w:w="113" w:type="dxa"/>
              <w:right w:w="57" w:type="dxa"/>
            </w:tcMar>
            <w:vAlign w:val="center"/>
          </w:tcPr>
          <w:p w14:paraId="426585E1" w14:textId="77777777" w:rsidR="00D64512" w:rsidRPr="00D64512" w:rsidRDefault="00D64512" w:rsidP="00D64512">
            <w:pPr>
              <w:pStyle w:val="CDITable-RowCentre"/>
              <w:rPr>
                <w:sz w:val="17"/>
                <w:szCs w:val="17"/>
              </w:rPr>
            </w:pPr>
            <w:r w:rsidRPr="00D64512">
              <w:rPr>
                <w:sz w:val="17"/>
                <w:szCs w:val="17"/>
              </w:rPr>
              <w:t>2.0</w:t>
            </w:r>
          </w:p>
        </w:tc>
        <w:tc>
          <w:tcPr>
            <w:tcW w:w="510" w:type="dxa"/>
            <w:tcBorders>
              <w:top w:val="single" w:sz="6" w:space="0" w:color="1E4496" w:themeColor="text2"/>
            </w:tcBorders>
            <w:tcMar>
              <w:top w:w="113" w:type="dxa"/>
              <w:left w:w="57" w:type="dxa"/>
              <w:bottom w:w="113" w:type="dxa"/>
              <w:right w:w="57" w:type="dxa"/>
            </w:tcMar>
            <w:vAlign w:val="center"/>
          </w:tcPr>
          <w:p w14:paraId="4BCDE2E0" w14:textId="77777777" w:rsidR="00D64512" w:rsidRPr="00D64512" w:rsidRDefault="00D64512" w:rsidP="00D64512">
            <w:pPr>
              <w:pStyle w:val="CDITable-RowCentre"/>
              <w:rPr>
                <w:sz w:val="17"/>
                <w:szCs w:val="17"/>
              </w:rPr>
            </w:pPr>
            <w:r w:rsidRPr="00D64512">
              <w:rPr>
                <w:sz w:val="17"/>
                <w:szCs w:val="17"/>
              </w:rPr>
              <w:t>4</w:t>
            </w:r>
          </w:p>
        </w:tc>
        <w:tc>
          <w:tcPr>
            <w:tcW w:w="510" w:type="dxa"/>
            <w:tcBorders>
              <w:top w:val="single" w:sz="6" w:space="0" w:color="1E4496" w:themeColor="text2"/>
            </w:tcBorders>
            <w:tcMar>
              <w:top w:w="113" w:type="dxa"/>
              <w:left w:w="57" w:type="dxa"/>
              <w:bottom w:w="113" w:type="dxa"/>
              <w:right w:w="57" w:type="dxa"/>
            </w:tcMar>
            <w:vAlign w:val="center"/>
          </w:tcPr>
          <w:p w14:paraId="348598EC" w14:textId="77777777" w:rsidR="00D64512" w:rsidRPr="00D64512" w:rsidRDefault="00D64512" w:rsidP="00D64512">
            <w:pPr>
              <w:pStyle w:val="CDITable-RowCentre"/>
              <w:rPr>
                <w:sz w:val="17"/>
                <w:szCs w:val="17"/>
              </w:rPr>
            </w:pPr>
            <w:r w:rsidRPr="00D64512">
              <w:rPr>
                <w:sz w:val="17"/>
                <w:szCs w:val="17"/>
              </w:rPr>
              <w:t>0.1</w:t>
            </w:r>
          </w:p>
        </w:tc>
        <w:tc>
          <w:tcPr>
            <w:tcW w:w="510" w:type="dxa"/>
            <w:tcBorders>
              <w:top w:val="single" w:sz="6" w:space="0" w:color="1E4496" w:themeColor="text2"/>
            </w:tcBorders>
            <w:tcMar>
              <w:top w:w="113" w:type="dxa"/>
              <w:left w:w="57" w:type="dxa"/>
              <w:bottom w:w="113" w:type="dxa"/>
              <w:right w:w="57" w:type="dxa"/>
            </w:tcMar>
            <w:vAlign w:val="center"/>
          </w:tcPr>
          <w:p w14:paraId="04485EA5" w14:textId="77777777" w:rsidR="00D64512" w:rsidRPr="00D64512" w:rsidRDefault="00D64512" w:rsidP="00D64512">
            <w:pPr>
              <w:pStyle w:val="CDITable-RowCentre"/>
              <w:rPr>
                <w:sz w:val="17"/>
                <w:szCs w:val="17"/>
              </w:rPr>
            </w:pPr>
            <w:r w:rsidRPr="00D64512">
              <w:rPr>
                <w:sz w:val="17"/>
                <w:szCs w:val="17"/>
              </w:rPr>
              <w:t>0</w:t>
            </w:r>
          </w:p>
        </w:tc>
        <w:tc>
          <w:tcPr>
            <w:tcW w:w="511" w:type="dxa"/>
            <w:tcBorders>
              <w:top w:val="single" w:sz="6" w:space="0" w:color="1E4496" w:themeColor="text2"/>
            </w:tcBorders>
            <w:tcMar>
              <w:top w:w="113" w:type="dxa"/>
              <w:left w:w="57" w:type="dxa"/>
              <w:bottom w:w="113" w:type="dxa"/>
              <w:right w:w="57" w:type="dxa"/>
            </w:tcMar>
            <w:vAlign w:val="center"/>
          </w:tcPr>
          <w:p w14:paraId="6763894D" w14:textId="77777777" w:rsidR="00D64512" w:rsidRPr="00D64512" w:rsidRDefault="00D64512" w:rsidP="00D64512">
            <w:pPr>
              <w:pStyle w:val="CDITable-RowCentre"/>
              <w:rPr>
                <w:sz w:val="17"/>
                <w:szCs w:val="17"/>
              </w:rPr>
            </w:pPr>
            <w:r w:rsidRPr="00D64512">
              <w:rPr>
                <w:sz w:val="17"/>
                <w:szCs w:val="17"/>
              </w:rPr>
              <w:t>0.0</w:t>
            </w:r>
          </w:p>
        </w:tc>
        <w:tc>
          <w:tcPr>
            <w:tcW w:w="510" w:type="dxa"/>
            <w:tcBorders>
              <w:top w:val="single" w:sz="6" w:space="0" w:color="1E4496" w:themeColor="text2"/>
            </w:tcBorders>
            <w:tcMar>
              <w:top w:w="113" w:type="dxa"/>
              <w:left w:w="57" w:type="dxa"/>
              <w:bottom w:w="113" w:type="dxa"/>
              <w:right w:w="57" w:type="dxa"/>
            </w:tcMar>
            <w:vAlign w:val="center"/>
          </w:tcPr>
          <w:p w14:paraId="70973300" w14:textId="77777777" w:rsidR="00D64512" w:rsidRPr="00D64512" w:rsidRDefault="00D64512" w:rsidP="00D64512">
            <w:pPr>
              <w:pStyle w:val="CDITable-RowCentre"/>
              <w:rPr>
                <w:sz w:val="17"/>
                <w:szCs w:val="17"/>
              </w:rPr>
            </w:pPr>
            <w:r w:rsidRPr="00D64512">
              <w:rPr>
                <w:sz w:val="17"/>
                <w:szCs w:val="17"/>
              </w:rPr>
              <w:t>6</w:t>
            </w:r>
          </w:p>
        </w:tc>
        <w:tc>
          <w:tcPr>
            <w:tcW w:w="510" w:type="dxa"/>
            <w:tcBorders>
              <w:top w:val="single" w:sz="6" w:space="0" w:color="1E4496" w:themeColor="text2"/>
            </w:tcBorders>
            <w:tcMar>
              <w:top w:w="113" w:type="dxa"/>
              <w:left w:w="57" w:type="dxa"/>
              <w:bottom w:w="113" w:type="dxa"/>
              <w:right w:w="57" w:type="dxa"/>
            </w:tcMar>
            <w:vAlign w:val="center"/>
          </w:tcPr>
          <w:p w14:paraId="738C73A5" w14:textId="77777777" w:rsidR="00D64512" w:rsidRPr="00D64512" w:rsidRDefault="00D64512" w:rsidP="00D64512">
            <w:pPr>
              <w:pStyle w:val="CDITable-RowCentre"/>
              <w:rPr>
                <w:sz w:val="17"/>
                <w:szCs w:val="17"/>
              </w:rPr>
            </w:pPr>
            <w:r w:rsidRPr="00D64512">
              <w:rPr>
                <w:sz w:val="17"/>
                <w:szCs w:val="17"/>
              </w:rPr>
              <w:t>0.2</w:t>
            </w:r>
          </w:p>
        </w:tc>
        <w:tc>
          <w:tcPr>
            <w:tcW w:w="510" w:type="dxa"/>
            <w:tcBorders>
              <w:top w:val="single" w:sz="6" w:space="0" w:color="1E4496" w:themeColor="text2"/>
            </w:tcBorders>
            <w:tcMar>
              <w:top w:w="113" w:type="dxa"/>
              <w:left w:w="57" w:type="dxa"/>
              <w:bottom w:w="113" w:type="dxa"/>
              <w:right w:w="57" w:type="dxa"/>
            </w:tcMar>
            <w:vAlign w:val="center"/>
          </w:tcPr>
          <w:p w14:paraId="6E3D6977" w14:textId="77777777" w:rsidR="00D64512" w:rsidRPr="00D64512" w:rsidRDefault="00D64512" w:rsidP="00D64512">
            <w:pPr>
              <w:pStyle w:val="CDITable-RowCentre"/>
              <w:rPr>
                <w:sz w:val="17"/>
                <w:szCs w:val="17"/>
              </w:rPr>
            </w:pPr>
            <w:r w:rsidRPr="00D64512">
              <w:rPr>
                <w:sz w:val="17"/>
                <w:szCs w:val="17"/>
              </w:rPr>
              <w:t>6</w:t>
            </w:r>
          </w:p>
        </w:tc>
        <w:tc>
          <w:tcPr>
            <w:tcW w:w="511" w:type="dxa"/>
            <w:tcBorders>
              <w:top w:val="single" w:sz="6" w:space="0" w:color="1E4496" w:themeColor="text2"/>
            </w:tcBorders>
            <w:tcMar>
              <w:top w:w="113" w:type="dxa"/>
              <w:left w:w="57" w:type="dxa"/>
              <w:bottom w:w="113" w:type="dxa"/>
              <w:right w:w="57" w:type="dxa"/>
            </w:tcMar>
            <w:vAlign w:val="center"/>
          </w:tcPr>
          <w:p w14:paraId="4503E30E" w14:textId="77777777" w:rsidR="00D64512" w:rsidRPr="00D64512" w:rsidRDefault="00D64512" w:rsidP="00D64512">
            <w:pPr>
              <w:pStyle w:val="CDITable-RowCentre"/>
              <w:rPr>
                <w:sz w:val="17"/>
                <w:szCs w:val="17"/>
              </w:rPr>
            </w:pPr>
            <w:r w:rsidRPr="00D64512">
              <w:rPr>
                <w:sz w:val="17"/>
                <w:szCs w:val="17"/>
              </w:rPr>
              <w:t>0.2</w:t>
            </w:r>
          </w:p>
        </w:tc>
        <w:tc>
          <w:tcPr>
            <w:tcW w:w="538" w:type="dxa"/>
            <w:tcBorders>
              <w:top w:val="single" w:sz="6" w:space="0" w:color="1E4496" w:themeColor="text2"/>
            </w:tcBorders>
            <w:tcMar>
              <w:top w:w="113" w:type="dxa"/>
              <w:left w:w="57" w:type="dxa"/>
              <w:bottom w:w="113" w:type="dxa"/>
              <w:right w:w="57" w:type="dxa"/>
            </w:tcMar>
            <w:vAlign w:val="center"/>
          </w:tcPr>
          <w:p w14:paraId="412A6E6C" w14:textId="77777777" w:rsidR="00D64512" w:rsidRPr="00D64512" w:rsidRDefault="00D64512" w:rsidP="00D64512">
            <w:pPr>
              <w:pStyle w:val="CDITable-RowCentre"/>
              <w:rPr>
                <w:sz w:val="17"/>
                <w:szCs w:val="17"/>
              </w:rPr>
            </w:pPr>
            <w:r w:rsidRPr="00D64512">
              <w:rPr>
                <w:sz w:val="17"/>
                <w:szCs w:val="17"/>
              </w:rPr>
              <w:t>185</w:t>
            </w:r>
          </w:p>
        </w:tc>
        <w:tc>
          <w:tcPr>
            <w:tcW w:w="510" w:type="dxa"/>
            <w:tcBorders>
              <w:top w:val="single" w:sz="6" w:space="0" w:color="1E4496" w:themeColor="text2"/>
            </w:tcBorders>
            <w:tcMar>
              <w:top w:w="113" w:type="dxa"/>
              <w:left w:w="57" w:type="dxa"/>
              <w:bottom w:w="113" w:type="dxa"/>
              <w:right w:w="57" w:type="dxa"/>
            </w:tcMar>
            <w:vAlign w:val="center"/>
          </w:tcPr>
          <w:p w14:paraId="13DAF303" w14:textId="77777777" w:rsidR="00D64512" w:rsidRPr="00D64512" w:rsidRDefault="00D64512" w:rsidP="00D64512">
            <w:pPr>
              <w:pStyle w:val="CDITable-RowCentre"/>
              <w:rPr>
                <w:sz w:val="17"/>
                <w:szCs w:val="17"/>
              </w:rPr>
            </w:pPr>
            <w:r w:rsidRPr="00D64512">
              <w:rPr>
                <w:sz w:val="17"/>
                <w:szCs w:val="17"/>
              </w:rPr>
              <w:t>6.2</w:t>
            </w:r>
          </w:p>
        </w:tc>
        <w:tc>
          <w:tcPr>
            <w:tcW w:w="652" w:type="dxa"/>
            <w:tcBorders>
              <w:top w:val="single" w:sz="6" w:space="0" w:color="1E4496" w:themeColor="text2"/>
            </w:tcBorders>
            <w:tcMar>
              <w:top w:w="113" w:type="dxa"/>
              <w:left w:w="57" w:type="dxa"/>
              <w:bottom w:w="113" w:type="dxa"/>
              <w:right w:w="57" w:type="dxa"/>
            </w:tcMar>
            <w:vAlign w:val="center"/>
          </w:tcPr>
          <w:p w14:paraId="51A98265" w14:textId="77777777" w:rsidR="00D64512" w:rsidRPr="00D64512" w:rsidRDefault="00D64512" w:rsidP="00D64512">
            <w:pPr>
              <w:pStyle w:val="CDITable-RowCentre"/>
              <w:rPr>
                <w:sz w:val="17"/>
                <w:szCs w:val="17"/>
              </w:rPr>
            </w:pPr>
            <w:r w:rsidRPr="00D64512">
              <w:rPr>
                <w:sz w:val="17"/>
                <w:szCs w:val="17"/>
              </w:rPr>
              <w:t>1.10</w:t>
            </w:r>
          </w:p>
        </w:tc>
        <w:tc>
          <w:tcPr>
            <w:tcW w:w="652" w:type="dxa"/>
            <w:tcBorders>
              <w:top w:val="single" w:sz="6" w:space="0" w:color="1E4496" w:themeColor="text2"/>
            </w:tcBorders>
            <w:tcMar>
              <w:top w:w="113" w:type="dxa"/>
              <w:left w:w="57" w:type="dxa"/>
              <w:bottom w:w="113" w:type="dxa"/>
              <w:right w:w="57" w:type="dxa"/>
            </w:tcMar>
            <w:vAlign w:val="center"/>
          </w:tcPr>
          <w:p w14:paraId="6EFC4164" w14:textId="77777777" w:rsidR="00D64512" w:rsidRPr="00D64512" w:rsidRDefault="00D64512" w:rsidP="00D64512">
            <w:pPr>
              <w:pStyle w:val="CDITable-RowCentre"/>
              <w:rPr>
                <w:sz w:val="17"/>
                <w:szCs w:val="17"/>
              </w:rPr>
            </w:pPr>
            <w:r w:rsidRPr="00D64512">
              <w:rPr>
                <w:sz w:val="17"/>
                <w:szCs w:val="17"/>
              </w:rPr>
              <w:t>0.10</w:t>
            </w:r>
          </w:p>
        </w:tc>
        <w:tc>
          <w:tcPr>
            <w:tcW w:w="652" w:type="dxa"/>
            <w:tcBorders>
              <w:top w:val="single" w:sz="6" w:space="0" w:color="1E4496" w:themeColor="text2"/>
            </w:tcBorders>
            <w:tcMar>
              <w:top w:w="113" w:type="dxa"/>
              <w:left w:w="57" w:type="dxa"/>
              <w:bottom w:w="113" w:type="dxa"/>
              <w:right w:w="57" w:type="dxa"/>
            </w:tcMar>
            <w:vAlign w:val="center"/>
          </w:tcPr>
          <w:p w14:paraId="5E659E53" w14:textId="77777777" w:rsidR="00D64512" w:rsidRPr="00D64512" w:rsidRDefault="00D64512" w:rsidP="00D64512">
            <w:pPr>
              <w:pStyle w:val="CDITable-RowCentre"/>
              <w:rPr>
                <w:sz w:val="17"/>
                <w:szCs w:val="17"/>
              </w:rPr>
            </w:pPr>
            <w:r w:rsidRPr="00D64512">
              <w:rPr>
                <w:sz w:val="17"/>
                <w:szCs w:val="17"/>
              </w:rPr>
              <w:t>11.0</w:t>
            </w:r>
          </w:p>
        </w:tc>
      </w:tr>
      <w:tr w:rsidR="00D64512" w:rsidRPr="00D64512" w14:paraId="0D53760B" w14:textId="77777777" w:rsidTr="009A5CBB">
        <w:trPr>
          <w:trHeight w:val="60"/>
        </w:trPr>
        <w:tc>
          <w:tcPr>
            <w:tcW w:w="1134"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3C08D987" w14:textId="77777777" w:rsidR="00D64512" w:rsidRPr="00D64512" w:rsidRDefault="00D64512" w:rsidP="00D64512">
            <w:pPr>
              <w:pStyle w:val="CDITable-TotalRowLeft"/>
              <w:rPr>
                <w:sz w:val="17"/>
                <w:szCs w:val="17"/>
              </w:rPr>
            </w:pPr>
            <w:r w:rsidRPr="00D64512">
              <w:rPr>
                <w:sz w:val="17"/>
                <w:szCs w:val="17"/>
              </w:rPr>
              <w:t>Australia</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3A8DF246" w14:textId="77777777" w:rsidR="00D64512" w:rsidRPr="00D64512" w:rsidRDefault="00D64512" w:rsidP="00D64512">
            <w:pPr>
              <w:pStyle w:val="CDITable-TotalRowCentre"/>
              <w:rPr>
                <w:sz w:val="17"/>
                <w:szCs w:val="17"/>
              </w:rPr>
            </w:pPr>
            <w:r w:rsidRPr="00D64512">
              <w:rPr>
                <w:sz w:val="17"/>
                <w:szCs w:val="17"/>
              </w:rPr>
              <w:t>339</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72944649" w14:textId="77777777" w:rsidR="00D64512" w:rsidRPr="00D64512" w:rsidRDefault="00D64512" w:rsidP="00D64512">
            <w:pPr>
              <w:pStyle w:val="CDITable-TotalRowCentre"/>
              <w:rPr>
                <w:sz w:val="17"/>
                <w:szCs w:val="17"/>
              </w:rPr>
            </w:pPr>
            <w:r w:rsidRPr="00D64512">
              <w:rPr>
                <w:sz w:val="17"/>
                <w:szCs w:val="17"/>
              </w:rPr>
              <w:t>1.4</w:t>
            </w:r>
          </w:p>
        </w:tc>
        <w:tc>
          <w:tcPr>
            <w:tcW w:w="511"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3D595D13" w14:textId="77777777" w:rsidR="00D64512" w:rsidRPr="00D64512" w:rsidRDefault="00D64512" w:rsidP="00D64512">
            <w:pPr>
              <w:pStyle w:val="CDITable-TotalRowCentre"/>
              <w:rPr>
                <w:sz w:val="17"/>
                <w:szCs w:val="17"/>
              </w:rPr>
            </w:pPr>
            <w:r w:rsidRPr="00D64512">
              <w:rPr>
                <w:sz w:val="17"/>
                <w:szCs w:val="17"/>
              </w:rPr>
              <w:t>74</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285473CD" w14:textId="77777777" w:rsidR="00D64512" w:rsidRPr="00D64512" w:rsidRDefault="00D64512" w:rsidP="00D64512">
            <w:pPr>
              <w:pStyle w:val="CDITable-TotalRowCentre"/>
              <w:rPr>
                <w:sz w:val="17"/>
                <w:szCs w:val="17"/>
              </w:rPr>
            </w:pPr>
            <w:r w:rsidRPr="00D64512">
              <w:rPr>
                <w:sz w:val="17"/>
                <w:szCs w:val="17"/>
              </w:rPr>
              <w:t>0.3</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4AEB4767" w14:textId="77777777" w:rsidR="00D64512" w:rsidRPr="00D64512" w:rsidRDefault="00D64512" w:rsidP="00D64512">
            <w:pPr>
              <w:pStyle w:val="CDITable-TotalRowCentre"/>
              <w:rPr>
                <w:sz w:val="17"/>
                <w:szCs w:val="17"/>
              </w:rPr>
            </w:pPr>
            <w:r w:rsidRPr="00D64512">
              <w:rPr>
                <w:sz w:val="17"/>
                <w:szCs w:val="17"/>
              </w:rPr>
              <w:t>99</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3F1F22A5" w14:textId="77777777" w:rsidR="00D64512" w:rsidRPr="00D64512" w:rsidRDefault="00D64512" w:rsidP="00D64512">
            <w:pPr>
              <w:pStyle w:val="CDITable-TotalRowCentre"/>
              <w:rPr>
                <w:sz w:val="17"/>
                <w:szCs w:val="17"/>
              </w:rPr>
            </w:pPr>
            <w:r w:rsidRPr="00D64512">
              <w:rPr>
                <w:sz w:val="17"/>
                <w:szCs w:val="17"/>
              </w:rPr>
              <w:t>0.4</w:t>
            </w:r>
          </w:p>
        </w:tc>
        <w:tc>
          <w:tcPr>
            <w:tcW w:w="511"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2880E0D2" w14:textId="77777777" w:rsidR="00D64512" w:rsidRPr="00D64512" w:rsidRDefault="00D64512" w:rsidP="00D64512">
            <w:pPr>
              <w:pStyle w:val="CDITable-TotalRowCentre"/>
              <w:rPr>
                <w:sz w:val="17"/>
                <w:szCs w:val="17"/>
              </w:rPr>
            </w:pPr>
            <w:r w:rsidRPr="00D64512">
              <w:rPr>
                <w:sz w:val="17"/>
                <w:szCs w:val="17"/>
              </w:rPr>
              <w:t>81</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733D99B3" w14:textId="77777777" w:rsidR="00D64512" w:rsidRPr="00D64512" w:rsidRDefault="00D64512" w:rsidP="00D64512">
            <w:pPr>
              <w:pStyle w:val="CDITable-TotalRowCentre"/>
              <w:rPr>
                <w:sz w:val="17"/>
                <w:szCs w:val="17"/>
              </w:rPr>
            </w:pPr>
            <w:r w:rsidRPr="00D64512">
              <w:rPr>
                <w:sz w:val="17"/>
                <w:szCs w:val="17"/>
              </w:rPr>
              <w:t>0.3</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1D3E57D3" w14:textId="77777777" w:rsidR="00D64512" w:rsidRPr="00D64512" w:rsidRDefault="00D64512" w:rsidP="00D64512">
            <w:pPr>
              <w:pStyle w:val="CDITable-TotalRowCentre"/>
              <w:rPr>
                <w:sz w:val="17"/>
                <w:szCs w:val="17"/>
              </w:rPr>
            </w:pPr>
            <w:r w:rsidRPr="00D64512">
              <w:rPr>
                <w:sz w:val="17"/>
                <w:szCs w:val="17"/>
              </w:rPr>
              <w:t>103</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7BBBED6D" w14:textId="77777777" w:rsidR="00D64512" w:rsidRPr="00D64512" w:rsidRDefault="00D64512" w:rsidP="00D64512">
            <w:pPr>
              <w:pStyle w:val="CDITable-TotalRowCentre"/>
              <w:rPr>
                <w:sz w:val="17"/>
                <w:szCs w:val="17"/>
              </w:rPr>
            </w:pPr>
            <w:r w:rsidRPr="00D64512">
              <w:rPr>
                <w:sz w:val="17"/>
                <w:szCs w:val="17"/>
              </w:rPr>
              <w:t>0.4</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73905C24" w14:textId="77777777" w:rsidR="00D64512" w:rsidRPr="00D64512" w:rsidRDefault="00D64512" w:rsidP="00D64512">
            <w:pPr>
              <w:pStyle w:val="CDITable-TotalRowCentre"/>
              <w:rPr>
                <w:sz w:val="17"/>
                <w:szCs w:val="17"/>
              </w:rPr>
            </w:pPr>
            <w:r w:rsidRPr="00D64512">
              <w:rPr>
                <w:sz w:val="17"/>
                <w:szCs w:val="17"/>
              </w:rPr>
              <w:t>284</w:t>
            </w:r>
          </w:p>
        </w:tc>
        <w:tc>
          <w:tcPr>
            <w:tcW w:w="511"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042BC080" w14:textId="77777777" w:rsidR="00D64512" w:rsidRPr="00D64512" w:rsidRDefault="00D64512" w:rsidP="00D64512">
            <w:pPr>
              <w:pStyle w:val="CDITable-TotalRowCentre"/>
              <w:rPr>
                <w:sz w:val="17"/>
                <w:szCs w:val="17"/>
              </w:rPr>
            </w:pPr>
            <w:r w:rsidRPr="00D64512">
              <w:rPr>
                <w:sz w:val="17"/>
                <w:szCs w:val="17"/>
              </w:rPr>
              <w:t>1.1</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1D84A5E0" w14:textId="77777777" w:rsidR="00D64512" w:rsidRPr="00D64512" w:rsidRDefault="00D64512" w:rsidP="00D64512">
            <w:pPr>
              <w:pStyle w:val="CDITable-TotalRowCentre"/>
              <w:rPr>
                <w:sz w:val="17"/>
                <w:szCs w:val="17"/>
              </w:rPr>
            </w:pPr>
            <w:r w:rsidRPr="00D64512">
              <w:rPr>
                <w:sz w:val="17"/>
                <w:szCs w:val="17"/>
              </w:rPr>
              <w:t>25</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04DC3EC5" w14:textId="77777777" w:rsidR="00D64512" w:rsidRPr="00D64512" w:rsidRDefault="00D64512" w:rsidP="00D64512">
            <w:pPr>
              <w:pStyle w:val="CDITable-TotalRowCentre"/>
              <w:rPr>
                <w:sz w:val="17"/>
                <w:szCs w:val="17"/>
              </w:rPr>
            </w:pPr>
            <w:r w:rsidRPr="00D64512">
              <w:rPr>
                <w:sz w:val="17"/>
                <w:szCs w:val="17"/>
              </w:rPr>
              <w:t>0.1</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1060CE7B" w14:textId="77777777" w:rsidR="00D64512" w:rsidRPr="00D64512" w:rsidRDefault="00D64512" w:rsidP="00D64512">
            <w:pPr>
              <w:pStyle w:val="CDITable-TotalRowCentre"/>
              <w:rPr>
                <w:sz w:val="17"/>
                <w:szCs w:val="17"/>
              </w:rPr>
            </w:pPr>
            <w:r w:rsidRPr="00D64512">
              <w:rPr>
                <w:sz w:val="17"/>
                <w:szCs w:val="17"/>
              </w:rPr>
              <w:t>7</w:t>
            </w:r>
          </w:p>
        </w:tc>
        <w:tc>
          <w:tcPr>
            <w:tcW w:w="511"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6CDE0006" w14:textId="77777777" w:rsidR="00D64512" w:rsidRPr="00D64512" w:rsidRDefault="00D64512" w:rsidP="00D64512">
            <w:pPr>
              <w:pStyle w:val="CDITable-TotalRowCentre"/>
              <w:rPr>
                <w:sz w:val="17"/>
                <w:szCs w:val="17"/>
              </w:rPr>
            </w:pPr>
            <w:r w:rsidRPr="00D64512">
              <w:rPr>
                <w:sz w:val="17"/>
                <w:szCs w:val="17"/>
              </w:rPr>
              <w:t>0.0</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1BB3E0FD" w14:textId="77777777" w:rsidR="00D64512" w:rsidRPr="00D64512" w:rsidRDefault="00D64512" w:rsidP="00D64512">
            <w:pPr>
              <w:pStyle w:val="CDITable-TotalRowCentre"/>
              <w:rPr>
                <w:sz w:val="17"/>
                <w:szCs w:val="17"/>
              </w:rPr>
            </w:pPr>
            <w:r w:rsidRPr="00D64512">
              <w:rPr>
                <w:sz w:val="17"/>
                <w:szCs w:val="17"/>
              </w:rPr>
              <w:t>26</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5ECB18A9" w14:textId="77777777" w:rsidR="00D64512" w:rsidRPr="00D64512" w:rsidRDefault="00D64512" w:rsidP="00D64512">
            <w:pPr>
              <w:pStyle w:val="CDITable-TotalRowCentre"/>
              <w:rPr>
                <w:sz w:val="17"/>
                <w:szCs w:val="17"/>
              </w:rPr>
            </w:pPr>
            <w:r w:rsidRPr="00D64512">
              <w:rPr>
                <w:sz w:val="17"/>
                <w:szCs w:val="17"/>
              </w:rPr>
              <w:t>0.1</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307DE190" w14:textId="77777777" w:rsidR="00D64512" w:rsidRPr="00D64512" w:rsidRDefault="00D64512" w:rsidP="00D64512">
            <w:pPr>
              <w:pStyle w:val="CDITable-TotalRowCentre"/>
              <w:rPr>
                <w:sz w:val="17"/>
                <w:szCs w:val="17"/>
              </w:rPr>
            </w:pPr>
            <w:r w:rsidRPr="00D64512">
              <w:rPr>
                <w:sz w:val="17"/>
                <w:szCs w:val="17"/>
              </w:rPr>
              <w:t>57</w:t>
            </w:r>
          </w:p>
        </w:tc>
        <w:tc>
          <w:tcPr>
            <w:tcW w:w="511"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684326CE" w14:textId="77777777" w:rsidR="00D64512" w:rsidRPr="00D64512" w:rsidRDefault="00D64512" w:rsidP="00D64512">
            <w:pPr>
              <w:pStyle w:val="CDITable-TotalRowCentre"/>
              <w:rPr>
                <w:sz w:val="17"/>
                <w:szCs w:val="17"/>
              </w:rPr>
            </w:pPr>
            <w:r w:rsidRPr="00D64512">
              <w:rPr>
                <w:sz w:val="17"/>
                <w:szCs w:val="17"/>
              </w:rPr>
              <w:t>0.2</w:t>
            </w:r>
          </w:p>
        </w:tc>
        <w:tc>
          <w:tcPr>
            <w:tcW w:w="538"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73349057" w14:textId="77777777" w:rsidR="00D64512" w:rsidRPr="00D64512" w:rsidRDefault="00D64512" w:rsidP="00D64512">
            <w:pPr>
              <w:pStyle w:val="CDITable-TotalRowCentre"/>
              <w:rPr>
                <w:spacing w:val="-2"/>
                <w:sz w:val="17"/>
                <w:szCs w:val="17"/>
              </w:rPr>
            </w:pPr>
            <w:r w:rsidRPr="00D64512">
              <w:rPr>
                <w:spacing w:val="-2"/>
                <w:sz w:val="17"/>
                <w:szCs w:val="17"/>
              </w:rPr>
              <w:t>1,095</w:t>
            </w:r>
          </w:p>
        </w:tc>
        <w:tc>
          <w:tcPr>
            <w:tcW w:w="510"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42923BD6" w14:textId="77777777" w:rsidR="00D64512" w:rsidRPr="00D64512" w:rsidRDefault="00D64512" w:rsidP="00D64512">
            <w:pPr>
              <w:pStyle w:val="CDITable-TotalRowCentre"/>
              <w:rPr>
                <w:sz w:val="17"/>
                <w:szCs w:val="17"/>
              </w:rPr>
            </w:pPr>
            <w:r w:rsidRPr="00D64512">
              <w:rPr>
                <w:sz w:val="17"/>
                <w:szCs w:val="17"/>
              </w:rPr>
              <w:t>4.0</w:t>
            </w:r>
          </w:p>
        </w:tc>
        <w:tc>
          <w:tcPr>
            <w:tcW w:w="652"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7F0E5FAC" w14:textId="77777777" w:rsidR="00D64512" w:rsidRPr="00D64512" w:rsidRDefault="00D64512" w:rsidP="00D64512">
            <w:pPr>
              <w:pStyle w:val="CDITable-TotalRowCentre"/>
              <w:rPr>
                <w:sz w:val="17"/>
                <w:szCs w:val="17"/>
              </w:rPr>
            </w:pPr>
            <w:r w:rsidRPr="00D64512">
              <w:rPr>
                <w:sz w:val="17"/>
                <w:szCs w:val="17"/>
              </w:rPr>
              <w:t>0.65</w:t>
            </w:r>
          </w:p>
        </w:tc>
        <w:tc>
          <w:tcPr>
            <w:tcW w:w="652"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65794F01" w14:textId="77777777" w:rsidR="00D64512" w:rsidRPr="00D64512" w:rsidRDefault="00D64512" w:rsidP="00D64512">
            <w:pPr>
              <w:pStyle w:val="CDITable-TotalRowCentre"/>
              <w:rPr>
                <w:sz w:val="17"/>
                <w:szCs w:val="17"/>
              </w:rPr>
            </w:pPr>
            <w:r w:rsidRPr="00D64512">
              <w:rPr>
                <w:sz w:val="17"/>
                <w:szCs w:val="17"/>
              </w:rPr>
              <w:t>0.08</w:t>
            </w:r>
          </w:p>
        </w:tc>
        <w:tc>
          <w:tcPr>
            <w:tcW w:w="652" w:type="dxa"/>
            <w:tcBorders>
              <w:bottom w:val="single" w:sz="6" w:space="0" w:color="1E4496" w:themeColor="text2"/>
            </w:tcBorders>
            <w:shd w:val="clear" w:color="auto" w:fill="53C9F1" w:themeFill="background2"/>
            <w:tcMar>
              <w:top w:w="113" w:type="dxa"/>
              <w:left w:w="57" w:type="dxa"/>
              <w:bottom w:w="113" w:type="dxa"/>
              <w:right w:w="57" w:type="dxa"/>
            </w:tcMar>
            <w:vAlign w:val="center"/>
          </w:tcPr>
          <w:p w14:paraId="79D8CD93" w14:textId="77777777" w:rsidR="00D64512" w:rsidRPr="00D64512" w:rsidRDefault="00D64512" w:rsidP="00D64512">
            <w:pPr>
              <w:pStyle w:val="CDITable-TotalRowCentre"/>
              <w:rPr>
                <w:sz w:val="17"/>
                <w:szCs w:val="17"/>
              </w:rPr>
            </w:pPr>
            <w:r w:rsidRPr="00D64512">
              <w:rPr>
                <w:sz w:val="17"/>
                <w:szCs w:val="17"/>
              </w:rPr>
              <w:t>8.12</w:t>
            </w:r>
          </w:p>
        </w:tc>
      </w:tr>
    </w:tbl>
    <w:p w14:paraId="63546CB4" w14:textId="77777777" w:rsidR="00BC053B" w:rsidRPr="00BC053B" w:rsidRDefault="00BC053B" w:rsidP="00D64512">
      <w:pPr>
        <w:pStyle w:val="CDITable-FirstFootnote"/>
        <w:rPr>
          <w:lang w:val="en-GB"/>
        </w:rPr>
      </w:pPr>
      <w:r w:rsidRPr="00BC053B">
        <w:rPr>
          <w:lang w:val="en-GB"/>
        </w:rPr>
        <w:t>a</w:t>
      </w:r>
      <w:r w:rsidRPr="00BC053B">
        <w:rPr>
          <w:lang w:val="en-GB"/>
        </w:rPr>
        <w:tab/>
        <w:t xml:space="preserve">Note that, since no measles cases were notified in 2021, case numbers and rates for 2021 are not displayed. Nonetheless, calculations of the 2020–2024 mean rate and of the </w:t>
      </w:r>
      <w:proofErr w:type="gramStart"/>
      <w:r w:rsidRPr="00BC053B">
        <w:rPr>
          <w:lang w:val="en-GB"/>
        </w:rPr>
        <w:t>two period</w:t>
      </w:r>
      <w:proofErr w:type="gramEnd"/>
      <w:r w:rsidRPr="00BC053B">
        <w:rPr>
          <w:lang w:val="en-GB"/>
        </w:rPr>
        <w:t xml:space="preserve"> rate ratio are inclusive of 2021.</w:t>
      </w:r>
    </w:p>
    <w:p w14:paraId="38DB2D80" w14:textId="77777777" w:rsidR="00BC053B" w:rsidRPr="00BC053B" w:rsidRDefault="00BC053B" w:rsidP="00BC053B">
      <w:pPr>
        <w:pStyle w:val="CDITable-Footnote"/>
        <w:rPr>
          <w:lang w:val="en-GB"/>
        </w:rPr>
      </w:pPr>
      <w:r w:rsidRPr="00BC053B">
        <w:rPr>
          <w:lang w:val="en-GB"/>
        </w:rPr>
        <w:t>b</w:t>
      </w:r>
      <w:r w:rsidRPr="00BC053B">
        <w:rPr>
          <w:lang w:val="en-GB"/>
        </w:rPr>
        <w:tab/>
        <w:t xml:space="preserve">Rates per 100,000 population per year have been calculated using populations as </w:t>
      </w:r>
      <w:proofErr w:type="gramStart"/>
      <w:r w:rsidRPr="00BC053B">
        <w:rPr>
          <w:lang w:val="en-GB"/>
        </w:rPr>
        <w:t>at</w:t>
      </w:r>
      <w:proofErr w:type="gramEnd"/>
      <w:r w:rsidRPr="00BC053B">
        <w:rPr>
          <w:lang w:val="en-GB"/>
        </w:rPr>
        <w:t xml:space="preserve"> 30 June of each year.</w:t>
      </w:r>
    </w:p>
    <w:p w14:paraId="4B6D67DB" w14:textId="77777777" w:rsidR="00BC053B" w:rsidRPr="00BC053B" w:rsidRDefault="00BC053B" w:rsidP="00BC053B">
      <w:pPr>
        <w:pStyle w:val="CDITable-Footnote"/>
        <w:rPr>
          <w:lang w:val="en-GB"/>
        </w:rPr>
      </w:pPr>
      <w:r w:rsidRPr="00BC053B">
        <w:rPr>
          <w:lang w:val="en-GB"/>
        </w:rPr>
        <w:t>c</w:t>
      </w:r>
      <w:r w:rsidRPr="00BC053B">
        <w:rPr>
          <w:lang w:val="en-GB"/>
        </w:rPr>
        <w:tab/>
        <w:t>Pre-pandemic period: 2014–2019. COVID-19 post-emergence period: 2020–2024.</w:t>
      </w:r>
    </w:p>
    <w:p w14:paraId="3F362D07" w14:textId="77777777" w:rsidR="00BC053B" w:rsidRPr="00BC053B" w:rsidRDefault="00BC053B" w:rsidP="00BC053B">
      <w:pPr>
        <w:pStyle w:val="CDITable-Footnote"/>
        <w:rPr>
          <w:lang w:val="en-GB"/>
        </w:rPr>
      </w:pPr>
      <w:r w:rsidRPr="00BC053B">
        <w:rPr>
          <w:lang w:val="en-GB"/>
        </w:rPr>
        <w:t>d</w:t>
      </w:r>
      <w:r w:rsidRPr="00BC053B">
        <w:rPr>
          <w:lang w:val="en-GB"/>
        </w:rPr>
        <w:tab/>
        <w:t>ACT: Australian Capital Territory; NSW: New South Wales; NT: Northern Territory; Qld: Queensland; SA: South Australia; Tas.: Tasmania; Vic.: Victoria; WA: Western Australia.</w:t>
      </w:r>
    </w:p>
    <w:p w14:paraId="14A60154" w14:textId="77777777" w:rsidR="00BC053B" w:rsidRDefault="00BC053B" w:rsidP="00BC053B">
      <w:pPr>
        <w:pStyle w:val="CDITable-Footnote"/>
        <w:rPr>
          <w:lang w:val="en-GB"/>
        </w:rPr>
        <w:sectPr w:rsidR="00BC053B" w:rsidSect="00BC053B">
          <w:footnotePr>
            <w:numFmt w:val="lowerRoman"/>
          </w:footnotePr>
          <w:pgSz w:w="16840" w:h="11907" w:orient="landscape" w:code="9"/>
          <w:pgMar w:top="1134" w:right="1134" w:bottom="1134" w:left="1134" w:header="709" w:footer="567" w:gutter="0"/>
          <w:cols w:space="708"/>
          <w:docGrid w:linePitch="360"/>
        </w:sectPr>
      </w:pPr>
      <w:r w:rsidRPr="00BC053B">
        <w:rPr>
          <w:lang w:val="en-GB"/>
        </w:rPr>
        <w:t>e</w:t>
      </w:r>
      <w:r w:rsidRPr="00BC053B">
        <w:rPr>
          <w:lang w:val="en-GB"/>
        </w:rPr>
        <w:tab/>
        <w:t xml:space="preserve">Two period rate ratio = 2014–2019 mean rate/2020–2024 mean rate. </w:t>
      </w:r>
    </w:p>
    <w:p w14:paraId="05B8190E" w14:textId="42F0CFC4" w:rsidR="00D64512" w:rsidRPr="00D64512" w:rsidRDefault="00D64512" w:rsidP="00D64512">
      <w:pPr>
        <w:pStyle w:val="Heading2-nospacebefore"/>
      </w:pPr>
      <w:bookmarkStart w:id="27" w:name="_Toc224572828"/>
      <w:r w:rsidRPr="00D64512">
        <w:lastRenderedPageBreak/>
        <w:t>Trends by age and sex</w:t>
      </w:r>
      <w:bookmarkEnd w:id="27"/>
    </w:p>
    <w:p w14:paraId="02A5E4B6" w14:textId="77777777" w:rsidR="00D64512" w:rsidRPr="00D64512" w:rsidRDefault="00D64512" w:rsidP="00D64512">
      <w:pPr>
        <w:rPr>
          <w:lang w:val="en-GB"/>
        </w:rPr>
      </w:pPr>
      <w:r w:rsidRPr="00D64512">
        <w:rPr>
          <w:lang w:val="en-GB"/>
        </w:rPr>
        <w:t>Over the entire period, the median age of measles notifications was 22 years. The number of notifications was highest among people aged 20–49 years (n = 626; 57.2%); however, the rate was highest (40.5 per 100,000 population across the reporting period) among children aged &lt; 1 year, who were too young to be fully vaccinated against measles under the NIP.</w:t>
      </w:r>
      <w:r w:rsidRPr="00D64512">
        <w:rPr>
          <w:vertAlign w:val="superscript"/>
          <w:lang w:val="en-GB"/>
        </w:rPr>
        <w:t>17</w:t>
      </w:r>
      <w:r w:rsidRPr="00D64512">
        <w:rPr>
          <w:lang w:val="en-GB"/>
        </w:rPr>
        <w:t xml:space="preserve"> This pattern did not vary greatly year by year during the reporting period (Table 2). The most significant mean rate change when comparing the pre-pandemic and COVID-19 post-emergence periods was observed in 10–</w:t>
      </w:r>
      <w:proofErr w:type="gramStart"/>
      <w:r w:rsidRPr="00D64512">
        <w:rPr>
          <w:lang w:val="en-GB"/>
        </w:rPr>
        <w:t>14 year olds</w:t>
      </w:r>
      <w:proofErr w:type="gramEnd"/>
      <w:r w:rsidRPr="00D64512">
        <w:rPr>
          <w:lang w:val="en-GB"/>
        </w:rPr>
        <w:t xml:space="preserve">, a group for whom the mean rate in the pre-pandemic period was over 19 times higher than the mean rate for the COVID-19 post-emergence period.  </w:t>
      </w:r>
    </w:p>
    <w:p w14:paraId="3143DD8E" w14:textId="77777777" w:rsidR="00D64512" w:rsidRDefault="00D64512" w:rsidP="00D64512">
      <w:pPr>
        <w:rPr>
          <w:lang w:val="en-GB"/>
        </w:rPr>
      </w:pPr>
      <w:r w:rsidRPr="00D64512">
        <w:rPr>
          <w:lang w:val="en-GB"/>
        </w:rPr>
        <w:t>The year 2022 is the only year where the 50–64 age group accounted for an equal proportion of cases as 20–</w:t>
      </w:r>
      <w:proofErr w:type="gramStart"/>
      <w:r w:rsidRPr="00D64512">
        <w:rPr>
          <w:lang w:val="en-GB"/>
        </w:rPr>
        <w:t>49 year olds</w:t>
      </w:r>
      <w:proofErr w:type="gramEnd"/>
      <w:r w:rsidRPr="00D64512">
        <w:rPr>
          <w:lang w:val="en-GB"/>
        </w:rPr>
        <w:t>. This is likely reflective of the small number of notifications reported in that year (n = 7) (Figure 3).</w:t>
      </w:r>
    </w:p>
    <w:p w14:paraId="62A4A120" w14:textId="77777777" w:rsidR="009A5CBB" w:rsidRPr="009A5CBB" w:rsidRDefault="009A5CBB" w:rsidP="009A5CBB">
      <w:pPr>
        <w:pStyle w:val="CDIFigure-Title"/>
        <w:rPr>
          <w:lang w:val="en-GB"/>
        </w:rPr>
      </w:pPr>
      <w:r w:rsidRPr="009A5CBB">
        <w:rPr>
          <w:lang w:val="en-GB"/>
        </w:rPr>
        <w:t xml:space="preserve">Figure 3: Proportion of measles cases by age group and year, </w:t>
      </w:r>
      <w:proofErr w:type="spellStart"/>
      <w:proofErr w:type="gramStart"/>
      <w:r w:rsidRPr="009A5CBB">
        <w:rPr>
          <w:lang w:val="en-GB"/>
        </w:rPr>
        <w:t>Australia,</w:t>
      </w:r>
      <w:r w:rsidRPr="009A5CBB">
        <w:rPr>
          <w:vertAlign w:val="superscript"/>
          <w:lang w:val="en-GB"/>
        </w:rPr>
        <w:t>a</w:t>
      </w:r>
      <w:proofErr w:type="spellEnd"/>
      <w:proofErr w:type="gramEnd"/>
      <w:r w:rsidRPr="009A5CBB">
        <w:rPr>
          <w:lang w:val="en-GB"/>
        </w:rPr>
        <w:t xml:space="preserve"> 2014–2024</w:t>
      </w:r>
    </w:p>
    <w:p w14:paraId="076AD8B3" w14:textId="77777777" w:rsidR="009A5CBB" w:rsidRDefault="009A5CBB" w:rsidP="009A5CBB">
      <w:pPr>
        <w:pStyle w:val="CDIFigure-Placeholder"/>
        <w:rPr>
          <w:lang w:val="en-GB"/>
        </w:rPr>
      </w:pPr>
      <w:r>
        <w:rPr>
          <w:noProof/>
          <w:lang w:val="en-GB"/>
          <w14:ligatures w14:val="none"/>
        </w:rPr>
        <w:drawing>
          <wp:inline distT="0" distB="0" distL="0" distR="0" wp14:anchorId="5E187F46" wp14:editId="3D48BB69">
            <wp:extent cx="6120657" cy="3729990"/>
            <wp:effectExtent l="0" t="0" r="0" b="3810"/>
            <wp:docPr id="1739233517" name="Picture 3" descr="Figure 3:  A 100% stacked bar chart shows the proportion of measles cases notified to the National Notifiable Disease Surveillance System (NNDSS) 2014–2024 by age group for each year. In all years except 2022, the 20–49 age group represented the highest proportion of total cases (over half each year). In 2022, the proportion for 20–49 and 50–64 age groups were similar, though this is likely due to low case numbers and restricted international travel in that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33517" name="Picture 3" descr="Figure 3:  A 100% stacked bar chart shows the proportion of measles cases notified to the National Notifiable Disease Surveillance System (NNDSS) 2014–2024 by age group for each year. In all years except 2022, the 20–49 age group represented the highest proportion of total cases (over half each year). In 2022, the proportion for 20–49 and 50–64 age groups were similar, though this is likely due to low case numbers and restricted international travel in that year. "/>
                    <pic:cNvPicPr/>
                  </pic:nvPicPr>
                  <pic:blipFill>
                    <a:blip r:embed="rId26">
                      <a:extLst>
                        <a:ext uri="{28A0092B-C50C-407E-A947-70E740481C1C}">
                          <a14:useLocalDpi xmlns:a14="http://schemas.microsoft.com/office/drawing/2010/main" val="0"/>
                        </a:ext>
                      </a:extLst>
                    </a:blip>
                    <a:stretch>
                      <a:fillRect/>
                    </a:stretch>
                  </pic:blipFill>
                  <pic:spPr>
                    <a:xfrm>
                      <a:off x="0" y="0"/>
                      <a:ext cx="6120657" cy="3729990"/>
                    </a:xfrm>
                    <a:prstGeom prst="rect">
                      <a:avLst/>
                    </a:prstGeom>
                  </pic:spPr>
                </pic:pic>
              </a:graphicData>
            </a:graphic>
          </wp:inline>
        </w:drawing>
      </w:r>
    </w:p>
    <w:p w14:paraId="21231A79" w14:textId="35D0873C" w:rsidR="00BC1AFB" w:rsidRDefault="00BC1AFB" w:rsidP="00BC1AFB">
      <w:pPr>
        <w:pStyle w:val="CDITable-FirstFootnote"/>
        <w:rPr>
          <w:lang w:val="en-GB"/>
        </w:rPr>
      </w:pPr>
      <w:r>
        <w:rPr>
          <w:lang w:val="en-GB"/>
        </w:rPr>
        <w:t>a</w:t>
      </w:r>
      <w:r>
        <w:rPr>
          <w:lang w:val="en-GB"/>
        </w:rPr>
        <w:tab/>
        <w:t>Note that, since no measles cases were notified in 2021, case numbers by age group for 2021 are not displayed.</w:t>
      </w:r>
    </w:p>
    <w:p w14:paraId="2C7C37F6" w14:textId="77777777" w:rsidR="009A5CBB" w:rsidRDefault="009A5CBB" w:rsidP="009A5CBB">
      <w:pPr>
        <w:pStyle w:val="CDIFigure-Placeholder"/>
        <w:rPr>
          <w:lang w:val="en-GB"/>
        </w:rPr>
        <w:sectPr w:rsidR="009A5CBB" w:rsidSect="001E3ECB">
          <w:footnotePr>
            <w:numFmt w:val="lowerRoman"/>
          </w:footnotePr>
          <w:pgSz w:w="11907" w:h="16840" w:code="9"/>
          <w:pgMar w:top="1134" w:right="1134" w:bottom="1134" w:left="1134" w:header="709" w:footer="567" w:gutter="0"/>
          <w:cols w:space="708"/>
          <w:docGrid w:linePitch="360"/>
        </w:sectPr>
      </w:pPr>
    </w:p>
    <w:p w14:paraId="0248664E" w14:textId="77777777" w:rsidR="00D64512" w:rsidRPr="00D64512" w:rsidRDefault="00D64512" w:rsidP="009A5CBB">
      <w:pPr>
        <w:pStyle w:val="CDITable-Title"/>
        <w:spacing w:before="0"/>
        <w:rPr>
          <w:lang w:val="en-GB"/>
        </w:rPr>
      </w:pPr>
      <w:r w:rsidRPr="00D64512">
        <w:rPr>
          <w:lang w:val="en-GB"/>
        </w:rPr>
        <w:lastRenderedPageBreak/>
        <w:t xml:space="preserve">Table 2: Numbers of measles notifications and notification rates by year and age group with </w:t>
      </w:r>
      <w:proofErr w:type="spellStart"/>
      <w:proofErr w:type="gramStart"/>
      <w:r w:rsidRPr="00D64512">
        <w:rPr>
          <w:lang w:val="en-GB"/>
        </w:rPr>
        <w:t>averages,</w:t>
      </w:r>
      <w:r w:rsidRPr="00D64512">
        <w:rPr>
          <w:vertAlign w:val="superscript"/>
          <w:lang w:val="en-GB"/>
        </w:rPr>
        <w:t>a</w:t>
      </w:r>
      <w:proofErr w:type="gramEnd"/>
      <w:r w:rsidRPr="00D64512">
        <w:rPr>
          <w:vertAlign w:val="superscript"/>
          <w:lang w:val="en-GB"/>
        </w:rPr>
        <w:t>,b</w:t>
      </w:r>
      <w:proofErr w:type="spellEnd"/>
      <w:r w:rsidRPr="00D64512">
        <w:rPr>
          <w:lang w:val="en-GB"/>
        </w:rPr>
        <w:t xml:space="preserve"> 2014–2024</w:t>
      </w:r>
    </w:p>
    <w:tbl>
      <w:tblPr>
        <w:tblW w:w="0" w:type="auto"/>
        <w:tblLayout w:type="fixed"/>
        <w:tblCellMar>
          <w:left w:w="0" w:type="dxa"/>
          <w:right w:w="0" w:type="dxa"/>
        </w:tblCellMar>
        <w:tblLook w:val="0000" w:firstRow="0" w:lastRow="0" w:firstColumn="0" w:lastColumn="0" w:noHBand="0" w:noVBand="0"/>
        <w:tblCaption w:val="Table 2: Numbers of measles notifications and notification rates by year and age group with averages,a,b 2014–2024"/>
        <w:tblDescription w:val="Table 2: Presents counts and rates per 100,000 per population, per year, of measles cases notified to the National Notifiable Disease Surveillance System (NNDSS) by age groups from &lt;1 years to 65+ years, with mean rates for 2014–2019 and 2020–2024 and a rate ratio between these two means."/>
      </w:tblPr>
      <w:tblGrid>
        <w:gridCol w:w="1020"/>
        <w:gridCol w:w="511"/>
        <w:gridCol w:w="510"/>
        <w:gridCol w:w="510"/>
        <w:gridCol w:w="510"/>
        <w:gridCol w:w="511"/>
        <w:gridCol w:w="510"/>
        <w:gridCol w:w="510"/>
        <w:gridCol w:w="510"/>
        <w:gridCol w:w="511"/>
        <w:gridCol w:w="510"/>
        <w:gridCol w:w="510"/>
        <w:gridCol w:w="510"/>
        <w:gridCol w:w="511"/>
        <w:gridCol w:w="510"/>
        <w:gridCol w:w="510"/>
        <w:gridCol w:w="510"/>
        <w:gridCol w:w="510"/>
        <w:gridCol w:w="511"/>
        <w:gridCol w:w="510"/>
        <w:gridCol w:w="510"/>
        <w:gridCol w:w="539"/>
        <w:gridCol w:w="510"/>
        <w:gridCol w:w="690"/>
        <w:gridCol w:w="690"/>
        <w:gridCol w:w="689"/>
      </w:tblGrid>
      <w:tr w:rsidR="009A5CBB" w:rsidRPr="009A5CBB" w14:paraId="093FA687" w14:textId="77777777" w:rsidTr="009A5CBB">
        <w:trPr>
          <w:trHeight w:val="60"/>
          <w:tblHeader/>
        </w:trPr>
        <w:tc>
          <w:tcPr>
            <w:tcW w:w="1020" w:type="dxa"/>
            <w:vMerge w:val="restart"/>
            <w:shd w:val="clear" w:color="auto" w:fill="1E4496" w:themeFill="text2"/>
            <w:tcMar>
              <w:top w:w="113" w:type="dxa"/>
              <w:left w:w="57" w:type="dxa"/>
              <w:bottom w:w="113" w:type="dxa"/>
              <w:right w:w="57" w:type="dxa"/>
            </w:tcMar>
            <w:vAlign w:val="bottom"/>
          </w:tcPr>
          <w:p w14:paraId="52D5A802" w14:textId="77777777" w:rsidR="009A5CBB" w:rsidRPr="009A5CBB" w:rsidRDefault="009A5CBB" w:rsidP="009A5CBB">
            <w:pPr>
              <w:pStyle w:val="CDITable-HeaderRowLeft"/>
              <w:rPr>
                <w:sz w:val="17"/>
                <w:szCs w:val="17"/>
              </w:rPr>
            </w:pPr>
            <w:r w:rsidRPr="009A5CBB">
              <w:rPr>
                <w:sz w:val="17"/>
                <w:szCs w:val="17"/>
              </w:rPr>
              <w:t>Age group (years)</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699B24BF" w14:textId="77777777" w:rsidR="009A5CBB" w:rsidRPr="009A5CBB" w:rsidRDefault="009A5CBB" w:rsidP="009A5CBB">
            <w:pPr>
              <w:pStyle w:val="CDITable-HeaderRowCentre"/>
              <w:rPr>
                <w:bCs/>
                <w:sz w:val="17"/>
              </w:rPr>
            </w:pPr>
            <w:r w:rsidRPr="009A5CBB">
              <w:rPr>
                <w:bCs/>
                <w:sz w:val="17"/>
              </w:rPr>
              <w:t>2014</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7FDDB349" w14:textId="77777777" w:rsidR="009A5CBB" w:rsidRPr="009A5CBB" w:rsidRDefault="009A5CBB" w:rsidP="009A5CBB">
            <w:pPr>
              <w:pStyle w:val="CDITable-HeaderRowCentre"/>
              <w:rPr>
                <w:bCs/>
                <w:sz w:val="17"/>
              </w:rPr>
            </w:pPr>
            <w:r w:rsidRPr="009A5CBB">
              <w:rPr>
                <w:bCs/>
                <w:sz w:val="17"/>
              </w:rPr>
              <w:t>2015</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7733FA0B" w14:textId="77777777" w:rsidR="009A5CBB" w:rsidRPr="009A5CBB" w:rsidRDefault="009A5CBB" w:rsidP="009A5CBB">
            <w:pPr>
              <w:pStyle w:val="CDITable-HeaderRowCentre"/>
              <w:rPr>
                <w:bCs/>
                <w:sz w:val="17"/>
              </w:rPr>
            </w:pPr>
            <w:r w:rsidRPr="009A5CBB">
              <w:rPr>
                <w:bCs/>
                <w:sz w:val="17"/>
              </w:rPr>
              <w:t>2016</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200C6206" w14:textId="77777777" w:rsidR="009A5CBB" w:rsidRPr="009A5CBB" w:rsidRDefault="009A5CBB" w:rsidP="009A5CBB">
            <w:pPr>
              <w:pStyle w:val="CDITable-HeaderRowCentre"/>
              <w:rPr>
                <w:bCs/>
                <w:sz w:val="17"/>
              </w:rPr>
            </w:pPr>
            <w:r w:rsidRPr="009A5CBB">
              <w:rPr>
                <w:bCs/>
                <w:sz w:val="17"/>
              </w:rPr>
              <w:t>2017</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1619348F" w14:textId="77777777" w:rsidR="009A5CBB" w:rsidRPr="009A5CBB" w:rsidRDefault="009A5CBB" w:rsidP="009A5CBB">
            <w:pPr>
              <w:pStyle w:val="CDITable-HeaderRowCentre"/>
              <w:rPr>
                <w:bCs/>
                <w:sz w:val="17"/>
              </w:rPr>
            </w:pPr>
            <w:r w:rsidRPr="009A5CBB">
              <w:rPr>
                <w:bCs/>
                <w:sz w:val="17"/>
              </w:rPr>
              <w:t>2018</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60020426" w14:textId="77777777" w:rsidR="009A5CBB" w:rsidRPr="009A5CBB" w:rsidRDefault="009A5CBB" w:rsidP="009A5CBB">
            <w:pPr>
              <w:pStyle w:val="CDITable-HeaderRowCentre"/>
              <w:rPr>
                <w:bCs/>
                <w:sz w:val="17"/>
              </w:rPr>
            </w:pPr>
            <w:r w:rsidRPr="009A5CBB">
              <w:rPr>
                <w:bCs/>
                <w:sz w:val="17"/>
              </w:rPr>
              <w:t>2019</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48661A78" w14:textId="77777777" w:rsidR="009A5CBB" w:rsidRPr="009A5CBB" w:rsidRDefault="009A5CBB" w:rsidP="009A5CBB">
            <w:pPr>
              <w:pStyle w:val="CDITable-HeaderRowCentre"/>
              <w:rPr>
                <w:bCs/>
                <w:sz w:val="17"/>
              </w:rPr>
            </w:pPr>
            <w:r w:rsidRPr="009A5CBB">
              <w:rPr>
                <w:bCs/>
                <w:sz w:val="17"/>
              </w:rPr>
              <w:t>2020</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10124051" w14:textId="77777777" w:rsidR="009A5CBB" w:rsidRPr="009A5CBB" w:rsidRDefault="009A5CBB" w:rsidP="009A5CBB">
            <w:pPr>
              <w:pStyle w:val="CDITable-HeaderRowCentre"/>
              <w:rPr>
                <w:bCs/>
                <w:sz w:val="17"/>
              </w:rPr>
            </w:pPr>
            <w:r w:rsidRPr="009A5CBB">
              <w:rPr>
                <w:bCs/>
                <w:sz w:val="17"/>
              </w:rPr>
              <w:t>2022</w:t>
            </w:r>
          </w:p>
        </w:tc>
        <w:tc>
          <w:tcPr>
            <w:tcW w:w="1021"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273A2B49" w14:textId="77777777" w:rsidR="009A5CBB" w:rsidRPr="009A5CBB" w:rsidRDefault="009A5CBB" w:rsidP="009A5CBB">
            <w:pPr>
              <w:pStyle w:val="CDITable-HeaderRowCentre"/>
              <w:rPr>
                <w:bCs/>
                <w:sz w:val="17"/>
              </w:rPr>
            </w:pPr>
            <w:r w:rsidRPr="009A5CBB">
              <w:rPr>
                <w:bCs/>
                <w:sz w:val="17"/>
              </w:rPr>
              <w:t>2023</w:t>
            </w:r>
          </w:p>
        </w:tc>
        <w:tc>
          <w:tcPr>
            <w:tcW w:w="1020"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7D9B4A69" w14:textId="77777777" w:rsidR="009A5CBB" w:rsidRPr="009A5CBB" w:rsidRDefault="009A5CBB" w:rsidP="009A5CBB">
            <w:pPr>
              <w:pStyle w:val="CDITable-HeaderRowCentre"/>
              <w:rPr>
                <w:bCs/>
                <w:sz w:val="17"/>
              </w:rPr>
            </w:pPr>
            <w:r w:rsidRPr="009A5CBB">
              <w:rPr>
                <w:bCs/>
                <w:sz w:val="17"/>
              </w:rPr>
              <w:t>2024</w:t>
            </w:r>
          </w:p>
        </w:tc>
        <w:tc>
          <w:tcPr>
            <w:tcW w:w="1049" w:type="dxa"/>
            <w:gridSpan w:val="2"/>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49829581" w14:textId="77777777" w:rsidR="009A5CBB" w:rsidRPr="009A5CBB" w:rsidRDefault="009A5CBB" w:rsidP="009A5CBB">
            <w:pPr>
              <w:pStyle w:val="CDITable-HeaderRowCentre"/>
              <w:rPr>
                <w:bCs/>
                <w:sz w:val="17"/>
              </w:rPr>
            </w:pPr>
            <w:r w:rsidRPr="009A5CBB">
              <w:rPr>
                <w:bCs/>
                <w:sz w:val="17"/>
              </w:rPr>
              <w:t>Total</w:t>
            </w:r>
          </w:p>
        </w:tc>
        <w:tc>
          <w:tcPr>
            <w:tcW w:w="2069" w:type="dxa"/>
            <w:gridSpan w:val="3"/>
            <w:tcBorders>
              <w:bottom w:val="single" w:sz="6" w:space="0" w:color="FFFFFF" w:themeColor="background1"/>
            </w:tcBorders>
            <w:shd w:val="clear" w:color="auto" w:fill="1E4496" w:themeFill="text2"/>
            <w:tcMar>
              <w:top w:w="113" w:type="dxa"/>
              <w:left w:w="57" w:type="dxa"/>
              <w:bottom w:w="113" w:type="dxa"/>
              <w:right w:w="57" w:type="dxa"/>
            </w:tcMar>
            <w:vAlign w:val="bottom"/>
          </w:tcPr>
          <w:p w14:paraId="31AE5D57" w14:textId="56714293" w:rsidR="009A5CBB" w:rsidRPr="009A5CBB" w:rsidRDefault="009A5CBB" w:rsidP="009A5CBB">
            <w:pPr>
              <w:pStyle w:val="CDITable-HeaderRowCentre"/>
              <w:rPr>
                <w:bCs/>
                <w:sz w:val="17"/>
              </w:rPr>
            </w:pPr>
            <w:r w:rsidRPr="009A5CBB">
              <w:rPr>
                <w:bCs/>
                <w:sz w:val="17"/>
              </w:rPr>
              <w:t>Pre-pandemic and</w:t>
            </w:r>
            <w:r>
              <w:rPr>
                <w:bCs/>
                <w:sz w:val="17"/>
              </w:rPr>
              <w:t> </w:t>
            </w:r>
            <w:r w:rsidRPr="009A5CBB">
              <w:rPr>
                <w:bCs/>
                <w:sz w:val="17"/>
              </w:rPr>
              <w:t>COVID-19</w:t>
            </w:r>
            <w:r>
              <w:rPr>
                <w:bCs/>
                <w:sz w:val="17"/>
              </w:rPr>
              <w:br/>
            </w:r>
            <w:r w:rsidRPr="009A5CBB">
              <w:rPr>
                <w:bCs/>
                <w:sz w:val="17"/>
              </w:rPr>
              <w:t>post-emergence period</w:t>
            </w:r>
            <w:r>
              <w:rPr>
                <w:bCs/>
                <w:sz w:val="17"/>
              </w:rPr>
              <w:t> </w:t>
            </w:r>
            <w:proofErr w:type="spellStart"/>
            <w:r w:rsidRPr="009A5CBB">
              <w:rPr>
                <w:bCs/>
                <w:sz w:val="17"/>
              </w:rPr>
              <w:t>means</w:t>
            </w:r>
            <w:r w:rsidRPr="009A5CBB">
              <w:rPr>
                <w:bCs/>
                <w:sz w:val="17"/>
                <w:vertAlign w:val="superscript"/>
              </w:rPr>
              <w:t>c</w:t>
            </w:r>
            <w:proofErr w:type="spellEnd"/>
          </w:p>
        </w:tc>
      </w:tr>
      <w:tr w:rsidR="009A5CBB" w:rsidRPr="009A5CBB" w14:paraId="2B841420" w14:textId="77777777" w:rsidTr="009A5CBB">
        <w:trPr>
          <w:trHeight w:val="60"/>
          <w:tblHeader/>
        </w:trPr>
        <w:tc>
          <w:tcPr>
            <w:tcW w:w="1020" w:type="dxa"/>
            <w:vMerge/>
            <w:shd w:val="clear" w:color="auto" w:fill="1E4496" w:themeFill="text2"/>
          </w:tcPr>
          <w:p w14:paraId="69E44D4D" w14:textId="77777777" w:rsidR="009A5CBB" w:rsidRPr="009A5CBB" w:rsidRDefault="009A5CBB" w:rsidP="009A5CBB"/>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6766F04"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88DE9CF" w14:textId="77777777" w:rsidR="009A5CBB" w:rsidRPr="009A5CBB" w:rsidRDefault="009A5CBB" w:rsidP="009A5CBB">
            <w:pPr>
              <w:pStyle w:val="CDITable-HeaderRowCentre"/>
              <w:rPr>
                <w:sz w:val="17"/>
                <w:szCs w:val="17"/>
              </w:rPr>
            </w:pPr>
            <w:r w:rsidRPr="009A5CBB">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74F7FB1"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FE28CCD" w14:textId="77777777" w:rsidR="009A5CBB" w:rsidRPr="009A5CBB" w:rsidRDefault="009A5CBB" w:rsidP="009A5CBB">
            <w:pPr>
              <w:pStyle w:val="CDITable-HeaderRowCentre"/>
              <w:rPr>
                <w:sz w:val="17"/>
                <w:szCs w:val="17"/>
              </w:rPr>
            </w:pPr>
            <w:r w:rsidRPr="009A5CBB">
              <w:rPr>
                <w:sz w:val="17"/>
                <w:szCs w:val="17"/>
              </w:rPr>
              <w:t>rate</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1409D11"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6D6741D" w14:textId="77777777" w:rsidR="009A5CBB" w:rsidRPr="009A5CBB" w:rsidRDefault="009A5CBB" w:rsidP="009A5CBB">
            <w:pPr>
              <w:pStyle w:val="CDITable-HeaderRowCentre"/>
              <w:rPr>
                <w:sz w:val="17"/>
                <w:szCs w:val="17"/>
              </w:rPr>
            </w:pPr>
            <w:r w:rsidRPr="009A5CBB">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C313555"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46D7CB94" w14:textId="77777777" w:rsidR="009A5CBB" w:rsidRPr="009A5CBB" w:rsidRDefault="009A5CBB" w:rsidP="009A5CBB">
            <w:pPr>
              <w:pStyle w:val="CDITable-HeaderRowCentre"/>
              <w:rPr>
                <w:sz w:val="17"/>
                <w:szCs w:val="17"/>
              </w:rPr>
            </w:pPr>
            <w:r w:rsidRPr="009A5CBB">
              <w:rPr>
                <w:sz w:val="17"/>
                <w:szCs w:val="17"/>
              </w:rPr>
              <w:t>rate</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5FA9D477"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148C20F" w14:textId="77777777" w:rsidR="009A5CBB" w:rsidRPr="009A5CBB" w:rsidRDefault="009A5CBB" w:rsidP="009A5CBB">
            <w:pPr>
              <w:pStyle w:val="CDITable-HeaderRowCentre"/>
              <w:rPr>
                <w:sz w:val="17"/>
                <w:szCs w:val="17"/>
              </w:rPr>
            </w:pPr>
            <w:r w:rsidRPr="009A5CBB">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2F497159"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2F8E2A24" w14:textId="77777777" w:rsidR="009A5CBB" w:rsidRPr="009A5CBB" w:rsidRDefault="009A5CBB" w:rsidP="009A5CBB">
            <w:pPr>
              <w:pStyle w:val="CDITable-HeaderRowCentre"/>
              <w:rPr>
                <w:sz w:val="17"/>
                <w:szCs w:val="17"/>
              </w:rPr>
            </w:pPr>
            <w:r w:rsidRPr="009A5CBB">
              <w:rPr>
                <w:sz w:val="17"/>
                <w:szCs w:val="17"/>
              </w:rPr>
              <w:t>rate</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BF37380"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45A30031" w14:textId="77777777" w:rsidR="009A5CBB" w:rsidRPr="009A5CBB" w:rsidRDefault="009A5CBB" w:rsidP="009A5CBB">
            <w:pPr>
              <w:pStyle w:val="CDITable-HeaderRowCentre"/>
              <w:rPr>
                <w:sz w:val="17"/>
                <w:szCs w:val="17"/>
              </w:rPr>
            </w:pPr>
            <w:r w:rsidRPr="009A5CBB">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94B3A09"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5FE23C3" w14:textId="77777777" w:rsidR="009A5CBB" w:rsidRPr="009A5CBB" w:rsidRDefault="009A5CBB" w:rsidP="009A5CBB">
            <w:pPr>
              <w:pStyle w:val="CDITable-HeaderRowCentre"/>
              <w:rPr>
                <w:sz w:val="17"/>
                <w:szCs w:val="17"/>
              </w:rPr>
            </w:pPr>
            <w:r w:rsidRPr="009A5CBB">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31AEEE65" w14:textId="77777777" w:rsidR="009A5CBB" w:rsidRPr="009A5CBB" w:rsidRDefault="009A5CBB" w:rsidP="009A5CBB">
            <w:pPr>
              <w:pStyle w:val="CDITable-HeaderRowCentre"/>
              <w:rPr>
                <w:sz w:val="17"/>
                <w:szCs w:val="17"/>
              </w:rPr>
            </w:pPr>
            <w:r w:rsidRPr="009A5CBB">
              <w:rPr>
                <w:sz w:val="17"/>
                <w:szCs w:val="17"/>
              </w:rPr>
              <w:t>n</w:t>
            </w:r>
          </w:p>
        </w:tc>
        <w:tc>
          <w:tcPr>
            <w:tcW w:w="511"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EFC6A97" w14:textId="77777777" w:rsidR="009A5CBB" w:rsidRPr="009A5CBB" w:rsidRDefault="009A5CBB" w:rsidP="009A5CBB">
            <w:pPr>
              <w:pStyle w:val="CDITable-HeaderRowCentre"/>
              <w:rPr>
                <w:sz w:val="17"/>
                <w:szCs w:val="17"/>
              </w:rPr>
            </w:pPr>
            <w:r w:rsidRPr="009A5CBB">
              <w:rPr>
                <w:sz w:val="17"/>
                <w:szCs w:val="17"/>
              </w:rPr>
              <w:t>rate</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5491EAC9"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7CE9093E" w14:textId="77777777" w:rsidR="009A5CBB" w:rsidRPr="009A5CBB" w:rsidRDefault="009A5CBB" w:rsidP="009A5CBB">
            <w:pPr>
              <w:pStyle w:val="CDITable-HeaderRowCentre"/>
              <w:rPr>
                <w:sz w:val="17"/>
                <w:szCs w:val="17"/>
              </w:rPr>
            </w:pPr>
            <w:r w:rsidRPr="009A5CBB">
              <w:rPr>
                <w:sz w:val="17"/>
                <w:szCs w:val="17"/>
              </w:rPr>
              <w:t>rate</w:t>
            </w:r>
          </w:p>
        </w:tc>
        <w:tc>
          <w:tcPr>
            <w:tcW w:w="539"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31482C4" w14:textId="77777777" w:rsidR="009A5CBB" w:rsidRPr="009A5CBB" w:rsidRDefault="009A5CBB" w:rsidP="009A5CBB">
            <w:pPr>
              <w:pStyle w:val="CDITable-HeaderRowCentre"/>
              <w:rPr>
                <w:sz w:val="17"/>
                <w:szCs w:val="17"/>
              </w:rPr>
            </w:pPr>
            <w:r w:rsidRPr="009A5CBB">
              <w:rPr>
                <w:sz w:val="17"/>
                <w:szCs w:val="17"/>
              </w:rPr>
              <w:t>n</w:t>
            </w:r>
          </w:p>
        </w:tc>
        <w:tc>
          <w:tcPr>
            <w:tcW w:w="51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4E95AC5" w14:textId="77777777" w:rsidR="009A5CBB" w:rsidRPr="009A5CBB" w:rsidRDefault="009A5CBB" w:rsidP="009A5CBB">
            <w:pPr>
              <w:pStyle w:val="CDITable-HeaderRowCentre"/>
              <w:rPr>
                <w:sz w:val="17"/>
                <w:szCs w:val="17"/>
              </w:rPr>
            </w:pPr>
            <w:r w:rsidRPr="009A5CBB">
              <w:rPr>
                <w:sz w:val="17"/>
                <w:szCs w:val="17"/>
              </w:rPr>
              <w:t>rate</w:t>
            </w:r>
          </w:p>
        </w:tc>
        <w:tc>
          <w:tcPr>
            <w:tcW w:w="69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574BE892" w14:textId="77777777" w:rsidR="009A5CBB" w:rsidRPr="009A5CBB" w:rsidRDefault="009A5CBB" w:rsidP="009A5CBB">
            <w:pPr>
              <w:pStyle w:val="CDITable-HeaderRowCentre"/>
              <w:rPr>
                <w:sz w:val="17"/>
                <w:szCs w:val="17"/>
              </w:rPr>
            </w:pPr>
            <w:r w:rsidRPr="009A5CBB">
              <w:rPr>
                <w:sz w:val="17"/>
                <w:szCs w:val="17"/>
              </w:rPr>
              <w:t>2014–2019 mean rate</w:t>
            </w:r>
          </w:p>
        </w:tc>
        <w:tc>
          <w:tcPr>
            <w:tcW w:w="690"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1625FAF0" w14:textId="77777777" w:rsidR="009A5CBB" w:rsidRPr="009A5CBB" w:rsidRDefault="009A5CBB" w:rsidP="009A5CBB">
            <w:pPr>
              <w:pStyle w:val="CDITable-HeaderRowCentre"/>
              <w:rPr>
                <w:sz w:val="17"/>
                <w:szCs w:val="17"/>
              </w:rPr>
            </w:pPr>
            <w:r w:rsidRPr="009A5CBB">
              <w:rPr>
                <w:sz w:val="17"/>
                <w:szCs w:val="17"/>
              </w:rPr>
              <w:t xml:space="preserve">2020–2024 mean </w:t>
            </w:r>
            <w:proofErr w:type="spellStart"/>
            <w:r w:rsidRPr="009A5CBB">
              <w:rPr>
                <w:sz w:val="17"/>
                <w:szCs w:val="17"/>
              </w:rPr>
              <w:t>rate</w:t>
            </w:r>
            <w:r w:rsidRPr="009A5CBB">
              <w:rPr>
                <w:sz w:val="17"/>
                <w:szCs w:val="17"/>
                <w:vertAlign w:val="superscript"/>
              </w:rPr>
              <w:t>a</w:t>
            </w:r>
            <w:proofErr w:type="spellEnd"/>
          </w:p>
        </w:tc>
        <w:tc>
          <w:tcPr>
            <w:tcW w:w="689" w:type="dxa"/>
            <w:tcBorders>
              <w:top w:val="single" w:sz="6" w:space="0" w:color="FFFFFF" w:themeColor="background1"/>
            </w:tcBorders>
            <w:shd w:val="clear" w:color="auto" w:fill="1E4496" w:themeFill="text2"/>
            <w:tcMar>
              <w:top w:w="113" w:type="dxa"/>
              <w:left w:w="57" w:type="dxa"/>
              <w:bottom w:w="113" w:type="dxa"/>
              <w:right w:w="57" w:type="dxa"/>
            </w:tcMar>
            <w:vAlign w:val="bottom"/>
          </w:tcPr>
          <w:p w14:paraId="4A18911E" w14:textId="77777777" w:rsidR="009A5CBB" w:rsidRPr="009A5CBB" w:rsidRDefault="009A5CBB" w:rsidP="009A5CBB">
            <w:pPr>
              <w:pStyle w:val="CDITable-HeaderRowCentre"/>
              <w:rPr>
                <w:sz w:val="17"/>
                <w:szCs w:val="17"/>
              </w:rPr>
            </w:pPr>
            <w:r w:rsidRPr="009A5CBB">
              <w:rPr>
                <w:sz w:val="17"/>
                <w:szCs w:val="17"/>
              </w:rPr>
              <w:t xml:space="preserve">Two period rate </w:t>
            </w:r>
            <w:proofErr w:type="spellStart"/>
            <w:proofErr w:type="gramStart"/>
            <w:r w:rsidRPr="009A5CBB">
              <w:rPr>
                <w:sz w:val="17"/>
                <w:szCs w:val="17"/>
              </w:rPr>
              <w:t>ratio</w:t>
            </w:r>
            <w:r w:rsidRPr="009A5CBB">
              <w:rPr>
                <w:sz w:val="17"/>
                <w:szCs w:val="17"/>
                <w:vertAlign w:val="superscript"/>
              </w:rPr>
              <w:t>a,d</w:t>
            </w:r>
            <w:proofErr w:type="spellEnd"/>
            <w:proofErr w:type="gramEnd"/>
          </w:p>
        </w:tc>
      </w:tr>
      <w:tr w:rsidR="009A5CBB" w:rsidRPr="009A5CBB" w14:paraId="0B0CEE90" w14:textId="77777777" w:rsidTr="00520680">
        <w:trPr>
          <w:trHeight w:val="60"/>
        </w:trPr>
        <w:tc>
          <w:tcPr>
            <w:tcW w:w="1020" w:type="dxa"/>
            <w:tcBorders>
              <w:bottom w:val="single" w:sz="6" w:space="0" w:color="1E4496" w:themeColor="text2"/>
            </w:tcBorders>
            <w:shd w:val="clear" w:color="auto" w:fill="FFFFFF" w:themeFill="background1"/>
            <w:tcMar>
              <w:top w:w="113" w:type="dxa"/>
              <w:left w:w="57" w:type="dxa"/>
              <w:bottom w:w="113" w:type="dxa"/>
              <w:right w:w="57" w:type="dxa"/>
            </w:tcMar>
            <w:vAlign w:val="center"/>
          </w:tcPr>
          <w:p w14:paraId="0504DC81" w14:textId="77777777" w:rsidR="009A5CBB" w:rsidRPr="009A5CBB" w:rsidRDefault="009A5CBB" w:rsidP="009A5CBB">
            <w:pPr>
              <w:pStyle w:val="CDITable-RowLeft"/>
              <w:rPr>
                <w:sz w:val="17"/>
              </w:rPr>
            </w:pPr>
            <w:r w:rsidRPr="009A5CBB">
              <w:rPr>
                <w:sz w:val="17"/>
              </w:rPr>
              <w:t>&lt; 1</w:t>
            </w:r>
          </w:p>
        </w:tc>
        <w:tc>
          <w:tcPr>
            <w:tcW w:w="511" w:type="dxa"/>
            <w:tcBorders>
              <w:bottom w:val="single" w:sz="6" w:space="0" w:color="1E4496" w:themeColor="text2"/>
            </w:tcBorders>
            <w:tcMar>
              <w:top w:w="113" w:type="dxa"/>
              <w:left w:w="57" w:type="dxa"/>
              <w:bottom w:w="113" w:type="dxa"/>
              <w:right w:w="57" w:type="dxa"/>
            </w:tcMar>
            <w:vAlign w:val="center"/>
          </w:tcPr>
          <w:p w14:paraId="268C0247" w14:textId="77777777" w:rsidR="009A5CBB" w:rsidRPr="009A5CBB" w:rsidRDefault="009A5CBB" w:rsidP="009A5CBB">
            <w:pPr>
              <w:pStyle w:val="CDITable-RowCentre"/>
              <w:rPr>
                <w:sz w:val="17"/>
              </w:rPr>
            </w:pPr>
            <w:r w:rsidRPr="009A5CBB">
              <w:rPr>
                <w:sz w:val="17"/>
              </w:rPr>
              <w:t>33</w:t>
            </w:r>
          </w:p>
        </w:tc>
        <w:tc>
          <w:tcPr>
            <w:tcW w:w="510" w:type="dxa"/>
            <w:tcBorders>
              <w:bottom w:val="single" w:sz="6" w:space="0" w:color="1E4496" w:themeColor="text2"/>
            </w:tcBorders>
            <w:tcMar>
              <w:top w:w="113" w:type="dxa"/>
              <w:left w:w="57" w:type="dxa"/>
              <w:bottom w:w="113" w:type="dxa"/>
              <w:right w:w="57" w:type="dxa"/>
            </w:tcMar>
            <w:vAlign w:val="center"/>
          </w:tcPr>
          <w:p w14:paraId="64402739" w14:textId="77777777" w:rsidR="009A5CBB" w:rsidRPr="009A5CBB" w:rsidRDefault="009A5CBB" w:rsidP="009A5CBB">
            <w:pPr>
              <w:pStyle w:val="CDITable-RowCentre"/>
              <w:rPr>
                <w:sz w:val="17"/>
              </w:rPr>
            </w:pPr>
            <w:r w:rsidRPr="009A5CBB">
              <w:rPr>
                <w:sz w:val="17"/>
              </w:rPr>
              <w:t>10.8</w:t>
            </w:r>
          </w:p>
        </w:tc>
        <w:tc>
          <w:tcPr>
            <w:tcW w:w="510" w:type="dxa"/>
            <w:tcBorders>
              <w:bottom w:val="single" w:sz="6" w:space="0" w:color="1E4496" w:themeColor="text2"/>
            </w:tcBorders>
            <w:tcMar>
              <w:top w:w="113" w:type="dxa"/>
              <w:left w:w="57" w:type="dxa"/>
              <w:bottom w:w="113" w:type="dxa"/>
              <w:right w:w="57" w:type="dxa"/>
            </w:tcMar>
            <w:vAlign w:val="center"/>
          </w:tcPr>
          <w:p w14:paraId="0C2D8FD9" w14:textId="77777777" w:rsidR="009A5CBB" w:rsidRPr="009A5CBB" w:rsidRDefault="009A5CBB" w:rsidP="009A5CBB">
            <w:pPr>
              <w:pStyle w:val="CDITable-RowCentre"/>
              <w:rPr>
                <w:sz w:val="17"/>
              </w:rPr>
            </w:pPr>
            <w:r w:rsidRPr="009A5CBB">
              <w:rPr>
                <w:sz w:val="17"/>
              </w:rPr>
              <w:t>9</w:t>
            </w:r>
          </w:p>
        </w:tc>
        <w:tc>
          <w:tcPr>
            <w:tcW w:w="510" w:type="dxa"/>
            <w:tcBorders>
              <w:bottom w:val="single" w:sz="6" w:space="0" w:color="1E4496" w:themeColor="text2"/>
            </w:tcBorders>
            <w:tcMar>
              <w:top w:w="113" w:type="dxa"/>
              <w:left w:w="57" w:type="dxa"/>
              <w:bottom w:w="113" w:type="dxa"/>
              <w:right w:w="57" w:type="dxa"/>
            </w:tcMar>
            <w:vAlign w:val="center"/>
          </w:tcPr>
          <w:p w14:paraId="4AF43F03" w14:textId="77777777" w:rsidR="009A5CBB" w:rsidRPr="009A5CBB" w:rsidRDefault="009A5CBB" w:rsidP="009A5CBB">
            <w:pPr>
              <w:pStyle w:val="CDITable-RowCentre"/>
              <w:rPr>
                <w:sz w:val="17"/>
              </w:rPr>
            </w:pPr>
            <w:r w:rsidRPr="009A5CBB">
              <w:rPr>
                <w:sz w:val="17"/>
              </w:rPr>
              <w:t>2.9</w:t>
            </w:r>
          </w:p>
        </w:tc>
        <w:tc>
          <w:tcPr>
            <w:tcW w:w="511" w:type="dxa"/>
            <w:tcBorders>
              <w:bottom w:val="single" w:sz="6" w:space="0" w:color="1E4496" w:themeColor="text2"/>
            </w:tcBorders>
            <w:tcMar>
              <w:top w:w="113" w:type="dxa"/>
              <w:left w:w="57" w:type="dxa"/>
              <w:bottom w:w="113" w:type="dxa"/>
              <w:right w:w="57" w:type="dxa"/>
            </w:tcMar>
            <w:vAlign w:val="center"/>
          </w:tcPr>
          <w:p w14:paraId="1722455C" w14:textId="77777777" w:rsidR="009A5CBB" w:rsidRPr="009A5CBB" w:rsidRDefault="009A5CBB" w:rsidP="009A5CBB">
            <w:pPr>
              <w:pStyle w:val="CDITable-RowCentre"/>
              <w:rPr>
                <w:sz w:val="17"/>
              </w:rPr>
            </w:pPr>
            <w:r w:rsidRPr="009A5CBB">
              <w:rPr>
                <w:sz w:val="17"/>
              </w:rPr>
              <w:t>8</w:t>
            </w:r>
          </w:p>
        </w:tc>
        <w:tc>
          <w:tcPr>
            <w:tcW w:w="510" w:type="dxa"/>
            <w:tcBorders>
              <w:bottom w:val="single" w:sz="6" w:space="0" w:color="1E4496" w:themeColor="text2"/>
            </w:tcBorders>
            <w:tcMar>
              <w:top w:w="113" w:type="dxa"/>
              <w:left w:w="57" w:type="dxa"/>
              <w:bottom w:w="113" w:type="dxa"/>
              <w:right w:w="57" w:type="dxa"/>
            </w:tcMar>
            <w:vAlign w:val="center"/>
          </w:tcPr>
          <w:p w14:paraId="18CBAA26" w14:textId="77777777" w:rsidR="009A5CBB" w:rsidRPr="009A5CBB" w:rsidRDefault="009A5CBB" w:rsidP="009A5CBB">
            <w:pPr>
              <w:pStyle w:val="CDITable-RowCentre"/>
              <w:rPr>
                <w:sz w:val="17"/>
              </w:rPr>
            </w:pPr>
            <w:r w:rsidRPr="009A5CBB">
              <w:rPr>
                <w:sz w:val="17"/>
              </w:rPr>
              <w:t>2.5</w:t>
            </w:r>
          </w:p>
        </w:tc>
        <w:tc>
          <w:tcPr>
            <w:tcW w:w="510" w:type="dxa"/>
            <w:tcBorders>
              <w:bottom w:val="single" w:sz="6" w:space="0" w:color="1E4496" w:themeColor="text2"/>
            </w:tcBorders>
            <w:tcMar>
              <w:top w:w="113" w:type="dxa"/>
              <w:left w:w="57" w:type="dxa"/>
              <w:bottom w:w="113" w:type="dxa"/>
              <w:right w:w="57" w:type="dxa"/>
            </w:tcMar>
            <w:vAlign w:val="center"/>
          </w:tcPr>
          <w:p w14:paraId="584B3178" w14:textId="77777777" w:rsidR="009A5CBB" w:rsidRPr="009A5CBB" w:rsidRDefault="009A5CBB" w:rsidP="009A5CBB">
            <w:pPr>
              <w:pStyle w:val="CDITable-RowCentre"/>
              <w:rPr>
                <w:sz w:val="17"/>
              </w:rPr>
            </w:pPr>
            <w:r w:rsidRPr="009A5CBB">
              <w:rPr>
                <w:sz w:val="17"/>
              </w:rPr>
              <w:t>9</w:t>
            </w:r>
          </w:p>
        </w:tc>
        <w:tc>
          <w:tcPr>
            <w:tcW w:w="510" w:type="dxa"/>
            <w:tcBorders>
              <w:bottom w:val="single" w:sz="6" w:space="0" w:color="1E4496" w:themeColor="text2"/>
            </w:tcBorders>
            <w:tcMar>
              <w:top w:w="113" w:type="dxa"/>
              <w:left w:w="57" w:type="dxa"/>
              <w:bottom w:w="113" w:type="dxa"/>
              <w:right w:w="57" w:type="dxa"/>
            </w:tcMar>
            <w:vAlign w:val="center"/>
          </w:tcPr>
          <w:p w14:paraId="57B5B53D" w14:textId="77777777" w:rsidR="009A5CBB" w:rsidRPr="009A5CBB" w:rsidRDefault="009A5CBB" w:rsidP="009A5CBB">
            <w:pPr>
              <w:pStyle w:val="CDITable-RowCentre"/>
              <w:rPr>
                <w:sz w:val="17"/>
              </w:rPr>
            </w:pPr>
            <w:r w:rsidRPr="009A5CBB">
              <w:rPr>
                <w:sz w:val="17"/>
              </w:rPr>
              <w:t>2.9</w:t>
            </w:r>
          </w:p>
        </w:tc>
        <w:tc>
          <w:tcPr>
            <w:tcW w:w="511" w:type="dxa"/>
            <w:tcBorders>
              <w:bottom w:val="single" w:sz="6" w:space="0" w:color="1E4496" w:themeColor="text2"/>
            </w:tcBorders>
            <w:tcMar>
              <w:top w:w="113" w:type="dxa"/>
              <w:left w:w="57" w:type="dxa"/>
              <w:bottom w:w="113" w:type="dxa"/>
              <w:right w:w="57" w:type="dxa"/>
            </w:tcMar>
            <w:vAlign w:val="center"/>
          </w:tcPr>
          <w:p w14:paraId="70F6CD88" w14:textId="77777777" w:rsidR="009A5CBB" w:rsidRPr="009A5CBB" w:rsidRDefault="009A5CBB" w:rsidP="009A5CBB">
            <w:pPr>
              <w:pStyle w:val="CDITable-RowCentre"/>
              <w:rPr>
                <w:sz w:val="17"/>
              </w:rPr>
            </w:pPr>
            <w:r w:rsidRPr="009A5CBB">
              <w:rPr>
                <w:sz w:val="17"/>
              </w:rPr>
              <w:t>17</w:t>
            </w:r>
          </w:p>
        </w:tc>
        <w:tc>
          <w:tcPr>
            <w:tcW w:w="510" w:type="dxa"/>
            <w:tcBorders>
              <w:bottom w:val="single" w:sz="6" w:space="0" w:color="1E4496" w:themeColor="text2"/>
            </w:tcBorders>
            <w:tcMar>
              <w:top w:w="113" w:type="dxa"/>
              <w:left w:w="57" w:type="dxa"/>
              <w:bottom w:w="113" w:type="dxa"/>
              <w:right w:w="57" w:type="dxa"/>
            </w:tcMar>
            <w:vAlign w:val="center"/>
          </w:tcPr>
          <w:p w14:paraId="4737DB95" w14:textId="77777777" w:rsidR="009A5CBB" w:rsidRPr="009A5CBB" w:rsidRDefault="009A5CBB" w:rsidP="009A5CBB">
            <w:pPr>
              <w:pStyle w:val="CDITable-RowCentre"/>
              <w:rPr>
                <w:sz w:val="17"/>
              </w:rPr>
            </w:pPr>
            <w:r w:rsidRPr="009A5CBB">
              <w:rPr>
                <w:sz w:val="17"/>
              </w:rPr>
              <w:t>5.6</w:t>
            </w:r>
          </w:p>
        </w:tc>
        <w:tc>
          <w:tcPr>
            <w:tcW w:w="510" w:type="dxa"/>
            <w:tcBorders>
              <w:bottom w:val="single" w:sz="6" w:space="0" w:color="1E4496" w:themeColor="text2"/>
            </w:tcBorders>
            <w:tcMar>
              <w:top w:w="113" w:type="dxa"/>
              <w:left w:w="57" w:type="dxa"/>
              <w:bottom w:w="113" w:type="dxa"/>
              <w:right w:w="57" w:type="dxa"/>
            </w:tcMar>
            <w:vAlign w:val="center"/>
          </w:tcPr>
          <w:p w14:paraId="44EFC2AA" w14:textId="77777777" w:rsidR="009A5CBB" w:rsidRPr="009A5CBB" w:rsidRDefault="009A5CBB" w:rsidP="009A5CBB">
            <w:pPr>
              <w:pStyle w:val="CDITable-RowCentre"/>
              <w:rPr>
                <w:sz w:val="17"/>
              </w:rPr>
            </w:pPr>
            <w:r w:rsidRPr="009A5CBB">
              <w:rPr>
                <w:sz w:val="17"/>
              </w:rPr>
              <w:t>22</w:t>
            </w:r>
          </w:p>
        </w:tc>
        <w:tc>
          <w:tcPr>
            <w:tcW w:w="510" w:type="dxa"/>
            <w:tcBorders>
              <w:bottom w:val="single" w:sz="6" w:space="0" w:color="1E4496" w:themeColor="text2"/>
            </w:tcBorders>
            <w:tcMar>
              <w:top w:w="113" w:type="dxa"/>
              <w:left w:w="57" w:type="dxa"/>
              <w:bottom w:w="113" w:type="dxa"/>
              <w:right w:w="57" w:type="dxa"/>
            </w:tcMar>
            <w:vAlign w:val="center"/>
          </w:tcPr>
          <w:p w14:paraId="3D0BBDF0" w14:textId="77777777" w:rsidR="009A5CBB" w:rsidRPr="009A5CBB" w:rsidRDefault="009A5CBB" w:rsidP="009A5CBB">
            <w:pPr>
              <w:pStyle w:val="CDITable-RowCentre"/>
              <w:rPr>
                <w:sz w:val="17"/>
              </w:rPr>
            </w:pPr>
            <w:r w:rsidRPr="009A5CBB">
              <w:rPr>
                <w:sz w:val="17"/>
              </w:rPr>
              <w:t>7.3</w:t>
            </w:r>
          </w:p>
        </w:tc>
        <w:tc>
          <w:tcPr>
            <w:tcW w:w="511" w:type="dxa"/>
            <w:tcBorders>
              <w:bottom w:val="single" w:sz="6" w:space="0" w:color="1E4496" w:themeColor="text2"/>
            </w:tcBorders>
            <w:tcMar>
              <w:top w:w="113" w:type="dxa"/>
              <w:left w:w="57" w:type="dxa"/>
              <w:bottom w:w="113" w:type="dxa"/>
              <w:right w:w="57" w:type="dxa"/>
            </w:tcMar>
            <w:vAlign w:val="center"/>
          </w:tcPr>
          <w:p w14:paraId="06827349" w14:textId="77777777" w:rsidR="009A5CBB" w:rsidRPr="009A5CBB" w:rsidRDefault="009A5CBB" w:rsidP="009A5CBB">
            <w:pPr>
              <w:pStyle w:val="CDITable-RowCentre"/>
              <w:rPr>
                <w:sz w:val="17"/>
              </w:rPr>
            </w:pPr>
            <w:r w:rsidRPr="009A5CBB">
              <w:rPr>
                <w:sz w:val="17"/>
              </w:rPr>
              <w:t>6</w:t>
            </w:r>
          </w:p>
        </w:tc>
        <w:tc>
          <w:tcPr>
            <w:tcW w:w="510" w:type="dxa"/>
            <w:tcBorders>
              <w:bottom w:val="single" w:sz="6" w:space="0" w:color="1E4496" w:themeColor="text2"/>
            </w:tcBorders>
            <w:tcMar>
              <w:top w:w="113" w:type="dxa"/>
              <w:left w:w="57" w:type="dxa"/>
              <w:bottom w:w="113" w:type="dxa"/>
              <w:right w:w="57" w:type="dxa"/>
            </w:tcMar>
            <w:vAlign w:val="center"/>
          </w:tcPr>
          <w:p w14:paraId="558D7BDA" w14:textId="77777777" w:rsidR="009A5CBB" w:rsidRPr="009A5CBB" w:rsidRDefault="009A5CBB" w:rsidP="009A5CBB">
            <w:pPr>
              <w:pStyle w:val="CDITable-RowCentre"/>
              <w:rPr>
                <w:sz w:val="17"/>
              </w:rPr>
            </w:pPr>
            <w:r w:rsidRPr="009A5CBB">
              <w:rPr>
                <w:sz w:val="17"/>
              </w:rPr>
              <w:t>2.0</w:t>
            </w:r>
          </w:p>
        </w:tc>
        <w:tc>
          <w:tcPr>
            <w:tcW w:w="510" w:type="dxa"/>
            <w:tcBorders>
              <w:bottom w:val="single" w:sz="6" w:space="0" w:color="1E4496" w:themeColor="text2"/>
            </w:tcBorders>
            <w:tcMar>
              <w:top w:w="113" w:type="dxa"/>
              <w:left w:w="57" w:type="dxa"/>
              <w:bottom w:w="113" w:type="dxa"/>
              <w:right w:w="57" w:type="dxa"/>
            </w:tcMar>
            <w:vAlign w:val="center"/>
          </w:tcPr>
          <w:p w14:paraId="2FD54D36" w14:textId="77777777" w:rsidR="009A5CBB" w:rsidRPr="009A5CBB" w:rsidRDefault="009A5CBB" w:rsidP="009A5CBB">
            <w:pPr>
              <w:pStyle w:val="CDITable-RowCentre"/>
              <w:rPr>
                <w:sz w:val="17"/>
              </w:rPr>
            </w:pPr>
            <w:r w:rsidRPr="009A5CBB">
              <w:rPr>
                <w:sz w:val="17"/>
              </w:rPr>
              <w:t>1</w:t>
            </w:r>
          </w:p>
        </w:tc>
        <w:tc>
          <w:tcPr>
            <w:tcW w:w="510" w:type="dxa"/>
            <w:tcBorders>
              <w:bottom w:val="single" w:sz="6" w:space="0" w:color="1E4496" w:themeColor="text2"/>
            </w:tcBorders>
            <w:tcMar>
              <w:top w:w="113" w:type="dxa"/>
              <w:left w:w="57" w:type="dxa"/>
              <w:bottom w:w="113" w:type="dxa"/>
              <w:right w:w="57" w:type="dxa"/>
            </w:tcMar>
            <w:vAlign w:val="center"/>
          </w:tcPr>
          <w:p w14:paraId="24FFE37D" w14:textId="77777777" w:rsidR="009A5CBB" w:rsidRPr="009A5CBB" w:rsidRDefault="009A5CBB" w:rsidP="009A5CBB">
            <w:pPr>
              <w:pStyle w:val="CDITable-RowCentre"/>
              <w:rPr>
                <w:sz w:val="17"/>
              </w:rPr>
            </w:pPr>
            <w:r w:rsidRPr="009A5CBB">
              <w:rPr>
                <w:sz w:val="17"/>
              </w:rPr>
              <w:t>0.3</w:t>
            </w:r>
          </w:p>
        </w:tc>
        <w:tc>
          <w:tcPr>
            <w:tcW w:w="510" w:type="dxa"/>
            <w:tcBorders>
              <w:bottom w:val="single" w:sz="6" w:space="0" w:color="1E4496" w:themeColor="text2"/>
            </w:tcBorders>
            <w:tcMar>
              <w:top w:w="113" w:type="dxa"/>
              <w:left w:w="57" w:type="dxa"/>
              <w:bottom w:w="113" w:type="dxa"/>
              <w:right w:w="57" w:type="dxa"/>
            </w:tcMar>
            <w:vAlign w:val="center"/>
          </w:tcPr>
          <w:p w14:paraId="07C70835" w14:textId="77777777" w:rsidR="009A5CBB" w:rsidRPr="009A5CBB" w:rsidRDefault="009A5CBB" w:rsidP="009A5CBB">
            <w:pPr>
              <w:pStyle w:val="CDITable-RowCentre"/>
              <w:rPr>
                <w:sz w:val="17"/>
              </w:rPr>
            </w:pPr>
            <w:r w:rsidRPr="009A5CBB">
              <w:rPr>
                <w:sz w:val="17"/>
              </w:rPr>
              <w:t>3</w:t>
            </w:r>
          </w:p>
        </w:tc>
        <w:tc>
          <w:tcPr>
            <w:tcW w:w="511" w:type="dxa"/>
            <w:tcBorders>
              <w:bottom w:val="single" w:sz="6" w:space="0" w:color="1E4496" w:themeColor="text2"/>
            </w:tcBorders>
            <w:tcMar>
              <w:top w:w="113" w:type="dxa"/>
              <w:left w:w="57" w:type="dxa"/>
              <w:bottom w:w="113" w:type="dxa"/>
              <w:right w:w="57" w:type="dxa"/>
            </w:tcMar>
            <w:vAlign w:val="center"/>
          </w:tcPr>
          <w:p w14:paraId="79928BE7" w14:textId="77777777" w:rsidR="009A5CBB" w:rsidRPr="009A5CBB" w:rsidRDefault="009A5CBB" w:rsidP="009A5CBB">
            <w:pPr>
              <w:pStyle w:val="CDITable-RowCentre"/>
              <w:rPr>
                <w:sz w:val="17"/>
              </w:rPr>
            </w:pPr>
            <w:r w:rsidRPr="009A5CBB">
              <w:rPr>
                <w:sz w:val="17"/>
              </w:rPr>
              <w:t>1.0</w:t>
            </w:r>
          </w:p>
        </w:tc>
        <w:tc>
          <w:tcPr>
            <w:tcW w:w="510" w:type="dxa"/>
            <w:tcBorders>
              <w:bottom w:val="single" w:sz="6" w:space="0" w:color="1E4496" w:themeColor="text2"/>
            </w:tcBorders>
            <w:tcMar>
              <w:top w:w="113" w:type="dxa"/>
              <w:left w:w="57" w:type="dxa"/>
              <w:bottom w:w="113" w:type="dxa"/>
              <w:right w:w="57" w:type="dxa"/>
            </w:tcMar>
            <w:vAlign w:val="center"/>
          </w:tcPr>
          <w:p w14:paraId="060E1508" w14:textId="77777777" w:rsidR="009A5CBB" w:rsidRPr="009A5CBB" w:rsidRDefault="009A5CBB" w:rsidP="009A5CBB">
            <w:pPr>
              <w:pStyle w:val="CDITable-RowCentre"/>
              <w:rPr>
                <w:sz w:val="17"/>
              </w:rPr>
            </w:pPr>
            <w:r w:rsidRPr="009A5CBB">
              <w:rPr>
                <w:sz w:val="17"/>
              </w:rPr>
              <w:t>9</w:t>
            </w:r>
          </w:p>
        </w:tc>
        <w:tc>
          <w:tcPr>
            <w:tcW w:w="510" w:type="dxa"/>
            <w:tcBorders>
              <w:bottom w:val="single" w:sz="6" w:space="0" w:color="1E4496" w:themeColor="text2"/>
            </w:tcBorders>
            <w:tcMar>
              <w:top w:w="113" w:type="dxa"/>
              <w:left w:w="57" w:type="dxa"/>
              <w:bottom w:w="113" w:type="dxa"/>
              <w:right w:w="57" w:type="dxa"/>
            </w:tcMar>
            <w:vAlign w:val="center"/>
          </w:tcPr>
          <w:p w14:paraId="65498DF9" w14:textId="77777777" w:rsidR="009A5CBB" w:rsidRPr="009A5CBB" w:rsidRDefault="009A5CBB" w:rsidP="009A5CBB">
            <w:pPr>
              <w:pStyle w:val="CDITable-RowCentre"/>
              <w:rPr>
                <w:sz w:val="17"/>
              </w:rPr>
            </w:pPr>
            <w:r w:rsidRPr="009A5CBB">
              <w:rPr>
                <w:sz w:val="17"/>
              </w:rPr>
              <w:t>3.1</w:t>
            </w:r>
          </w:p>
        </w:tc>
        <w:tc>
          <w:tcPr>
            <w:tcW w:w="539" w:type="dxa"/>
            <w:tcBorders>
              <w:bottom w:val="single" w:sz="6" w:space="0" w:color="1E4496" w:themeColor="text2"/>
            </w:tcBorders>
            <w:tcMar>
              <w:top w:w="113" w:type="dxa"/>
              <w:left w:w="57" w:type="dxa"/>
              <w:bottom w:w="113" w:type="dxa"/>
              <w:right w:w="57" w:type="dxa"/>
            </w:tcMar>
            <w:vAlign w:val="center"/>
          </w:tcPr>
          <w:p w14:paraId="51D880E4" w14:textId="77777777" w:rsidR="009A5CBB" w:rsidRPr="009A5CBB" w:rsidRDefault="009A5CBB" w:rsidP="009A5CBB">
            <w:pPr>
              <w:pStyle w:val="CDITable-RowCentre"/>
              <w:rPr>
                <w:sz w:val="17"/>
              </w:rPr>
            </w:pPr>
            <w:r w:rsidRPr="009A5CBB">
              <w:rPr>
                <w:sz w:val="17"/>
              </w:rPr>
              <w:t>117</w:t>
            </w:r>
          </w:p>
        </w:tc>
        <w:tc>
          <w:tcPr>
            <w:tcW w:w="510" w:type="dxa"/>
            <w:tcBorders>
              <w:bottom w:val="single" w:sz="6" w:space="0" w:color="1E4496" w:themeColor="text2"/>
            </w:tcBorders>
            <w:tcMar>
              <w:top w:w="113" w:type="dxa"/>
              <w:left w:w="57" w:type="dxa"/>
              <w:bottom w:w="113" w:type="dxa"/>
              <w:right w:w="57" w:type="dxa"/>
            </w:tcMar>
            <w:vAlign w:val="center"/>
          </w:tcPr>
          <w:p w14:paraId="79D59932" w14:textId="77777777" w:rsidR="009A5CBB" w:rsidRPr="009A5CBB" w:rsidRDefault="009A5CBB" w:rsidP="009A5CBB">
            <w:pPr>
              <w:pStyle w:val="CDITable-RowCentre"/>
              <w:rPr>
                <w:sz w:val="17"/>
              </w:rPr>
            </w:pPr>
            <w:r w:rsidRPr="009A5CBB">
              <w:rPr>
                <w:sz w:val="17"/>
              </w:rPr>
              <w:t>40.5</w:t>
            </w:r>
          </w:p>
        </w:tc>
        <w:tc>
          <w:tcPr>
            <w:tcW w:w="690" w:type="dxa"/>
            <w:tcBorders>
              <w:bottom w:val="single" w:sz="6" w:space="0" w:color="1E4496" w:themeColor="text2"/>
            </w:tcBorders>
            <w:tcMar>
              <w:top w:w="113" w:type="dxa"/>
              <w:left w:w="57" w:type="dxa"/>
              <w:bottom w:w="113" w:type="dxa"/>
              <w:right w:w="57" w:type="dxa"/>
            </w:tcMar>
            <w:vAlign w:val="center"/>
          </w:tcPr>
          <w:p w14:paraId="1263025C" w14:textId="77777777" w:rsidR="009A5CBB" w:rsidRPr="009A5CBB" w:rsidRDefault="009A5CBB" w:rsidP="009A5CBB">
            <w:pPr>
              <w:pStyle w:val="CDITable-RowCentre"/>
              <w:rPr>
                <w:sz w:val="17"/>
              </w:rPr>
            </w:pPr>
            <w:r w:rsidRPr="009A5CBB">
              <w:rPr>
                <w:sz w:val="17"/>
              </w:rPr>
              <w:t>5.33</w:t>
            </w:r>
          </w:p>
        </w:tc>
        <w:tc>
          <w:tcPr>
            <w:tcW w:w="690" w:type="dxa"/>
            <w:tcBorders>
              <w:bottom w:val="single" w:sz="6" w:space="0" w:color="1E4496" w:themeColor="text2"/>
            </w:tcBorders>
            <w:tcMar>
              <w:top w:w="113" w:type="dxa"/>
              <w:left w:w="57" w:type="dxa"/>
              <w:bottom w:w="113" w:type="dxa"/>
              <w:right w:w="57" w:type="dxa"/>
            </w:tcMar>
            <w:vAlign w:val="center"/>
          </w:tcPr>
          <w:p w14:paraId="7B5E4C2D" w14:textId="77777777" w:rsidR="009A5CBB" w:rsidRPr="009A5CBB" w:rsidRDefault="009A5CBB" w:rsidP="009A5CBB">
            <w:pPr>
              <w:pStyle w:val="CDITable-RowCentre"/>
              <w:rPr>
                <w:sz w:val="17"/>
              </w:rPr>
            </w:pPr>
            <w:r w:rsidRPr="009A5CBB">
              <w:rPr>
                <w:sz w:val="17"/>
              </w:rPr>
              <w:t>1.28</w:t>
            </w:r>
          </w:p>
        </w:tc>
        <w:tc>
          <w:tcPr>
            <w:tcW w:w="689" w:type="dxa"/>
            <w:tcBorders>
              <w:bottom w:val="single" w:sz="6" w:space="0" w:color="1E4496" w:themeColor="text2"/>
            </w:tcBorders>
            <w:tcMar>
              <w:top w:w="113" w:type="dxa"/>
              <w:left w:w="57" w:type="dxa"/>
              <w:bottom w:w="113" w:type="dxa"/>
              <w:right w:w="57" w:type="dxa"/>
            </w:tcMar>
            <w:vAlign w:val="center"/>
          </w:tcPr>
          <w:p w14:paraId="6B9D427F" w14:textId="77777777" w:rsidR="009A5CBB" w:rsidRPr="009A5CBB" w:rsidRDefault="009A5CBB" w:rsidP="009A5CBB">
            <w:pPr>
              <w:pStyle w:val="CDITable-RowCentre"/>
              <w:rPr>
                <w:sz w:val="17"/>
              </w:rPr>
            </w:pPr>
            <w:r w:rsidRPr="009A5CBB">
              <w:rPr>
                <w:sz w:val="17"/>
              </w:rPr>
              <w:t>4.17</w:t>
            </w:r>
          </w:p>
        </w:tc>
      </w:tr>
      <w:tr w:rsidR="009A5CBB" w:rsidRPr="009A5CBB" w14:paraId="75FBA403" w14:textId="77777777" w:rsidTr="00520680">
        <w:trPr>
          <w:trHeight w:val="60"/>
        </w:trPr>
        <w:tc>
          <w:tcPr>
            <w:tcW w:w="1020" w:type="dxa"/>
            <w:tcBorders>
              <w:top w:val="single" w:sz="6" w:space="0" w:color="1E4496" w:themeColor="text2"/>
              <w:bottom w:val="single" w:sz="6" w:space="0" w:color="1E4496" w:themeColor="text2"/>
            </w:tcBorders>
            <w:shd w:val="clear" w:color="auto" w:fill="FFFFFF" w:themeFill="background1"/>
            <w:tcMar>
              <w:top w:w="113" w:type="dxa"/>
              <w:left w:w="57" w:type="dxa"/>
              <w:bottom w:w="113" w:type="dxa"/>
              <w:right w:w="57" w:type="dxa"/>
            </w:tcMar>
            <w:vAlign w:val="center"/>
          </w:tcPr>
          <w:p w14:paraId="0A28B77F" w14:textId="77777777" w:rsidR="009A5CBB" w:rsidRPr="009A5CBB" w:rsidRDefault="009A5CBB" w:rsidP="009A5CBB">
            <w:pPr>
              <w:pStyle w:val="CDITable-RowLeft"/>
              <w:rPr>
                <w:sz w:val="17"/>
              </w:rPr>
            </w:pPr>
            <w:r w:rsidRPr="009A5CBB">
              <w:rPr>
                <w:sz w:val="17"/>
              </w:rPr>
              <w:t>1–4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7144AEB" w14:textId="77777777" w:rsidR="009A5CBB" w:rsidRPr="009A5CBB" w:rsidRDefault="009A5CBB" w:rsidP="009A5CBB">
            <w:pPr>
              <w:pStyle w:val="CDITable-RowCentre"/>
              <w:rPr>
                <w:sz w:val="17"/>
              </w:rPr>
            </w:pPr>
            <w:r w:rsidRPr="009A5CBB">
              <w:rPr>
                <w:sz w:val="17"/>
              </w:rPr>
              <w:t>28</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08AF3A9" w14:textId="77777777" w:rsidR="009A5CBB" w:rsidRPr="009A5CBB" w:rsidRDefault="009A5CBB" w:rsidP="009A5CBB">
            <w:pPr>
              <w:pStyle w:val="CDITable-RowCentre"/>
              <w:rPr>
                <w:sz w:val="17"/>
              </w:rPr>
            </w:pPr>
            <w:r w:rsidRPr="009A5CBB">
              <w:rPr>
                <w:sz w:val="17"/>
              </w:rPr>
              <w:t>2.3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DB26F84" w14:textId="77777777" w:rsidR="009A5CBB" w:rsidRPr="009A5CBB" w:rsidRDefault="009A5CBB" w:rsidP="009A5CBB">
            <w:pPr>
              <w:pStyle w:val="CDITable-RowCentre"/>
              <w:rPr>
                <w:sz w:val="17"/>
              </w:rPr>
            </w:pPr>
            <w:r w:rsidRPr="009A5CBB">
              <w:rPr>
                <w:sz w:val="17"/>
              </w:rPr>
              <w:t>10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16CDB9E" w14:textId="77777777" w:rsidR="009A5CBB" w:rsidRPr="009A5CBB" w:rsidRDefault="009A5CBB" w:rsidP="009A5CBB">
            <w:pPr>
              <w:pStyle w:val="CDITable-RowCentre"/>
              <w:rPr>
                <w:sz w:val="17"/>
              </w:rPr>
            </w:pPr>
            <w:r w:rsidRPr="009A5CBB">
              <w:rPr>
                <w:sz w:val="17"/>
              </w:rPr>
              <w:t>0.8</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8320CDF" w14:textId="77777777" w:rsidR="009A5CBB" w:rsidRPr="009A5CBB" w:rsidRDefault="009A5CBB" w:rsidP="009A5CBB">
            <w:pPr>
              <w:pStyle w:val="CDITable-RowCentre"/>
              <w:rPr>
                <w:sz w:val="17"/>
              </w:rPr>
            </w:pPr>
            <w:r w:rsidRPr="009A5CBB">
              <w:rPr>
                <w:sz w:val="17"/>
              </w:rPr>
              <w:t>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324A3FF" w14:textId="77777777" w:rsidR="009A5CBB" w:rsidRPr="009A5CBB" w:rsidRDefault="009A5CBB" w:rsidP="009A5CBB">
            <w:pPr>
              <w:pStyle w:val="CDITable-RowCentre"/>
              <w:rPr>
                <w:sz w:val="17"/>
              </w:rPr>
            </w:pPr>
            <w:r w:rsidRPr="009A5CBB">
              <w:rPr>
                <w:sz w:val="17"/>
              </w:rPr>
              <w:t>0.6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FB4576F" w14:textId="77777777" w:rsidR="009A5CBB" w:rsidRPr="009A5CBB" w:rsidRDefault="009A5CBB" w:rsidP="009A5CBB">
            <w:pPr>
              <w:pStyle w:val="CDITable-RowCentre"/>
              <w:rPr>
                <w:sz w:val="17"/>
              </w:rPr>
            </w:pPr>
            <w:r w:rsidRPr="009A5CBB">
              <w:rPr>
                <w:sz w:val="17"/>
              </w:rPr>
              <w:t>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48B2973" w14:textId="77777777" w:rsidR="009A5CBB" w:rsidRPr="009A5CBB" w:rsidRDefault="009A5CBB" w:rsidP="009A5CBB">
            <w:pPr>
              <w:pStyle w:val="CDITable-RowCentre"/>
              <w:rPr>
                <w:sz w:val="17"/>
              </w:rPr>
            </w:pPr>
            <w:r w:rsidRPr="009A5CBB">
              <w:rPr>
                <w:sz w:val="17"/>
              </w:rPr>
              <w:t>0.5</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9C1D861" w14:textId="77777777" w:rsidR="009A5CBB" w:rsidRPr="009A5CBB" w:rsidRDefault="009A5CBB" w:rsidP="009A5CBB">
            <w:pPr>
              <w:pStyle w:val="CDITable-RowCentre"/>
              <w:rPr>
                <w:sz w:val="17"/>
              </w:rPr>
            </w:pPr>
            <w:r w:rsidRPr="009A5CBB">
              <w:rPr>
                <w:sz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C96AC2B" w14:textId="77777777" w:rsidR="009A5CBB" w:rsidRPr="009A5CBB" w:rsidRDefault="009A5CBB" w:rsidP="009A5CBB">
            <w:pPr>
              <w:pStyle w:val="CDITable-RowCentre"/>
              <w:rPr>
                <w:sz w:val="17"/>
              </w:rPr>
            </w:pPr>
            <w:r w:rsidRPr="009A5CBB">
              <w:rPr>
                <w:sz w:val="17"/>
              </w:rPr>
              <w:t>0.4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B57F0E5" w14:textId="77777777" w:rsidR="009A5CBB" w:rsidRPr="009A5CBB" w:rsidRDefault="009A5CBB" w:rsidP="009A5CBB">
            <w:pPr>
              <w:pStyle w:val="CDITable-RowCentre"/>
              <w:rPr>
                <w:sz w:val="17"/>
              </w:rPr>
            </w:pPr>
            <w:r w:rsidRPr="009A5CBB">
              <w:rPr>
                <w:sz w:val="17"/>
              </w:rPr>
              <w:t>11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7C16406" w14:textId="77777777" w:rsidR="009A5CBB" w:rsidRPr="009A5CBB" w:rsidRDefault="009A5CBB" w:rsidP="009A5CBB">
            <w:pPr>
              <w:pStyle w:val="CDITable-RowCentre"/>
              <w:rPr>
                <w:sz w:val="17"/>
              </w:rPr>
            </w:pPr>
            <w:r w:rsidRPr="009A5CBB">
              <w:rPr>
                <w:sz w:val="17"/>
              </w:rPr>
              <w:t>0.9</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1270422"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0D670E9"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DB644FB"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4811CB7"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8374F8E" w14:textId="77777777" w:rsidR="009A5CBB" w:rsidRPr="009A5CBB" w:rsidRDefault="009A5CBB" w:rsidP="009A5CBB">
            <w:pPr>
              <w:pStyle w:val="CDITable-RowCentre"/>
              <w:rPr>
                <w:sz w:val="17"/>
              </w:rPr>
            </w:pPr>
            <w:r w:rsidRPr="009A5CBB">
              <w:rPr>
                <w:sz w:val="17"/>
              </w:rPr>
              <w:t>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CF3C178" w14:textId="77777777" w:rsidR="009A5CBB" w:rsidRPr="009A5CBB" w:rsidRDefault="009A5CBB" w:rsidP="009A5CBB">
            <w:pPr>
              <w:pStyle w:val="CDITable-RowCentre"/>
              <w:rPr>
                <w:sz w:val="17"/>
              </w:rPr>
            </w:pPr>
            <w:r w:rsidRPr="009A5CBB">
              <w:rPr>
                <w:sz w:val="17"/>
              </w:rPr>
              <w:t>0.3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E51EBFD" w14:textId="77777777" w:rsidR="009A5CBB" w:rsidRPr="009A5CBB" w:rsidRDefault="009A5CBB" w:rsidP="009A5CBB">
            <w:pPr>
              <w:pStyle w:val="CDITable-RowCentre"/>
              <w:rPr>
                <w:sz w:val="17"/>
              </w:rPr>
            </w:pPr>
            <w:r w:rsidRPr="009A5CBB">
              <w:rPr>
                <w:sz w:val="17"/>
              </w:rPr>
              <w:t>11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7D7291E" w14:textId="77777777" w:rsidR="009A5CBB" w:rsidRPr="009A5CBB" w:rsidRDefault="009A5CBB" w:rsidP="009A5CBB">
            <w:pPr>
              <w:pStyle w:val="CDITable-RowCentre"/>
              <w:rPr>
                <w:sz w:val="17"/>
              </w:rPr>
            </w:pPr>
            <w:r w:rsidRPr="009A5CBB">
              <w:rPr>
                <w:sz w:val="17"/>
              </w:rPr>
              <w:t>0.9</w:t>
            </w:r>
          </w:p>
        </w:tc>
        <w:tc>
          <w:tcPr>
            <w:tcW w:w="53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451466E" w14:textId="77777777" w:rsidR="009A5CBB" w:rsidRPr="009A5CBB" w:rsidRDefault="009A5CBB" w:rsidP="009A5CBB">
            <w:pPr>
              <w:pStyle w:val="CDITable-RowCentre"/>
              <w:rPr>
                <w:sz w:val="17"/>
              </w:rPr>
            </w:pPr>
            <w:r w:rsidRPr="009A5CBB">
              <w:rPr>
                <w:sz w:val="17"/>
              </w:rPr>
              <w:t>83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D07BE54" w14:textId="77777777" w:rsidR="009A5CBB" w:rsidRPr="009A5CBB" w:rsidRDefault="009A5CBB" w:rsidP="009A5CBB">
            <w:pPr>
              <w:pStyle w:val="CDITable-RowCentre"/>
              <w:rPr>
                <w:sz w:val="17"/>
              </w:rPr>
            </w:pPr>
            <w:r w:rsidRPr="009A5CBB">
              <w:rPr>
                <w:sz w:val="17"/>
              </w:rPr>
              <w:t>6.8</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D1D8A96" w14:textId="77777777" w:rsidR="009A5CBB" w:rsidRPr="009A5CBB" w:rsidRDefault="009A5CBB" w:rsidP="009A5CBB">
            <w:pPr>
              <w:pStyle w:val="CDITable-RowCentre"/>
              <w:rPr>
                <w:sz w:val="17"/>
              </w:rPr>
            </w:pPr>
            <w:r w:rsidRPr="009A5CBB">
              <w:rPr>
                <w:sz w:val="17"/>
              </w:rPr>
              <w:t>0.91</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15A6FE3" w14:textId="77777777" w:rsidR="009A5CBB" w:rsidRPr="009A5CBB" w:rsidRDefault="009A5CBB" w:rsidP="009A5CBB">
            <w:pPr>
              <w:pStyle w:val="CDITable-RowCentre"/>
              <w:rPr>
                <w:sz w:val="17"/>
              </w:rPr>
            </w:pPr>
            <w:r w:rsidRPr="009A5CBB">
              <w:rPr>
                <w:sz w:val="17"/>
              </w:rPr>
              <w:t>0.26</w:t>
            </w:r>
          </w:p>
        </w:tc>
        <w:tc>
          <w:tcPr>
            <w:tcW w:w="68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58337AC" w14:textId="77777777" w:rsidR="009A5CBB" w:rsidRPr="009A5CBB" w:rsidRDefault="009A5CBB" w:rsidP="009A5CBB">
            <w:pPr>
              <w:pStyle w:val="CDITable-RowCentre"/>
              <w:rPr>
                <w:sz w:val="17"/>
              </w:rPr>
            </w:pPr>
            <w:r w:rsidRPr="009A5CBB">
              <w:rPr>
                <w:sz w:val="17"/>
              </w:rPr>
              <w:t>3.53</w:t>
            </w:r>
          </w:p>
        </w:tc>
      </w:tr>
      <w:tr w:rsidR="009A5CBB" w:rsidRPr="009A5CBB" w14:paraId="5F301877" w14:textId="77777777" w:rsidTr="00520680">
        <w:trPr>
          <w:trHeight w:val="60"/>
        </w:trPr>
        <w:tc>
          <w:tcPr>
            <w:tcW w:w="1020" w:type="dxa"/>
            <w:tcBorders>
              <w:top w:val="single" w:sz="6" w:space="0" w:color="1E4496" w:themeColor="text2"/>
              <w:bottom w:val="single" w:sz="6" w:space="0" w:color="1E4496" w:themeColor="text2"/>
            </w:tcBorders>
            <w:shd w:val="clear" w:color="auto" w:fill="FFFFFF" w:themeFill="background1"/>
            <w:tcMar>
              <w:top w:w="113" w:type="dxa"/>
              <w:left w:w="57" w:type="dxa"/>
              <w:bottom w:w="113" w:type="dxa"/>
              <w:right w:w="57" w:type="dxa"/>
            </w:tcMar>
            <w:vAlign w:val="center"/>
          </w:tcPr>
          <w:p w14:paraId="51D001D2" w14:textId="77777777" w:rsidR="009A5CBB" w:rsidRPr="009A5CBB" w:rsidRDefault="009A5CBB" w:rsidP="009A5CBB">
            <w:pPr>
              <w:pStyle w:val="CDITable-RowLeft"/>
              <w:rPr>
                <w:sz w:val="17"/>
              </w:rPr>
            </w:pPr>
            <w:r w:rsidRPr="009A5CBB">
              <w:rPr>
                <w:sz w:val="17"/>
              </w:rPr>
              <w:t>5–9</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3E2C382" w14:textId="77777777" w:rsidR="009A5CBB" w:rsidRPr="009A5CBB" w:rsidRDefault="009A5CBB" w:rsidP="009A5CBB">
            <w:pPr>
              <w:pStyle w:val="CDITable-RowCentre"/>
              <w:rPr>
                <w:sz w:val="17"/>
              </w:rPr>
            </w:pPr>
            <w:r w:rsidRPr="009A5CBB">
              <w:rPr>
                <w:sz w:val="17"/>
              </w:rPr>
              <w:t>23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D73337C" w14:textId="77777777" w:rsidR="009A5CBB" w:rsidRPr="009A5CBB" w:rsidRDefault="009A5CBB" w:rsidP="009A5CBB">
            <w:pPr>
              <w:pStyle w:val="CDITable-RowCentre"/>
              <w:rPr>
                <w:sz w:val="17"/>
              </w:rPr>
            </w:pPr>
            <w:r w:rsidRPr="009A5CBB">
              <w:rPr>
                <w:sz w:val="17"/>
              </w:rPr>
              <w:t>1.5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78AED0B" w14:textId="77777777" w:rsidR="009A5CBB" w:rsidRPr="009A5CBB" w:rsidRDefault="009A5CBB" w:rsidP="009A5CBB">
            <w:pPr>
              <w:pStyle w:val="CDITable-RowCentre"/>
              <w:rPr>
                <w:sz w:val="17"/>
              </w:rPr>
            </w:pPr>
            <w:r w:rsidRPr="009A5CBB">
              <w:rPr>
                <w:sz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7B4A665" w14:textId="77777777" w:rsidR="009A5CBB" w:rsidRPr="009A5CBB" w:rsidRDefault="009A5CBB" w:rsidP="009A5CBB">
            <w:pPr>
              <w:pStyle w:val="CDITable-RowCentre"/>
              <w:rPr>
                <w:sz w:val="17"/>
              </w:rPr>
            </w:pPr>
            <w:r w:rsidRPr="009A5CBB">
              <w:rPr>
                <w:sz w:val="17"/>
              </w:rPr>
              <w:t>0.1</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8606401" w14:textId="77777777" w:rsidR="009A5CBB" w:rsidRPr="009A5CBB" w:rsidRDefault="009A5CBB" w:rsidP="009A5CBB">
            <w:pPr>
              <w:pStyle w:val="CDITable-RowCentre"/>
              <w:rPr>
                <w:sz w:val="17"/>
              </w:rPr>
            </w:pPr>
            <w:r w:rsidRPr="009A5CBB">
              <w:rPr>
                <w:sz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4E9691C" w14:textId="77777777" w:rsidR="009A5CBB" w:rsidRPr="009A5CBB" w:rsidRDefault="009A5CBB" w:rsidP="009A5CBB">
            <w:pPr>
              <w:pStyle w:val="CDITable-RowCentre"/>
              <w:rPr>
                <w:sz w:val="17"/>
              </w:rPr>
            </w:pPr>
            <w:r w:rsidRPr="009A5CBB">
              <w:rPr>
                <w:sz w:val="17"/>
              </w:rPr>
              <w:t>0.3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9721C7A" w14:textId="77777777" w:rsidR="009A5CBB" w:rsidRPr="009A5CBB" w:rsidRDefault="009A5CBB" w:rsidP="009A5CBB">
            <w:pPr>
              <w:pStyle w:val="CDITable-RowCentre"/>
              <w:rPr>
                <w:sz w:val="17"/>
              </w:rPr>
            </w:pPr>
            <w:r w:rsidRPr="009A5CBB">
              <w:rPr>
                <w:sz w:val="17"/>
              </w:rPr>
              <w:t>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9BB7533" w14:textId="77777777" w:rsidR="009A5CBB" w:rsidRPr="009A5CBB" w:rsidRDefault="009A5CBB" w:rsidP="009A5CBB">
            <w:pPr>
              <w:pStyle w:val="CDITable-RowCentre"/>
              <w:rPr>
                <w:sz w:val="17"/>
              </w:rPr>
            </w:pPr>
            <w:r w:rsidRPr="009A5CBB">
              <w:rPr>
                <w:sz w:val="17"/>
              </w:rPr>
              <w:t>0.3</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8BE931" w14:textId="77777777" w:rsidR="009A5CBB" w:rsidRPr="009A5CBB" w:rsidRDefault="009A5CBB" w:rsidP="009A5CBB">
            <w:pPr>
              <w:pStyle w:val="CDITable-RowCentre"/>
              <w:rPr>
                <w:sz w:val="17"/>
              </w:rPr>
            </w:pPr>
            <w:r w:rsidRPr="009A5CBB">
              <w:rPr>
                <w:sz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D7DB119" w14:textId="77777777" w:rsidR="009A5CBB" w:rsidRPr="009A5CBB" w:rsidRDefault="009A5CBB" w:rsidP="009A5CBB">
            <w:pPr>
              <w:pStyle w:val="CDITable-RowCentre"/>
              <w:rPr>
                <w:sz w:val="17"/>
              </w:rPr>
            </w:pPr>
            <w:r w:rsidRPr="009A5CBB">
              <w:rPr>
                <w:sz w:val="17"/>
              </w:rPr>
              <w:t>0.3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A00040C" w14:textId="77777777" w:rsidR="009A5CBB" w:rsidRPr="009A5CBB" w:rsidRDefault="009A5CBB" w:rsidP="009A5CBB">
            <w:pPr>
              <w:pStyle w:val="CDITable-RowCentre"/>
              <w:rPr>
                <w:sz w:val="17"/>
              </w:rPr>
            </w:pPr>
            <w:r w:rsidRPr="009A5CBB">
              <w:rPr>
                <w:sz w:val="17"/>
              </w:rPr>
              <w:t>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DA7EC7E" w14:textId="77777777" w:rsidR="009A5CBB" w:rsidRPr="009A5CBB" w:rsidRDefault="009A5CBB" w:rsidP="009A5CBB">
            <w:pPr>
              <w:pStyle w:val="CDITable-RowCentre"/>
              <w:rPr>
                <w:sz w:val="17"/>
              </w:rPr>
            </w:pPr>
            <w:r w:rsidRPr="009A5CBB">
              <w:rPr>
                <w:sz w:val="17"/>
              </w:rPr>
              <w:t>0.4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E287716"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16D749D"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F1F7AFB"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5BDE81D"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17EA756" w14:textId="77777777" w:rsidR="009A5CBB" w:rsidRPr="009A5CBB" w:rsidRDefault="009A5CBB" w:rsidP="009A5CBB">
            <w:pPr>
              <w:pStyle w:val="CDITable-RowCentre"/>
              <w:rPr>
                <w:sz w:val="17"/>
              </w:rPr>
            </w:pPr>
            <w:r w:rsidRPr="009A5CBB">
              <w:rPr>
                <w:sz w:val="17"/>
              </w:rPr>
              <w:t>3</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2E63907" w14:textId="77777777" w:rsidR="009A5CBB" w:rsidRPr="009A5CBB" w:rsidRDefault="009A5CBB" w:rsidP="009A5CBB">
            <w:pPr>
              <w:pStyle w:val="CDITable-RowCentre"/>
              <w:rPr>
                <w:sz w:val="17"/>
              </w:rPr>
            </w:pPr>
            <w:r w:rsidRPr="009A5CBB">
              <w:rPr>
                <w:sz w:val="17"/>
              </w:rPr>
              <w:t>0.2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5269085" w14:textId="77777777" w:rsidR="009A5CBB" w:rsidRPr="009A5CBB" w:rsidRDefault="009A5CBB" w:rsidP="009A5CBB">
            <w:pPr>
              <w:pStyle w:val="CDITable-RowCentre"/>
              <w:rPr>
                <w:sz w:val="17"/>
              </w:rPr>
            </w:pPr>
            <w:r w:rsidRPr="009A5CBB">
              <w:rPr>
                <w:sz w:val="17"/>
              </w:rPr>
              <w:t>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3830308" w14:textId="77777777" w:rsidR="009A5CBB" w:rsidRPr="009A5CBB" w:rsidRDefault="009A5CBB" w:rsidP="009A5CBB">
            <w:pPr>
              <w:pStyle w:val="CDITable-RowCentre"/>
              <w:rPr>
                <w:sz w:val="17"/>
              </w:rPr>
            </w:pPr>
            <w:r w:rsidRPr="009A5CBB">
              <w:rPr>
                <w:sz w:val="17"/>
              </w:rPr>
              <w:t>0.2</w:t>
            </w:r>
          </w:p>
        </w:tc>
        <w:tc>
          <w:tcPr>
            <w:tcW w:w="53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417ECAC" w14:textId="77777777" w:rsidR="009A5CBB" w:rsidRPr="009A5CBB" w:rsidRDefault="009A5CBB" w:rsidP="009A5CBB">
            <w:pPr>
              <w:pStyle w:val="CDITable-RowCentre"/>
              <w:rPr>
                <w:sz w:val="17"/>
              </w:rPr>
            </w:pPr>
            <w:r w:rsidRPr="009A5CBB">
              <w:rPr>
                <w:sz w:val="17"/>
              </w:rPr>
              <w:t>54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4DF671D" w14:textId="77777777" w:rsidR="009A5CBB" w:rsidRPr="009A5CBB" w:rsidRDefault="009A5CBB" w:rsidP="009A5CBB">
            <w:pPr>
              <w:pStyle w:val="CDITable-RowCentre"/>
              <w:rPr>
                <w:sz w:val="17"/>
              </w:rPr>
            </w:pPr>
            <w:r w:rsidRPr="009A5CBB">
              <w:rPr>
                <w:sz w:val="17"/>
              </w:rPr>
              <w:t>3.4</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9839B33" w14:textId="77777777" w:rsidR="009A5CBB" w:rsidRPr="009A5CBB" w:rsidRDefault="009A5CBB" w:rsidP="009A5CBB">
            <w:pPr>
              <w:pStyle w:val="CDITable-RowCentre"/>
              <w:rPr>
                <w:sz w:val="17"/>
              </w:rPr>
            </w:pPr>
            <w:r w:rsidRPr="009A5CBB">
              <w:rPr>
                <w:sz w:val="17"/>
              </w:rPr>
              <w:t>0.48</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8E5E14C" w14:textId="77777777" w:rsidR="009A5CBB" w:rsidRPr="009A5CBB" w:rsidRDefault="009A5CBB" w:rsidP="009A5CBB">
            <w:pPr>
              <w:pStyle w:val="CDITable-RowCentre"/>
              <w:rPr>
                <w:sz w:val="17"/>
              </w:rPr>
            </w:pPr>
            <w:r w:rsidRPr="009A5CBB">
              <w:rPr>
                <w:sz w:val="17"/>
              </w:rPr>
              <w:t>0.12</w:t>
            </w:r>
          </w:p>
        </w:tc>
        <w:tc>
          <w:tcPr>
            <w:tcW w:w="68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600FE7F" w14:textId="77777777" w:rsidR="009A5CBB" w:rsidRPr="009A5CBB" w:rsidRDefault="009A5CBB" w:rsidP="009A5CBB">
            <w:pPr>
              <w:pStyle w:val="CDITable-RowCentre"/>
              <w:rPr>
                <w:sz w:val="17"/>
              </w:rPr>
            </w:pPr>
            <w:r w:rsidRPr="009A5CBB">
              <w:rPr>
                <w:sz w:val="17"/>
              </w:rPr>
              <w:t>4.03</w:t>
            </w:r>
          </w:p>
        </w:tc>
      </w:tr>
      <w:tr w:rsidR="009A5CBB" w:rsidRPr="009A5CBB" w14:paraId="72B6820C" w14:textId="77777777" w:rsidTr="00520680">
        <w:trPr>
          <w:trHeight w:val="60"/>
        </w:trPr>
        <w:tc>
          <w:tcPr>
            <w:tcW w:w="1020" w:type="dxa"/>
            <w:tcBorders>
              <w:top w:val="single" w:sz="6" w:space="0" w:color="1E4496" w:themeColor="text2"/>
              <w:bottom w:val="single" w:sz="6" w:space="0" w:color="1E4496" w:themeColor="text2"/>
            </w:tcBorders>
            <w:shd w:val="clear" w:color="auto" w:fill="FFFFFF" w:themeFill="background1"/>
            <w:tcMar>
              <w:top w:w="113" w:type="dxa"/>
              <w:left w:w="57" w:type="dxa"/>
              <w:bottom w:w="113" w:type="dxa"/>
              <w:right w:w="57" w:type="dxa"/>
            </w:tcMar>
            <w:vAlign w:val="center"/>
          </w:tcPr>
          <w:p w14:paraId="53276E43" w14:textId="77777777" w:rsidR="009A5CBB" w:rsidRPr="009A5CBB" w:rsidRDefault="009A5CBB" w:rsidP="009A5CBB">
            <w:pPr>
              <w:pStyle w:val="CDITable-RowLeft"/>
              <w:rPr>
                <w:sz w:val="17"/>
              </w:rPr>
            </w:pPr>
            <w:r w:rsidRPr="009A5CBB">
              <w:rPr>
                <w:sz w:val="17"/>
              </w:rPr>
              <w:t>10–14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ABDE2CC" w14:textId="77777777" w:rsidR="009A5CBB" w:rsidRPr="009A5CBB" w:rsidRDefault="009A5CBB" w:rsidP="009A5CBB">
            <w:pPr>
              <w:pStyle w:val="CDITable-RowCentre"/>
              <w:rPr>
                <w:sz w:val="17"/>
              </w:rPr>
            </w:pPr>
            <w:r w:rsidRPr="009A5CBB">
              <w:rPr>
                <w:sz w:val="17"/>
              </w:rPr>
              <w:t>35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1B27982" w14:textId="77777777" w:rsidR="009A5CBB" w:rsidRPr="009A5CBB" w:rsidRDefault="009A5CBB" w:rsidP="009A5CBB">
            <w:pPr>
              <w:pStyle w:val="CDITable-RowCentre"/>
              <w:rPr>
                <w:sz w:val="17"/>
              </w:rPr>
            </w:pPr>
            <w:r w:rsidRPr="009A5CBB">
              <w:rPr>
                <w:sz w:val="17"/>
              </w:rPr>
              <w:t>2.5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6EC626B" w14:textId="77777777" w:rsidR="009A5CBB" w:rsidRPr="009A5CBB" w:rsidRDefault="009A5CBB" w:rsidP="009A5CBB">
            <w:pPr>
              <w:pStyle w:val="CDITable-RowCentre"/>
              <w:rPr>
                <w:sz w:val="17"/>
              </w:rPr>
            </w:pPr>
            <w:r w:rsidRPr="009A5CBB">
              <w:rPr>
                <w:sz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58875D0" w14:textId="77777777" w:rsidR="009A5CBB" w:rsidRPr="009A5CBB" w:rsidRDefault="009A5CBB" w:rsidP="009A5CBB">
            <w:pPr>
              <w:pStyle w:val="CDITable-RowCentre"/>
              <w:rPr>
                <w:sz w:val="17"/>
              </w:rPr>
            </w:pPr>
            <w:r w:rsidRPr="009A5CBB">
              <w:rPr>
                <w:sz w:val="17"/>
              </w:rPr>
              <w:t>0.4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F1CAFB1" w14:textId="77777777" w:rsidR="009A5CBB" w:rsidRPr="009A5CBB" w:rsidRDefault="009A5CBB" w:rsidP="009A5CBB">
            <w:pPr>
              <w:pStyle w:val="CDITable-RowCentre"/>
              <w:rPr>
                <w:sz w:val="17"/>
              </w:rPr>
            </w:pPr>
            <w:r w:rsidRPr="009A5CBB">
              <w:rPr>
                <w:sz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A8CC7FB"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5E0C83D" w14:textId="77777777" w:rsidR="009A5CBB" w:rsidRPr="009A5CBB" w:rsidRDefault="009A5CBB" w:rsidP="009A5CBB">
            <w:pPr>
              <w:pStyle w:val="CDITable-RowCentre"/>
              <w:rPr>
                <w:sz w:val="17"/>
              </w:rPr>
            </w:pPr>
            <w:r w:rsidRPr="009A5CBB">
              <w:rPr>
                <w:sz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B6EC71D" w14:textId="77777777" w:rsidR="009A5CBB" w:rsidRPr="009A5CBB" w:rsidRDefault="009A5CBB" w:rsidP="009A5CBB">
            <w:pPr>
              <w:pStyle w:val="CDITable-RowCentre"/>
              <w:rPr>
                <w:sz w:val="17"/>
              </w:rPr>
            </w:pPr>
            <w:r w:rsidRPr="009A5CBB">
              <w:rPr>
                <w:sz w:val="17"/>
              </w:rPr>
              <w:t>0.3</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3D9A682" w14:textId="77777777" w:rsidR="009A5CBB" w:rsidRPr="009A5CBB" w:rsidRDefault="009A5CBB" w:rsidP="009A5CBB">
            <w:pPr>
              <w:pStyle w:val="CDITable-RowCentre"/>
              <w:rPr>
                <w:sz w:val="17"/>
              </w:rPr>
            </w:pPr>
            <w:r w:rsidRPr="009A5CBB">
              <w:rPr>
                <w:sz w:val="17"/>
              </w:rPr>
              <w:t>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D5B68C" w14:textId="77777777" w:rsidR="009A5CBB" w:rsidRPr="009A5CBB" w:rsidRDefault="009A5CBB" w:rsidP="009A5CBB">
            <w:pPr>
              <w:pStyle w:val="CDITable-RowCentre"/>
              <w:rPr>
                <w:sz w:val="17"/>
              </w:rPr>
            </w:pPr>
            <w:r w:rsidRPr="009A5CBB">
              <w:rPr>
                <w:sz w:val="17"/>
              </w:rPr>
              <w:t>0.3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4C8F339" w14:textId="77777777" w:rsidR="009A5CBB" w:rsidRPr="009A5CBB" w:rsidRDefault="009A5CBB" w:rsidP="009A5CBB">
            <w:pPr>
              <w:pStyle w:val="CDITable-RowCentre"/>
              <w:rPr>
                <w:sz w:val="17"/>
              </w:rPr>
            </w:pPr>
            <w:r w:rsidRPr="009A5CBB">
              <w:rPr>
                <w:sz w:val="17"/>
              </w:rPr>
              <w:t>17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C27ADCC" w14:textId="77777777" w:rsidR="009A5CBB" w:rsidRPr="009A5CBB" w:rsidRDefault="009A5CBB" w:rsidP="009A5CBB">
            <w:pPr>
              <w:pStyle w:val="CDITable-RowCentre"/>
              <w:rPr>
                <w:sz w:val="17"/>
              </w:rPr>
            </w:pPr>
            <w:r w:rsidRPr="009A5CBB">
              <w:rPr>
                <w:sz w:val="17"/>
              </w:rPr>
              <w:t>1.1</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94327A7" w14:textId="77777777" w:rsidR="009A5CBB" w:rsidRPr="009A5CBB" w:rsidRDefault="009A5CBB" w:rsidP="009A5CBB">
            <w:pPr>
              <w:pStyle w:val="CDITable-RowCentre"/>
              <w:rPr>
                <w:sz w:val="17"/>
              </w:rPr>
            </w:pPr>
            <w:r w:rsidRPr="009A5CBB">
              <w:rPr>
                <w:sz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0550284"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84E5B6B"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115ED11"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1346CCF" w14:textId="77777777" w:rsidR="009A5CBB" w:rsidRPr="009A5CBB" w:rsidRDefault="009A5CBB" w:rsidP="009A5CBB">
            <w:pPr>
              <w:pStyle w:val="CDITable-RowCentre"/>
              <w:rPr>
                <w:sz w:val="17"/>
              </w:rPr>
            </w:pPr>
            <w:r w:rsidRPr="009A5CBB">
              <w:rPr>
                <w:sz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33F0D8D"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4F7B795"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E4AB569" w14:textId="77777777" w:rsidR="009A5CBB" w:rsidRPr="009A5CBB" w:rsidRDefault="009A5CBB" w:rsidP="009A5CBB">
            <w:pPr>
              <w:pStyle w:val="CDITable-RowCentre"/>
              <w:rPr>
                <w:sz w:val="17"/>
              </w:rPr>
            </w:pPr>
            <w:r w:rsidRPr="009A5CBB">
              <w:rPr>
                <w:sz w:val="17"/>
              </w:rPr>
              <w:t>0.1</w:t>
            </w:r>
          </w:p>
        </w:tc>
        <w:tc>
          <w:tcPr>
            <w:tcW w:w="53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31E2E4C" w14:textId="77777777" w:rsidR="009A5CBB" w:rsidRPr="009A5CBB" w:rsidRDefault="009A5CBB" w:rsidP="009A5CBB">
            <w:pPr>
              <w:pStyle w:val="CDITable-RowCentre"/>
              <w:rPr>
                <w:sz w:val="17"/>
              </w:rPr>
            </w:pPr>
            <w:r w:rsidRPr="009A5CBB">
              <w:rPr>
                <w:sz w:val="17"/>
              </w:rPr>
              <w:t>71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E2F972" w14:textId="77777777" w:rsidR="009A5CBB" w:rsidRPr="009A5CBB" w:rsidRDefault="009A5CBB" w:rsidP="009A5CBB">
            <w:pPr>
              <w:pStyle w:val="CDITable-RowCentre"/>
              <w:rPr>
                <w:sz w:val="17"/>
              </w:rPr>
            </w:pPr>
            <w:r w:rsidRPr="009A5CBB">
              <w:rPr>
                <w:sz w:val="17"/>
              </w:rPr>
              <w:t>4.2</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9884A1A" w14:textId="77777777" w:rsidR="009A5CBB" w:rsidRPr="009A5CBB" w:rsidRDefault="009A5CBB" w:rsidP="009A5CBB">
            <w:pPr>
              <w:pStyle w:val="CDITable-RowCentre"/>
              <w:rPr>
                <w:sz w:val="17"/>
              </w:rPr>
            </w:pPr>
            <w:r w:rsidRPr="009A5CBB">
              <w:rPr>
                <w:sz w:val="17"/>
              </w:rPr>
              <w:t>0.78</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C8FB06B" w14:textId="77777777" w:rsidR="009A5CBB" w:rsidRPr="009A5CBB" w:rsidRDefault="009A5CBB" w:rsidP="009A5CBB">
            <w:pPr>
              <w:pStyle w:val="CDITable-RowCentre"/>
              <w:rPr>
                <w:sz w:val="17"/>
              </w:rPr>
            </w:pPr>
            <w:r w:rsidRPr="009A5CBB">
              <w:rPr>
                <w:sz w:val="17"/>
              </w:rPr>
              <w:t>0.04</w:t>
            </w:r>
          </w:p>
        </w:tc>
        <w:tc>
          <w:tcPr>
            <w:tcW w:w="68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6FE525" w14:textId="77777777" w:rsidR="009A5CBB" w:rsidRPr="009A5CBB" w:rsidRDefault="009A5CBB" w:rsidP="009A5CBB">
            <w:pPr>
              <w:pStyle w:val="CDITable-RowCentre"/>
              <w:rPr>
                <w:sz w:val="17"/>
              </w:rPr>
            </w:pPr>
            <w:r w:rsidRPr="009A5CBB">
              <w:rPr>
                <w:sz w:val="17"/>
              </w:rPr>
              <w:t>19.58</w:t>
            </w:r>
          </w:p>
        </w:tc>
      </w:tr>
      <w:tr w:rsidR="009A5CBB" w:rsidRPr="009A5CBB" w14:paraId="6DEF79C9" w14:textId="77777777" w:rsidTr="00520680">
        <w:trPr>
          <w:trHeight w:val="60"/>
        </w:trPr>
        <w:tc>
          <w:tcPr>
            <w:tcW w:w="1020" w:type="dxa"/>
            <w:tcBorders>
              <w:top w:val="single" w:sz="6" w:space="0" w:color="1E4496" w:themeColor="text2"/>
              <w:bottom w:val="single" w:sz="6" w:space="0" w:color="1E4496" w:themeColor="text2"/>
            </w:tcBorders>
            <w:shd w:val="clear" w:color="auto" w:fill="FFFFFF" w:themeFill="background1"/>
            <w:tcMar>
              <w:top w:w="113" w:type="dxa"/>
              <w:left w:w="57" w:type="dxa"/>
              <w:bottom w:w="113" w:type="dxa"/>
              <w:right w:w="57" w:type="dxa"/>
            </w:tcMar>
            <w:vAlign w:val="center"/>
          </w:tcPr>
          <w:p w14:paraId="5EA7FCBF" w14:textId="77777777" w:rsidR="009A5CBB" w:rsidRPr="009A5CBB" w:rsidRDefault="009A5CBB" w:rsidP="009A5CBB">
            <w:pPr>
              <w:pStyle w:val="CDITable-RowLeft"/>
              <w:rPr>
                <w:sz w:val="17"/>
              </w:rPr>
            </w:pPr>
            <w:r w:rsidRPr="009A5CBB">
              <w:rPr>
                <w:sz w:val="17"/>
              </w:rPr>
              <w:t>15–19</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D9804EC" w14:textId="77777777" w:rsidR="009A5CBB" w:rsidRPr="009A5CBB" w:rsidRDefault="009A5CBB" w:rsidP="009A5CBB">
            <w:pPr>
              <w:pStyle w:val="CDITable-RowCentre"/>
              <w:rPr>
                <w:sz w:val="17"/>
              </w:rPr>
            </w:pPr>
            <w:r w:rsidRPr="009A5CBB">
              <w:rPr>
                <w:sz w:val="17"/>
              </w:rPr>
              <w:t>54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C01D442" w14:textId="77777777" w:rsidR="009A5CBB" w:rsidRPr="009A5CBB" w:rsidRDefault="009A5CBB" w:rsidP="009A5CBB">
            <w:pPr>
              <w:pStyle w:val="CDITable-RowCentre"/>
              <w:rPr>
                <w:sz w:val="17"/>
              </w:rPr>
            </w:pPr>
            <w:r w:rsidRPr="009A5CBB">
              <w:rPr>
                <w:sz w:val="17"/>
              </w:rPr>
              <w:t>3.7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D38D1FF" w14:textId="77777777" w:rsidR="009A5CBB" w:rsidRPr="009A5CBB" w:rsidRDefault="009A5CBB" w:rsidP="009A5CBB">
            <w:pPr>
              <w:pStyle w:val="CDITable-RowCentre"/>
              <w:rPr>
                <w:sz w:val="17"/>
              </w:rPr>
            </w:pPr>
            <w:r w:rsidRPr="009A5CBB">
              <w:rPr>
                <w:sz w:val="17"/>
              </w:rPr>
              <w:t>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7DD24BD" w14:textId="77777777" w:rsidR="009A5CBB" w:rsidRPr="009A5CBB" w:rsidRDefault="009A5CBB" w:rsidP="009A5CBB">
            <w:pPr>
              <w:pStyle w:val="CDITable-RowCentre"/>
              <w:rPr>
                <w:sz w:val="17"/>
              </w:rPr>
            </w:pPr>
            <w:r w:rsidRPr="009A5CBB">
              <w:rPr>
                <w:sz w:val="17"/>
              </w:rPr>
              <w:t>0.5</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9D73F4D" w14:textId="77777777" w:rsidR="009A5CBB" w:rsidRPr="009A5CBB" w:rsidRDefault="009A5CBB" w:rsidP="009A5CBB">
            <w:pPr>
              <w:pStyle w:val="CDITable-RowCentre"/>
              <w:rPr>
                <w:sz w:val="17"/>
              </w:rPr>
            </w:pPr>
            <w:r w:rsidRPr="009A5CBB">
              <w:rPr>
                <w:sz w:val="17"/>
              </w:rPr>
              <w:t>11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1A4423F" w14:textId="77777777" w:rsidR="009A5CBB" w:rsidRPr="009A5CBB" w:rsidRDefault="009A5CBB" w:rsidP="009A5CBB">
            <w:pPr>
              <w:pStyle w:val="CDITable-RowCentre"/>
              <w:rPr>
                <w:sz w:val="17"/>
              </w:rPr>
            </w:pPr>
            <w:r w:rsidRPr="009A5CBB">
              <w:rPr>
                <w:sz w:val="17"/>
              </w:rPr>
              <w:t>0.7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58E131F" w14:textId="77777777" w:rsidR="009A5CBB" w:rsidRPr="009A5CBB" w:rsidRDefault="009A5CBB" w:rsidP="009A5CBB">
            <w:pPr>
              <w:pStyle w:val="CDITable-RowCentre"/>
              <w:rPr>
                <w:sz w:val="17"/>
              </w:rPr>
            </w:pPr>
            <w:r w:rsidRPr="009A5CBB">
              <w:rPr>
                <w:sz w:val="17"/>
              </w:rPr>
              <w:t>9</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6807ADC" w14:textId="77777777" w:rsidR="009A5CBB" w:rsidRPr="009A5CBB" w:rsidRDefault="009A5CBB" w:rsidP="009A5CBB">
            <w:pPr>
              <w:pStyle w:val="CDITable-RowCentre"/>
              <w:rPr>
                <w:sz w:val="17"/>
              </w:rPr>
            </w:pPr>
            <w:r w:rsidRPr="009A5CBB">
              <w:rPr>
                <w:sz w:val="17"/>
              </w:rPr>
              <w:t>0.6</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9F6014B" w14:textId="77777777" w:rsidR="009A5CBB" w:rsidRPr="009A5CBB" w:rsidRDefault="009A5CBB" w:rsidP="009A5CBB">
            <w:pPr>
              <w:pStyle w:val="CDITable-RowCentre"/>
              <w:rPr>
                <w:sz w:val="17"/>
              </w:rPr>
            </w:pPr>
            <w:r w:rsidRPr="009A5CBB">
              <w:rPr>
                <w:sz w:val="17"/>
              </w:rPr>
              <w:t>7</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D9C7D00" w14:textId="77777777" w:rsidR="009A5CBB" w:rsidRPr="009A5CBB" w:rsidRDefault="009A5CBB" w:rsidP="009A5CBB">
            <w:pPr>
              <w:pStyle w:val="CDITable-RowCentre"/>
              <w:rPr>
                <w:sz w:val="17"/>
              </w:rPr>
            </w:pPr>
            <w:r w:rsidRPr="009A5CBB">
              <w:rPr>
                <w:sz w:val="17"/>
              </w:rPr>
              <w:t>0.5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7745247" w14:textId="77777777" w:rsidR="009A5CBB" w:rsidRPr="009A5CBB" w:rsidRDefault="009A5CBB" w:rsidP="009A5CBB">
            <w:pPr>
              <w:pStyle w:val="CDITable-RowCentre"/>
              <w:rPr>
                <w:sz w:val="17"/>
              </w:rPr>
            </w:pPr>
            <w:r w:rsidRPr="009A5CBB">
              <w:rPr>
                <w:sz w:val="17"/>
              </w:rPr>
              <w:t>26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4852924" w14:textId="77777777" w:rsidR="009A5CBB" w:rsidRPr="009A5CBB" w:rsidRDefault="009A5CBB" w:rsidP="009A5CBB">
            <w:pPr>
              <w:pStyle w:val="CDITable-RowCentre"/>
              <w:rPr>
                <w:sz w:val="17"/>
              </w:rPr>
            </w:pPr>
            <w:r w:rsidRPr="009A5CBB">
              <w:rPr>
                <w:sz w:val="17"/>
              </w:rPr>
              <w:t>1.7</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387F828" w14:textId="77777777" w:rsidR="009A5CBB" w:rsidRPr="009A5CBB" w:rsidRDefault="009A5CBB" w:rsidP="009A5CBB">
            <w:pPr>
              <w:pStyle w:val="CDITable-RowCentre"/>
              <w:rPr>
                <w:sz w:val="17"/>
              </w:rPr>
            </w:pPr>
            <w:r w:rsidRPr="009A5CBB">
              <w:rPr>
                <w:sz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2480B92"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0F0AF3D"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C7F90C6"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4E1DF0F" w14:textId="77777777" w:rsidR="009A5CBB" w:rsidRPr="009A5CBB" w:rsidRDefault="009A5CBB" w:rsidP="009A5CBB">
            <w:pPr>
              <w:pStyle w:val="CDITable-RowCentre"/>
              <w:rPr>
                <w:sz w:val="17"/>
              </w:rPr>
            </w:pPr>
            <w:r w:rsidRPr="009A5CBB">
              <w:rPr>
                <w:sz w:val="17"/>
              </w:rPr>
              <w:t>1</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8372848"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10FFF1" w14:textId="77777777" w:rsidR="009A5CBB" w:rsidRPr="009A5CBB" w:rsidRDefault="009A5CBB" w:rsidP="009A5CBB">
            <w:pPr>
              <w:pStyle w:val="CDITable-RowCentre"/>
              <w:rPr>
                <w:sz w:val="17"/>
              </w:rPr>
            </w:pPr>
            <w:r w:rsidRPr="009A5CBB">
              <w:rPr>
                <w:sz w:val="17"/>
              </w:rPr>
              <w:t>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237735B" w14:textId="77777777" w:rsidR="009A5CBB" w:rsidRPr="009A5CBB" w:rsidRDefault="009A5CBB" w:rsidP="009A5CBB">
            <w:pPr>
              <w:pStyle w:val="CDITable-RowCentre"/>
              <w:rPr>
                <w:sz w:val="17"/>
              </w:rPr>
            </w:pPr>
            <w:r w:rsidRPr="009A5CBB">
              <w:rPr>
                <w:sz w:val="17"/>
              </w:rPr>
              <w:t>0.3</w:t>
            </w:r>
          </w:p>
        </w:tc>
        <w:tc>
          <w:tcPr>
            <w:tcW w:w="53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4512361" w14:textId="77777777" w:rsidR="009A5CBB" w:rsidRPr="009A5CBB" w:rsidRDefault="009A5CBB" w:rsidP="009A5CBB">
            <w:pPr>
              <w:pStyle w:val="CDITable-RowCentre"/>
              <w:rPr>
                <w:sz w:val="17"/>
              </w:rPr>
            </w:pPr>
            <w:r w:rsidRPr="009A5CBB">
              <w:rPr>
                <w:sz w:val="17"/>
              </w:rPr>
              <w:t>122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7C7185B" w14:textId="77777777" w:rsidR="009A5CBB" w:rsidRPr="009A5CBB" w:rsidRDefault="009A5CBB" w:rsidP="009A5CBB">
            <w:pPr>
              <w:pStyle w:val="CDITable-RowCentre"/>
              <w:rPr>
                <w:sz w:val="17"/>
              </w:rPr>
            </w:pPr>
            <w:r w:rsidRPr="009A5CBB">
              <w:rPr>
                <w:sz w:val="17"/>
              </w:rPr>
              <w:t>7.3</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BFE3CEB" w14:textId="77777777" w:rsidR="009A5CBB" w:rsidRPr="009A5CBB" w:rsidRDefault="009A5CBB" w:rsidP="009A5CBB">
            <w:pPr>
              <w:pStyle w:val="CDITable-RowCentre"/>
              <w:rPr>
                <w:sz w:val="17"/>
              </w:rPr>
            </w:pPr>
            <w:r w:rsidRPr="009A5CBB">
              <w:rPr>
                <w:sz w:val="17"/>
              </w:rPr>
              <w:t>1.28</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373BF64" w14:textId="77777777" w:rsidR="009A5CBB" w:rsidRPr="009A5CBB" w:rsidRDefault="009A5CBB" w:rsidP="009A5CBB">
            <w:pPr>
              <w:pStyle w:val="CDITable-RowCentre"/>
              <w:rPr>
                <w:sz w:val="17"/>
              </w:rPr>
            </w:pPr>
            <w:r w:rsidRPr="009A5CBB">
              <w:rPr>
                <w:sz w:val="17"/>
              </w:rPr>
              <w:t>0.10</w:t>
            </w:r>
          </w:p>
        </w:tc>
        <w:tc>
          <w:tcPr>
            <w:tcW w:w="68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A8225C2" w14:textId="77777777" w:rsidR="009A5CBB" w:rsidRPr="009A5CBB" w:rsidRDefault="009A5CBB" w:rsidP="009A5CBB">
            <w:pPr>
              <w:pStyle w:val="CDITable-RowCentre"/>
              <w:rPr>
                <w:sz w:val="17"/>
              </w:rPr>
            </w:pPr>
            <w:r w:rsidRPr="009A5CBB">
              <w:rPr>
                <w:sz w:val="17"/>
              </w:rPr>
              <w:t>12.83</w:t>
            </w:r>
          </w:p>
        </w:tc>
      </w:tr>
      <w:tr w:rsidR="009A5CBB" w:rsidRPr="009A5CBB" w14:paraId="3E020B15" w14:textId="77777777" w:rsidTr="00520680">
        <w:trPr>
          <w:trHeight w:val="60"/>
        </w:trPr>
        <w:tc>
          <w:tcPr>
            <w:tcW w:w="1020" w:type="dxa"/>
            <w:tcBorders>
              <w:top w:val="single" w:sz="6" w:space="0" w:color="1E4496" w:themeColor="text2"/>
              <w:bottom w:val="single" w:sz="6" w:space="0" w:color="1E4496" w:themeColor="text2"/>
            </w:tcBorders>
            <w:shd w:val="clear" w:color="auto" w:fill="FFFFFF" w:themeFill="background1"/>
            <w:tcMar>
              <w:top w:w="113" w:type="dxa"/>
              <w:left w:w="57" w:type="dxa"/>
              <w:bottom w:w="113" w:type="dxa"/>
              <w:right w:w="57" w:type="dxa"/>
            </w:tcMar>
            <w:vAlign w:val="center"/>
          </w:tcPr>
          <w:p w14:paraId="17200D08" w14:textId="77777777" w:rsidR="009A5CBB" w:rsidRPr="009A5CBB" w:rsidRDefault="009A5CBB" w:rsidP="009A5CBB">
            <w:pPr>
              <w:pStyle w:val="CDITable-RowLeft"/>
              <w:rPr>
                <w:sz w:val="17"/>
              </w:rPr>
            </w:pPr>
            <w:r w:rsidRPr="009A5CBB">
              <w:rPr>
                <w:sz w:val="17"/>
              </w:rPr>
              <w:t>20–49</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3A0ACDF" w14:textId="77777777" w:rsidR="009A5CBB" w:rsidRPr="009A5CBB" w:rsidRDefault="009A5CBB" w:rsidP="009A5CBB">
            <w:pPr>
              <w:pStyle w:val="CDITable-RowCentre"/>
              <w:rPr>
                <w:sz w:val="17"/>
              </w:rPr>
            </w:pPr>
            <w:r w:rsidRPr="009A5CBB">
              <w:rPr>
                <w:sz w:val="17"/>
              </w:rPr>
              <w:t>163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614AD00" w14:textId="77777777" w:rsidR="009A5CBB" w:rsidRPr="009A5CBB" w:rsidRDefault="009A5CBB" w:rsidP="009A5CBB">
            <w:pPr>
              <w:pStyle w:val="CDITable-RowCentre"/>
              <w:rPr>
                <w:sz w:val="17"/>
              </w:rPr>
            </w:pPr>
            <w:r w:rsidRPr="009A5CBB">
              <w:rPr>
                <w:sz w:val="17"/>
              </w:rPr>
              <w:t>1.6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23D7F23" w14:textId="77777777" w:rsidR="009A5CBB" w:rsidRPr="009A5CBB" w:rsidRDefault="009A5CBB" w:rsidP="009A5CBB">
            <w:pPr>
              <w:pStyle w:val="CDITable-RowCentre"/>
              <w:rPr>
                <w:sz w:val="17"/>
              </w:rPr>
            </w:pPr>
            <w:r w:rsidRPr="009A5CBB">
              <w:rPr>
                <w:sz w:val="17"/>
              </w:rPr>
              <w:t>40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C434D03" w14:textId="77777777" w:rsidR="009A5CBB" w:rsidRPr="009A5CBB" w:rsidRDefault="009A5CBB" w:rsidP="009A5CBB">
            <w:pPr>
              <w:pStyle w:val="CDITable-RowCentre"/>
              <w:rPr>
                <w:sz w:val="17"/>
              </w:rPr>
            </w:pPr>
            <w:r w:rsidRPr="009A5CBB">
              <w:rPr>
                <w:sz w:val="17"/>
              </w:rPr>
              <w:t>0.4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CEE4A1F" w14:textId="77777777" w:rsidR="009A5CBB" w:rsidRPr="009A5CBB" w:rsidRDefault="009A5CBB" w:rsidP="009A5CBB">
            <w:pPr>
              <w:pStyle w:val="CDITable-RowCentre"/>
              <w:rPr>
                <w:sz w:val="17"/>
              </w:rPr>
            </w:pPr>
            <w:r w:rsidRPr="009A5CBB">
              <w:rPr>
                <w:sz w:val="17"/>
              </w:rPr>
              <w:t>65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C9E85F8" w14:textId="77777777" w:rsidR="009A5CBB" w:rsidRPr="009A5CBB" w:rsidRDefault="009A5CBB" w:rsidP="009A5CBB">
            <w:pPr>
              <w:pStyle w:val="CDITable-RowCentre"/>
              <w:rPr>
                <w:sz w:val="17"/>
              </w:rPr>
            </w:pPr>
            <w:r w:rsidRPr="009A5CBB">
              <w:rPr>
                <w:sz w:val="17"/>
              </w:rPr>
              <w:t>0.6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8863491" w14:textId="77777777" w:rsidR="009A5CBB" w:rsidRPr="009A5CBB" w:rsidRDefault="009A5CBB" w:rsidP="009A5CBB">
            <w:pPr>
              <w:pStyle w:val="CDITable-RowCentre"/>
              <w:rPr>
                <w:sz w:val="17"/>
              </w:rPr>
            </w:pPr>
            <w:r w:rsidRPr="009A5CBB">
              <w:rPr>
                <w:sz w:val="17"/>
              </w:rPr>
              <w:t>46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F9B5E5E" w14:textId="77777777" w:rsidR="009A5CBB" w:rsidRPr="009A5CBB" w:rsidRDefault="009A5CBB" w:rsidP="009A5CBB">
            <w:pPr>
              <w:pStyle w:val="CDITable-RowCentre"/>
              <w:rPr>
                <w:sz w:val="17"/>
              </w:rPr>
            </w:pPr>
            <w:r w:rsidRPr="009A5CBB">
              <w:rPr>
                <w:sz w:val="17"/>
              </w:rPr>
              <w:t>0.4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67FFEC2" w14:textId="77777777" w:rsidR="009A5CBB" w:rsidRPr="009A5CBB" w:rsidRDefault="009A5CBB" w:rsidP="009A5CBB">
            <w:pPr>
              <w:pStyle w:val="CDITable-RowCentre"/>
              <w:rPr>
                <w:sz w:val="17"/>
              </w:rPr>
            </w:pPr>
            <w:r w:rsidRPr="009A5CBB">
              <w:rPr>
                <w:sz w:val="17"/>
              </w:rPr>
              <w:t>62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75D44AD" w14:textId="77777777" w:rsidR="009A5CBB" w:rsidRPr="009A5CBB" w:rsidRDefault="009A5CBB" w:rsidP="009A5CBB">
            <w:pPr>
              <w:pStyle w:val="CDITable-RowCentre"/>
              <w:rPr>
                <w:sz w:val="17"/>
              </w:rPr>
            </w:pPr>
            <w:r w:rsidRPr="009A5CBB">
              <w:rPr>
                <w:sz w:val="17"/>
              </w:rPr>
              <w:t>0.6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0205F6A" w14:textId="77777777" w:rsidR="009A5CBB" w:rsidRPr="009A5CBB" w:rsidRDefault="009A5CBB" w:rsidP="009A5CBB">
            <w:pPr>
              <w:pStyle w:val="CDITable-RowCentre"/>
              <w:rPr>
                <w:sz w:val="17"/>
              </w:rPr>
            </w:pPr>
            <w:r w:rsidRPr="009A5CBB">
              <w:rPr>
                <w:sz w:val="17"/>
              </w:rPr>
              <w:t>195</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4F932B0" w14:textId="77777777" w:rsidR="009A5CBB" w:rsidRPr="009A5CBB" w:rsidRDefault="009A5CBB" w:rsidP="009A5CBB">
            <w:pPr>
              <w:pStyle w:val="CDITable-RowCentre"/>
              <w:rPr>
                <w:sz w:val="17"/>
              </w:rPr>
            </w:pPr>
            <w:r w:rsidRPr="009A5CBB">
              <w:rPr>
                <w:sz w:val="17"/>
              </w:rPr>
              <w:t>1.8</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71A40DC" w14:textId="77777777" w:rsidR="009A5CBB" w:rsidRPr="009A5CBB" w:rsidRDefault="009A5CBB" w:rsidP="009A5CBB">
            <w:pPr>
              <w:pStyle w:val="CDITable-RowCentre"/>
              <w:rPr>
                <w:sz w:val="17"/>
              </w:rPr>
            </w:pPr>
            <w:r w:rsidRPr="009A5CBB">
              <w:rPr>
                <w:sz w:val="17"/>
              </w:rPr>
              <w:t>14</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537173C"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D830E13" w14:textId="77777777" w:rsidR="009A5CBB" w:rsidRPr="009A5CBB" w:rsidRDefault="009A5CBB" w:rsidP="009A5CBB">
            <w:pPr>
              <w:pStyle w:val="CDITable-RowCentre"/>
              <w:rPr>
                <w:sz w:val="17"/>
              </w:rPr>
            </w:pPr>
            <w:r w:rsidRPr="009A5CBB">
              <w:rPr>
                <w:sz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7BFA800"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E9CCB36" w14:textId="77777777" w:rsidR="009A5CBB" w:rsidRPr="009A5CBB" w:rsidRDefault="009A5CBB" w:rsidP="009A5CBB">
            <w:pPr>
              <w:pStyle w:val="CDITable-RowCentre"/>
              <w:rPr>
                <w:sz w:val="17"/>
              </w:rPr>
            </w:pPr>
            <w:r w:rsidRPr="009A5CBB">
              <w:rPr>
                <w:sz w:val="17"/>
              </w:rPr>
              <w:t>13</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02CADD5"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D15AEB3" w14:textId="77777777" w:rsidR="009A5CBB" w:rsidRPr="009A5CBB" w:rsidRDefault="009A5CBB" w:rsidP="009A5CBB">
            <w:pPr>
              <w:pStyle w:val="CDITable-RowCentre"/>
              <w:rPr>
                <w:sz w:val="17"/>
              </w:rPr>
            </w:pPr>
            <w:r w:rsidRPr="009A5CBB">
              <w:rPr>
                <w:sz w:val="17"/>
              </w:rPr>
              <w:t>26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3DBFF91" w14:textId="77777777" w:rsidR="009A5CBB" w:rsidRPr="009A5CBB" w:rsidRDefault="009A5CBB" w:rsidP="009A5CBB">
            <w:pPr>
              <w:pStyle w:val="CDITable-RowCentre"/>
              <w:rPr>
                <w:sz w:val="17"/>
              </w:rPr>
            </w:pPr>
            <w:r w:rsidRPr="009A5CBB">
              <w:rPr>
                <w:sz w:val="17"/>
              </w:rPr>
              <w:t>0.2</w:t>
            </w:r>
          </w:p>
        </w:tc>
        <w:tc>
          <w:tcPr>
            <w:tcW w:w="53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9E81ECA" w14:textId="77777777" w:rsidR="009A5CBB" w:rsidRPr="009A5CBB" w:rsidRDefault="009A5CBB" w:rsidP="009A5CBB">
            <w:pPr>
              <w:pStyle w:val="CDITable-RowCentre"/>
              <w:rPr>
                <w:sz w:val="17"/>
              </w:rPr>
            </w:pPr>
            <w:r w:rsidRPr="009A5CBB">
              <w:rPr>
                <w:sz w:val="17"/>
              </w:rPr>
              <w:t>626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8F1FF4D" w14:textId="77777777" w:rsidR="009A5CBB" w:rsidRPr="009A5CBB" w:rsidRDefault="009A5CBB" w:rsidP="009A5CBB">
            <w:pPr>
              <w:pStyle w:val="CDITable-RowCentre"/>
              <w:rPr>
                <w:sz w:val="17"/>
              </w:rPr>
            </w:pPr>
            <w:r w:rsidRPr="009A5CBB">
              <w:rPr>
                <w:sz w:val="17"/>
              </w:rPr>
              <w:t>5.5</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6DC1799" w14:textId="77777777" w:rsidR="009A5CBB" w:rsidRPr="009A5CBB" w:rsidRDefault="009A5CBB" w:rsidP="009A5CBB">
            <w:pPr>
              <w:pStyle w:val="CDITable-RowCentre"/>
              <w:rPr>
                <w:sz w:val="17"/>
              </w:rPr>
            </w:pPr>
            <w:r w:rsidRPr="009A5CBB">
              <w:rPr>
                <w:sz w:val="17"/>
              </w:rPr>
              <w:t>0.90</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4820E43" w14:textId="77777777" w:rsidR="009A5CBB" w:rsidRPr="009A5CBB" w:rsidRDefault="009A5CBB" w:rsidP="009A5CBB">
            <w:pPr>
              <w:pStyle w:val="CDITable-RowCentre"/>
              <w:rPr>
                <w:sz w:val="17"/>
              </w:rPr>
            </w:pPr>
            <w:r w:rsidRPr="009A5CBB">
              <w:rPr>
                <w:sz w:val="17"/>
              </w:rPr>
              <w:t>0.08</w:t>
            </w:r>
          </w:p>
        </w:tc>
        <w:tc>
          <w:tcPr>
            <w:tcW w:w="68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C6A1DB1" w14:textId="77777777" w:rsidR="009A5CBB" w:rsidRPr="009A5CBB" w:rsidRDefault="009A5CBB" w:rsidP="009A5CBB">
            <w:pPr>
              <w:pStyle w:val="CDITable-RowCentre"/>
              <w:rPr>
                <w:sz w:val="17"/>
              </w:rPr>
            </w:pPr>
            <w:r w:rsidRPr="009A5CBB">
              <w:rPr>
                <w:sz w:val="17"/>
              </w:rPr>
              <w:t>11.25</w:t>
            </w:r>
          </w:p>
        </w:tc>
      </w:tr>
      <w:tr w:rsidR="009A5CBB" w:rsidRPr="009A5CBB" w14:paraId="64EE15A2" w14:textId="77777777" w:rsidTr="00520680">
        <w:trPr>
          <w:trHeight w:val="60"/>
        </w:trPr>
        <w:tc>
          <w:tcPr>
            <w:tcW w:w="1020" w:type="dxa"/>
            <w:tcBorders>
              <w:top w:val="single" w:sz="6" w:space="0" w:color="1E4496" w:themeColor="text2"/>
              <w:bottom w:val="single" w:sz="6" w:space="0" w:color="1E4496" w:themeColor="text2"/>
            </w:tcBorders>
            <w:shd w:val="clear" w:color="auto" w:fill="FFFFFF" w:themeFill="background1"/>
            <w:tcMar>
              <w:top w:w="113" w:type="dxa"/>
              <w:left w:w="57" w:type="dxa"/>
              <w:bottom w:w="113" w:type="dxa"/>
              <w:right w:w="57" w:type="dxa"/>
            </w:tcMar>
            <w:vAlign w:val="center"/>
          </w:tcPr>
          <w:p w14:paraId="6F70012A" w14:textId="77777777" w:rsidR="009A5CBB" w:rsidRPr="009A5CBB" w:rsidRDefault="009A5CBB" w:rsidP="009A5CBB">
            <w:pPr>
              <w:pStyle w:val="CDITable-RowLeft"/>
              <w:rPr>
                <w:sz w:val="17"/>
              </w:rPr>
            </w:pPr>
            <w:r w:rsidRPr="009A5CBB">
              <w:rPr>
                <w:sz w:val="17"/>
              </w:rPr>
              <w:t>50–64</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6E98E9C" w14:textId="77777777" w:rsidR="009A5CBB" w:rsidRPr="009A5CBB" w:rsidRDefault="009A5CBB" w:rsidP="009A5CBB">
            <w:pPr>
              <w:pStyle w:val="CDITable-RowCentre"/>
              <w:rPr>
                <w:sz w:val="17"/>
              </w:rPr>
            </w:pPr>
            <w:r w:rsidRPr="009A5CBB">
              <w:rPr>
                <w:sz w:val="17"/>
              </w:rPr>
              <w:t>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910D54F"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5D3FAFC"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05073BB" w14:textId="77777777" w:rsidR="009A5CBB" w:rsidRPr="009A5CBB" w:rsidRDefault="009A5CBB" w:rsidP="009A5CBB">
            <w:pPr>
              <w:pStyle w:val="CDITable-RowCentre"/>
              <w:rPr>
                <w:sz w:val="17"/>
              </w:rPr>
            </w:pPr>
            <w:r w:rsidRPr="009A5CBB">
              <w:rPr>
                <w:sz w:val="17"/>
              </w:rPr>
              <w:t>0.0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974B322"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D091643"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0A7EC4C" w14:textId="77777777" w:rsidR="009A5CBB" w:rsidRPr="009A5CBB" w:rsidRDefault="009A5CBB" w:rsidP="009A5CBB">
            <w:pPr>
              <w:pStyle w:val="CDITable-RowCentre"/>
              <w:rPr>
                <w:sz w:val="17"/>
              </w:rPr>
            </w:pPr>
            <w:r w:rsidRPr="009A5CBB">
              <w:rPr>
                <w:sz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520DEEC" w14:textId="77777777" w:rsidR="009A5CBB" w:rsidRPr="009A5CBB" w:rsidRDefault="009A5CBB" w:rsidP="009A5CBB">
            <w:pPr>
              <w:pStyle w:val="CDITable-RowCentre"/>
              <w:rPr>
                <w:sz w:val="17"/>
              </w:rPr>
            </w:pPr>
            <w:r w:rsidRPr="009A5CBB">
              <w:rPr>
                <w:sz w:val="17"/>
              </w:rPr>
              <w:t>0.0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914F03B" w14:textId="77777777" w:rsidR="009A5CBB" w:rsidRPr="009A5CBB" w:rsidRDefault="009A5CBB" w:rsidP="009A5CBB">
            <w:pPr>
              <w:pStyle w:val="CDITable-RowCentre"/>
              <w:rPr>
                <w:sz w:val="17"/>
              </w:rPr>
            </w:pPr>
            <w:r w:rsidRPr="009A5CBB">
              <w:rPr>
                <w:sz w:val="17"/>
              </w:rPr>
              <w:t>3</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350E1DF" w14:textId="77777777" w:rsidR="009A5CBB" w:rsidRPr="009A5CBB" w:rsidRDefault="009A5CBB" w:rsidP="009A5CBB">
            <w:pPr>
              <w:pStyle w:val="CDITable-RowCentre"/>
              <w:rPr>
                <w:sz w:val="17"/>
              </w:rPr>
            </w:pPr>
            <w:r w:rsidRPr="009A5CBB">
              <w:rPr>
                <w:sz w:val="17"/>
              </w:rPr>
              <w:t>0.1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0F60B12" w14:textId="77777777" w:rsidR="009A5CBB" w:rsidRPr="009A5CBB" w:rsidRDefault="009A5CBB" w:rsidP="009A5CBB">
            <w:pPr>
              <w:pStyle w:val="CDITable-RowCentre"/>
              <w:rPr>
                <w:sz w:val="17"/>
              </w:rPr>
            </w:pPr>
            <w:r w:rsidRPr="009A5CBB">
              <w:rPr>
                <w:sz w:val="17"/>
              </w:rPr>
              <w:t>6</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A136A1B" w14:textId="77777777" w:rsidR="009A5CBB" w:rsidRPr="009A5CBB" w:rsidRDefault="009A5CBB" w:rsidP="009A5CBB">
            <w:pPr>
              <w:pStyle w:val="CDITable-RowCentre"/>
              <w:rPr>
                <w:sz w:val="17"/>
              </w:rPr>
            </w:pPr>
            <w:r w:rsidRPr="009A5CBB">
              <w:rPr>
                <w:sz w:val="17"/>
              </w:rPr>
              <w:t>0.1</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5DA9355"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D52FD1E"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3C54E8D" w14:textId="77777777" w:rsidR="009A5CBB" w:rsidRPr="009A5CBB" w:rsidRDefault="009A5CBB" w:rsidP="009A5CBB">
            <w:pPr>
              <w:pStyle w:val="CDITable-RowCentre"/>
              <w:rPr>
                <w:sz w:val="17"/>
              </w:rPr>
            </w:pPr>
            <w:r w:rsidRPr="009A5CBB">
              <w:rPr>
                <w:sz w:val="17"/>
              </w:rPr>
              <w:t>2</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3634B38"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3496E93" w14:textId="77777777" w:rsidR="009A5CBB" w:rsidRPr="009A5CBB" w:rsidRDefault="009A5CBB" w:rsidP="009A5CBB">
            <w:pPr>
              <w:pStyle w:val="CDITable-RowCentre"/>
              <w:rPr>
                <w:sz w:val="17"/>
              </w:rPr>
            </w:pPr>
            <w:r w:rsidRPr="009A5CBB">
              <w:rPr>
                <w:sz w:val="17"/>
              </w:rPr>
              <w:t>2</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323BEF7"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D61E119"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0564FC" w14:textId="77777777" w:rsidR="009A5CBB" w:rsidRPr="009A5CBB" w:rsidRDefault="009A5CBB" w:rsidP="009A5CBB">
            <w:pPr>
              <w:pStyle w:val="CDITable-RowCentre"/>
              <w:rPr>
                <w:sz w:val="17"/>
              </w:rPr>
            </w:pPr>
            <w:r w:rsidRPr="009A5CBB">
              <w:rPr>
                <w:sz w:val="17"/>
              </w:rPr>
              <w:t>0.0</w:t>
            </w:r>
          </w:p>
        </w:tc>
        <w:tc>
          <w:tcPr>
            <w:tcW w:w="53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CFFD669" w14:textId="77777777" w:rsidR="009A5CBB" w:rsidRPr="009A5CBB" w:rsidRDefault="009A5CBB" w:rsidP="009A5CBB">
            <w:pPr>
              <w:pStyle w:val="CDITable-RowCentre"/>
              <w:rPr>
                <w:sz w:val="17"/>
              </w:rPr>
            </w:pPr>
            <w:r w:rsidRPr="009A5CBB">
              <w:rPr>
                <w:sz w:val="17"/>
              </w:rPr>
              <w:t>21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DD16331" w14:textId="77777777" w:rsidR="009A5CBB" w:rsidRPr="009A5CBB" w:rsidRDefault="009A5CBB" w:rsidP="009A5CBB">
            <w:pPr>
              <w:pStyle w:val="CDITable-RowCentre"/>
              <w:rPr>
                <w:sz w:val="17"/>
              </w:rPr>
            </w:pPr>
            <w:r w:rsidRPr="009A5CBB">
              <w:rPr>
                <w:sz w:val="17"/>
              </w:rPr>
              <w:t>0.4</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4D7421D" w14:textId="77777777" w:rsidR="009A5CBB" w:rsidRPr="009A5CBB" w:rsidRDefault="009A5CBB" w:rsidP="009A5CBB">
            <w:pPr>
              <w:pStyle w:val="CDITable-RowCentre"/>
              <w:rPr>
                <w:sz w:val="17"/>
              </w:rPr>
            </w:pPr>
            <w:r w:rsidRPr="009A5CBB">
              <w:rPr>
                <w:sz w:val="17"/>
              </w:rPr>
              <w:t>0.05</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110415B" w14:textId="77777777" w:rsidR="009A5CBB" w:rsidRPr="009A5CBB" w:rsidRDefault="009A5CBB" w:rsidP="009A5CBB">
            <w:pPr>
              <w:pStyle w:val="CDITable-RowCentre"/>
              <w:rPr>
                <w:sz w:val="17"/>
              </w:rPr>
            </w:pPr>
            <w:r w:rsidRPr="009A5CBB">
              <w:rPr>
                <w:sz w:val="17"/>
              </w:rPr>
              <w:t>0.00</w:t>
            </w:r>
          </w:p>
        </w:tc>
        <w:tc>
          <w:tcPr>
            <w:tcW w:w="68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57A80C56" w14:textId="77777777" w:rsidR="009A5CBB" w:rsidRPr="009A5CBB" w:rsidRDefault="009A5CBB" w:rsidP="009A5CBB">
            <w:pPr>
              <w:pStyle w:val="CDITable-RowCentre"/>
              <w:rPr>
                <w:sz w:val="17"/>
              </w:rPr>
            </w:pPr>
            <w:r w:rsidRPr="009A5CBB">
              <w:rPr>
                <w:sz w:val="17"/>
              </w:rPr>
              <w:t>—</w:t>
            </w:r>
          </w:p>
        </w:tc>
      </w:tr>
      <w:tr w:rsidR="009A5CBB" w:rsidRPr="009A5CBB" w14:paraId="36D169A1" w14:textId="77777777" w:rsidTr="00520680">
        <w:trPr>
          <w:trHeight w:val="60"/>
        </w:trPr>
        <w:tc>
          <w:tcPr>
            <w:tcW w:w="1020" w:type="dxa"/>
            <w:tcBorders>
              <w:top w:val="single" w:sz="6" w:space="0" w:color="1E4496" w:themeColor="text2"/>
              <w:bottom w:val="single" w:sz="6" w:space="0" w:color="1E4496" w:themeColor="text2"/>
            </w:tcBorders>
            <w:shd w:val="clear" w:color="auto" w:fill="FFFFFF" w:themeFill="background1"/>
            <w:tcMar>
              <w:top w:w="113" w:type="dxa"/>
              <w:left w:w="57" w:type="dxa"/>
              <w:bottom w:w="113" w:type="dxa"/>
              <w:right w:w="57" w:type="dxa"/>
            </w:tcMar>
            <w:vAlign w:val="center"/>
          </w:tcPr>
          <w:p w14:paraId="1CC0D241" w14:textId="77777777" w:rsidR="009A5CBB" w:rsidRPr="009A5CBB" w:rsidRDefault="009A5CBB" w:rsidP="009A5CBB">
            <w:pPr>
              <w:pStyle w:val="CDITable-RowLeft"/>
              <w:rPr>
                <w:sz w:val="17"/>
              </w:rPr>
            </w:pPr>
            <w:r w:rsidRPr="009A5CBB">
              <w:rPr>
                <w:sz w:val="17"/>
              </w:rPr>
              <w:t>65+</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C4EB865"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6304B7AE"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70788DE"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71A93C1" w14:textId="77777777" w:rsidR="009A5CBB" w:rsidRPr="009A5CBB" w:rsidRDefault="009A5CBB" w:rsidP="009A5CBB">
            <w:pPr>
              <w:pStyle w:val="CDITable-RowCentre"/>
              <w:rPr>
                <w:sz w:val="17"/>
              </w:rPr>
            </w:pPr>
            <w:r w:rsidRPr="009A5CBB">
              <w:rPr>
                <w:sz w:val="17"/>
              </w:rPr>
              <w:t>0.0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1A30432"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5E4A4AB"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F8DF7EF"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46D4E0F" w14:textId="77777777" w:rsidR="009A5CBB" w:rsidRPr="009A5CBB" w:rsidRDefault="009A5CBB" w:rsidP="009A5CBB">
            <w:pPr>
              <w:pStyle w:val="CDITable-RowCentre"/>
              <w:rPr>
                <w:sz w:val="17"/>
              </w:rPr>
            </w:pPr>
            <w:r w:rsidRPr="009A5CBB">
              <w:rPr>
                <w:sz w:val="17"/>
              </w:rPr>
              <w:t>0.0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058852B"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EF995DD"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7F737EB"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2291D4B" w14:textId="77777777" w:rsidR="009A5CBB" w:rsidRPr="009A5CBB" w:rsidRDefault="009A5CBB" w:rsidP="009A5CBB">
            <w:pPr>
              <w:pStyle w:val="CDITable-RowCentre"/>
              <w:rPr>
                <w:sz w:val="17"/>
              </w:rPr>
            </w:pPr>
            <w:r w:rsidRPr="009A5CBB">
              <w:rPr>
                <w:sz w:val="17"/>
              </w:rPr>
              <w:t>0.0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E55A7CE"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713507F"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2B03D6A1"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D4DA4B2"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6B42212" w14:textId="77777777" w:rsidR="009A5CBB" w:rsidRPr="009A5CBB" w:rsidRDefault="009A5CBB" w:rsidP="009A5CBB">
            <w:pPr>
              <w:pStyle w:val="CDITable-RowCentre"/>
              <w:rPr>
                <w:sz w:val="17"/>
              </w:rPr>
            </w:pPr>
            <w:r w:rsidRPr="009A5CBB">
              <w:rPr>
                <w:sz w:val="17"/>
              </w:rPr>
              <w:t>0</w:t>
            </w:r>
          </w:p>
        </w:tc>
        <w:tc>
          <w:tcPr>
            <w:tcW w:w="511"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78BEB79" w14:textId="77777777" w:rsidR="009A5CBB" w:rsidRPr="009A5CBB" w:rsidRDefault="009A5CBB" w:rsidP="009A5CBB">
            <w:pPr>
              <w:pStyle w:val="CDITable-RowCentre"/>
              <w:rPr>
                <w:sz w:val="17"/>
              </w:rPr>
            </w:pPr>
            <w:r w:rsidRPr="009A5CBB">
              <w:rPr>
                <w:sz w:val="17"/>
              </w:rPr>
              <w:t>0.0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DD5601F" w14:textId="77777777" w:rsidR="009A5CBB" w:rsidRPr="009A5CBB" w:rsidRDefault="009A5CBB" w:rsidP="009A5CBB">
            <w:pPr>
              <w:pStyle w:val="CDITable-RowCentre"/>
              <w:rPr>
                <w:sz w:val="17"/>
              </w:rPr>
            </w:pPr>
            <w:r w:rsidRPr="009A5CBB">
              <w:rPr>
                <w:sz w:val="17"/>
              </w:rPr>
              <w:t>0</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4DD52C99" w14:textId="77777777" w:rsidR="009A5CBB" w:rsidRPr="009A5CBB" w:rsidRDefault="009A5CBB" w:rsidP="009A5CBB">
            <w:pPr>
              <w:pStyle w:val="CDITable-RowCentre"/>
              <w:rPr>
                <w:sz w:val="17"/>
              </w:rPr>
            </w:pPr>
            <w:r w:rsidRPr="009A5CBB">
              <w:rPr>
                <w:sz w:val="17"/>
              </w:rPr>
              <w:t>0.0</w:t>
            </w:r>
          </w:p>
        </w:tc>
        <w:tc>
          <w:tcPr>
            <w:tcW w:w="53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061CD149" w14:textId="77777777" w:rsidR="009A5CBB" w:rsidRPr="009A5CBB" w:rsidRDefault="009A5CBB" w:rsidP="009A5CBB">
            <w:pPr>
              <w:pStyle w:val="CDITable-RowCentre"/>
              <w:rPr>
                <w:sz w:val="17"/>
              </w:rPr>
            </w:pPr>
            <w:r w:rsidRPr="009A5CBB">
              <w:rPr>
                <w:sz w:val="17"/>
              </w:rPr>
              <w:t>1</w:t>
            </w:r>
          </w:p>
        </w:tc>
        <w:tc>
          <w:tcPr>
            <w:tcW w:w="51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1A959FFC" w14:textId="77777777" w:rsidR="009A5CBB" w:rsidRPr="009A5CBB" w:rsidRDefault="009A5CBB" w:rsidP="009A5CBB">
            <w:pPr>
              <w:pStyle w:val="CDITable-RowCentre"/>
              <w:rPr>
                <w:sz w:val="17"/>
              </w:rPr>
            </w:pPr>
            <w:r w:rsidRPr="009A5CBB">
              <w:rPr>
                <w:sz w:val="17"/>
              </w:rPr>
              <w:t>0.0</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9273E71" w14:textId="77777777" w:rsidR="009A5CBB" w:rsidRPr="009A5CBB" w:rsidRDefault="009A5CBB" w:rsidP="009A5CBB">
            <w:pPr>
              <w:pStyle w:val="CDITable-RowCentre"/>
              <w:rPr>
                <w:sz w:val="17"/>
              </w:rPr>
            </w:pPr>
            <w:r w:rsidRPr="009A5CBB">
              <w:rPr>
                <w:sz w:val="17"/>
              </w:rPr>
              <w:t>0.00</w:t>
            </w:r>
          </w:p>
        </w:tc>
        <w:tc>
          <w:tcPr>
            <w:tcW w:w="690"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71936238" w14:textId="77777777" w:rsidR="009A5CBB" w:rsidRPr="009A5CBB" w:rsidRDefault="009A5CBB" w:rsidP="009A5CBB">
            <w:pPr>
              <w:pStyle w:val="CDITable-RowCentre"/>
              <w:rPr>
                <w:sz w:val="17"/>
              </w:rPr>
            </w:pPr>
            <w:r w:rsidRPr="009A5CBB">
              <w:rPr>
                <w:sz w:val="17"/>
              </w:rPr>
              <w:t>0.00</w:t>
            </w:r>
          </w:p>
        </w:tc>
        <w:tc>
          <w:tcPr>
            <w:tcW w:w="689" w:type="dxa"/>
            <w:tcBorders>
              <w:top w:val="single" w:sz="6" w:space="0" w:color="1E4496" w:themeColor="text2"/>
              <w:bottom w:val="single" w:sz="6" w:space="0" w:color="1E4496" w:themeColor="text2"/>
            </w:tcBorders>
            <w:tcMar>
              <w:top w:w="113" w:type="dxa"/>
              <w:left w:w="57" w:type="dxa"/>
              <w:bottom w:w="113" w:type="dxa"/>
              <w:right w:w="57" w:type="dxa"/>
            </w:tcMar>
            <w:vAlign w:val="center"/>
          </w:tcPr>
          <w:p w14:paraId="3E2BF136" w14:textId="77777777" w:rsidR="009A5CBB" w:rsidRPr="009A5CBB" w:rsidRDefault="009A5CBB" w:rsidP="009A5CBB">
            <w:pPr>
              <w:pStyle w:val="CDITable-RowCentre"/>
              <w:rPr>
                <w:sz w:val="17"/>
              </w:rPr>
            </w:pPr>
            <w:r w:rsidRPr="009A5CBB">
              <w:rPr>
                <w:sz w:val="17"/>
              </w:rPr>
              <w:t>—</w:t>
            </w:r>
          </w:p>
        </w:tc>
      </w:tr>
    </w:tbl>
    <w:p w14:paraId="3FC21097" w14:textId="77777777" w:rsidR="009A5CBB" w:rsidRPr="009A5CBB" w:rsidRDefault="009A5CBB" w:rsidP="009A5CBB">
      <w:pPr>
        <w:pStyle w:val="CDITable-FirstFootnote"/>
        <w:rPr>
          <w:lang w:val="en-GB"/>
        </w:rPr>
      </w:pPr>
      <w:r w:rsidRPr="009A5CBB">
        <w:rPr>
          <w:lang w:val="en-GB"/>
        </w:rPr>
        <w:t>a</w:t>
      </w:r>
      <w:r w:rsidRPr="009A5CBB">
        <w:rPr>
          <w:lang w:val="en-GB"/>
        </w:rPr>
        <w:tab/>
        <w:t xml:space="preserve">Note that, since no measles cases were notified in 2021, case numbers and rates for 2021 are not displayed. Nonetheless, calculations of the 2020–2024 mean rate and of the </w:t>
      </w:r>
      <w:proofErr w:type="gramStart"/>
      <w:r w:rsidRPr="009A5CBB">
        <w:rPr>
          <w:lang w:val="en-GB"/>
        </w:rPr>
        <w:t>two period</w:t>
      </w:r>
      <w:proofErr w:type="gramEnd"/>
      <w:r w:rsidRPr="009A5CBB">
        <w:rPr>
          <w:lang w:val="en-GB"/>
        </w:rPr>
        <w:t xml:space="preserve"> rate ratio are inclusive of 2021.</w:t>
      </w:r>
    </w:p>
    <w:p w14:paraId="13034394" w14:textId="77777777" w:rsidR="009A5CBB" w:rsidRPr="009A5CBB" w:rsidRDefault="009A5CBB" w:rsidP="009A5CBB">
      <w:pPr>
        <w:pStyle w:val="CDITable-Footnote"/>
        <w:rPr>
          <w:lang w:val="en-GB"/>
        </w:rPr>
      </w:pPr>
      <w:r w:rsidRPr="009A5CBB">
        <w:rPr>
          <w:lang w:val="en-GB"/>
        </w:rPr>
        <w:t>b</w:t>
      </w:r>
      <w:r w:rsidRPr="009A5CBB">
        <w:rPr>
          <w:lang w:val="en-GB"/>
        </w:rPr>
        <w:tab/>
        <w:t xml:space="preserve">Rates per 100,000 population per year have been calculated using populations as </w:t>
      </w:r>
      <w:proofErr w:type="gramStart"/>
      <w:r w:rsidRPr="009A5CBB">
        <w:rPr>
          <w:lang w:val="en-GB"/>
        </w:rPr>
        <w:t>at</w:t>
      </w:r>
      <w:proofErr w:type="gramEnd"/>
      <w:r w:rsidRPr="009A5CBB">
        <w:rPr>
          <w:lang w:val="en-GB"/>
        </w:rPr>
        <w:t xml:space="preserve"> 30 June of each year.</w:t>
      </w:r>
    </w:p>
    <w:p w14:paraId="7F444C9E" w14:textId="77777777" w:rsidR="009A5CBB" w:rsidRPr="009A5CBB" w:rsidRDefault="009A5CBB" w:rsidP="009A5CBB">
      <w:pPr>
        <w:pStyle w:val="CDITable-Footnote"/>
        <w:rPr>
          <w:lang w:val="en-GB"/>
        </w:rPr>
      </w:pPr>
      <w:r w:rsidRPr="009A5CBB">
        <w:rPr>
          <w:lang w:val="en-GB"/>
        </w:rPr>
        <w:t>c</w:t>
      </w:r>
      <w:r w:rsidRPr="009A5CBB">
        <w:rPr>
          <w:lang w:val="en-GB"/>
        </w:rPr>
        <w:tab/>
        <w:t>Pre-pandemic period: 2014–2019. COVID-19 post-emergence period: 2020–2024.</w:t>
      </w:r>
    </w:p>
    <w:p w14:paraId="2907F570" w14:textId="77777777" w:rsidR="009A5CBB" w:rsidRDefault="009A5CBB" w:rsidP="009A5CBB">
      <w:pPr>
        <w:pStyle w:val="CDITable-Footnote"/>
        <w:rPr>
          <w:lang w:val="en-GB"/>
        </w:rPr>
        <w:sectPr w:rsidR="009A5CBB" w:rsidSect="009A5CBB">
          <w:footnotePr>
            <w:numFmt w:val="lowerRoman"/>
          </w:footnotePr>
          <w:pgSz w:w="16840" w:h="11907" w:orient="landscape" w:code="9"/>
          <w:pgMar w:top="1134" w:right="1134" w:bottom="1134" w:left="1134" w:header="709" w:footer="567" w:gutter="0"/>
          <w:cols w:space="708"/>
          <w:docGrid w:linePitch="360"/>
        </w:sectPr>
      </w:pPr>
      <w:r w:rsidRPr="009A5CBB">
        <w:rPr>
          <w:lang w:val="en-GB"/>
        </w:rPr>
        <w:t>d</w:t>
      </w:r>
      <w:r w:rsidRPr="009A5CBB">
        <w:rPr>
          <w:lang w:val="en-GB"/>
        </w:rPr>
        <w:tab/>
        <w:t xml:space="preserve">Two period rate ratio = 2014–2019 mean rate/2020–2024 mean rate. </w:t>
      </w:r>
    </w:p>
    <w:p w14:paraId="27A62B5E" w14:textId="77777777" w:rsidR="009A5CBB" w:rsidRPr="009A5CBB" w:rsidRDefault="009A5CBB" w:rsidP="009A5CBB">
      <w:pPr>
        <w:pStyle w:val="Heading2-nospacebefore"/>
      </w:pPr>
      <w:bookmarkStart w:id="28" w:name="_Toc224572829"/>
      <w:r w:rsidRPr="009A5CBB">
        <w:lastRenderedPageBreak/>
        <w:t>Genotype trends</w:t>
      </w:r>
      <w:bookmarkEnd w:id="28"/>
    </w:p>
    <w:p w14:paraId="2CDA8CBE" w14:textId="77777777" w:rsidR="009A5CBB" w:rsidRDefault="009A5CBB" w:rsidP="009A5CBB">
      <w:pPr>
        <w:rPr>
          <w:lang w:val="en-GB"/>
        </w:rPr>
      </w:pPr>
      <w:r w:rsidRPr="009A5CBB">
        <w:rPr>
          <w:lang w:val="en-GB"/>
        </w:rPr>
        <w:t xml:space="preserve">The most common genotype notified in the reporting period was D8, followed by B3 and ‘unknown’. No genotypes other than B3 and D8 were reported in Australia after 2017 (Table 3). </w:t>
      </w:r>
    </w:p>
    <w:p w14:paraId="10F2B1E7" w14:textId="77777777" w:rsidR="009A5CBB" w:rsidRPr="009A5CBB" w:rsidRDefault="009A5CBB" w:rsidP="009A5CBB">
      <w:pPr>
        <w:pStyle w:val="CDITable-Title"/>
        <w:rPr>
          <w:lang w:val="en-GB"/>
        </w:rPr>
      </w:pPr>
      <w:r w:rsidRPr="009A5CBB">
        <w:rPr>
          <w:lang w:val="en-GB"/>
        </w:rPr>
        <w:t>Table 3: Number of measles notifications by year and genotype, Australia, 2014–2024</w:t>
      </w:r>
    </w:p>
    <w:tbl>
      <w:tblPr>
        <w:tblW w:w="0" w:type="auto"/>
        <w:tblLayout w:type="fixed"/>
        <w:tblCellMar>
          <w:left w:w="0" w:type="dxa"/>
          <w:right w:w="0" w:type="dxa"/>
        </w:tblCellMar>
        <w:tblLook w:val="0000" w:firstRow="0" w:lastRow="0" w:firstColumn="0" w:lastColumn="0" w:noHBand="0" w:noVBand="0"/>
        <w:tblCaption w:val="Table 3: Number of measles notifications by year and genotype, Australia, 2014–2024"/>
        <w:tblDescription w:val="Table 3: Presents counts per year of measles cases notified to the National Notifiable Disease Surveillance System (NNDSS) by genotype. "/>
      </w:tblPr>
      <w:tblGrid>
        <w:gridCol w:w="1134"/>
        <w:gridCol w:w="709"/>
        <w:gridCol w:w="708"/>
        <w:gridCol w:w="709"/>
        <w:gridCol w:w="709"/>
        <w:gridCol w:w="708"/>
        <w:gridCol w:w="709"/>
        <w:gridCol w:w="708"/>
        <w:gridCol w:w="709"/>
        <w:gridCol w:w="709"/>
        <w:gridCol w:w="708"/>
        <w:gridCol w:w="709"/>
        <w:gridCol w:w="709"/>
      </w:tblGrid>
      <w:tr w:rsidR="009A5CBB" w:rsidRPr="009A5CBB" w14:paraId="2ACC813A" w14:textId="77777777" w:rsidTr="00B82400">
        <w:trPr>
          <w:trHeight w:val="60"/>
          <w:tblHeader/>
        </w:trPr>
        <w:tc>
          <w:tcPr>
            <w:tcW w:w="1134" w:type="dxa"/>
            <w:shd w:val="clear" w:color="auto" w:fill="1E4496" w:themeFill="text2"/>
            <w:tcMar>
              <w:top w:w="113" w:type="dxa"/>
              <w:left w:w="113" w:type="dxa"/>
              <w:bottom w:w="113" w:type="dxa"/>
              <w:right w:w="113" w:type="dxa"/>
            </w:tcMar>
            <w:vAlign w:val="bottom"/>
          </w:tcPr>
          <w:p w14:paraId="2893E24D" w14:textId="77777777" w:rsidR="009A5CBB" w:rsidRPr="009A5CBB" w:rsidRDefault="009A5CBB" w:rsidP="009A5CBB">
            <w:pPr>
              <w:pStyle w:val="CDITable-HeaderRowLeft"/>
            </w:pPr>
            <w:r w:rsidRPr="009A5CBB">
              <w:t>Genotype</w:t>
            </w:r>
          </w:p>
        </w:tc>
        <w:tc>
          <w:tcPr>
            <w:tcW w:w="709" w:type="dxa"/>
            <w:shd w:val="clear" w:color="auto" w:fill="1E4496" w:themeFill="text2"/>
            <w:tcMar>
              <w:top w:w="113" w:type="dxa"/>
              <w:left w:w="113" w:type="dxa"/>
              <w:bottom w:w="113" w:type="dxa"/>
              <w:right w:w="113" w:type="dxa"/>
            </w:tcMar>
            <w:vAlign w:val="bottom"/>
          </w:tcPr>
          <w:p w14:paraId="4C5D7E1C" w14:textId="77777777" w:rsidR="009A5CBB" w:rsidRPr="009A5CBB" w:rsidRDefault="009A5CBB" w:rsidP="009A5CBB">
            <w:pPr>
              <w:pStyle w:val="CDITable-HeaderRowCentre"/>
            </w:pPr>
            <w:r w:rsidRPr="009A5CBB">
              <w:t>2014</w:t>
            </w:r>
          </w:p>
        </w:tc>
        <w:tc>
          <w:tcPr>
            <w:tcW w:w="708" w:type="dxa"/>
            <w:shd w:val="clear" w:color="auto" w:fill="1E4496" w:themeFill="text2"/>
            <w:tcMar>
              <w:top w:w="113" w:type="dxa"/>
              <w:left w:w="113" w:type="dxa"/>
              <w:bottom w:w="113" w:type="dxa"/>
              <w:right w:w="113" w:type="dxa"/>
            </w:tcMar>
            <w:vAlign w:val="bottom"/>
          </w:tcPr>
          <w:p w14:paraId="39BBE5B8" w14:textId="77777777" w:rsidR="009A5CBB" w:rsidRPr="009A5CBB" w:rsidRDefault="009A5CBB" w:rsidP="009A5CBB">
            <w:pPr>
              <w:pStyle w:val="CDITable-HeaderRowCentre"/>
            </w:pPr>
            <w:r w:rsidRPr="009A5CBB">
              <w:t>2015</w:t>
            </w:r>
          </w:p>
        </w:tc>
        <w:tc>
          <w:tcPr>
            <w:tcW w:w="709" w:type="dxa"/>
            <w:shd w:val="clear" w:color="auto" w:fill="1E4496" w:themeFill="text2"/>
            <w:tcMar>
              <w:top w:w="113" w:type="dxa"/>
              <w:left w:w="113" w:type="dxa"/>
              <w:bottom w:w="113" w:type="dxa"/>
              <w:right w:w="113" w:type="dxa"/>
            </w:tcMar>
            <w:vAlign w:val="bottom"/>
          </w:tcPr>
          <w:p w14:paraId="78688CBF" w14:textId="77777777" w:rsidR="009A5CBB" w:rsidRPr="009A5CBB" w:rsidRDefault="009A5CBB" w:rsidP="009A5CBB">
            <w:pPr>
              <w:pStyle w:val="CDITable-HeaderRowCentre"/>
            </w:pPr>
            <w:r w:rsidRPr="009A5CBB">
              <w:t>2016</w:t>
            </w:r>
          </w:p>
        </w:tc>
        <w:tc>
          <w:tcPr>
            <w:tcW w:w="709" w:type="dxa"/>
            <w:shd w:val="clear" w:color="auto" w:fill="1E4496" w:themeFill="text2"/>
            <w:tcMar>
              <w:top w:w="113" w:type="dxa"/>
              <w:left w:w="113" w:type="dxa"/>
              <w:bottom w:w="113" w:type="dxa"/>
              <w:right w:w="113" w:type="dxa"/>
            </w:tcMar>
            <w:vAlign w:val="bottom"/>
          </w:tcPr>
          <w:p w14:paraId="5DEC7179" w14:textId="77777777" w:rsidR="009A5CBB" w:rsidRPr="009A5CBB" w:rsidRDefault="009A5CBB" w:rsidP="009A5CBB">
            <w:pPr>
              <w:pStyle w:val="CDITable-HeaderRowCentre"/>
            </w:pPr>
            <w:r w:rsidRPr="009A5CBB">
              <w:t>2017</w:t>
            </w:r>
          </w:p>
        </w:tc>
        <w:tc>
          <w:tcPr>
            <w:tcW w:w="708" w:type="dxa"/>
            <w:shd w:val="clear" w:color="auto" w:fill="1E4496" w:themeFill="text2"/>
            <w:tcMar>
              <w:top w:w="113" w:type="dxa"/>
              <w:left w:w="113" w:type="dxa"/>
              <w:bottom w:w="113" w:type="dxa"/>
              <w:right w:w="113" w:type="dxa"/>
            </w:tcMar>
            <w:vAlign w:val="bottom"/>
          </w:tcPr>
          <w:p w14:paraId="52CA12FC" w14:textId="77777777" w:rsidR="009A5CBB" w:rsidRPr="009A5CBB" w:rsidRDefault="009A5CBB" w:rsidP="009A5CBB">
            <w:pPr>
              <w:pStyle w:val="CDITable-HeaderRowCentre"/>
            </w:pPr>
            <w:r w:rsidRPr="009A5CBB">
              <w:t>2018</w:t>
            </w:r>
          </w:p>
        </w:tc>
        <w:tc>
          <w:tcPr>
            <w:tcW w:w="709" w:type="dxa"/>
            <w:shd w:val="clear" w:color="auto" w:fill="1E4496" w:themeFill="text2"/>
            <w:tcMar>
              <w:top w:w="113" w:type="dxa"/>
              <w:left w:w="113" w:type="dxa"/>
              <w:bottom w:w="113" w:type="dxa"/>
              <w:right w:w="113" w:type="dxa"/>
            </w:tcMar>
            <w:vAlign w:val="bottom"/>
          </w:tcPr>
          <w:p w14:paraId="2D473A32" w14:textId="77777777" w:rsidR="009A5CBB" w:rsidRPr="009A5CBB" w:rsidRDefault="009A5CBB" w:rsidP="009A5CBB">
            <w:pPr>
              <w:pStyle w:val="CDITable-HeaderRowCentre"/>
            </w:pPr>
            <w:r w:rsidRPr="009A5CBB">
              <w:t>2019</w:t>
            </w:r>
          </w:p>
        </w:tc>
        <w:tc>
          <w:tcPr>
            <w:tcW w:w="708" w:type="dxa"/>
            <w:shd w:val="clear" w:color="auto" w:fill="1E4496" w:themeFill="text2"/>
            <w:tcMar>
              <w:top w:w="113" w:type="dxa"/>
              <w:left w:w="113" w:type="dxa"/>
              <w:bottom w:w="113" w:type="dxa"/>
              <w:right w:w="113" w:type="dxa"/>
            </w:tcMar>
            <w:vAlign w:val="bottom"/>
          </w:tcPr>
          <w:p w14:paraId="2090522E" w14:textId="77777777" w:rsidR="009A5CBB" w:rsidRPr="009A5CBB" w:rsidRDefault="009A5CBB" w:rsidP="009A5CBB">
            <w:pPr>
              <w:pStyle w:val="CDITable-HeaderRowCentre"/>
            </w:pPr>
            <w:r w:rsidRPr="009A5CBB">
              <w:t>2020</w:t>
            </w:r>
          </w:p>
        </w:tc>
        <w:tc>
          <w:tcPr>
            <w:tcW w:w="709" w:type="dxa"/>
            <w:shd w:val="clear" w:color="auto" w:fill="1E4496" w:themeFill="text2"/>
            <w:tcMar>
              <w:top w:w="113" w:type="dxa"/>
              <w:left w:w="113" w:type="dxa"/>
              <w:bottom w:w="113" w:type="dxa"/>
              <w:right w:w="113" w:type="dxa"/>
            </w:tcMar>
            <w:vAlign w:val="bottom"/>
          </w:tcPr>
          <w:p w14:paraId="5BAD6329" w14:textId="77777777" w:rsidR="009A5CBB" w:rsidRPr="009A5CBB" w:rsidRDefault="009A5CBB" w:rsidP="009A5CBB">
            <w:pPr>
              <w:pStyle w:val="CDITable-HeaderRowCentre"/>
            </w:pPr>
            <w:r w:rsidRPr="009A5CBB">
              <w:t>2021</w:t>
            </w:r>
          </w:p>
        </w:tc>
        <w:tc>
          <w:tcPr>
            <w:tcW w:w="709" w:type="dxa"/>
            <w:shd w:val="clear" w:color="auto" w:fill="1E4496" w:themeFill="text2"/>
            <w:tcMar>
              <w:top w:w="113" w:type="dxa"/>
              <w:left w:w="113" w:type="dxa"/>
              <w:bottom w:w="113" w:type="dxa"/>
              <w:right w:w="113" w:type="dxa"/>
            </w:tcMar>
            <w:vAlign w:val="bottom"/>
          </w:tcPr>
          <w:p w14:paraId="25C1FB6E" w14:textId="77777777" w:rsidR="009A5CBB" w:rsidRPr="009A5CBB" w:rsidRDefault="009A5CBB" w:rsidP="009A5CBB">
            <w:pPr>
              <w:pStyle w:val="CDITable-HeaderRowCentre"/>
            </w:pPr>
            <w:r w:rsidRPr="009A5CBB">
              <w:t>2022</w:t>
            </w:r>
          </w:p>
        </w:tc>
        <w:tc>
          <w:tcPr>
            <w:tcW w:w="708" w:type="dxa"/>
            <w:shd w:val="clear" w:color="auto" w:fill="1E4496" w:themeFill="text2"/>
            <w:tcMar>
              <w:top w:w="113" w:type="dxa"/>
              <w:left w:w="113" w:type="dxa"/>
              <w:bottom w:w="113" w:type="dxa"/>
              <w:right w:w="113" w:type="dxa"/>
            </w:tcMar>
            <w:vAlign w:val="bottom"/>
          </w:tcPr>
          <w:p w14:paraId="1DD77524" w14:textId="77777777" w:rsidR="009A5CBB" w:rsidRPr="009A5CBB" w:rsidRDefault="009A5CBB" w:rsidP="009A5CBB">
            <w:pPr>
              <w:pStyle w:val="CDITable-HeaderRowCentre"/>
            </w:pPr>
            <w:r w:rsidRPr="009A5CBB">
              <w:t>2023</w:t>
            </w:r>
          </w:p>
        </w:tc>
        <w:tc>
          <w:tcPr>
            <w:tcW w:w="709" w:type="dxa"/>
            <w:shd w:val="clear" w:color="auto" w:fill="1E4496" w:themeFill="text2"/>
            <w:tcMar>
              <w:top w:w="113" w:type="dxa"/>
              <w:left w:w="113" w:type="dxa"/>
              <w:bottom w:w="113" w:type="dxa"/>
              <w:right w:w="113" w:type="dxa"/>
            </w:tcMar>
            <w:vAlign w:val="bottom"/>
          </w:tcPr>
          <w:p w14:paraId="6DB5B92C" w14:textId="77777777" w:rsidR="009A5CBB" w:rsidRPr="009A5CBB" w:rsidRDefault="009A5CBB" w:rsidP="009A5CBB">
            <w:pPr>
              <w:pStyle w:val="CDITable-HeaderRowCentre"/>
            </w:pPr>
            <w:r w:rsidRPr="009A5CBB">
              <w:t>2024</w:t>
            </w:r>
          </w:p>
        </w:tc>
        <w:tc>
          <w:tcPr>
            <w:tcW w:w="709" w:type="dxa"/>
            <w:shd w:val="clear" w:color="auto" w:fill="1E4496" w:themeFill="text2"/>
            <w:tcMar>
              <w:top w:w="113" w:type="dxa"/>
              <w:left w:w="113" w:type="dxa"/>
              <w:bottom w:w="113" w:type="dxa"/>
              <w:right w:w="113" w:type="dxa"/>
            </w:tcMar>
            <w:vAlign w:val="bottom"/>
          </w:tcPr>
          <w:p w14:paraId="6F8DB7AE" w14:textId="77777777" w:rsidR="009A5CBB" w:rsidRPr="009A5CBB" w:rsidRDefault="009A5CBB" w:rsidP="009A5CBB">
            <w:pPr>
              <w:pStyle w:val="CDITable-HeaderRowCentre"/>
            </w:pPr>
            <w:r w:rsidRPr="009A5CBB">
              <w:t>Total</w:t>
            </w:r>
          </w:p>
        </w:tc>
      </w:tr>
      <w:tr w:rsidR="009A5CBB" w:rsidRPr="009A5CBB" w14:paraId="217D3D14" w14:textId="77777777" w:rsidTr="00B82400">
        <w:trPr>
          <w:trHeight w:val="60"/>
        </w:trPr>
        <w:tc>
          <w:tcPr>
            <w:tcW w:w="1134" w:type="dxa"/>
            <w:tcBorders>
              <w:bottom w:val="single" w:sz="6" w:space="0" w:color="1E4496" w:themeColor="text2"/>
            </w:tcBorders>
            <w:tcMar>
              <w:top w:w="113" w:type="dxa"/>
              <w:left w:w="113" w:type="dxa"/>
              <w:bottom w:w="113" w:type="dxa"/>
              <w:right w:w="113" w:type="dxa"/>
            </w:tcMar>
            <w:vAlign w:val="center"/>
          </w:tcPr>
          <w:p w14:paraId="02866105" w14:textId="77777777" w:rsidR="009A5CBB" w:rsidRPr="009A5CBB" w:rsidRDefault="009A5CBB" w:rsidP="009A5CBB">
            <w:pPr>
              <w:pStyle w:val="CDITable-RowLeft"/>
            </w:pPr>
            <w:r w:rsidRPr="009A5CBB">
              <w:t>B3</w:t>
            </w:r>
          </w:p>
        </w:tc>
        <w:tc>
          <w:tcPr>
            <w:tcW w:w="709" w:type="dxa"/>
            <w:tcBorders>
              <w:bottom w:val="single" w:sz="6" w:space="0" w:color="1E4496" w:themeColor="text2"/>
            </w:tcBorders>
            <w:tcMar>
              <w:top w:w="113" w:type="dxa"/>
              <w:left w:w="113" w:type="dxa"/>
              <w:bottom w:w="113" w:type="dxa"/>
              <w:right w:w="113" w:type="dxa"/>
            </w:tcMar>
            <w:vAlign w:val="center"/>
          </w:tcPr>
          <w:p w14:paraId="7844B336" w14:textId="77777777" w:rsidR="009A5CBB" w:rsidRPr="009A5CBB" w:rsidRDefault="009A5CBB" w:rsidP="009A5CBB">
            <w:pPr>
              <w:pStyle w:val="CDITable-RowCentre"/>
            </w:pPr>
            <w:r w:rsidRPr="009A5CBB">
              <w:t>153</w:t>
            </w:r>
          </w:p>
        </w:tc>
        <w:tc>
          <w:tcPr>
            <w:tcW w:w="708" w:type="dxa"/>
            <w:tcBorders>
              <w:bottom w:val="single" w:sz="6" w:space="0" w:color="1E4496" w:themeColor="text2"/>
            </w:tcBorders>
            <w:tcMar>
              <w:top w:w="113" w:type="dxa"/>
              <w:left w:w="113" w:type="dxa"/>
              <w:bottom w:w="113" w:type="dxa"/>
              <w:right w:w="113" w:type="dxa"/>
            </w:tcMar>
            <w:vAlign w:val="center"/>
          </w:tcPr>
          <w:p w14:paraId="7E9C19E0" w14:textId="77777777" w:rsidR="009A5CBB" w:rsidRPr="009A5CBB" w:rsidRDefault="009A5CBB" w:rsidP="009A5CBB">
            <w:pPr>
              <w:pStyle w:val="CDITable-RowCentre"/>
            </w:pPr>
            <w:r w:rsidRPr="009A5CBB">
              <w:t>9</w:t>
            </w:r>
          </w:p>
        </w:tc>
        <w:tc>
          <w:tcPr>
            <w:tcW w:w="709" w:type="dxa"/>
            <w:tcBorders>
              <w:bottom w:val="single" w:sz="6" w:space="0" w:color="1E4496" w:themeColor="text2"/>
            </w:tcBorders>
            <w:tcMar>
              <w:top w:w="113" w:type="dxa"/>
              <w:left w:w="113" w:type="dxa"/>
              <w:bottom w:w="113" w:type="dxa"/>
              <w:right w:w="113" w:type="dxa"/>
            </w:tcMar>
            <w:vAlign w:val="center"/>
          </w:tcPr>
          <w:p w14:paraId="45998F80" w14:textId="77777777" w:rsidR="009A5CBB" w:rsidRPr="009A5CBB" w:rsidRDefault="009A5CBB" w:rsidP="009A5CBB">
            <w:pPr>
              <w:pStyle w:val="CDITable-RowCentre"/>
            </w:pPr>
            <w:r w:rsidRPr="009A5CBB">
              <w:t>5</w:t>
            </w:r>
          </w:p>
        </w:tc>
        <w:tc>
          <w:tcPr>
            <w:tcW w:w="709" w:type="dxa"/>
            <w:tcBorders>
              <w:bottom w:val="single" w:sz="6" w:space="0" w:color="1E4496" w:themeColor="text2"/>
            </w:tcBorders>
            <w:tcMar>
              <w:top w:w="113" w:type="dxa"/>
              <w:left w:w="113" w:type="dxa"/>
              <w:bottom w:w="113" w:type="dxa"/>
              <w:right w:w="113" w:type="dxa"/>
            </w:tcMar>
            <w:vAlign w:val="center"/>
          </w:tcPr>
          <w:p w14:paraId="2F22F559" w14:textId="77777777" w:rsidR="009A5CBB" w:rsidRPr="009A5CBB" w:rsidRDefault="009A5CBB" w:rsidP="009A5CBB">
            <w:pPr>
              <w:pStyle w:val="CDITable-RowCentre"/>
            </w:pPr>
            <w:r w:rsidRPr="009A5CBB">
              <w:t>7</w:t>
            </w:r>
          </w:p>
        </w:tc>
        <w:tc>
          <w:tcPr>
            <w:tcW w:w="708" w:type="dxa"/>
            <w:tcBorders>
              <w:bottom w:val="single" w:sz="6" w:space="0" w:color="1E4496" w:themeColor="text2"/>
            </w:tcBorders>
            <w:tcMar>
              <w:top w:w="113" w:type="dxa"/>
              <w:left w:w="113" w:type="dxa"/>
              <w:bottom w:w="113" w:type="dxa"/>
              <w:right w:w="113" w:type="dxa"/>
            </w:tcMar>
            <w:vAlign w:val="center"/>
          </w:tcPr>
          <w:p w14:paraId="6B2B149F" w14:textId="77777777" w:rsidR="009A5CBB" w:rsidRPr="009A5CBB" w:rsidRDefault="009A5CBB" w:rsidP="009A5CBB">
            <w:pPr>
              <w:pStyle w:val="CDITable-RowCentre"/>
            </w:pPr>
            <w:r w:rsidRPr="009A5CBB">
              <w:t>27</w:t>
            </w:r>
          </w:p>
        </w:tc>
        <w:tc>
          <w:tcPr>
            <w:tcW w:w="709" w:type="dxa"/>
            <w:tcBorders>
              <w:bottom w:val="single" w:sz="6" w:space="0" w:color="1E4496" w:themeColor="text2"/>
            </w:tcBorders>
            <w:tcMar>
              <w:top w:w="113" w:type="dxa"/>
              <w:left w:w="113" w:type="dxa"/>
              <w:bottom w:w="113" w:type="dxa"/>
              <w:right w:w="113" w:type="dxa"/>
            </w:tcMar>
            <w:vAlign w:val="center"/>
          </w:tcPr>
          <w:p w14:paraId="6EC307ED" w14:textId="77777777" w:rsidR="009A5CBB" w:rsidRPr="009A5CBB" w:rsidRDefault="009A5CBB" w:rsidP="009A5CBB">
            <w:pPr>
              <w:pStyle w:val="CDITable-RowCentre"/>
            </w:pPr>
            <w:r w:rsidRPr="009A5CBB">
              <w:t>63</w:t>
            </w:r>
          </w:p>
        </w:tc>
        <w:tc>
          <w:tcPr>
            <w:tcW w:w="708" w:type="dxa"/>
            <w:tcBorders>
              <w:bottom w:val="single" w:sz="6" w:space="0" w:color="1E4496" w:themeColor="text2"/>
            </w:tcBorders>
            <w:tcMar>
              <w:top w:w="113" w:type="dxa"/>
              <w:left w:w="113" w:type="dxa"/>
              <w:bottom w:w="113" w:type="dxa"/>
              <w:right w:w="113" w:type="dxa"/>
            </w:tcMar>
            <w:vAlign w:val="center"/>
          </w:tcPr>
          <w:p w14:paraId="4B140C27" w14:textId="77777777" w:rsidR="009A5CBB" w:rsidRPr="009A5CBB" w:rsidRDefault="009A5CBB" w:rsidP="009A5CBB">
            <w:pPr>
              <w:pStyle w:val="CDITable-RowCentre"/>
            </w:pPr>
            <w:r w:rsidRPr="009A5CBB">
              <w:t>5</w:t>
            </w:r>
          </w:p>
        </w:tc>
        <w:tc>
          <w:tcPr>
            <w:tcW w:w="709" w:type="dxa"/>
            <w:tcBorders>
              <w:bottom w:val="single" w:sz="6" w:space="0" w:color="1E4496" w:themeColor="text2"/>
            </w:tcBorders>
            <w:tcMar>
              <w:top w:w="113" w:type="dxa"/>
              <w:left w:w="113" w:type="dxa"/>
              <w:bottom w:w="113" w:type="dxa"/>
              <w:right w:w="113" w:type="dxa"/>
            </w:tcMar>
            <w:vAlign w:val="center"/>
          </w:tcPr>
          <w:p w14:paraId="5B231426" w14:textId="77777777" w:rsidR="009A5CBB" w:rsidRPr="009A5CBB" w:rsidRDefault="009A5CBB" w:rsidP="009A5CBB">
            <w:pPr>
              <w:pStyle w:val="CDITable-RowCentre"/>
            </w:pPr>
            <w:r w:rsidRPr="009A5CBB">
              <w:t>0</w:t>
            </w:r>
          </w:p>
        </w:tc>
        <w:tc>
          <w:tcPr>
            <w:tcW w:w="709" w:type="dxa"/>
            <w:tcBorders>
              <w:bottom w:val="single" w:sz="6" w:space="0" w:color="1E4496" w:themeColor="text2"/>
            </w:tcBorders>
            <w:tcMar>
              <w:top w:w="113" w:type="dxa"/>
              <w:left w:w="113" w:type="dxa"/>
              <w:bottom w:w="113" w:type="dxa"/>
              <w:right w:w="113" w:type="dxa"/>
            </w:tcMar>
            <w:vAlign w:val="center"/>
          </w:tcPr>
          <w:p w14:paraId="6BC8E9CB" w14:textId="77777777" w:rsidR="009A5CBB" w:rsidRPr="009A5CBB" w:rsidRDefault="009A5CBB" w:rsidP="009A5CBB">
            <w:pPr>
              <w:pStyle w:val="CDITable-RowCentre"/>
            </w:pPr>
            <w:r w:rsidRPr="009A5CBB">
              <w:t>1</w:t>
            </w:r>
          </w:p>
        </w:tc>
        <w:tc>
          <w:tcPr>
            <w:tcW w:w="708" w:type="dxa"/>
            <w:tcBorders>
              <w:bottom w:val="single" w:sz="6" w:space="0" w:color="1E4496" w:themeColor="text2"/>
            </w:tcBorders>
            <w:tcMar>
              <w:top w:w="113" w:type="dxa"/>
              <w:left w:w="113" w:type="dxa"/>
              <w:bottom w:w="113" w:type="dxa"/>
              <w:right w:w="113" w:type="dxa"/>
            </w:tcMar>
            <w:vAlign w:val="center"/>
          </w:tcPr>
          <w:p w14:paraId="15BDF17B" w14:textId="77777777" w:rsidR="009A5CBB" w:rsidRPr="009A5CBB" w:rsidRDefault="009A5CBB" w:rsidP="009A5CBB">
            <w:pPr>
              <w:pStyle w:val="CDITable-RowCentre"/>
            </w:pPr>
            <w:r w:rsidRPr="009A5CBB">
              <w:t>6</w:t>
            </w:r>
          </w:p>
        </w:tc>
        <w:tc>
          <w:tcPr>
            <w:tcW w:w="709" w:type="dxa"/>
            <w:tcBorders>
              <w:bottom w:val="single" w:sz="6" w:space="0" w:color="1E4496" w:themeColor="text2"/>
            </w:tcBorders>
            <w:tcMar>
              <w:top w:w="113" w:type="dxa"/>
              <w:left w:w="113" w:type="dxa"/>
              <w:bottom w:w="113" w:type="dxa"/>
              <w:right w:w="113" w:type="dxa"/>
            </w:tcMar>
            <w:vAlign w:val="center"/>
          </w:tcPr>
          <w:p w14:paraId="32E5C258" w14:textId="77777777" w:rsidR="009A5CBB" w:rsidRPr="009A5CBB" w:rsidRDefault="009A5CBB" w:rsidP="009A5CBB">
            <w:pPr>
              <w:pStyle w:val="CDITable-RowCentre"/>
            </w:pPr>
            <w:r w:rsidRPr="009A5CBB">
              <w:t>24</w:t>
            </w:r>
          </w:p>
        </w:tc>
        <w:tc>
          <w:tcPr>
            <w:tcW w:w="709" w:type="dxa"/>
            <w:tcBorders>
              <w:bottom w:val="single" w:sz="6" w:space="0" w:color="1E4496" w:themeColor="text2"/>
            </w:tcBorders>
            <w:tcMar>
              <w:top w:w="113" w:type="dxa"/>
              <w:left w:w="113" w:type="dxa"/>
              <w:bottom w:w="113" w:type="dxa"/>
              <w:right w:w="113" w:type="dxa"/>
            </w:tcMar>
            <w:vAlign w:val="center"/>
          </w:tcPr>
          <w:p w14:paraId="335D6876" w14:textId="77777777" w:rsidR="009A5CBB" w:rsidRPr="009A5CBB" w:rsidRDefault="009A5CBB" w:rsidP="009A5CBB">
            <w:pPr>
              <w:pStyle w:val="CDITable-RowCentre"/>
            </w:pPr>
            <w:r w:rsidRPr="009A5CBB">
              <w:t>300</w:t>
            </w:r>
          </w:p>
        </w:tc>
      </w:tr>
      <w:tr w:rsidR="009A5CBB" w:rsidRPr="009A5CBB" w14:paraId="4B8DD9C4" w14:textId="77777777" w:rsidTr="00B82400">
        <w:trPr>
          <w:trHeight w:val="60"/>
        </w:trPr>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9CE34F" w14:textId="77777777" w:rsidR="009A5CBB" w:rsidRPr="009A5CBB" w:rsidRDefault="009A5CBB" w:rsidP="009A5CBB">
            <w:pPr>
              <w:pStyle w:val="CDITable-RowLeft"/>
            </w:pPr>
            <w:r w:rsidRPr="009A5CBB">
              <w:t>D4</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C92CA3" w14:textId="77777777" w:rsidR="009A5CBB" w:rsidRPr="009A5CBB" w:rsidRDefault="009A5CBB" w:rsidP="009A5CBB">
            <w:pPr>
              <w:pStyle w:val="CDITable-RowCentre"/>
            </w:pPr>
            <w:r w:rsidRPr="009A5CBB">
              <w:t>1</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C22204" w14:textId="77777777" w:rsidR="009A5CBB" w:rsidRPr="009A5CBB" w:rsidRDefault="009A5CBB" w:rsidP="009A5CBB">
            <w:pPr>
              <w:pStyle w:val="CDITable-RowCentre"/>
            </w:pPr>
            <w:r w:rsidRPr="009A5CBB">
              <w:t>1</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9F9ACB" w14:textId="77777777" w:rsidR="009A5CBB" w:rsidRPr="009A5CBB" w:rsidRDefault="009A5CBB" w:rsidP="009A5CBB">
            <w:pPr>
              <w:pStyle w:val="CDITable-RowCentre"/>
            </w:pPr>
            <w:r w:rsidRPr="009A5CBB">
              <w:t>2</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021F16"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6F5173"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94AD66"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CD0F60"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D3B03E"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1CF040"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3983CC"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81D397"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9F47AE" w14:textId="77777777" w:rsidR="009A5CBB" w:rsidRPr="009A5CBB" w:rsidRDefault="009A5CBB" w:rsidP="009A5CBB">
            <w:pPr>
              <w:pStyle w:val="CDITable-RowCentre"/>
            </w:pPr>
            <w:r w:rsidRPr="009A5CBB">
              <w:t>4</w:t>
            </w:r>
          </w:p>
        </w:tc>
      </w:tr>
      <w:tr w:rsidR="009A5CBB" w:rsidRPr="009A5CBB" w14:paraId="171B9288" w14:textId="77777777" w:rsidTr="00B82400">
        <w:trPr>
          <w:trHeight w:val="60"/>
        </w:trPr>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E82246" w14:textId="77777777" w:rsidR="009A5CBB" w:rsidRPr="009A5CBB" w:rsidRDefault="009A5CBB" w:rsidP="009A5CBB">
            <w:pPr>
              <w:pStyle w:val="CDITable-RowLeft"/>
            </w:pPr>
            <w:r w:rsidRPr="009A5CBB">
              <w:t>D8</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77AAC0" w14:textId="77777777" w:rsidR="009A5CBB" w:rsidRPr="009A5CBB" w:rsidRDefault="009A5CBB" w:rsidP="009A5CBB">
            <w:pPr>
              <w:pStyle w:val="CDITable-RowCentre"/>
            </w:pPr>
            <w:r w:rsidRPr="009A5CBB">
              <w:t>52</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DE60FE" w14:textId="77777777" w:rsidR="009A5CBB" w:rsidRPr="009A5CBB" w:rsidRDefault="009A5CBB" w:rsidP="009A5CBB">
            <w:pPr>
              <w:pStyle w:val="CDITable-RowCentre"/>
            </w:pPr>
            <w:r w:rsidRPr="009A5CBB">
              <w:t>40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3BB090" w14:textId="77777777" w:rsidR="009A5CBB" w:rsidRPr="009A5CBB" w:rsidRDefault="009A5CBB" w:rsidP="009A5CBB">
            <w:pPr>
              <w:pStyle w:val="CDITable-RowCentre"/>
            </w:pPr>
            <w:r w:rsidRPr="009A5CBB">
              <w:t>70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F1584F" w14:textId="77777777" w:rsidR="009A5CBB" w:rsidRPr="009A5CBB" w:rsidRDefault="009A5CBB" w:rsidP="009A5CBB">
            <w:pPr>
              <w:pStyle w:val="CDITable-RowCentre"/>
            </w:pPr>
            <w:r w:rsidRPr="009A5CBB">
              <w:t>56</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D599ED" w14:textId="77777777" w:rsidR="009A5CBB" w:rsidRPr="009A5CBB" w:rsidRDefault="009A5CBB" w:rsidP="009A5CBB">
            <w:pPr>
              <w:pStyle w:val="CDITable-RowCentre"/>
            </w:pPr>
            <w:r w:rsidRPr="009A5CBB">
              <w:t>58</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7F0106" w14:textId="77777777" w:rsidR="009A5CBB" w:rsidRPr="009A5CBB" w:rsidRDefault="009A5CBB" w:rsidP="009A5CBB">
            <w:pPr>
              <w:pStyle w:val="CDITable-RowCentre"/>
            </w:pPr>
            <w:r w:rsidRPr="009A5CBB">
              <w:t>153</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571A8C" w14:textId="77777777" w:rsidR="009A5CBB" w:rsidRPr="009A5CBB" w:rsidRDefault="009A5CBB" w:rsidP="009A5CBB">
            <w:pPr>
              <w:pStyle w:val="CDITable-RowCentre"/>
            </w:pPr>
            <w:r w:rsidRPr="009A5CBB">
              <w:t>16</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A23EC2"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4E6067" w14:textId="77777777" w:rsidR="009A5CBB" w:rsidRPr="009A5CBB" w:rsidRDefault="009A5CBB" w:rsidP="009A5CBB">
            <w:pPr>
              <w:pStyle w:val="CDITable-RowCentre"/>
            </w:pPr>
            <w:r w:rsidRPr="009A5CBB">
              <w:t>6</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D55E02" w14:textId="77777777" w:rsidR="009A5CBB" w:rsidRPr="009A5CBB" w:rsidRDefault="009A5CBB" w:rsidP="009A5CBB">
            <w:pPr>
              <w:pStyle w:val="CDITable-RowCentre"/>
            </w:pPr>
            <w:r w:rsidRPr="009A5CBB">
              <w:t>19</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843FAD" w14:textId="77777777" w:rsidR="009A5CBB" w:rsidRPr="009A5CBB" w:rsidRDefault="009A5CBB" w:rsidP="009A5CBB">
            <w:pPr>
              <w:pStyle w:val="CDITable-RowCentre"/>
            </w:pPr>
            <w:r w:rsidRPr="009A5CBB">
              <w:t>27</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8BBE98" w14:textId="77777777" w:rsidR="009A5CBB" w:rsidRPr="009A5CBB" w:rsidRDefault="009A5CBB" w:rsidP="009A5CBB">
            <w:pPr>
              <w:pStyle w:val="CDITable-RowCentre"/>
            </w:pPr>
            <w:r w:rsidRPr="009A5CBB">
              <w:t>497</w:t>
            </w:r>
          </w:p>
        </w:tc>
      </w:tr>
      <w:tr w:rsidR="009A5CBB" w:rsidRPr="009A5CBB" w14:paraId="7726B083" w14:textId="77777777" w:rsidTr="00B82400">
        <w:trPr>
          <w:trHeight w:val="60"/>
        </w:trPr>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D11F8F" w14:textId="77777777" w:rsidR="009A5CBB" w:rsidRPr="009A5CBB" w:rsidRDefault="009A5CBB" w:rsidP="009A5CBB">
            <w:pPr>
              <w:pStyle w:val="CDITable-RowLeft"/>
            </w:pPr>
            <w:r w:rsidRPr="009A5CBB">
              <w:t>D9</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B4749C" w14:textId="77777777" w:rsidR="009A5CBB" w:rsidRPr="009A5CBB" w:rsidRDefault="009A5CBB" w:rsidP="009A5CBB">
            <w:pPr>
              <w:pStyle w:val="CDITable-RowCentre"/>
            </w:pPr>
            <w:r w:rsidRPr="009A5CBB">
              <w:t>24</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EA5F56"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5837D7"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630586" w14:textId="77777777" w:rsidR="009A5CBB" w:rsidRPr="009A5CBB" w:rsidRDefault="009A5CBB" w:rsidP="009A5CBB">
            <w:pPr>
              <w:pStyle w:val="CDITable-RowCentre"/>
            </w:pPr>
            <w:r w:rsidRPr="009A5CBB">
              <w:t>1</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D7DE63"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7B6DC8"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2F6820"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BA5EA1"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CD1983"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5873F4"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654EC6"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8BFAF0" w14:textId="77777777" w:rsidR="009A5CBB" w:rsidRPr="009A5CBB" w:rsidRDefault="009A5CBB" w:rsidP="009A5CBB">
            <w:pPr>
              <w:pStyle w:val="CDITable-RowCentre"/>
            </w:pPr>
            <w:r w:rsidRPr="009A5CBB">
              <w:t>25</w:t>
            </w:r>
          </w:p>
        </w:tc>
      </w:tr>
      <w:tr w:rsidR="009A5CBB" w:rsidRPr="009A5CBB" w14:paraId="1C9A9CEB" w14:textId="77777777" w:rsidTr="00B82400">
        <w:trPr>
          <w:trHeight w:val="60"/>
        </w:trPr>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4E7DF0" w14:textId="77777777" w:rsidR="009A5CBB" w:rsidRPr="009A5CBB" w:rsidRDefault="009A5CBB" w:rsidP="009A5CBB">
            <w:pPr>
              <w:pStyle w:val="CDITable-RowLeft"/>
            </w:pPr>
            <w:r w:rsidRPr="009A5CBB">
              <w:t>G3</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422CD7" w14:textId="77777777" w:rsidR="009A5CBB" w:rsidRPr="009A5CBB" w:rsidRDefault="009A5CBB" w:rsidP="009A5CBB">
            <w:pPr>
              <w:pStyle w:val="CDITable-RowCentre"/>
            </w:pPr>
            <w:r w:rsidRPr="009A5CBB">
              <w:t>1</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BF06FA"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7B7A9E"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1BB20E"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8A6E79"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BCD1F5"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CF47BF"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003683"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382E68"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593E7F"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BF6B92"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8EAD49" w14:textId="77777777" w:rsidR="009A5CBB" w:rsidRPr="009A5CBB" w:rsidRDefault="009A5CBB" w:rsidP="009A5CBB">
            <w:pPr>
              <w:pStyle w:val="CDITable-RowCentre"/>
            </w:pPr>
            <w:r w:rsidRPr="009A5CBB">
              <w:t>1</w:t>
            </w:r>
          </w:p>
        </w:tc>
      </w:tr>
      <w:tr w:rsidR="009A5CBB" w:rsidRPr="009A5CBB" w14:paraId="5DE6ED80" w14:textId="77777777" w:rsidTr="00B82400">
        <w:trPr>
          <w:trHeight w:val="60"/>
        </w:trPr>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829D37" w14:textId="77777777" w:rsidR="009A5CBB" w:rsidRPr="009A5CBB" w:rsidRDefault="009A5CBB" w:rsidP="009A5CBB">
            <w:pPr>
              <w:pStyle w:val="CDITable-RowLeft"/>
            </w:pPr>
            <w:r w:rsidRPr="009A5CBB">
              <w:t>H1</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D62984" w14:textId="77777777" w:rsidR="009A5CBB" w:rsidRPr="009A5CBB" w:rsidRDefault="009A5CBB" w:rsidP="009A5CBB">
            <w:pPr>
              <w:pStyle w:val="CDITable-RowCentre"/>
            </w:pPr>
            <w:r w:rsidRPr="009A5CBB">
              <w:t>9</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035B0A" w14:textId="77777777" w:rsidR="009A5CBB" w:rsidRPr="009A5CBB" w:rsidRDefault="009A5CBB" w:rsidP="009A5CBB">
            <w:pPr>
              <w:pStyle w:val="CDITable-RowCentre"/>
            </w:pPr>
            <w:r w:rsidRPr="009A5CBB">
              <w:t>5</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C836F2"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F0B11C"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C77F26"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65B7F0"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4E31A6"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D3A7BC"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D6D002" w14:textId="77777777" w:rsidR="009A5CBB" w:rsidRPr="009A5CBB" w:rsidRDefault="009A5CBB" w:rsidP="009A5CBB">
            <w:pPr>
              <w:pStyle w:val="CDITable-RowCentre"/>
            </w:pPr>
            <w:r w:rsidRPr="009A5CBB">
              <w:t>0</w:t>
            </w:r>
          </w:p>
        </w:tc>
        <w:tc>
          <w:tcPr>
            <w:tcW w:w="7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F6A82F"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9EC32E" w14:textId="77777777" w:rsidR="009A5CBB" w:rsidRPr="009A5CBB" w:rsidRDefault="009A5CBB" w:rsidP="009A5CBB">
            <w:pPr>
              <w:pStyle w:val="CDITable-RowCentre"/>
            </w:pPr>
            <w:r w:rsidRPr="009A5CBB">
              <w:t>0</w:t>
            </w:r>
          </w:p>
        </w:tc>
        <w:tc>
          <w:tcPr>
            <w:tcW w:w="7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B286B6" w14:textId="77777777" w:rsidR="009A5CBB" w:rsidRPr="009A5CBB" w:rsidRDefault="009A5CBB" w:rsidP="009A5CBB">
            <w:pPr>
              <w:pStyle w:val="CDITable-RowCentre"/>
            </w:pPr>
            <w:r w:rsidRPr="009A5CBB">
              <w:t>14</w:t>
            </w:r>
          </w:p>
        </w:tc>
      </w:tr>
      <w:tr w:rsidR="009A5CBB" w:rsidRPr="009A5CBB" w14:paraId="27B83E11" w14:textId="77777777" w:rsidTr="00B82400">
        <w:trPr>
          <w:trHeight w:val="60"/>
        </w:trPr>
        <w:tc>
          <w:tcPr>
            <w:tcW w:w="1134" w:type="dxa"/>
            <w:tcBorders>
              <w:top w:val="single" w:sz="6" w:space="0" w:color="1E4496" w:themeColor="text2"/>
            </w:tcBorders>
            <w:tcMar>
              <w:top w:w="113" w:type="dxa"/>
              <w:left w:w="113" w:type="dxa"/>
              <w:bottom w:w="113" w:type="dxa"/>
              <w:right w:w="113" w:type="dxa"/>
            </w:tcMar>
            <w:vAlign w:val="center"/>
          </w:tcPr>
          <w:p w14:paraId="7F322B3A" w14:textId="77777777" w:rsidR="009A5CBB" w:rsidRPr="009A5CBB" w:rsidRDefault="009A5CBB" w:rsidP="009A5CBB">
            <w:pPr>
              <w:pStyle w:val="CDITable-RowLeft"/>
            </w:pPr>
            <w:r w:rsidRPr="009A5CBB">
              <w:t>Unknown</w:t>
            </w:r>
          </w:p>
        </w:tc>
        <w:tc>
          <w:tcPr>
            <w:tcW w:w="709" w:type="dxa"/>
            <w:tcBorders>
              <w:top w:val="single" w:sz="6" w:space="0" w:color="1E4496" w:themeColor="text2"/>
            </w:tcBorders>
            <w:tcMar>
              <w:top w:w="113" w:type="dxa"/>
              <w:left w:w="113" w:type="dxa"/>
              <w:bottom w:w="113" w:type="dxa"/>
              <w:right w:w="113" w:type="dxa"/>
            </w:tcMar>
            <w:vAlign w:val="center"/>
          </w:tcPr>
          <w:p w14:paraId="42B14735" w14:textId="77777777" w:rsidR="009A5CBB" w:rsidRPr="009A5CBB" w:rsidRDefault="009A5CBB" w:rsidP="009A5CBB">
            <w:pPr>
              <w:pStyle w:val="CDITable-RowCentre"/>
            </w:pPr>
            <w:r w:rsidRPr="009A5CBB">
              <w:t>99</w:t>
            </w:r>
          </w:p>
        </w:tc>
        <w:tc>
          <w:tcPr>
            <w:tcW w:w="708" w:type="dxa"/>
            <w:tcBorders>
              <w:top w:val="single" w:sz="6" w:space="0" w:color="1E4496" w:themeColor="text2"/>
            </w:tcBorders>
            <w:tcMar>
              <w:top w:w="113" w:type="dxa"/>
              <w:left w:w="113" w:type="dxa"/>
              <w:bottom w:w="113" w:type="dxa"/>
              <w:right w:w="113" w:type="dxa"/>
            </w:tcMar>
            <w:vAlign w:val="center"/>
          </w:tcPr>
          <w:p w14:paraId="26058EE7" w14:textId="77777777" w:rsidR="009A5CBB" w:rsidRPr="009A5CBB" w:rsidRDefault="009A5CBB" w:rsidP="009A5CBB">
            <w:pPr>
              <w:pStyle w:val="CDITable-RowCentre"/>
            </w:pPr>
            <w:r w:rsidRPr="009A5CBB">
              <w:t>19</w:t>
            </w:r>
          </w:p>
        </w:tc>
        <w:tc>
          <w:tcPr>
            <w:tcW w:w="709" w:type="dxa"/>
            <w:tcBorders>
              <w:top w:val="single" w:sz="6" w:space="0" w:color="1E4496" w:themeColor="text2"/>
            </w:tcBorders>
            <w:tcMar>
              <w:top w:w="113" w:type="dxa"/>
              <w:left w:w="113" w:type="dxa"/>
              <w:bottom w:w="113" w:type="dxa"/>
              <w:right w:w="113" w:type="dxa"/>
            </w:tcMar>
            <w:vAlign w:val="center"/>
          </w:tcPr>
          <w:p w14:paraId="3E47F4CE" w14:textId="77777777" w:rsidR="009A5CBB" w:rsidRPr="009A5CBB" w:rsidRDefault="009A5CBB" w:rsidP="009A5CBB">
            <w:pPr>
              <w:pStyle w:val="CDITable-RowCentre"/>
            </w:pPr>
            <w:r w:rsidRPr="009A5CBB">
              <w:t>22</w:t>
            </w:r>
          </w:p>
        </w:tc>
        <w:tc>
          <w:tcPr>
            <w:tcW w:w="709" w:type="dxa"/>
            <w:tcBorders>
              <w:top w:val="single" w:sz="6" w:space="0" w:color="1E4496" w:themeColor="text2"/>
            </w:tcBorders>
            <w:tcMar>
              <w:top w:w="113" w:type="dxa"/>
              <w:left w:w="113" w:type="dxa"/>
              <w:bottom w:w="113" w:type="dxa"/>
              <w:right w:w="113" w:type="dxa"/>
            </w:tcMar>
            <w:vAlign w:val="center"/>
          </w:tcPr>
          <w:p w14:paraId="69876836" w14:textId="77777777" w:rsidR="009A5CBB" w:rsidRPr="009A5CBB" w:rsidRDefault="009A5CBB" w:rsidP="009A5CBB">
            <w:pPr>
              <w:pStyle w:val="CDITable-RowCentre"/>
            </w:pPr>
            <w:r w:rsidRPr="009A5CBB">
              <w:t>17</w:t>
            </w:r>
          </w:p>
        </w:tc>
        <w:tc>
          <w:tcPr>
            <w:tcW w:w="708" w:type="dxa"/>
            <w:tcBorders>
              <w:top w:val="single" w:sz="6" w:space="0" w:color="1E4496" w:themeColor="text2"/>
            </w:tcBorders>
            <w:tcMar>
              <w:top w:w="113" w:type="dxa"/>
              <w:left w:w="113" w:type="dxa"/>
              <w:bottom w:w="113" w:type="dxa"/>
              <w:right w:w="113" w:type="dxa"/>
            </w:tcMar>
            <w:vAlign w:val="center"/>
          </w:tcPr>
          <w:p w14:paraId="0AB5D69B" w14:textId="77777777" w:rsidR="009A5CBB" w:rsidRPr="009A5CBB" w:rsidRDefault="009A5CBB" w:rsidP="009A5CBB">
            <w:pPr>
              <w:pStyle w:val="CDITable-RowCentre"/>
            </w:pPr>
            <w:r w:rsidRPr="009A5CBB">
              <w:t>18</w:t>
            </w:r>
          </w:p>
        </w:tc>
        <w:tc>
          <w:tcPr>
            <w:tcW w:w="709" w:type="dxa"/>
            <w:tcBorders>
              <w:top w:val="single" w:sz="6" w:space="0" w:color="1E4496" w:themeColor="text2"/>
            </w:tcBorders>
            <w:tcMar>
              <w:top w:w="113" w:type="dxa"/>
              <w:left w:w="113" w:type="dxa"/>
              <w:bottom w:w="113" w:type="dxa"/>
              <w:right w:w="113" w:type="dxa"/>
            </w:tcMar>
            <w:vAlign w:val="center"/>
          </w:tcPr>
          <w:p w14:paraId="7CF6BCDD" w14:textId="77777777" w:rsidR="009A5CBB" w:rsidRPr="009A5CBB" w:rsidRDefault="009A5CBB" w:rsidP="009A5CBB">
            <w:pPr>
              <w:pStyle w:val="CDITable-RowCentre"/>
            </w:pPr>
            <w:r w:rsidRPr="009A5CBB">
              <w:t>68</w:t>
            </w:r>
          </w:p>
        </w:tc>
        <w:tc>
          <w:tcPr>
            <w:tcW w:w="708" w:type="dxa"/>
            <w:tcBorders>
              <w:top w:val="single" w:sz="6" w:space="0" w:color="1E4496" w:themeColor="text2"/>
            </w:tcBorders>
            <w:tcMar>
              <w:top w:w="113" w:type="dxa"/>
              <w:left w:w="113" w:type="dxa"/>
              <w:bottom w:w="113" w:type="dxa"/>
              <w:right w:w="113" w:type="dxa"/>
            </w:tcMar>
            <w:vAlign w:val="center"/>
          </w:tcPr>
          <w:p w14:paraId="20B87235" w14:textId="77777777" w:rsidR="009A5CBB" w:rsidRPr="009A5CBB" w:rsidRDefault="009A5CBB" w:rsidP="009A5CBB">
            <w:pPr>
              <w:pStyle w:val="CDITable-RowCentre"/>
            </w:pPr>
            <w:r w:rsidRPr="009A5CBB">
              <w:t>4</w:t>
            </w:r>
          </w:p>
        </w:tc>
        <w:tc>
          <w:tcPr>
            <w:tcW w:w="709" w:type="dxa"/>
            <w:tcBorders>
              <w:top w:val="single" w:sz="6" w:space="0" w:color="1E4496" w:themeColor="text2"/>
            </w:tcBorders>
            <w:tcMar>
              <w:top w:w="113" w:type="dxa"/>
              <w:left w:w="113" w:type="dxa"/>
              <w:bottom w:w="113" w:type="dxa"/>
              <w:right w:w="113" w:type="dxa"/>
            </w:tcMar>
            <w:vAlign w:val="center"/>
          </w:tcPr>
          <w:p w14:paraId="5F0221E9" w14:textId="77777777" w:rsidR="009A5CBB" w:rsidRPr="009A5CBB" w:rsidRDefault="009A5CBB" w:rsidP="009A5CBB">
            <w:pPr>
              <w:pStyle w:val="CDITable-RowCentre"/>
            </w:pPr>
            <w:r w:rsidRPr="009A5CBB">
              <w:t>0</w:t>
            </w:r>
          </w:p>
        </w:tc>
        <w:tc>
          <w:tcPr>
            <w:tcW w:w="709" w:type="dxa"/>
            <w:tcBorders>
              <w:top w:val="single" w:sz="6" w:space="0" w:color="1E4496" w:themeColor="text2"/>
            </w:tcBorders>
            <w:tcMar>
              <w:top w:w="113" w:type="dxa"/>
              <w:left w:w="113" w:type="dxa"/>
              <w:bottom w:w="113" w:type="dxa"/>
              <w:right w:w="113" w:type="dxa"/>
            </w:tcMar>
            <w:vAlign w:val="center"/>
          </w:tcPr>
          <w:p w14:paraId="6FDBCC7F" w14:textId="77777777" w:rsidR="009A5CBB" w:rsidRPr="009A5CBB" w:rsidRDefault="009A5CBB" w:rsidP="009A5CBB">
            <w:pPr>
              <w:pStyle w:val="CDITable-RowCentre"/>
            </w:pPr>
            <w:r w:rsidRPr="009A5CBB">
              <w:t>0</w:t>
            </w:r>
          </w:p>
        </w:tc>
        <w:tc>
          <w:tcPr>
            <w:tcW w:w="708" w:type="dxa"/>
            <w:tcBorders>
              <w:top w:val="single" w:sz="6" w:space="0" w:color="1E4496" w:themeColor="text2"/>
            </w:tcBorders>
            <w:tcMar>
              <w:top w:w="113" w:type="dxa"/>
              <w:left w:w="113" w:type="dxa"/>
              <w:bottom w:w="113" w:type="dxa"/>
              <w:right w:w="113" w:type="dxa"/>
            </w:tcMar>
            <w:vAlign w:val="center"/>
          </w:tcPr>
          <w:p w14:paraId="5E4110B5" w14:textId="77777777" w:rsidR="009A5CBB" w:rsidRPr="009A5CBB" w:rsidRDefault="009A5CBB" w:rsidP="009A5CBB">
            <w:pPr>
              <w:pStyle w:val="CDITable-RowCentre"/>
            </w:pPr>
            <w:r w:rsidRPr="009A5CBB">
              <w:t>1</w:t>
            </w:r>
          </w:p>
        </w:tc>
        <w:tc>
          <w:tcPr>
            <w:tcW w:w="709" w:type="dxa"/>
            <w:tcBorders>
              <w:top w:val="single" w:sz="6" w:space="0" w:color="1E4496" w:themeColor="text2"/>
            </w:tcBorders>
            <w:tcMar>
              <w:top w:w="113" w:type="dxa"/>
              <w:left w:w="113" w:type="dxa"/>
              <w:bottom w:w="113" w:type="dxa"/>
              <w:right w:w="113" w:type="dxa"/>
            </w:tcMar>
            <w:vAlign w:val="center"/>
          </w:tcPr>
          <w:p w14:paraId="012AD13D" w14:textId="77777777" w:rsidR="009A5CBB" w:rsidRPr="009A5CBB" w:rsidRDefault="009A5CBB" w:rsidP="009A5CBB">
            <w:pPr>
              <w:pStyle w:val="CDITable-RowCentre"/>
            </w:pPr>
            <w:r w:rsidRPr="009A5CBB">
              <w:t>6</w:t>
            </w:r>
          </w:p>
        </w:tc>
        <w:tc>
          <w:tcPr>
            <w:tcW w:w="709" w:type="dxa"/>
            <w:tcBorders>
              <w:top w:val="single" w:sz="6" w:space="0" w:color="1E4496" w:themeColor="text2"/>
            </w:tcBorders>
            <w:tcMar>
              <w:top w:w="113" w:type="dxa"/>
              <w:left w:w="113" w:type="dxa"/>
              <w:bottom w:w="113" w:type="dxa"/>
              <w:right w:w="113" w:type="dxa"/>
            </w:tcMar>
            <w:vAlign w:val="center"/>
          </w:tcPr>
          <w:p w14:paraId="62A9D0B3" w14:textId="77777777" w:rsidR="009A5CBB" w:rsidRPr="009A5CBB" w:rsidRDefault="009A5CBB" w:rsidP="009A5CBB">
            <w:pPr>
              <w:pStyle w:val="CDITable-RowCentre"/>
            </w:pPr>
            <w:r w:rsidRPr="009A5CBB">
              <w:t>254</w:t>
            </w:r>
          </w:p>
        </w:tc>
      </w:tr>
      <w:tr w:rsidR="009A5CBB" w:rsidRPr="009A5CBB" w14:paraId="02D64BB7" w14:textId="77777777" w:rsidTr="00B82400">
        <w:trPr>
          <w:trHeight w:val="60"/>
        </w:trPr>
        <w:tc>
          <w:tcPr>
            <w:tcW w:w="113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231EBB7" w14:textId="77777777" w:rsidR="009A5CBB" w:rsidRPr="009A5CBB" w:rsidRDefault="009A5CBB" w:rsidP="009A5CBB">
            <w:pPr>
              <w:pStyle w:val="CDITable-TotalRowLeft"/>
            </w:pPr>
            <w:r w:rsidRPr="009A5CBB">
              <w:t>Total</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02CA7A5" w14:textId="77777777" w:rsidR="009A5CBB" w:rsidRPr="009A5CBB" w:rsidRDefault="009A5CBB" w:rsidP="009A5CBB">
            <w:pPr>
              <w:pStyle w:val="CDITable-TotalRowCentre"/>
            </w:pPr>
            <w:r w:rsidRPr="009A5CBB">
              <w:t>339</w:t>
            </w:r>
          </w:p>
        </w:tc>
        <w:tc>
          <w:tcPr>
            <w:tcW w:w="70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C282874" w14:textId="77777777" w:rsidR="009A5CBB" w:rsidRPr="009A5CBB" w:rsidRDefault="009A5CBB" w:rsidP="009A5CBB">
            <w:pPr>
              <w:pStyle w:val="CDITable-TotalRowCentre"/>
            </w:pPr>
            <w:r w:rsidRPr="009A5CBB">
              <w:t>74</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BA4B6DD" w14:textId="77777777" w:rsidR="009A5CBB" w:rsidRPr="009A5CBB" w:rsidRDefault="009A5CBB" w:rsidP="009A5CBB">
            <w:pPr>
              <w:pStyle w:val="CDITable-TotalRowCentre"/>
            </w:pPr>
            <w:r w:rsidRPr="009A5CBB">
              <w:t>99</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9083C7D" w14:textId="77777777" w:rsidR="009A5CBB" w:rsidRPr="009A5CBB" w:rsidRDefault="009A5CBB" w:rsidP="009A5CBB">
            <w:pPr>
              <w:pStyle w:val="CDITable-TotalRowCentre"/>
            </w:pPr>
            <w:r w:rsidRPr="009A5CBB">
              <w:t>81</w:t>
            </w:r>
          </w:p>
        </w:tc>
        <w:tc>
          <w:tcPr>
            <w:tcW w:w="70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C055928" w14:textId="77777777" w:rsidR="009A5CBB" w:rsidRPr="009A5CBB" w:rsidRDefault="009A5CBB" w:rsidP="009A5CBB">
            <w:pPr>
              <w:pStyle w:val="CDITable-TotalRowCentre"/>
            </w:pPr>
            <w:r w:rsidRPr="009A5CBB">
              <w:t>103</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43A33E4" w14:textId="77777777" w:rsidR="009A5CBB" w:rsidRPr="009A5CBB" w:rsidRDefault="009A5CBB" w:rsidP="009A5CBB">
            <w:pPr>
              <w:pStyle w:val="CDITable-TotalRowCentre"/>
            </w:pPr>
            <w:r w:rsidRPr="009A5CBB">
              <w:t>284</w:t>
            </w:r>
          </w:p>
        </w:tc>
        <w:tc>
          <w:tcPr>
            <w:tcW w:w="70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7E57BEF" w14:textId="77777777" w:rsidR="009A5CBB" w:rsidRPr="009A5CBB" w:rsidRDefault="009A5CBB" w:rsidP="009A5CBB">
            <w:pPr>
              <w:pStyle w:val="CDITable-TotalRowCentre"/>
            </w:pPr>
            <w:r w:rsidRPr="009A5CBB">
              <w:t>25</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9D04BF3" w14:textId="77777777" w:rsidR="009A5CBB" w:rsidRPr="009A5CBB" w:rsidRDefault="009A5CBB" w:rsidP="009A5CBB">
            <w:pPr>
              <w:pStyle w:val="CDITable-TotalRowCentre"/>
            </w:pPr>
            <w:r w:rsidRPr="009A5CBB">
              <w:t>0</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6FE9819" w14:textId="77777777" w:rsidR="009A5CBB" w:rsidRPr="009A5CBB" w:rsidRDefault="009A5CBB" w:rsidP="009A5CBB">
            <w:pPr>
              <w:pStyle w:val="CDITable-TotalRowCentre"/>
            </w:pPr>
            <w:r w:rsidRPr="009A5CBB">
              <w:t>7</w:t>
            </w:r>
          </w:p>
        </w:tc>
        <w:tc>
          <w:tcPr>
            <w:tcW w:w="70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01DC36F" w14:textId="77777777" w:rsidR="009A5CBB" w:rsidRPr="009A5CBB" w:rsidRDefault="009A5CBB" w:rsidP="009A5CBB">
            <w:pPr>
              <w:pStyle w:val="CDITable-TotalRowCentre"/>
            </w:pPr>
            <w:r w:rsidRPr="009A5CBB">
              <w:t>26</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0DF56B0" w14:textId="77777777" w:rsidR="009A5CBB" w:rsidRPr="009A5CBB" w:rsidRDefault="009A5CBB" w:rsidP="009A5CBB">
            <w:pPr>
              <w:pStyle w:val="CDITable-TotalRowCentre"/>
            </w:pPr>
            <w:r w:rsidRPr="009A5CBB">
              <w:t>57</w:t>
            </w:r>
          </w:p>
        </w:tc>
        <w:tc>
          <w:tcPr>
            <w:tcW w:w="7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30D5DDB" w14:textId="77777777" w:rsidR="009A5CBB" w:rsidRPr="009A5CBB" w:rsidRDefault="009A5CBB" w:rsidP="009A5CBB">
            <w:pPr>
              <w:pStyle w:val="CDITable-TotalRowCentre"/>
            </w:pPr>
            <w:r w:rsidRPr="009A5CBB">
              <w:t>1,095</w:t>
            </w:r>
          </w:p>
        </w:tc>
      </w:tr>
    </w:tbl>
    <w:p w14:paraId="57561576" w14:textId="77777777" w:rsidR="009A5CBB" w:rsidRPr="009A5CBB" w:rsidRDefault="009A5CBB" w:rsidP="00B82400">
      <w:pPr>
        <w:pStyle w:val="Heading2"/>
        <w:spacing w:before="480"/>
        <w:rPr>
          <w:lang w:val="en-GB"/>
        </w:rPr>
      </w:pPr>
      <w:bookmarkStart w:id="29" w:name="_Toc224572830"/>
      <w:r w:rsidRPr="009A5CBB">
        <w:rPr>
          <w:lang w:val="en-GB"/>
        </w:rPr>
        <w:t xml:space="preserve">Vaccination </w:t>
      </w:r>
      <w:r w:rsidRPr="00B82400">
        <w:t>status</w:t>
      </w:r>
      <w:bookmarkEnd w:id="29"/>
    </w:p>
    <w:p w14:paraId="1C8231CD" w14:textId="77777777" w:rsidR="009A5CBB" w:rsidRPr="009A5CBB" w:rsidRDefault="009A5CBB" w:rsidP="009A5CBB">
      <w:pPr>
        <w:rPr>
          <w:lang w:val="en-GB"/>
        </w:rPr>
      </w:pPr>
      <w:r w:rsidRPr="009A5CBB">
        <w:rPr>
          <w:lang w:val="en-GB"/>
        </w:rPr>
        <w:t xml:space="preserve">Over the total reporting period, just under half of all cases reported being unvaccinated prior to their infection (n = 513; 46.8%). Of those unvaccinated, around 17% (90/513; 17.5%) were cases among children aged less than 1 year, with this age group either too young (&lt; 6 months) to have received any doses of MMR under the NIP schedule or having variable funded access to vaccination (6–11 months). Approximately one-seventh of cases reported having received one dose of MMR vaccine prior to their infection (n = 154; 14.1%) and 8.5% reported having two or more doses of MMR vaccine prior to their infection (n = 93). Note that self-reported or parent-reported recall of vaccination is considered validated vaccine information for the purposes of the NNDSS. Almost one-third of total cases (n = 329; 30%) were notified with unknown or missing vaccination status; a handful of cases (n = 6) reported being vaccinated but with an unknown number of doses received prior to infection (Table 4). </w:t>
      </w:r>
    </w:p>
    <w:p w14:paraId="1D9CB03A" w14:textId="77777777" w:rsidR="00B82400" w:rsidRDefault="00B82400" w:rsidP="00B82400">
      <w:pPr>
        <w:rPr>
          <w:lang w:val="en-GB"/>
        </w:rPr>
        <w:sectPr w:rsidR="00B82400" w:rsidSect="001E3ECB">
          <w:footnotePr>
            <w:numFmt w:val="lowerRoman"/>
          </w:footnotePr>
          <w:pgSz w:w="11907" w:h="16840" w:code="9"/>
          <w:pgMar w:top="1134" w:right="1134" w:bottom="1134" w:left="1134" w:header="709" w:footer="567" w:gutter="0"/>
          <w:cols w:space="708"/>
          <w:docGrid w:linePitch="360"/>
        </w:sectPr>
      </w:pPr>
      <w:r w:rsidRPr="00B82400">
        <w:rPr>
          <w:lang w:val="en-GB"/>
        </w:rPr>
        <w:t>When comparing the COVID-19 post-emergence period (2020–2024) to the pre-pandemic period (2014–2019), the proportion of notified cases reporting an unvaccinated status rose 14.7% and the proportion reporting receipt of one dose prior to infection fell by 11.8%, while the proportion reporting two or more doses remained consistent between periods.</w:t>
      </w:r>
    </w:p>
    <w:p w14:paraId="5A4093F5" w14:textId="77777777" w:rsidR="00B82400" w:rsidRPr="00B82400" w:rsidRDefault="00B82400" w:rsidP="00B82400">
      <w:pPr>
        <w:pStyle w:val="CDITable-Title"/>
        <w:spacing w:before="0"/>
        <w:rPr>
          <w:lang w:val="en-GB"/>
        </w:rPr>
      </w:pPr>
      <w:r w:rsidRPr="00B82400">
        <w:rPr>
          <w:lang w:val="en-GB"/>
        </w:rPr>
        <w:lastRenderedPageBreak/>
        <w:t>Table 4: Number of measles notifications by year and number of reported MMR doses prior to infection, Australia, 2014–2024</w:t>
      </w:r>
    </w:p>
    <w:tbl>
      <w:tblPr>
        <w:tblW w:w="0" w:type="auto"/>
        <w:tblLayout w:type="fixed"/>
        <w:tblCellMar>
          <w:left w:w="0" w:type="dxa"/>
          <w:right w:w="0" w:type="dxa"/>
        </w:tblCellMar>
        <w:tblLook w:val="0000" w:firstRow="0" w:lastRow="0" w:firstColumn="0" w:lastColumn="0" w:noHBand="0" w:noVBand="0"/>
        <w:tblCaption w:val="Table 4: Number of measles notifications by year and number of reported MMR doses prior to infection, Australia, 2014–2024"/>
        <w:tblDescription w:val="Table 4: Presents counts per year of measles cases notified to the National Notifiable Disease Surveillance System (NNDSS) by number of reported doses of measles containing vaccine, with a proportion of total for each dose level for 2014–2019 and 2020–2024 and a description of the change in percentages between the two periods. "/>
      </w:tblPr>
      <w:tblGrid>
        <w:gridCol w:w="2041"/>
        <w:gridCol w:w="737"/>
        <w:gridCol w:w="737"/>
        <w:gridCol w:w="737"/>
        <w:gridCol w:w="737"/>
        <w:gridCol w:w="737"/>
        <w:gridCol w:w="737"/>
        <w:gridCol w:w="1020"/>
        <w:gridCol w:w="737"/>
        <w:gridCol w:w="737"/>
        <w:gridCol w:w="737"/>
        <w:gridCol w:w="737"/>
        <w:gridCol w:w="738"/>
        <w:gridCol w:w="1020"/>
        <w:gridCol w:w="1134"/>
        <w:gridCol w:w="1020"/>
      </w:tblGrid>
      <w:tr w:rsidR="00B82400" w:rsidRPr="00B82400" w14:paraId="28BE1319" w14:textId="77777777" w:rsidTr="00BB55AB">
        <w:trPr>
          <w:trHeight w:val="60"/>
          <w:tblHeader/>
        </w:trPr>
        <w:tc>
          <w:tcPr>
            <w:tcW w:w="2041" w:type="dxa"/>
            <w:shd w:val="clear" w:color="auto" w:fill="1E4496" w:themeFill="text2"/>
            <w:tcMar>
              <w:top w:w="113" w:type="dxa"/>
              <w:left w:w="113" w:type="dxa"/>
              <w:bottom w:w="113" w:type="dxa"/>
              <w:right w:w="113" w:type="dxa"/>
            </w:tcMar>
            <w:vAlign w:val="bottom"/>
          </w:tcPr>
          <w:p w14:paraId="712D6EA6" w14:textId="77777777" w:rsidR="00B82400" w:rsidRPr="00B82400" w:rsidRDefault="00B82400" w:rsidP="00B82400">
            <w:pPr>
              <w:pStyle w:val="CDITable-HeaderRowLeft"/>
            </w:pPr>
            <w:r w:rsidRPr="00B82400">
              <w:t>Number of doses</w:t>
            </w:r>
          </w:p>
        </w:tc>
        <w:tc>
          <w:tcPr>
            <w:tcW w:w="737" w:type="dxa"/>
            <w:shd w:val="clear" w:color="auto" w:fill="1E4496" w:themeFill="text2"/>
            <w:tcMar>
              <w:top w:w="113" w:type="dxa"/>
              <w:left w:w="113" w:type="dxa"/>
              <w:bottom w:w="113" w:type="dxa"/>
              <w:right w:w="113" w:type="dxa"/>
            </w:tcMar>
            <w:vAlign w:val="bottom"/>
          </w:tcPr>
          <w:p w14:paraId="76FAD980" w14:textId="77777777" w:rsidR="00B82400" w:rsidRPr="00B82400" w:rsidRDefault="00B82400" w:rsidP="00B82400">
            <w:pPr>
              <w:pStyle w:val="CDITable-HeaderRowCentre"/>
            </w:pPr>
            <w:r w:rsidRPr="00B82400">
              <w:t>2014</w:t>
            </w:r>
          </w:p>
        </w:tc>
        <w:tc>
          <w:tcPr>
            <w:tcW w:w="737" w:type="dxa"/>
            <w:shd w:val="clear" w:color="auto" w:fill="1E4496" w:themeFill="text2"/>
            <w:tcMar>
              <w:top w:w="113" w:type="dxa"/>
              <w:left w:w="113" w:type="dxa"/>
              <w:bottom w:w="113" w:type="dxa"/>
              <w:right w:w="113" w:type="dxa"/>
            </w:tcMar>
            <w:vAlign w:val="bottom"/>
          </w:tcPr>
          <w:p w14:paraId="107705CE" w14:textId="77777777" w:rsidR="00B82400" w:rsidRPr="00B82400" w:rsidRDefault="00B82400" w:rsidP="00B82400">
            <w:pPr>
              <w:pStyle w:val="CDITable-HeaderRowCentre"/>
            </w:pPr>
            <w:r w:rsidRPr="00B82400">
              <w:t>2015</w:t>
            </w:r>
          </w:p>
        </w:tc>
        <w:tc>
          <w:tcPr>
            <w:tcW w:w="737" w:type="dxa"/>
            <w:shd w:val="clear" w:color="auto" w:fill="1E4496" w:themeFill="text2"/>
            <w:tcMar>
              <w:top w:w="113" w:type="dxa"/>
              <w:left w:w="113" w:type="dxa"/>
              <w:bottom w:w="113" w:type="dxa"/>
              <w:right w:w="113" w:type="dxa"/>
            </w:tcMar>
            <w:vAlign w:val="bottom"/>
          </w:tcPr>
          <w:p w14:paraId="41265E84" w14:textId="77777777" w:rsidR="00B82400" w:rsidRPr="00B82400" w:rsidRDefault="00B82400" w:rsidP="00B82400">
            <w:pPr>
              <w:pStyle w:val="CDITable-HeaderRowCentre"/>
            </w:pPr>
            <w:r w:rsidRPr="00B82400">
              <w:t>2016</w:t>
            </w:r>
          </w:p>
        </w:tc>
        <w:tc>
          <w:tcPr>
            <w:tcW w:w="737" w:type="dxa"/>
            <w:shd w:val="clear" w:color="auto" w:fill="1E4496" w:themeFill="text2"/>
            <w:tcMar>
              <w:top w:w="113" w:type="dxa"/>
              <w:left w:w="113" w:type="dxa"/>
              <w:bottom w:w="113" w:type="dxa"/>
              <w:right w:w="113" w:type="dxa"/>
            </w:tcMar>
            <w:vAlign w:val="bottom"/>
          </w:tcPr>
          <w:p w14:paraId="7804CE02" w14:textId="77777777" w:rsidR="00B82400" w:rsidRPr="00B82400" w:rsidRDefault="00B82400" w:rsidP="00B82400">
            <w:pPr>
              <w:pStyle w:val="CDITable-HeaderRowCentre"/>
            </w:pPr>
            <w:r w:rsidRPr="00B82400">
              <w:t>2017</w:t>
            </w:r>
          </w:p>
        </w:tc>
        <w:tc>
          <w:tcPr>
            <w:tcW w:w="737" w:type="dxa"/>
            <w:shd w:val="clear" w:color="auto" w:fill="1E4496" w:themeFill="text2"/>
            <w:tcMar>
              <w:top w:w="113" w:type="dxa"/>
              <w:left w:w="113" w:type="dxa"/>
              <w:bottom w:w="113" w:type="dxa"/>
              <w:right w:w="113" w:type="dxa"/>
            </w:tcMar>
            <w:vAlign w:val="bottom"/>
          </w:tcPr>
          <w:p w14:paraId="6B601DAE" w14:textId="77777777" w:rsidR="00B82400" w:rsidRPr="00B82400" w:rsidRDefault="00B82400" w:rsidP="00B82400">
            <w:pPr>
              <w:pStyle w:val="CDITable-HeaderRowCentre"/>
            </w:pPr>
            <w:r w:rsidRPr="00B82400">
              <w:t>2018</w:t>
            </w:r>
          </w:p>
        </w:tc>
        <w:tc>
          <w:tcPr>
            <w:tcW w:w="737" w:type="dxa"/>
            <w:shd w:val="clear" w:color="auto" w:fill="1E4496" w:themeFill="text2"/>
            <w:tcMar>
              <w:top w:w="113" w:type="dxa"/>
              <w:left w:w="113" w:type="dxa"/>
              <w:bottom w:w="113" w:type="dxa"/>
              <w:right w:w="113" w:type="dxa"/>
            </w:tcMar>
            <w:vAlign w:val="bottom"/>
          </w:tcPr>
          <w:p w14:paraId="615F9F42" w14:textId="77777777" w:rsidR="00B82400" w:rsidRPr="00B82400" w:rsidRDefault="00B82400" w:rsidP="00B82400">
            <w:pPr>
              <w:pStyle w:val="CDITable-HeaderRowCentre"/>
            </w:pPr>
            <w:r w:rsidRPr="00B82400">
              <w:t>2019</w:t>
            </w:r>
          </w:p>
        </w:tc>
        <w:tc>
          <w:tcPr>
            <w:tcW w:w="1020"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2C6D9B57" w14:textId="77777777" w:rsidR="00B82400" w:rsidRPr="00B82400" w:rsidRDefault="00B82400" w:rsidP="00B82400">
            <w:pPr>
              <w:pStyle w:val="CDITable-HeaderRowCentre"/>
            </w:pPr>
            <w:r w:rsidRPr="00B82400">
              <w:t>2014–2019 %</w:t>
            </w:r>
          </w:p>
        </w:tc>
        <w:tc>
          <w:tcPr>
            <w:tcW w:w="737"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03ED35D2" w14:textId="77777777" w:rsidR="00B82400" w:rsidRPr="00B82400" w:rsidRDefault="00B82400" w:rsidP="00B82400">
            <w:pPr>
              <w:pStyle w:val="CDITable-HeaderRowCentre"/>
            </w:pPr>
            <w:r w:rsidRPr="00B82400">
              <w:t>2020</w:t>
            </w:r>
          </w:p>
        </w:tc>
        <w:tc>
          <w:tcPr>
            <w:tcW w:w="737" w:type="dxa"/>
            <w:shd w:val="clear" w:color="auto" w:fill="1E4496" w:themeFill="text2"/>
            <w:tcMar>
              <w:top w:w="113" w:type="dxa"/>
              <w:left w:w="113" w:type="dxa"/>
              <w:bottom w:w="113" w:type="dxa"/>
              <w:right w:w="113" w:type="dxa"/>
            </w:tcMar>
            <w:vAlign w:val="bottom"/>
          </w:tcPr>
          <w:p w14:paraId="3E366B44" w14:textId="77777777" w:rsidR="00B82400" w:rsidRPr="00B82400" w:rsidRDefault="00B82400" w:rsidP="00B82400">
            <w:pPr>
              <w:pStyle w:val="CDITable-HeaderRowCentre"/>
            </w:pPr>
            <w:r w:rsidRPr="00B82400">
              <w:t>2021</w:t>
            </w:r>
          </w:p>
        </w:tc>
        <w:tc>
          <w:tcPr>
            <w:tcW w:w="737" w:type="dxa"/>
            <w:shd w:val="clear" w:color="auto" w:fill="1E4496" w:themeFill="text2"/>
            <w:tcMar>
              <w:top w:w="113" w:type="dxa"/>
              <w:left w:w="113" w:type="dxa"/>
              <w:bottom w:w="113" w:type="dxa"/>
              <w:right w:w="113" w:type="dxa"/>
            </w:tcMar>
            <w:vAlign w:val="bottom"/>
          </w:tcPr>
          <w:p w14:paraId="48BDEF76" w14:textId="77777777" w:rsidR="00B82400" w:rsidRPr="00B82400" w:rsidRDefault="00B82400" w:rsidP="00B82400">
            <w:pPr>
              <w:pStyle w:val="CDITable-HeaderRowCentre"/>
            </w:pPr>
            <w:r w:rsidRPr="00B82400">
              <w:t>2022</w:t>
            </w:r>
          </w:p>
        </w:tc>
        <w:tc>
          <w:tcPr>
            <w:tcW w:w="737" w:type="dxa"/>
            <w:shd w:val="clear" w:color="auto" w:fill="1E4496" w:themeFill="text2"/>
            <w:tcMar>
              <w:top w:w="113" w:type="dxa"/>
              <w:left w:w="113" w:type="dxa"/>
              <w:bottom w:w="113" w:type="dxa"/>
              <w:right w:w="113" w:type="dxa"/>
            </w:tcMar>
            <w:vAlign w:val="bottom"/>
          </w:tcPr>
          <w:p w14:paraId="399860F4" w14:textId="77777777" w:rsidR="00B82400" w:rsidRPr="00B82400" w:rsidRDefault="00B82400" w:rsidP="00B82400">
            <w:pPr>
              <w:pStyle w:val="CDITable-HeaderRowCentre"/>
            </w:pPr>
            <w:r w:rsidRPr="00B82400">
              <w:t>2023</w:t>
            </w:r>
          </w:p>
        </w:tc>
        <w:tc>
          <w:tcPr>
            <w:tcW w:w="738" w:type="dxa"/>
            <w:shd w:val="clear" w:color="auto" w:fill="1E4496" w:themeFill="text2"/>
            <w:tcMar>
              <w:top w:w="113" w:type="dxa"/>
              <w:left w:w="113" w:type="dxa"/>
              <w:bottom w:w="113" w:type="dxa"/>
              <w:right w:w="113" w:type="dxa"/>
            </w:tcMar>
            <w:vAlign w:val="bottom"/>
          </w:tcPr>
          <w:p w14:paraId="25CC3760" w14:textId="77777777" w:rsidR="00B82400" w:rsidRPr="00B82400" w:rsidRDefault="00B82400" w:rsidP="00B82400">
            <w:pPr>
              <w:pStyle w:val="CDITable-HeaderRowCentre"/>
            </w:pPr>
            <w:r w:rsidRPr="00B82400">
              <w:t>2024</w:t>
            </w:r>
          </w:p>
        </w:tc>
        <w:tc>
          <w:tcPr>
            <w:tcW w:w="1020"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26752356" w14:textId="77777777" w:rsidR="00B82400" w:rsidRPr="00B82400" w:rsidRDefault="00B82400" w:rsidP="00B82400">
            <w:pPr>
              <w:pStyle w:val="CDITable-HeaderRowCentre"/>
            </w:pPr>
            <w:r w:rsidRPr="00B82400">
              <w:t>2020–2024 %</w:t>
            </w:r>
          </w:p>
        </w:tc>
        <w:tc>
          <w:tcPr>
            <w:tcW w:w="1134"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76D95C53" w14:textId="77777777" w:rsidR="00B82400" w:rsidRPr="00B82400" w:rsidRDefault="00B82400" w:rsidP="00B82400">
            <w:pPr>
              <w:pStyle w:val="CDITable-HeaderRowCentre"/>
            </w:pPr>
            <w:r w:rsidRPr="00B82400">
              <w:t>Percent change</w:t>
            </w:r>
          </w:p>
        </w:tc>
        <w:tc>
          <w:tcPr>
            <w:tcW w:w="1020" w:type="dxa"/>
            <w:shd w:val="clear" w:color="auto" w:fill="1E4496" w:themeFill="text2"/>
            <w:tcMar>
              <w:top w:w="113" w:type="dxa"/>
              <w:left w:w="113" w:type="dxa"/>
              <w:bottom w:w="113" w:type="dxa"/>
              <w:right w:w="113" w:type="dxa"/>
            </w:tcMar>
            <w:vAlign w:val="bottom"/>
          </w:tcPr>
          <w:p w14:paraId="0BB7E44D" w14:textId="77777777" w:rsidR="00B82400" w:rsidRPr="00B82400" w:rsidRDefault="00B82400" w:rsidP="00B82400">
            <w:pPr>
              <w:pStyle w:val="CDITable-HeaderRowCentre"/>
            </w:pPr>
            <w:r w:rsidRPr="00B82400">
              <w:t>Total</w:t>
            </w:r>
          </w:p>
        </w:tc>
      </w:tr>
      <w:tr w:rsidR="00B82400" w:rsidRPr="00B82400" w14:paraId="66BF1E0A" w14:textId="77777777" w:rsidTr="00BB55AB">
        <w:trPr>
          <w:trHeight w:val="60"/>
        </w:trPr>
        <w:tc>
          <w:tcPr>
            <w:tcW w:w="2041" w:type="dxa"/>
            <w:tcBorders>
              <w:bottom w:val="single" w:sz="6" w:space="0" w:color="1E4496" w:themeColor="text2"/>
            </w:tcBorders>
            <w:tcMar>
              <w:top w:w="113" w:type="dxa"/>
              <w:left w:w="113" w:type="dxa"/>
              <w:bottom w:w="113" w:type="dxa"/>
              <w:right w:w="113" w:type="dxa"/>
            </w:tcMar>
            <w:vAlign w:val="center"/>
          </w:tcPr>
          <w:p w14:paraId="1EEF779B" w14:textId="77777777" w:rsidR="00B82400" w:rsidRPr="00B82400" w:rsidRDefault="00B82400" w:rsidP="00B82400">
            <w:pPr>
              <w:pStyle w:val="CDITable-RowLeft"/>
            </w:pPr>
            <w:r w:rsidRPr="00B82400">
              <w:t>0 doses</w:t>
            </w:r>
          </w:p>
        </w:tc>
        <w:tc>
          <w:tcPr>
            <w:tcW w:w="737" w:type="dxa"/>
            <w:tcBorders>
              <w:bottom w:val="single" w:sz="6" w:space="0" w:color="1E4496" w:themeColor="text2"/>
            </w:tcBorders>
            <w:tcMar>
              <w:top w:w="113" w:type="dxa"/>
              <w:left w:w="113" w:type="dxa"/>
              <w:bottom w:w="113" w:type="dxa"/>
              <w:right w:w="113" w:type="dxa"/>
            </w:tcMar>
            <w:vAlign w:val="center"/>
          </w:tcPr>
          <w:p w14:paraId="63CC40C2" w14:textId="77777777" w:rsidR="00B82400" w:rsidRPr="00B82400" w:rsidRDefault="00B82400" w:rsidP="00B82400">
            <w:pPr>
              <w:pStyle w:val="CDITable-RowCentre"/>
            </w:pPr>
            <w:r w:rsidRPr="00B82400">
              <w:t>169</w:t>
            </w:r>
          </w:p>
        </w:tc>
        <w:tc>
          <w:tcPr>
            <w:tcW w:w="737" w:type="dxa"/>
            <w:tcBorders>
              <w:bottom w:val="single" w:sz="6" w:space="0" w:color="1E4496" w:themeColor="text2"/>
            </w:tcBorders>
            <w:tcMar>
              <w:top w:w="113" w:type="dxa"/>
              <w:left w:w="113" w:type="dxa"/>
              <w:bottom w:w="113" w:type="dxa"/>
              <w:right w:w="113" w:type="dxa"/>
            </w:tcMar>
            <w:vAlign w:val="center"/>
          </w:tcPr>
          <w:p w14:paraId="2DDD4F4F" w14:textId="77777777" w:rsidR="00B82400" w:rsidRPr="00B82400" w:rsidRDefault="00B82400" w:rsidP="00B82400">
            <w:pPr>
              <w:pStyle w:val="CDITable-RowCentre"/>
            </w:pPr>
            <w:r w:rsidRPr="00B82400">
              <w:t>31</w:t>
            </w:r>
          </w:p>
        </w:tc>
        <w:tc>
          <w:tcPr>
            <w:tcW w:w="737" w:type="dxa"/>
            <w:tcBorders>
              <w:bottom w:val="single" w:sz="6" w:space="0" w:color="1E4496" w:themeColor="text2"/>
            </w:tcBorders>
            <w:tcMar>
              <w:top w:w="113" w:type="dxa"/>
              <w:left w:w="113" w:type="dxa"/>
              <w:bottom w:w="113" w:type="dxa"/>
              <w:right w:w="113" w:type="dxa"/>
            </w:tcMar>
            <w:vAlign w:val="center"/>
          </w:tcPr>
          <w:p w14:paraId="1E3854B4" w14:textId="77777777" w:rsidR="00B82400" w:rsidRPr="00B82400" w:rsidRDefault="00B82400" w:rsidP="00B82400">
            <w:pPr>
              <w:pStyle w:val="CDITable-RowCentre"/>
            </w:pPr>
            <w:r w:rsidRPr="00B82400">
              <w:t>53</w:t>
            </w:r>
          </w:p>
        </w:tc>
        <w:tc>
          <w:tcPr>
            <w:tcW w:w="737" w:type="dxa"/>
            <w:tcBorders>
              <w:bottom w:val="single" w:sz="6" w:space="0" w:color="1E4496" w:themeColor="text2"/>
            </w:tcBorders>
            <w:tcMar>
              <w:top w:w="113" w:type="dxa"/>
              <w:left w:w="113" w:type="dxa"/>
              <w:bottom w:w="113" w:type="dxa"/>
              <w:right w:w="113" w:type="dxa"/>
            </w:tcMar>
            <w:vAlign w:val="center"/>
          </w:tcPr>
          <w:p w14:paraId="72165069" w14:textId="77777777" w:rsidR="00B82400" w:rsidRPr="00B82400" w:rsidRDefault="00B82400" w:rsidP="00B82400">
            <w:pPr>
              <w:pStyle w:val="CDITable-RowCentre"/>
            </w:pPr>
            <w:r w:rsidRPr="00B82400">
              <w:t>34</w:t>
            </w:r>
          </w:p>
        </w:tc>
        <w:tc>
          <w:tcPr>
            <w:tcW w:w="737" w:type="dxa"/>
            <w:tcBorders>
              <w:bottom w:val="single" w:sz="6" w:space="0" w:color="1E4496" w:themeColor="text2"/>
            </w:tcBorders>
            <w:tcMar>
              <w:top w:w="113" w:type="dxa"/>
              <w:left w:w="113" w:type="dxa"/>
              <w:bottom w:w="113" w:type="dxa"/>
              <w:right w:w="113" w:type="dxa"/>
            </w:tcMar>
            <w:vAlign w:val="center"/>
          </w:tcPr>
          <w:p w14:paraId="5D17AFDF" w14:textId="77777777" w:rsidR="00B82400" w:rsidRPr="00B82400" w:rsidRDefault="00B82400" w:rsidP="00B82400">
            <w:pPr>
              <w:pStyle w:val="CDITable-RowCentre"/>
            </w:pPr>
            <w:r w:rsidRPr="00B82400">
              <w:t>46</w:t>
            </w:r>
          </w:p>
        </w:tc>
        <w:tc>
          <w:tcPr>
            <w:tcW w:w="737" w:type="dxa"/>
            <w:tcBorders>
              <w:bottom w:val="single" w:sz="6" w:space="0" w:color="1E4496" w:themeColor="text2"/>
            </w:tcBorders>
            <w:tcMar>
              <w:top w:w="113" w:type="dxa"/>
              <w:left w:w="113" w:type="dxa"/>
              <w:bottom w:w="113" w:type="dxa"/>
              <w:right w:w="113" w:type="dxa"/>
            </w:tcMar>
            <w:vAlign w:val="center"/>
          </w:tcPr>
          <w:p w14:paraId="70C2F538" w14:textId="77777777" w:rsidR="00B82400" w:rsidRPr="00B82400" w:rsidRDefault="00B82400" w:rsidP="00B82400">
            <w:pPr>
              <w:pStyle w:val="CDITable-RowCentre"/>
            </w:pPr>
            <w:r w:rsidRPr="00B82400">
              <w:t>111</w:t>
            </w:r>
          </w:p>
        </w:tc>
        <w:tc>
          <w:tcPr>
            <w:tcW w:w="1020" w:type="dxa"/>
            <w:tcBorders>
              <w:bottom w:val="single" w:sz="6" w:space="0" w:color="1E4496" w:themeColor="text2"/>
              <w:right w:val="single" w:sz="6" w:space="0" w:color="1E4496" w:themeColor="text2"/>
            </w:tcBorders>
            <w:tcMar>
              <w:top w:w="113" w:type="dxa"/>
              <w:left w:w="113" w:type="dxa"/>
              <w:bottom w:w="113" w:type="dxa"/>
              <w:right w:w="113" w:type="dxa"/>
            </w:tcMar>
            <w:vAlign w:val="center"/>
          </w:tcPr>
          <w:p w14:paraId="0246652D" w14:textId="77777777" w:rsidR="00B82400" w:rsidRPr="00B82400" w:rsidRDefault="00B82400" w:rsidP="00B82400">
            <w:pPr>
              <w:pStyle w:val="CDITable-RowCentre"/>
            </w:pPr>
            <w:r w:rsidRPr="00B82400">
              <w:t>45.3</w:t>
            </w:r>
          </w:p>
        </w:tc>
        <w:tc>
          <w:tcPr>
            <w:tcW w:w="737" w:type="dxa"/>
            <w:tcBorders>
              <w:left w:val="single" w:sz="6" w:space="0" w:color="1E4496" w:themeColor="text2"/>
              <w:bottom w:val="single" w:sz="6" w:space="0" w:color="1E4496" w:themeColor="text2"/>
            </w:tcBorders>
            <w:tcMar>
              <w:top w:w="113" w:type="dxa"/>
              <w:left w:w="113" w:type="dxa"/>
              <w:bottom w:w="113" w:type="dxa"/>
              <w:right w:w="113" w:type="dxa"/>
            </w:tcMar>
            <w:vAlign w:val="center"/>
          </w:tcPr>
          <w:p w14:paraId="61A41E53" w14:textId="77777777" w:rsidR="00B82400" w:rsidRPr="00B82400" w:rsidRDefault="00B82400" w:rsidP="00B82400">
            <w:pPr>
              <w:pStyle w:val="CDITable-RowCentre"/>
            </w:pPr>
            <w:r w:rsidRPr="00B82400">
              <w:t>12</w:t>
            </w:r>
          </w:p>
        </w:tc>
        <w:tc>
          <w:tcPr>
            <w:tcW w:w="737" w:type="dxa"/>
            <w:tcBorders>
              <w:bottom w:val="single" w:sz="6" w:space="0" w:color="1E4496" w:themeColor="text2"/>
            </w:tcBorders>
            <w:tcMar>
              <w:top w:w="113" w:type="dxa"/>
              <w:left w:w="113" w:type="dxa"/>
              <w:bottom w:w="113" w:type="dxa"/>
              <w:right w:w="113" w:type="dxa"/>
            </w:tcMar>
            <w:vAlign w:val="center"/>
          </w:tcPr>
          <w:p w14:paraId="702C5215" w14:textId="77777777" w:rsidR="00B82400" w:rsidRPr="00B82400" w:rsidRDefault="00B82400" w:rsidP="00B82400">
            <w:pPr>
              <w:pStyle w:val="CDITable-RowCentre"/>
            </w:pPr>
            <w:r w:rsidRPr="00B82400">
              <w:t>0</w:t>
            </w:r>
          </w:p>
        </w:tc>
        <w:tc>
          <w:tcPr>
            <w:tcW w:w="737" w:type="dxa"/>
            <w:tcBorders>
              <w:bottom w:val="single" w:sz="6" w:space="0" w:color="1E4496" w:themeColor="text2"/>
            </w:tcBorders>
            <w:tcMar>
              <w:top w:w="113" w:type="dxa"/>
              <w:left w:w="113" w:type="dxa"/>
              <w:bottom w:w="113" w:type="dxa"/>
              <w:right w:w="113" w:type="dxa"/>
            </w:tcMar>
            <w:vAlign w:val="center"/>
          </w:tcPr>
          <w:p w14:paraId="6F55F11A" w14:textId="77777777" w:rsidR="00B82400" w:rsidRPr="00B82400" w:rsidRDefault="00B82400" w:rsidP="00B82400">
            <w:pPr>
              <w:pStyle w:val="CDITable-RowCentre"/>
            </w:pPr>
            <w:r w:rsidRPr="00B82400">
              <w:t>3</w:t>
            </w:r>
          </w:p>
        </w:tc>
        <w:tc>
          <w:tcPr>
            <w:tcW w:w="737" w:type="dxa"/>
            <w:tcBorders>
              <w:bottom w:val="single" w:sz="6" w:space="0" w:color="1E4496" w:themeColor="text2"/>
            </w:tcBorders>
            <w:tcMar>
              <w:top w:w="113" w:type="dxa"/>
              <w:left w:w="113" w:type="dxa"/>
              <w:bottom w:w="113" w:type="dxa"/>
              <w:right w:w="113" w:type="dxa"/>
            </w:tcMar>
            <w:vAlign w:val="center"/>
          </w:tcPr>
          <w:p w14:paraId="4F0F6DDA" w14:textId="77777777" w:rsidR="00B82400" w:rsidRPr="00B82400" w:rsidRDefault="00B82400" w:rsidP="00B82400">
            <w:pPr>
              <w:pStyle w:val="CDITable-RowCentre"/>
            </w:pPr>
            <w:r w:rsidRPr="00B82400">
              <w:t>13</w:t>
            </w:r>
          </w:p>
        </w:tc>
        <w:tc>
          <w:tcPr>
            <w:tcW w:w="738" w:type="dxa"/>
            <w:tcBorders>
              <w:bottom w:val="single" w:sz="6" w:space="0" w:color="1E4496" w:themeColor="text2"/>
            </w:tcBorders>
            <w:tcMar>
              <w:top w:w="113" w:type="dxa"/>
              <w:left w:w="113" w:type="dxa"/>
              <w:bottom w:w="113" w:type="dxa"/>
              <w:right w:w="113" w:type="dxa"/>
            </w:tcMar>
            <w:vAlign w:val="center"/>
          </w:tcPr>
          <w:p w14:paraId="1DF62455" w14:textId="77777777" w:rsidR="00B82400" w:rsidRPr="00B82400" w:rsidRDefault="00B82400" w:rsidP="00B82400">
            <w:pPr>
              <w:pStyle w:val="CDITable-RowCentre"/>
            </w:pPr>
            <w:r w:rsidRPr="00B82400">
              <w:t>41</w:t>
            </w:r>
          </w:p>
        </w:tc>
        <w:tc>
          <w:tcPr>
            <w:tcW w:w="1020" w:type="dxa"/>
            <w:tcBorders>
              <w:bottom w:val="single" w:sz="6" w:space="0" w:color="1E4496" w:themeColor="text2"/>
              <w:right w:val="single" w:sz="6" w:space="0" w:color="1E4496" w:themeColor="text2"/>
            </w:tcBorders>
            <w:tcMar>
              <w:top w:w="113" w:type="dxa"/>
              <w:left w:w="113" w:type="dxa"/>
              <w:bottom w:w="113" w:type="dxa"/>
              <w:right w:w="113" w:type="dxa"/>
            </w:tcMar>
            <w:vAlign w:val="center"/>
          </w:tcPr>
          <w:p w14:paraId="06DC8615" w14:textId="77777777" w:rsidR="00B82400" w:rsidRPr="00B82400" w:rsidRDefault="00B82400" w:rsidP="00B82400">
            <w:pPr>
              <w:pStyle w:val="CDITable-RowCentre"/>
            </w:pPr>
            <w:r w:rsidRPr="00B82400">
              <w:t>60.0</w:t>
            </w:r>
          </w:p>
        </w:tc>
        <w:tc>
          <w:tcPr>
            <w:tcW w:w="1134" w:type="dxa"/>
            <w:tcBorders>
              <w:left w:val="single" w:sz="6" w:space="0" w:color="1E4496" w:themeColor="text2"/>
              <w:bottom w:val="single" w:sz="6" w:space="0" w:color="1E4496" w:themeColor="text2"/>
            </w:tcBorders>
            <w:tcMar>
              <w:top w:w="113" w:type="dxa"/>
              <w:left w:w="113" w:type="dxa"/>
              <w:bottom w:w="113" w:type="dxa"/>
              <w:right w:w="113" w:type="dxa"/>
            </w:tcMar>
            <w:vAlign w:val="center"/>
          </w:tcPr>
          <w:p w14:paraId="551085C1" w14:textId="77777777" w:rsidR="00B82400" w:rsidRPr="00B82400" w:rsidRDefault="00B82400" w:rsidP="00B82400">
            <w:pPr>
              <w:pStyle w:val="CDITable-RowCentre"/>
            </w:pPr>
            <w:r w:rsidRPr="00B82400">
              <w:t>14.7</w:t>
            </w:r>
          </w:p>
        </w:tc>
        <w:tc>
          <w:tcPr>
            <w:tcW w:w="1020" w:type="dxa"/>
            <w:tcBorders>
              <w:bottom w:val="single" w:sz="6" w:space="0" w:color="1E4496" w:themeColor="text2"/>
            </w:tcBorders>
            <w:tcMar>
              <w:top w:w="113" w:type="dxa"/>
              <w:left w:w="113" w:type="dxa"/>
              <w:bottom w:w="113" w:type="dxa"/>
              <w:right w:w="113" w:type="dxa"/>
            </w:tcMar>
            <w:vAlign w:val="center"/>
          </w:tcPr>
          <w:p w14:paraId="75E82ACE" w14:textId="77777777" w:rsidR="00B82400" w:rsidRPr="00B82400" w:rsidRDefault="00B82400" w:rsidP="00B82400">
            <w:pPr>
              <w:pStyle w:val="CDITable-RowCentre"/>
            </w:pPr>
            <w:r w:rsidRPr="00B82400">
              <w:t>513</w:t>
            </w:r>
          </w:p>
        </w:tc>
      </w:tr>
      <w:tr w:rsidR="00B82400" w:rsidRPr="00B82400" w14:paraId="5E053EF4" w14:textId="77777777" w:rsidTr="00BB55AB">
        <w:trPr>
          <w:trHeight w:val="60"/>
        </w:trPr>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F0538D" w14:textId="77777777" w:rsidR="00B82400" w:rsidRPr="00B82400" w:rsidRDefault="00B82400" w:rsidP="00B82400">
            <w:pPr>
              <w:pStyle w:val="CDITable-RowLeft"/>
            </w:pPr>
            <w:r w:rsidRPr="00B82400">
              <w:t>1 dose</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C233F8" w14:textId="77777777" w:rsidR="00B82400" w:rsidRPr="00B82400" w:rsidRDefault="00B82400" w:rsidP="00B82400">
            <w:pPr>
              <w:pStyle w:val="CDITable-RowCentre"/>
            </w:pPr>
            <w:r w:rsidRPr="00B82400">
              <w:t>54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509293" w14:textId="77777777" w:rsidR="00B82400" w:rsidRPr="00B82400" w:rsidRDefault="00B82400" w:rsidP="00B82400">
            <w:pPr>
              <w:pStyle w:val="CDITable-RowCentre"/>
            </w:pPr>
            <w:r w:rsidRPr="00B82400">
              <w:t>14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13F74D" w14:textId="77777777" w:rsidR="00B82400" w:rsidRPr="00B82400" w:rsidRDefault="00B82400" w:rsidP="00B82400">
            <w:pPr>
              <w:pStyle w:val="CDITable-RowCentre"/>
            </w:pPr>
            <w:r w:rsidRPr="00B82400">
              <w:t>8</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034661" w14:textId="77777777" w:rsidR="00B82400" w:rsidRPr="00B82400" w:rsidRDefault="00B82400" w:rsidP="00B82400">
            <w:pPr>
              <w:pStyle w:val="CDITable-RowCentre"/>
            </w:pPr>
            <w:r w:rsidRPr="00B82400">
              <w:t>15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AF9F07" w14:textId="77777777" w:rsidR="00B82400" w:rsidRPr="00B82400" w:rsidRDefault="00B82400" w:rsidP="00B82400">
            <w:pPr>
              <w:pStyle w:val="CDITable-RowCentre"/>
            </w:pPr>
            <w:r w:rsidRPr="00B82400">
              <w:t>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749454" w14:textId="77777777" w:rsidR="00B82400" w:rsidRPr="00B82400" w:rsidRDefault="00B82400" w:rsidP="00B82400">
            <w:pPr>
              <w:pStyle w:val="CDITable-RowCentre"/>
            </w:pPr>
            <w:r w:rsidRPr="00B82400">
              <w:t>52</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D6B2A9D" w14:textId="77777777" w:rsidR="00B82400" w:rsidRPr="00B82400" w:rsidRDefault="00B82400" w:rsidP="00B82400">
            <w:pPr>
              <w:pStyle w:val="CDITable-RowCentre"/>
            </w:pPr>
            <w:r w:rsidRPr="00B82400">
              <w:t>15.3</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434EA98B" w14:textId="77777777" w:rsidR="00B82400" w:rsidRPr="00B82400" w:rsidRDefault="00B82400" w:rsidP="00B82400">
            <w:pPr>
              <w:pStyle w:val="CDITable-RowCentre"/>
            </w:pPr>
            <w:r w:rsidRPr="00B82400">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CB118A" w14:textId="77777777" w:rsidR="00B82400" w:rsidRPr="00B82400" w:rsidRDefault="00B82400" w:rsidP="00B82400">
            <w:pPr>
              <w:pStyle w:val="CDITable-RowCentre"/>
            </w:pPr>
            <w:r w:rsidRPr="00B82400">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6C9F04" w14:textId="77777777" w:rsidR="00B82400" w:rsidRPr="00B82400" w:rsidRDefault="00B82400" w:rsidP="00B82400">
            <w:pPr>
              <w:pStyle w:val="CDITable-RowCentre"/>
            </w:pPr>
            <w:r w:rsidRPr="00B82400">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1D4C05" w14:textId="77777777" w:rsidR="00B82400" w:rsidRPr="00B82400" w:rsidRDefault="00B82400" w:rsidP="00B82400">
            <w:pPr>
              <w:pStyle w:val="CDITable-RowCentre"/>
            </w:pPr>
            <w:r w:rsidRPr="00B82400">
              <w:t>2</w:t>
            </w:r>
          </w:p>
        </w:tc>
        <w:tc>
          <w:tcPr>
            <w:tcW w:w="7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FA477D" w14:textId="77777777" w:rsidR="00B82400" w:rsidRPr="00B82400" w:rsidRDefault="00B82400" w:rsidP="00B82400">
            <w:pPr>
              <w:pStyle w:val="CDITable-RowCentre"/>
            </w:pPr>
            <w:r w:rsidRPr="00B82400">
              <w:t>2</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C956100" w14:textId="77777777" w:rsidR="00B82400" w:rsidRPr="00B82400" w:rsidRDefault="00B82400" w:rsidP="00B82400">
            <w:pPr>
              <w:pStyle w:val="CDITable-RowCentre"/>
            </w:pPr>
            <w:r w:rsidRPr="00B82400">
              <w:t>3.5</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9B707A0" w14:textId="77777777" w:rsidR="00B82400" w:rsidRPr="00B82400" w:rsidRDefault="00B82400" w:rsidP="00B82400">
            <w:pPr>
              <w:pStyle w:val="CDITable-RowCentre"/>
            </w:pPr>
            <w:r w:rsidRPr="00B82400">
              <w:t>-11.8</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AC8207" w14:textId="77777777" w:rsidR="00B82400" w:rsidRPr="00B82400" w:rsidRDefault="00B82400" w:rsidP="00B82400">
            <w:pPr>
              <w:pStyle w:val="CDITable-RowCentre"/>
            </w:pPr>
            <w:r w:rsidRPr="00B82400">
              <w:t>154</w:t>
            </w:r>
          </w:p>
        </w:tc>
      </w:tr>
      <w:tr w:rsidR="00B82400" w:rsidRPr="00B82400" w14:paraId="301F63DA" w14:textId="77777777" w:rsidTr="00BB55AB">
        <w:trPr>
          <w:trHeight w:val="60"/>
        </w:trPr>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4CEC96" w14:textId="77777777" w:rsidR="00B82400" w:rsidRPr="00B82400" w:rsidRDefault="00B82400" w:rsidP="00B82400">
            <w:pPr>
              <w:pStyle w:val="CDITable-RowLeft"/>
            </w:pPr>
            <w:r w:rsidRPr="00B82400">
              <w:t>2+ doses</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1CF715" w14:textId="77777777" w:rsidR="00B82400" w:rsidRPr="00B82400" w:rsidRDefault="00B82400" w:rsidP="00B82400">
            <w:pPr>
              <w:pStyle w:val="CDITable-RowCentre"/>
            </w:pPr>
            <w:r w:rsidRPr="00B82400">
              <w:t>14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3FAA23" w14:textId="77777777" w:rsidR="00B82400" w:rsidRPr="00B82400" w:rsidRDefault="00B82400" w:rsidP="00B82400">
            <w:pPr>
              <w:pStyle w:val="CDITable-RowCentre"/>
            </w:pPr>
            <w:r w:rsidRPr="00B82400">
              <w:t>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6EBB75" w14:textId="77777777" w:rsidR="00B82400" w:rsidRPr="00B82400" w:rsidRDefault="00B82400" w:rsidP="00B82400">
            <w:pPr>
              <w:pStyle w:val="CDITable-RowCentre"/>
            </w:pPr>
            <w:r w:rsidRPr="00B82400">
              <w:t>7</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1A60ED" w14:textId="77777777" w:rsidR="00B82400" w:rsidRPr="00B82400" w:rsidRDefault="00B82400" w:rsidP="00B82400">
            <w:pPr>
              <w:pStyle w:val="CDITable-RowCentre"/>
            </w:pPr>
            <w:r w:rsidRPr="00B82400">
              <w:t>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0553D0" w14:textId="77777777" w:rsidR="00B82400" w:rsidRPr="00B82400" w:rsidRDefault="00B82400" w:rsidP="00B82400">
            <w:pPr>
              <w:pStyle w:val="CDITable-RowCentre"/>
            </w:pPr>
            <w:r w:rsidRPr="00B82400">
              <w:t>14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6D4C2C" w14:textId="77777777" w:rsidR="00B82400" w:rsidRPr="00B82400" w:rsidRDefault="00B82400" w:rsidP="00B82400">
            <w:pPr>
              <w:pStyle w:val="CDITable-RowCentre"/>
            </w:pPr>
            <w:r w:rsidRPr="00B82400">
              <w:t>41</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0100642" w14:textId="77777777" w:rsidR="00B82400" w:rsidRPr="00B82400" w:rsidRDefault="00B82400" w:rsidP="00B82400">
            <w:pPr>
              <w:pStyle w:val="CDITable-RowCentre"/>
            </w:pPr>
            <w:r w:rsidRPr="00B82400">
              <w:t>8.5</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51CCD663" w14:textId="77777777" w:rsidR="00B82400" w:rsidRPr="00B82400" w:rsidRDefault="00B82400" w:rsidP="00B82400">
            <w:pPr>
              <w:pStyle w:val="CDITable-RowCentre"/>
            </w:pPr>
            <w:r w:rsidRPr="00B82400">
              <w:t>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496796" w14:textId="77777777" w:rsidR="00B82400" w:rsidRPr="00B82400" w:rsidRDefault="00B82400" w:rsidP="00B82400">
            <w:pPr>
              <w:pStyle w:val="CDITable-RowCentre"/>
            </w:pPr>
            <w:r w:rsidRPr="00B82400">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17B43E" w14:textId="77777777" w:rsidR="00B82400" w:rsidRPr="00B82400" w:rsidRDefault="00B82400" w:rsidP="00B82400">
            <w:pPr>
              <w:pStyle w:val="CDITable-RowCentre"/>
            </w:pPr>
            <w:r w:rsidRPr="00B82400">
              <w:t>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6A84B2" w14:textId="77777777" w:rsidR="00B82400" w:rsidRPr="00B82400" w:rsidRDefault="00B82400" w:rsidP="00B82400">
            <w:pPr>
              <w:pStyle w:val="CDITable-RowCentre"/>
            </w:pPr>
            <w:r w:rsidRPr="00B82400">
              <w:t>2</w:t>
            </w:r>
          </w:p>
        </w:tc>
        <w:tc>
          <w:tcPr>
            <w:tcW w:w="7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714FCB" w14:textId="77777777" w:rsidR="00B82400" w:rsidRPr="00B82400" w:rsidRDefault="00B82400" w:rsidP="00B82400">
            <w:pPr>
              <w:pStyle w:val="CDITable-RowCentre"/>
            </w:pPr>
            <w:r w:rsidRPr="00B82400">
              <w:t>4</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C0F0241" w14:textId="77777777" w:rsidR="00B82400" w:rsidRPr="00B82400" w:rsidRDefault="00B82400" w:rsidP="00B82400">
            <w:pPr>
              <w:pStyle w:val="CDITable-RowCentre"/>
            </w:pPr>
            <w:r w:rsidRPr="00B82400">
              <w:t>8.7</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6D63F05" w14:textId="77777777" w:rsidR="00B82400" w:rsidRPr="00B82400" w:rsidRDefault="00B82400" w:rsidP="00B82400">
            <w:pPr>
              <w:pStyle w:val="CDITable-RowCentre"/>
            </w:pPr>
            <w:r w:rsidRPr="00B82400">
              <w:t>0.2</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3C80A0" w14:textId="77777777" w:rsidR="00B82400" w:rsidRPr="00B82400" w:rsidRDefault="00B82400" w:rsidP="00B82400">
            <w:pPr>
              <w:pStyle w:val="CDITable-RowCentre"/>
            </w:pPr>
            <w:r w:rsidRPr="00B82400">
              <w:t>93</w:t>
            </w:r>
          </w:p>
        </w:tc>
      </w:tr>
      <w:tr w:rsidR="00B82400" w:rsidRPr="00B82400" w14:paraId="34D0E3E5" w14:textId="77777777" w:rsidTr="00BB55AB">
        <w:trPr>
          <w:trHeight w:val="60"/>
        </w:trPr>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4660FC" w14:textId="77777777" w:rsidR="00B82400" w:rsidRPr="00B82400" w:rsidRDefault="00B82400" w:rsidP="00B82400">
            <w:pPr>
              <w:pStyle w:val="CDITable-RowLeft"/>
            </w:pPr>
            <w:r w:rsidRPr="00B82400">
              <w:t>Missing</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0385A2" w14:textId="77777777" w:rsidR="00B82400" w:rsidRPr="00B82400" w:rsidRDefault="00B82400" w:rsidP="00B82400">
            <w:pPr>
              <w:pStyle w:val="CDITable-RowCentre"/>
            </w:pPr>
            <w:r w:rsidRPr="00B82400">
              <w:t>31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2A4269" w14:textId="77777777" w:rsidR="00B82400" w:rsidRPr="00B82400" w:rsidRDefault="00B82400" w:rsidP="00B82400">
            <w:pPr>
              <w:pStyle w:val="CDITable-RowCentre"/>
            </w:pPr>
            <w:r w:rsidRPr="00B82400">
              <w:t>10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429694" w14:textId="77777777" w:rsidR="00B82400" w:rsidRPr="00B82400" w:rsidRDefault="00B82400" w:rsidP="00B82400">
            <w:pPr>
              <w:pStyle w:val="CDITable-RowCentre"/>
            </w:pPr>
            <w:r w:rsidRPr="00B82400">
              <w:t>16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977CD7" w14:textId="77777777" w:rsidR="00B82400" w:rsidRPr="00B82400" w:rsidRDefault="00B82400" w:rsidP="00B82400">
            <w:pPr>
              <w:pStyle w:val="CDITable-RowCentre"/>
            </w:pPr>
            <w:r w:rsidRPr="00B82400">
              <w:t>6</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9D0C1D" w14:textId="77777777" w:rsidR="00B82400" w:rsidRPr="00B82400" w:rsidRDefault="00B82400" w:rsidP="00B82400">
            <w:pPr>
              <w:pStyle w:val="CDITable-RowCentre"/>
            </w:pPr>
            <w:r w:rsidRPr="00B82400">
              <w:t>15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E67D5E" w14:textId="77777777" w:rsidR="00B82400" w:rsidRPr="00B82400" w:rsidRDefault="00B82400" w:rsidP="00B82400">
            <w:pPr>
              <w:pStyle w:val="CDITable-RowCentre"/>
            </w:pPr>
            <w:r w:rsidRPr="00B82400">
              <w:t>12</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76447E7" w14:textId="77777777" w:rsidR="00B82400" w:rsidRPr="00B82400" w:rsidRDefault="00B82400" w:rsidP="00B82400">
            <w:pPr>
              <w:pStyle w:val="CDITable-RowCentre"/>
            </w:pPr>
            <w:r w:rsidRPr="00B82400">
              <w:t>9.2</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D275112" w14:textId="77777777" w:rsidR="00B82400" w:rsidRPr="00B82400" w:rsidRDefault="00B82400" w:rsidP="00B82400">
            <w:pPr>
              <w:pStyle w:val="CDITable-RowCentre"/>
            </w:pPr>
            <w:r w:rsidRPr="00B82400">
              <w:t>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5DE573" w14:textId="77777777" w:rsidR="00B82400" w:rsidRPr="00B82400" w:rsidRDefault="00B82400" w:rsidP="00B82400">
            <w:pPr>
              <w:pStyle w:val="CDITable-RowCentre"/>
            </w:pPr>
            <w:r w:rsidRPr="00B82400">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383251" w14:textId="77777777" w:rsidR="00B82400" w:rsidRPr="00B82400" w:rsidRDefault="00B82400" w:rsidP="00B82400">
            <w:pPr>
              <w:pStyle w:val="CDITable-RowCentre"/>
            </w:pPr>
            <w:r w:rsidRPr="00B82400">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EEF01E" w14:textId="77777777" w:rsidR="00B82400" w:rsidRPr="00B82400" w:rsidRDefault="00B82400" w:rsidP="00B82400">
            <w:pPr>
              <w:pStyle w:val="CDITable-RowCentre"/>
            </w:pPr>
            <w:r w:rsidRPr="00B82400">
              <w:t>1</w:t>
            </w:r>
          </w:p>
        </w:tc>
        <w:tc>
          <w:tcPr>
            <w:tcW w:w="7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7E8C90" w14:textId="77777777" w:rsidR="00B82400" w:rsidRPr="00B82400" w:rsidRDefault="00B82400" w:rsidP="00B82400">
            <w:pPr>
              <w:pStyle w:val="CDITable-RowCentre"/>
            </w:pPr>
            <w:r w:rsidRPr="00B82400">
              <w:t>0</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5E325BE" w14:textId="77777777" w:rsidR="00B82400" w:rsidRPr="00B82400" w:rsidRDefault="00B82400" w:rsidP="00B82400">
            <w:pPr>
              <w:pStyle w:val="CDITable-RowCentre"/>
            </w:pPr>
            <w:r w:rsidRPr="00B82400">
              <w:t>1.7</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762B8AB0" w14:textId="77777777" w:rsidR="00B82400" w:rsidRPr="00B82400" w:rsidRDefault="00B82400" w:rsidP="00B82400">
            <w:pPr>
              <w:pStyle w:val="CDITable-RowCentre"/>
            </w:pPr>
            <w:r w:rsidRPr="00B82400">
              <w:t>-7.4</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7489A1" w14:textId="77777777" w:rsidR="00B82400" w:rsidRPr="00B82400" w:rsidRDefault="00B82400" w:rsidP="00B82400">
            <w:pPr>
              <w:pStyle w:val="CDITable-RowCentre"/>
            </w:pPr>
            <w:r w:rsidRPr="00B82400">
              <w:t>92</w:t>
            </w:r>
          </w:p>
        </w:tc>
      </w:tr>
      <w:tr w:rsidR="00B82400" w:rsidRPr="00B82400" w14:paraId="2253B9D4" w14:textId="77777777" w:rsidTr="00BB55AB">
        <w:trPr>
          <w:trHeight w:val="60"/>
        </w:trPr>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C38C27" w14:textId="77777777" w:rsidR="00B82400" w:rsidRPr="00B82400" w:rsidRDefault="00B82400" w:rsidP="00B82400">
            <w:pPr>
              <w:pStyle w:val="CDITable-RowLeft"/>
            </w:pPr>
            <w:r w:rsidRPr="00B82400">
              <w:t>Unknown</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E48458" w14:textId="77777777" w:rsidR="00B82400" w:rsidRPr="00B82400" w:rsidRDefault="00B82400" w:rsidP="00B82400">
            <w:pPr>
              <w:pStyle w:val="CDITable-RowCentre"/>
            </w:pPr>
            <w:r w:rsidRPr="00B82400">
              <w:t>71</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B5E515" w14:textId="77777777" w:rsidR="00B82400" w:rsidRPr="00B82400" w:rsidRDefault="00B82400" w:rsidP="00B82400">
            <w:pPr>
              <w:pStyle w:val="CDITable-RowCentre"/>
            </w:pPr>
            <w:r w:rsidRPr="00B82400">
              <w:t>14</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222A8C" w14:textId="77777777" w:rsidR="00B82400" w:rsidRPr="00B82400" w:rsidRDefault="00B82400" w:rsidP="00B82400">
            <w:pPr>
              <w:pStyle w:val="CDITable-RowCentre"/>
            </w:pPr>
            <w:r w:rsidRPr="00B82400">
              <w:t>15</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C7277B" w14:textId="77777777" w:rsidR="00B82400" w:rsidRPr="00B82400" w:rsidRDefault="00B82400" w:rsidP="00B82400">
            <w:pPr>
              <w:pStyle w:val="CDITable-RowCentre"/>
            </w:pPr>
            <w:r w:rsidRPr="00B82400">
              <w:t>23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4285BB" w14:textId="77777777" w:rsidR="00B82400" w:rsidRPr="00B82400" w:rsidRDefault="00B82400" w:rsidP="00B82400">
            <w:pPr>
              <w:pStyle w:val="CDITable-RowCentre"/>
            </w:pPr>
            <w:r w:rsidRPr="00B82400">
              <w:t>20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112E13" w14:textId="77777777" w:rsidR="00B82400" w:rsidRPr="00B82400" w:rsidRDefault="00B82400" w:rsidP="00B82400">
            <w:pPr>
              <w:pStyle w:val="CDITable-RowCentre"/>
            </w:pPr>
            <w:r w:rsidRPr="00B82400">
              <w:t>64</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3217242" w14:textId="77777777" w:rsidR="00B82400" w:rsidRPr="00B82400" w:rsidRDefault="00B82400" w:rsidP="00B82400">
            <w:pPr>
              <w:pStyle w:val="CDITable-RowCentre"/>
            </w:pPr>
            <w:r w:rsidRPr="00B82400">
              <w:t>21.1</w:t>
            </w:r>
          </w:p>
        </w:tc>
        <w:tc>
          <w:tcPr>
            <w:tcW w:w="737"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5292246" w14:textId="77777777" w:rsidR="00B82400" w:rsidRPr="00B82400" w:rsidRDefault="00B82400" w:rsidP="00B82400">
            <w:pPr>
              <w:pStyle w:val="CDITable-RowCentre"/>
            </w:pPr>
            <w:r w:rsidRPr="00B82400">
              <w:t>9</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14982B" w14:textId="77777777" w:rsidR="00B82400" w:rsidRPr="00B82400" w:rsidRDefault="00B82400" w:rsidP="00B82400">
            <w:pPr>
              <w:pStyle w:val="CDITable-RowCentre"/>
            </w:pPr>
            <w:r w:rsidRPr="00B82400">
              <w:t>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1E8110" w14:textId="77777777" w:rsidR="00B82400" w:rsidRPr="00B82400" w:rsidRDefault="00B82400" w:rsidP="00B82400">
            <w:pPr>
              <w:pStyle w:val="CDITable-RowCentre"/>
            </w:pPr>
            <w:r w:rsidRPr="00B82400">
              <w:t>3</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4A1BAD" w14:textId="77777777" w:rsidR="00B82400" w:rsidRPr="00B82400" w:rsidRDefault="00B82400" w:rsidP="00B82400">
            <w:pPr>
              <w:pStyle w:val="CDITable-RowCentre"/>
            </w:pPr>
            <w:r w:rsidRPr="00B82400">
              <w:t>8</w:t>
            </w:r>
          </w:p>
        </w:tc>
        <w:tc>
          <w:tcPr>
            <w:tcW w:w="73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14A606" w14:textId="77777777" w:rsidR="00B82400" w:rsidRPr="00B82400" w:rsidRDefault="00B82400" w:rsidP="00B82400">
            <w:pPr>
              <w:pStyle w:val="CDITable-RowCentre"/>
            </w:pPr>
            <w:r w:rsidRPr="00B82400">
              <w:t>10</w:t>
            </w:r>
          </w:p>
        </w:tc>
        <w:tc>
          <w:tcPr>
            <w:tcW w:w="1020"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131F66B" w14:textId="77777777" w:rsidR="00B82400" w:rsidRPr="00B82400" w:rsidRDefault="00B82400" w:rsidP="00B82400">
            <w:pPr>
              <w:pStyle w:val="CDITable-RowCentre"/>
            </w:pPr>
            <w:r w:rsidRPr="00B82400">
              <w:t>26.1</w:t>
            </w:r>
          </w:p>
        </w:tc>
        <w:tc>
          <w:tcPr>
            <w:tcW w:w="1134"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4C73039" w14:textId="77777777" w:rsidR="00B82400" w:rsidRPr="00B82400" w:rsidRDefault="00B82400" w:rsidP="00B82400">
            <w:pPr>
              <w:pStyle w:val="CDITable-RowCentre"/>
            </w:pPr>
            <w:r w:rsidRPr="00B82400">
              <w:t>5.0</w:t>
            </w:r>
          </w:p>
        </w:tc>
        <w:tc>
          <w:tcPr>
            <w:tcW w:w="102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91F43E" w14:textId="77777777" w:rsidR="00B82400" w:rsidRPr="00B82400" w:rsidRDefault="00B82400" w:rsidP="00B82400">
            <w:pPr>
              <w:pStyle w:val="CDITable-RowCentre"/>
            </w:pPr>
            <w:r w:rsidRPr="00B82400">
              <w:t>237</w:t>
            </w:r>
          </w:p>
        </w:tc>
      </w:tr>
      <w:tr w:rsidR="00B82400" w:rsidRPr="00B82400" w14:paraId="3B1365F9" w14:textId="77777777" w:rsidTr="00BB55AB">
        <w:trPr>
          <w:trHeight w:val="60"/>
        </w:trPr>
        <w:tc>
          <w:tcPr>
            <w:tcW w:w="2041" w:type="dxa"/>
            <w:tcBorders>
              <w:top w:val="single" w:sz="6" w:space="0" w:color="1E4496" w:themeColor="text2"/>
            </w:tcBorders>
            <w:tcMar>
              <w:top w:w="113" w:type="dxa"/>
              <w:left w:w="113" w:type="dxa"/>
              <w:bottom w:w="113" w:type="dxa"/>
              <w:right w:w="113" w:type="dxa"/>
            </w:tcMar>
            <w:vAlign w:val="center"/>
          </w:tcPr>
          <w:p w14:paraId="010CC28D" w14:textId="77777777" w:rsidR="00B82400" w:rsidRPr="00B82400" w:rsidRDefault="00B82400" w:rsidP="00B82400">
            <w:pPr>
              <w:pStyle w:val="CDITable-RowLeft"/>
            </w:pPr>
            <w:r w:rsidRPr="00B82400">
              <w:t>Vaccinated, unknown number of doses</w:t>
            </w:r>
          </w:p>
        </w:tc>
        <w:tc>
          <w:tcPr>
            <w:tcW w:w="737" w:type="dxa"/>
            <w:tcBorders>
              <w:top w:val="single" w:sz="6" w:space="0" w:color="1E4496" w:themeColor="text2"/>
            </w:tcBorders>
            <w:tcMar>
              <w:top w:w="113" w:type="dxa"/>
              <w:left w:w="113" w:type="dxa"/>
              <w:bottom w:w="113" w:type="dxa"/>
              <w:right w:w="113" w:type="dxa"/>
            </w:tcMar>
            <w:vAlign w:val="center"/>
          </w:tcPr>
          <w:p w14:paraId="6190481A" w14:textId="77777777" w:rsidR="00B82400" w:rsidRPr="00B82400" w:rsidRDefault="00B82400" w:rsidP="00B82400">
            <w:pPr>
              <w:pStyle w:val="CDITable-RowCentre"/>
            </w:pPr>
            <w:r w:rsidRPr="00B82400">
              <w:t>0</w:t>
            </w:r>
          </w:p>
        </w:tc>
        <w:tc>
          <w:tcPr>
            <w:tcW w:w="737" w:type="dxa"/>
            <w:tcBorders>
              <w:top w:val="single" w:sz="6" w:space="0" w:color="1E4496" w:themeColor="text2"/>
            </w:tcBorders>
            <w:tcMar>
              <w:top w:w="113" w:type="dxa"/>
              <w:left w:w="113" w:type="dxa"/>
              <w:bottom w:w="113" w:type="dxa"/>
              <w:right w:w="113" w:type="dxa"/>
            </w:tcMar>
            <w:vAlign w:val="center"/>
          </w:tcPr>
          <w:p w14:paraId="772B0614" w14:textId="77777777" w:rsidR="00B82400" w:rsidRPr="00B82400" w:rsidRDefault="00B82400" w:rsidP="00B82400">
            <w:pPr>
              <w:pStyle w:val="CDITable-RowCentre"/>
            </w:pPr>
            <w:r w:rsidRPr="00B82400">
              <w:t>1</w:t>
            </w:r>
          </w:p>
        </w:tc>
        <w:tc>
          <w:tcPr>
            <w:tcW w:w="737" w:type="dxa"/>
            <w:tcBorders>
              <w:top w:val="single" w:sz="6" w:space="0" w:color="1E4496" w:themeColor="text2"/>
            </w:tcBorders>
            <w:tcMar>
              <w:top w:w="113" w:type="dxa"/>
              <w:left w:w="113" w:type="dxa"/>
              <w:bottom w:w="113" w:type="dxa"/>
              <w:right w:w="113" w:type="dxa"/>
            </w:tcMar>
            <w:vAlign w:val="center"/>
          </w:tcPr>
          <w:p w14:paraId="48952381" w14:textId="77777777" w:rsidR="00B82400" w:rsidRPr="00B82400" w:rsidRDefault="00B82400" w:rsidP="00B82400">
            <w:pPr>
              <w:pStyle w:val="CDITable-RowCentre"/>
            </w:pPr>
            <w:r w:rsidRPr="00B82400">
              <w:t>0</w:t>
            </w:r>
          </w:p>
        </w:tc>
        <w:tc>
          <w:tcPr>
            <w:tcW w:w="737" w:type="dxa"/>
            <w:tcBorders>
              <w:top w:val="single" w:sz="6" w:space="0" w:color="1E4496" w:themeColor="text2"/>
            </w:tcBorders>
            <w:tcMar>
              <w:top w:w="113" w:type="dxa"/>
              <w:left w:w="113" w:type="dxa"/>
              <w:bottom w:w="113" w:type="dxa"/>
              <w:right w:w="113" w:type="dxa"/>
            </w:tcMar>
            <w:vAlign w:val="center"/>
          </w:tcPr>
          <w:p w14:paraId="1C7FD79E" w14:textId="77777777" w:rsidR="00B82400" w:rsidRPr="00B82400" w:rsidRDefault="00B82400" w:rsidP="00B82400">
            <w:pPr>
              <w:pStyle w:val="CDITable-RowCentre"/>
            </w:pPr>
            <w:r w:rsidRPr="00B82400">
              <w:t>0</w:t>
            </w:r>
          </w:p>
        </w:tc>
        <w:tc>
          <w:tcPr>
            <w:tcW w:w="737" w:type="dxa"/>
            <w:tcBorders>
              <w:top w:val="single" w:sz="6" w:space="0" w:color="1E4496" w:themeColor="text2"/>
            </w:tcBorders>
            <w:tcMar>
              <w:top w:w="113" w:type="dxa"/>
              <w:left w:w="113" w:type="dxa"/>
              <w:bottom w:w="113" w:type="dxa"/>
              <w:right w:w="113" w:type="dxa"/>
            </w:tcMar>
            <w:vAlign w:val="center"/>
          </w:tcPr>
          <w:p w14:paraId="6F7F9460" w14:textId="77777777" w:rsidR="00B82400" w:rsidRPr="00B82400" w:rsidRDefault="00B82400" w:rsidP="00B82400">
            <w:pPr>
              <w:pStyle w:val="CDITable-RowCentre"/>
            </w:pPr>
            <w:r w:rsidRPr="00B82400">
              <w:t>1</w:t>
            </w:r>
          </w:p>
        </w:tc>
        <w:tc>
          <w:tcPr>
            <w:tcW w:w="737" w:type="dxa"/>
            <w:tcBorders>
              <w:top w:val="single" w:sz="6" w:space="0" w:color="1E4496" w:themeColor="text2"/>
            </w:tcBorders>
            <w:tcMar>
              <w:top w:w="113" w:type="dxa"/>
              <w:left w:w="113" w:type="dxa"/>
              <w:bottom w:w="113" w:type="dxa"/>
              <w:right w:w="113" w:type="dxa"/>
            </w:tcMar>
            <w:vAlign w:val="center"/>
          </w:tcPr>
          <w:p w14:paraId="0C6C07C3" w14:textId="77777777" w:rsidR="00B82400" w:rsidRPr="00B82400" w:rsidRDefault="00B82400" w:rsidP="00B82400">
            <w:pPr>
              <w:pStyle w:val="CDITable-RowCentre"/>
            </w:pPr>
            <w:r w:rsidRPr="00B82400">
              <w:t>4</w:t>
            </w:r>
          </w:p>
        </w:tc>
        <w:tc>
          <w:tcPr>
            <w:tcW w:w="1020" w:type="dxa"/>
            <w:tcBorders>
              <w:top w:val="single" w:sz="6" w:space="0" w:color="1E4496" w:themeColor="text2"/>
              <w:right w:val="single" w:sz="6" w:space="0" w:color="1E4496" w:themeColor="text2"/>
            </w:tcBorders>
            <w:tcMar>
              <w:top w:w="113" w:type="dxa"/>
              <w:left w:w="113" w:type="dxa"/>
              <w:bottom w:w="113" w:type="dxa"/>
              <w:right w:w="113" w:type="dxa"/>
            </w:tcMar>
            <w:vAlign w:val="center"/>
          </w:tcPr>
          <w:p w14:paraId="27727213" w14:textId="77777777" w:rsidR="00B82400" w:rsidRPr="00B82400" w:rsidRDefault="00B82400" w:rsidP="00B82400">
            <w:pPr>
              <w:pStyle w:val="CDITable-RowCentre"/>
            </w:pPr>
            <w:r w:rsidRPr="00B82400">
              <w:t>0.6</w:t>
            </w:r>
          </w:p>
        </w:tc>
        <w:tc>
          <w:tcPr>
            <w:tcW w:w="737" w:type="dxa"/>
            <w:tcBorders>
              <w:top w:val="single" w:sz="6" w:space="0" w:color="1E4496" w:themeColor="text2"/>
              <w:left w:val="single" w:sz="6" w:space="0" w:color="1E4496" w:themeColor="text2"/>
            </w:tcBorders>
            <w:tcMar>
              <w:top w:w="113" w:type="dxa"/>
              <w:left w:w="113" w:type="dxa"/>
              <w:bottom w:w="113" w:type="dxa"/>
              <w:right w:w="113" w:type="dxa"/>
            </w:tcMar>
            <w:vAlign w:val="center"/>
          </w:tcPr>
          <w:p w14:paraId="6C8EF926" w14:textId="77777777" w:rsidR="00B82400" w:rsidRPr="00B82400" w:rsidRDefault="00B82400" w:rsidP="00B82400">
            <w:pPr>
              <w:pStyle w:val="CDITable-RowCentre"/>
            </w:pPr>
            <w:r w:rsidRPr="00B82400">
              <w:t>0</w:t>
            </w:r>
          </w:p>
        </w:tc>
        <w:tc>
          <w:tcPr>
            <w:tcW w:w="737" w:type="dxa"/>
            <w:tcBorders>
              <w:top w:val="single" w:sz="6" w:space="0" w:color="1E4496" w:themeColor="text2"/>
            </w:tcBorders>
            <w:tcMar>
              <w:top w:w="113" w:type="dxa"/>
              <w:left w:w="113" w:type="dxa"/>
              <w:bottom w:w="113" w:type="dxa"/>
              <w:right w:w="113" w:type="dxa"/>
            </w:tcMar>
            <w:vAlign w:val="center"/>
          </w:tcPr>
          <w:p w14:paraId="43F91420" w14:textId="77777777" w:rsidR="00B82400" w:rsidRPr="00B82400" w:rsidRDefault="00B82400" w:rsidP="00B82400">
            <w:pPr>
              <w:pStyle w:val="CDITable-RowCentre"/>
            </w:pPr>
            <w:r w:rsidRPr="00B82400">
              <w:t>0</w:t>
            </w:r>
          </w:p>
        </w:tc>
        <w:tc>
          <w:tcPr>
            <w:tcW w:w="737" w:type="dxa"/>
            <w:tcBorders>
              <w:top w:val="single" w:sz="6" w:space="0" w:color="1E4496" w:themeColor="text2"/>
            </w:tcBorders>
            <w:tcMar>
              <w:top w:w="113" w:type="dxa"/>
              <w:left w:w="113" w:type="dxa"/>
              <w:bottom w:w="113" w:type="dxa"/>
              <w:right w:w="113" w:type="dxa"/>
            </w:tcMar>
            <w:vAlign w:val="center"/>
          </w:tcPr>
          <w:p w14:paraId="4585EA10" w14:textId="77777777" w:rsidR="00B82400" w:rsidRPr="00B82400" w:rsidRDefault="00B82400" w:rsidP="00B82400">
            <w:pPr>
              <w:pStyle w:val="CDITable-RowCentre"/>
            </w:pPr>
            <w:r w:rsidRPr="00B82400">
              <w:t>0</w:t>
            </w:r>
          </w:p>
        </w:tc>
        <w:tc>
          <w:tcPr>
            <w:tcW w:w="737" w:type="dxa"/>
            <w:tcBorders>
              <w:top w:val="single" w:sz="6" w:space="0" w:color="1E4496" w:themeColor="text2"/>
            </w:tcBorders>
            <w:tcMar>
              <w:top w:w="113" w:type="dxa"/>
              <w:left w:w="113" w:type="dxa"/>
              <w:bottom w:w="113" w:type="dxa"/>
              <w:right w:w="113" w:type="dxa"/>
            </w:tcMar>
            <w:vAlign w:val="center"/>
          </w:tcPr>
          <w:p w14:paraId="3D714ADE" w14:textId="77777777" w:rsidR="00B82400" w:rsidRPr="00B82400" w:rsidRDefault="00B82400" w:rsidP="00B82400">
            <w:pPr>
              <w:pStyle w:val="CDITable-RowCentre"/>
            </w:pPr>
            <w:r w:rsidRPr="00B82400">
              <w:t>0</w:t>
            </w:r>
          </w:p>
        </w:tc>
        <w:tc>
          <w:tcPr>
            <w:tcW w:w="738" w:type="dxa"/>
            <w:tcBorders>
              <w:top w:val="single" w:sz="6" w:space="0" w:color="1E4496" w:themeColor="text2"/>
            </w:tcBorders>
            <w:tcMar>
              <w:top w:w="113" w:type="dxa"/>
              <w:left w:w="113" w:type="dxa"/>
              <w:bottom w:w="113" w:type="dxa"/>
              <w:right w:w="113" w:type="dxa"/>
            </w:tcMar>
            <w:vAlign w:val="center"/>
          </w:tcPr>
          <w:p w14:paraId="3E52056F" w14:textId="77777777" w:rsidR="00B82400" w:rsidRPr="00B82400" w:rsidRDefault="00B82400" w:rsidP="00B82400">
            <w:pPr>
              <w:pStyle w:val="CDITable-RowCentre"/>
            </w:pPr>
            <w:r w:rsidRPr="00B82400">
              <w:t>0</w:t>
            </w:r>
          </w:p>
        </w:tc>
        <w:tc>
          <w:tcPr>
            <w:tcW w:w="1020" w:type="dxa"/>
            <w:tcBorders>
              <w:top w:val="single" w:sz="6" w:space="0" w:color="1E4496" w:themeColor="text2"/>
              <w:right w:val="single" w:sz="6" w:space="0" w:color="1E4496" w:themeColor="text2"/>
            </w:tcBorders>
            <w:tcMar>
              <w:top w:w="113" w:type="dxa"/>
              <w:left w:w="113" w:type="dxa"/>
              <w:bottom w:w="113" w:type="dxa"/>
              <w:right w:w="113" w:type="dxa"/>
            </w:tcMar>
            <w:vAlign w:val="center"/>
          </w:tcPr>
          <w:p w14:paraId="6BA7448B" w14:textId="77777777" w:rsidR="00B82400" w:rsidRPr="00B82400" w:rsidRDefault="00B82400" w:rsidP="00B82400">
            <w:pPr>
              <w:pStyle w:val="CDITable-RowCentre"/>
            </w:pPr>
            <w:r w:rsidRPr="00B82400">
              <w:t>0.0</w:t>
            </w:r>
          </w:p>
        </w:tc>
        <w:tc>
          <w:tcPr>
            <w:tcW w:w="1134" w:type="dxa"/>
            <w:tcBorders>
              <w:top w:val="single" w:sz="6" w:space="0" w:color="1E4496" w:themeColor="text2"/>
              <w:left w:val="single" w:sz="6" w:space="0" w:color="1E4496" w:themeColor="text2"/>
            </w:tcBorders>
            <w:tcMar>
              <w:top w:w="113" w:type="dxa"/>
              <w:left w:w="113" w:type="dxa"/>
              <w:bottom w:w="113" w:type="dxa"/>
              <w:right w:w="113" w:type="dxa"/>
            </w:tcMar>
            <w:vAlign w:val="center"/>
          </w:tcPr>
          <w:p w14:paraId="0AFD84CE" w14:textId="77777777" w:rsidR="00B82400" w:rsidRPr="00B82400" w:rsidRDefault="00B82400" w:rsidP="00B82400">
            <w:pPr>
              <w:pStyle w:val="CDITable-RowCentre"/>
            </w:pPr>
            <w:r w:rsidRPr="00B82400">
              <w:t>-0.6</w:t>
            </w:r>
          </w:p>
        </w:tc>
        <w:tc>
          <w:tcPr>
            <w:tcW w:w="1020" w:type="dxa"/>
            <w:tcBorders>
              <w:top w:val="single" w:sz="6" w:space="0" w:color="1E4496" w:themeColor="text2"/>
            </w:tcBorders>
            <w:tcMar>
              <w:top w:w="113" w:type="dxa"/>
              <w:left w:w="113" w:type="dxa"/>
              <w:bottom w:w="113" w:type="dxa"/>
              <w:right w:w="113" w:type="dxa"/>
            </w:tcMar>
            <w:vAlign w:val="center"/>
          </w:tcPr>
          <w:p w14:paraId="3ADC9380" w14:textId="77777777" w:rsidR="00B82400" w:rsidRPr="00B82400" w:rsidRDefault="00B82400" w:rsidP="00B82400">
            <w:pPr>
              <w:pStyle w:val="CDITable-RowCentre"/>
            </w:pPr>
            <w:r w:rsidRPr="00B82400">
              <w:t>6</w:t>
            </w:r>
          </w:p>
        </w:tc>
      </w:tr>
      <w:tr w:rsidR="00B82400" w:rsidRPr="00B82400" w14:paraId="48D66DB9" w14:textId="77777777" w:rsidTr="00BB55AB">
        <w:trPr>
          <w:trHeight w:val="60"/>
        </w:trPr>
        <w:tc>
          <w:tcPr>
            <w:tcW w:w="204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23BDE71" w14:textId="77777777" w:rsidR="00B82400" w:rsidRPr="00B82400" w:rsidRDefault="00B82400" w:rsidP="00B82400">
            <w:pPr>
              <w:pStyle w:val="CDITable-TotalRowLeft"/>
            </w:pPr>
            <w:r w:rsidRPr="00B82400">
              <w:t>Total</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DD17ED9" w14:textId="77777777" w:rsidR="00B82400" w:rsidRPr="00B82400" w:rsidRDefault="00B82400" w:rsidP="00B82400">
            <w:pPr>
              <w:pStyle w:val="CDITable-TotalRowCentre"/>
            </w:pPr>
            <w:r w:rsidRPr="00B82400">
              <w:t>339</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8FC36F4" w14:textId="77777777" w:rsidR="00B82400" w:rsidRPr="00B82400" w:rsidRDefault="00B82400" w:rsidP="00B82400">
            <w:pPr>
              <w:pStyle w:val="CDITable-TotalRowCentre"/>
            </w:pPr>
            <w:r w:rsidRPr="00B82400">
              <w:t>74</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ED50CAD" w14:textId="77777777" w:rsidR="00B82400" w:rsidRPr="00B82400" w:rsidRDefault="00B82400" w:rsidP="00B82400">
            <w:pPr>
              <w:pStyle w:val="CDITable-TotalRowCentre"/>
            </w:pPr>
            <w:r w:rsidRPr="00B82400">
              <w:t>99</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E54211D" w14:textId="77777777" w:rsidR="00B82400" w:rsidRPr="00B82400" w:rsidRDefault="00B82400" w:rsidP="00B82400">
            <w:pPr>
              <w:pStyle w:val="CDITable-TotalRowCentre"/>
            </w:pPr>
            <w:r w:rsidRPr="00B82400">
              <w:t>81</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C872E53" w14:textId="77777777" w:rsidR="00B82400" w:rsidRPr="00B82400" w:rsidRDefault="00B82400" w:rsidP="00B82400">
            <w:pPr>
              <w:pStyle w:val="CDITable-TotalRowCentre"/>
            </w:pPr>
            <w:r w:rsidRPr="00B82400">
              <w:t>103</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909095C" w14:textId="77777777" w:rsidR="00B82400" w:rsidRPr="00B82400" w:rsidRDefault="00B82400" w:rsidP="00B82400">
            <w:pPr>
              <w:pStyle w:val="CDITable-TotalRowCentre"/>
            </w:pPr>
            <w:r w:rsidRPr="00B82400">
              <w:t>284</w:t>
            </w:r>
          </w:p>
        </w:tc>
        <w:tc>
          <w:tcPr>
            <w:tcW w:w="1020" w:type="dxa"/>
            <w:tcBorders>
              <w:bottom w:val="single" w:sz="6" w:space="0" w:color="1E4496" w:themeColor="text2"/>
              <w:right w:val="single" w:sz="6" w:space="0" w:color="1E4496" w:themeColor="text2"/>
            </w:tcBorders>
            <w:shd w:val="clear" w:color="auto" w:fill="53C9F1" w:themeFill="background2"/>
            <w:tcMar>
              <w:top w:w="113" w:type="dxa"/>
              <w:left w:w="113" w:type="dxa"/>
              <w:bottom w:w="113" w:type="dxa"/>
              <w:right w:w="113" w:type="dxa"/>
            </w:tcMar>
            <w:vAlign w:val="center"/>
          </w:tcPr>
          <w:p w14:paraId="5AB8D4C7" w14:textId="77777777" w:rsidR="00B82400" w:rsidRPr="00B82400" w:rsidRDefault="00B82400" w:rsidP="00B82400">
            <w:pPr>
              <w:pStyle w:val="CDITable-TotalRowCentre"/>
            </w:pPr>
            <w:r w:rsidRPr="00B82400">
              <w:t>100</w:t>
            </w:r>
          </w:p>
        </w:tc>
        <w:tc>
          <w:tcPr>
            <w:tcW w:w="737" w:type="dxa"/>
            <w:tcBorders>
              <w:left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7FC7C5A2" w14:textId="77777777" w:rsidR="00B82400" w:rsidRPr="00B82400" w:rsidRDefault="00B82400" w:rsidP="00B82400">
            <w:pPr>
              <w:pStyle w:val="CDITable-TotalRowCentre"/>
            </w:pPr>
            <w:r w:rsidRPr="00B82400">
              <w:t>25</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DF5D4E9" w14:textId="77777777" w:rsidR="00B82400" w:rsidRPr="00B82400" w:rsidRDefault="00B82400" w:rsidP="00B82400">
            <w:pPr>
              <w:pStyle w:val="CDITable-TotalRowCentre"/>
            </w:pPr>
            <w:r w:rsidRPr="00B82400">
              <w:t>0</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AF5A844" w14:textId="77777777" w:rsidR="00B82400" w:rsidRPr="00B82400" w:rsidRDefault="00B82400" w:rsidP="00B82400">
            <w:pPr>
              <w:pStyle w:val="CDITable-TotalRowCentre"/>
            </w:pPr>
            <w:r w:rsidRPr="00B82400">
              <w:t>7</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D450654" w14:textId="77777777" w:rsidR="00B82400" w:rsidRPr="00B82400" w:rsidRDefault="00B82400" w:rsidP="00B82400">
            <w:pPr>
              <w:pStyle w:val="CDITable-TotalRowCentre"/>
            </w:pPr>
            <w:r w:rsidRPr="00B82400">
              <w:t>26</w:t>
            </w:r>
          </w:p>
        </w:tc>
        <w:tc>
          <w:tcPr>
            <w:tcW w:w="73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C10A53F" w14:textId="77777777" w:rsidR="00B82400" w:rsidRPr="00B82400" w:rsidRDefault="00B82400" w:rsidP="00B82400">
            <w:pPr>
              <w:pStyle w:val="CDITable-TotalRowCentre"/>
            </w:pPr>
            <w:r w:rsidRPr="00B82400">
              <w:t>57</w:t>
            </w:r>
          </w:p>
        </w:tc>
        <w:tc>
          <w:tcPr>
            <w:tcW w:w="1020" w:type="dxa"/>
            <w:tcBorders>
              <w:bottom w:val="single" w:sz="6" w:space="0" w:color="1E4496" w:themeColor="text2"/>
              <w:right w:val="single" w:sz="6" w:space="0" w:color="1E4496" w:themeColor="text2"/>
            </w:tcBorders>
            <w:shd w:val="clear" w:color="auto" w:fill="53C9F1" w:themeFill="background2"/>
            <w:tcMar>
              <w:top w:w="113" w:type="dxa"/>
              <w:left w:w="113" w:type="dxa"/>
              <w:bottom w:w="113" w:type="dxa"/>
              <w:right w:w="113" w:type="dxa"/>
            </w:tcMar>
            <w:vAlign w:val="center"/>
          </w:tcPr>
          <w:p w14:paraId="55A04ED5" w14:textId="77777777" w:rsidR="00B82400" w:rsidRPr="00B82400" w:rsidRDefault="00B82400" w:rsidP="00B82400">
            <w:pPr>
              <w:pStyle w:val="CDITable-TotalRowCentre"/>
            </w:pPr>
            <w:r w:rsidRPr="00B82400">
              <w:t>100</w:t>
            </w:r>
          </w:p>
        </w:tc>
        <w:tc>
          <w:tcPr>
            <w:tcW w:w="1134" w:type="dxa"/>
            <w:tcBorders>
              <w:left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01FD1F6B" w14:textId="77777777" w:rsidR="00B82400" w:rsidRPr="00B82400" w:rsidRDefault="00B82400" w:rsidP="00B82400">
            <w:pPr>
              <w:pStyle w:val="CDITable-TotalRowCentre"/>
            </w:pPr>
            <w:r w:rsidRPr="00B82400">
              <w:t>0.0</w:t>
            </w:r>
          </w:p>
        </w:tc>
        <w:tc>
          <w:tcPr>
            <w:tcW w:w="102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6AAFDC5" w14:textId="77777777" w:rsidR="00B82400" w:rsidRPr="00B82400" w:rsidRDefault="00B82400" w:rsidP="00B82400">
            <w:pPr>
              <w:pStyle w:val="CDITable-TotalRowCentre"/>
            </w:pPr>
            <w:r w:rsidRPr="00B82400">
              <w:t>1,095</w:t>
            </w:r>
          </w:p>
        </w:tc>
      </w:tr>
    </w:tbl>
    <w:p w14:paraId="7156CA06" w14:textId="77777777" w:rsidR="00B82400" w:rsidRDefault="00B82400" w:rsidP="00B82400">
      <w:pPr>
        <w:rPr>
          <w:lang w:val="en-GB"/>
        </w:rPr>
      </w:pPr>
    </w:p>
    <w:p w14:paraId="621D17D2" w14:textId="77777777" w:rsidR="00B82400" w:rsidRDefault="00B82400" w:rsidP="00B82400">
      <w:pPr>
        <w:rPr>
          <w:lang w:val="en-GB"/>
        </w:rPr>
        <w:sectPr w:rsidR="00B82400" w:rsidSect="00B82400">
          <w:footnotePr>
            <w:numFmt w:val="lowerRoman"/>
          </w:footnotePr>
          <w:pgSz w:w="16840" w:h="11907" w:orient="landscape" w:code="9"/>
          <w:pgMar w:top="1134" w:right="1134" w:bottom="1134" w:left="1134" w:header="709" w:footer="567" w:gutter="0"/>
          <w:cols w:space="708"/>
          <w:docGrid w:linePitch="360"/>
        </w:sectPr>
      </w:pPr>
    </w:p>
    <w:p w14:paraId="47AAB6F3" w14:textId="1293166A" w:rsidR="00B82400" w:rsidRPr="00B82400" w:rsidRDefault="00B82400" w:rsidP="00B82400">
      <w:pPr>
        <w:rPr>
          <w:lang w:val="en-GB"/>
        </w:rPr>
      </w:pPr>
      <w:r w:rsidRPr="00B82400">
        <w:rPr>
          <w:lang w:val="en-GB"/>
        </w:rPr>
        <w:lastRenderedPageBreak/>
        <w:t>When analysed by age group, the most common vaccination status for all cases aged 19 and under was ‘unvaccinated’, though almost one in five notifications among 15–</w:t>
      </w:r>
      <w:proofErr w:type="gramStart"/>
      <w:r w:rsidRPr="00B82400">
        <w:rPr>
          <w:lang w:val="en-GB"/>
        </w:rPr>
        <w:t>19 year-olds</w:t>
      </w:r>
      <w:proofErr w:type="gramEnd"/>
      <w:r w:rsidRPr="00B82400">
        <w:rPr>
          <w:lang w:val="en-GB"/>
        </w:rPr>
        <w:t xml:space="preserve"> (n</w:t>
      </w:r>
      <w:r>
        <w:rPr>
          <w:lang w:val="en-GB"/>
        </w:rPr>
        <w:t> </w:t>
      </w:r>
      <w:r w:rsidRPr="00B82400">
        <w:rPr>
          <w:lang w:val="en-GB"/>
        </w:rPr>
        <w:t>=</w:t>
      </w:r>
      <w:r>
        <w:rPr>
          <w:lang w:val="en-GB"/>
        </w:rPr>
        <w:t> </w:t>
      </w:r>
      <w:r w:rsidRPr="00B82400">
        <w:rPr>
          <w:lang w:val="en-GB"/>
        </w:rPr>
        <w:t xml:space="preserve">22/122; 18.0%) reported having had one dose of MMR vaccine prior to their infection. </w:t>
      </w:r>
    </w:p>
    <w:p w14:paraId="7B396569" w14:textId="77777777" w:rsidR="00B82400" w:rsidRPr="00B82400" w:rsidRDefault="00B82400" w:rsidP="00B82400">
      <w:pPr>
        <w:rPr>
          <w:lang w:val="en-GB"/>
        </w:rPr>
      </w:pPr>
      <w:r w:rsidRPr="00B82400">
        <w:rPr>
          <w:lang w:val="en-GB"/>
        </w:rPr>
        <w:t>Among people aged 20–49 years:</w:t>
      </w:r>
    </w:p>
    <w:p w14:paraId="63F464E1" w14:textId="77777777" w:rsidR="00B82400" w:rsidRPr="00B82400" w:rsidRDefault="00B82400" w:rsidP="00B82400">
      <w:pPr>
        <w:pStyle w:val="CDIBullets"/>
        <w:rPr>
          <w:lang w:val="en-GB"/>
        </w:rPr>
      </w:pPr>
      <w:r w:rsidRPr="00B82400">
        <w:rPr>
          <w:lang w:val="en-GB"/>
        </w:rPr>
        <w:t>almost one in five notifications reported one dose of vaccine prior to infection (n = 111/626; 17.7%</w:t>
      </w:r>
      <w:proofErr w:type="gramStart"/>
      <w:r w:rsidRPr="00B82400">
        <w:rPr>
          <w:lang w:val="en-GB"/>
        </w:rPr>
        <w:t>);</w:t>
      </w:r>
      <w:proofErr w:type="gramEnd"/>
    </w:p>
    <w:p w14:paraId="31CEEFC5" w14:textId="77777777" w:rsidR="00B82400" w:rsidRPr="00B82400" w:rsidRDefault="00B82400" w:rsidP="00B82400">
      <w:pPr>
        <w:pStyle w:val="CDIBullets"/>
        <w:rPr>
          <w:lang w:val="en-GB"/>
        </w:rPr>
      </w:pPr>
      <w:r w:rsidRPr="00B82400">
        <w:rPr>
          <w:lang w:val="en-GB"/>
        </w:rPr>
        <w:t xml:space="preserve">just under one in ten reported </w:t>
      </w:r>
      <w:proofErr w:type="gramStart"/>
      <w:r w:rsidRPr="00B82400">
        <w:rPr>
          <w:lang w:val="en-GB"/>
        </w:rPr>
        <w:t>receipt</w:t>
      </w:r>
      <w:proofErr w:type="gramEnd"/>
      <w:r w:rsidRPr="00B82400">
        <w:rPr>
          <w:lang w:val="en-GB"/>
        </w:rPr>
        <w:t xml:space="preserve"> of two or more doses (n = 57/626; 9.1%</w:t>
      </w:r>
      <w:proofErr w:type="gramStart"/>
      <w:r w:rsidRPr="00B82400">
        <w:rPr>
          <w:lang w:val="en-GB"/>
        </w:rPr>
        <w:t>);</w:t>
      </w:r>
      <w:proofErr w:type="gramEnd"/>
    </w:p>
    <w:p w14:paraId="6AD11ED9" w14:textId="77777777" w:rsidR="00B82400" w:rsidRPr="00B82400" w:rsidRDefault="00B82400" w:rsidP="00B82400">
      <w:pPr>
        <w:pStyle w:val="CDIBullets"/>
        <w:rPr>
          <w:lang w:val="en-GB"/>
        </w:rPr>
      </w:pPr>
      <w:r w:rsidRPr="00B82400">
        <w:rPr>
          <w:lang w:val="en-GB"/>
        </w:rPr>
        <w:t>almost a third reported being unvaccinated (n = 196/626; 31.3%); and</w:t>
      </w:r>
    </w:p>
    <w:p w14:paraId="73995334" w14:textId="77777777" w:rsidR="00B82400" w:rsidRPr="00B82400" w:rsidRDefault="00B82400" w:rsidP="00B82400">
      <w:pPr>
        <w:pStyle w:val="CDIBullets"/>
        <w:rPr>
          <w:lang w:val="en-GB"/>
        </w:rPr>
      </w:pPr>
      <w:r w:rsidRPr="00B82400">
        <w:rPr>
          <w:lang w:val="en-GB"/>
        </w:rPr>
        <w:t xml:space="preserve">41% were notified with unknown or missing vaccination status (n = 256/626) (Figure 4). </w:t>
      </w:r>
    </w:p>
    <w:p w14:paraId="5F46AF39" w14:textId="77777777" w:rsidR="00B82400" w:rsidRDefault="00B82400" w:rsidP="00B82400">
      <w:pPr>
        <w:pStyle w:val="CDIFigure-Title"/>
      </w:pPr>
      <w:r>
        <w:t>Figure 4: Number of measles cases by age group and vaccination status, Australia, 2014–2024</w:t>
      </w:r>
    </w:p>
    <w:p w14:paraId="7DA33D59" w14:textId="6A836417" w:rsidR="00652CE4" w:rsidRDefault="00B82400" w:rsidP="00652CE4">
      <w:pPr>
        <w:pStyle w:val="CDIFigure-Placeholder"/>
        <w:rPr>
          <w:lang w:val="en-GB"/>
        </w:rPr>
      </w:pPr>
      <w:r>
        <w:rPr>
          <w:noProof/>
          <w:lang w:val="en-GB"/>
          <w14:ligatures w14:val="none"/>
        </w:rPr>
        <w:drawing>
          <wp:inline distT="0" distB="0" distL="0" distR="0" wp14:anchorId="19C7B231" wp14:editId="258A3E88">
            <wp:extent cx="6120765" cy="4210050"/>
            <wp:effectExtent l="0" t="0" r="0" b="0"/>
            <wp:docPr id="373855482" name="Picture 4" descr="Figure 4: A stacked bar chart shows the number of cases of measles notified to the National Notifiable Disease Surveillance System (NNDSS) 2014–2024 by age group, stacked by the number of reported doses of measles containing vaccine the case received prior to infection. The 20–49 age group has the tallest bar with the most common dosages being 0 (unvaccinated) or unknown. There are smaller sections in the 20–49 bar for 1 dose and 2 or more doses, indicating at least some cases reported being partially or fully vaccinated against measles (according to National Immunisation Program recommendations) prior to their infection.  Other age groups were majority unvaccinated, except 50–64 years which was majority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55482" name="Picture 4" descr="Figure 4: A stacked bar chart shows the number of cases of measles notified to the National Notifiable Disease Surveillance System (NNDSS) 2014–2024 by age group, stacked by the number of reported doses of measles containing vaccine the case received prior to infection. The 20–49 age group has the tallest bar with the most common dosages being 0 (unvaccinated) or unknown. There are smaller sections in the 20–49 bar for 1 dose and 2 or more doses, indicating at least some cases reported being partially or fully vaccinated against measles (according to National Immunisation Program recommendations) prior to their infection.  Other age groups were majority unvaccinated, except 50–64 years which was majority unknown."/>
                    <pic:cNvPicPr/>
                  </pic:nvPicPr>
                  <pic:blipFill>
                    <a:blip r:embed="rId27">
                      <a:extLst>
                        <a:ext uri="{28A0092B-C50C-407E-A947-70E740481C1C}">
                          <a14:useLocalDpi xmlns:a14="http://schemas.microsoft.com/office/drawing/2010/main" val="0"/>
                        </a:ext>
                      </a:extLst>
                    </a:blip>
                    <a:stretch>
                      <a:fillRect/>
                    </a:stretch>
                  </pic:blipFill>
                  <pic:spPr>
                    <a:xfrm>
                      <a:off x="0" y="0"/>
                      <a:ext cx="6120765" cy="4210050"/>
                    </a:xfrm>
                    <a:prstGeom prst="rect">
                      <a:avLst/>
                    </a:prstGeom>
                  </pic:spPr>
                </pic:pic>
              </a:graphicData>
            </a:graphic>
          </wp:inline>
        </w:drawing>
      </w:r>
      <w:r w:rsidR="00652CE4">
        <w:rPr>
          <w:lang w:val="en-GB"/>
        </w:rPr>
        <w:br w:type="page"/>
      </w:r>
    </w:p>
    <w:p w14:paraId="6FEE3E4E" w14:textId="77777777" w:rsidR="00652CE4" w:rsidRPr="00652CE4" w:rsidRDefault="00652CE4" w:rsidP="00652CE4">
      <w:pPr>
        <w:pStyle w:val="Heading2"/>
        <w:rPr>
          <w:lang w:val="en-GB"/>
        </w:rPr>
      </w:pPr>
      <w:bookmarkStart w:id="30" w:name="_Toc224572831"/>
      <w:r w:rsidRPr="00652CE4">
        <w:rPr>
          <w:lang w:val="en-GB"/>
        </w:rPr>
        <w:lastRenderedPageBreak/>
        <w:t>Country of acquisition</w:t>
      </w:r>
      <w:bookmarkEnd w:id="30"/>
    </w:p>
    <w:p w14:paraId="21D91785" w14:textId="77777777" w:rsidR="00652CE4" w:rsidRPr="00652CE4" w:rsidRDefault="00652CE4" w:rsidP="00652CE4">
      <w:pPr>
        <w:rPr>
          <w:lang w:val="en-GB"/>
        </w:rPr>
      </w:pPr>
      <w:r w:rsidRPr="00652CE4">
        <w:rPr>
          <w:lang w:val="en-GB"/>
        </w:rPr>
        <w:t>Over the total reporting period, just over half of notifications (n = 593; 54.1%) acquired their infection in Australia, and almost all of these were import-related (Table 5).</w:t>
      </w:r>
      <w:r w:rsidRPr="00652CE4">
        <w:rPr>
          <w:vertAlign w:val="superscript"/>
          <w:lang w:val="en-GB"/>
        </w:rPr>
        <w:footnoteReference w:id="3"/>
      </w:r>
    </w:p>
    <w:p w14:paraId="6A9BA086" w14:textId="77777777" w:rsidR="00652CE4" w:rsidRPr="00652CE4" w:rsidRDefault="00652CE4" w:rsidP="00652CE4">
      <w:pPr>
        <w:pStyle w:val="CDITable-Title"/>
        <w:rPr>
          <w:lang w:val="en-GB"/>
        </w:rPr>
      </w:pPr>
      <w:r w:rsidRPr="00652CE4">
        <w:rPr>
          <w:lang w:val="en-GB"/>
        </w:rPr>
        <w:t>Table 5: Number of measles notifications by year and place of acquisition, Australia, 2014–2024</w:t>
      </w:r>
    </w:p>
    <w:tbl>
      <w:tblPr>
        <w:tblW w:w="0" w:type="auto"/>
        <w:tblLayout w:type="fixed"/>
        <w:tblCellMar>
          <w:left w:w="0" w:type="dxa"/>
          <w:right w:w="0" w:type="dxa"/>
        </w:tblCellMar>
        <w:tblLook w:val="0000" w:firstRow="0" w:lastRow="0" w:firstColumn="0" w:lastColumn="0" w:noHBand="0" w:noVBand="0"/>
        <w:tblCaption w:val="Table 5: Number of measles notifications by year and place of acquisition, Australia, 2014–2024"/>
        <w:tblDescription w:val="Table 5: Presents counts per year of measles cases notified to the National Notifiable Disease Surveillance System (NNDSS) by place of acquisition; either acquired in Australia (i.e., import-related), overseas acquired, or unknown. "/>
      </w:tblPr>
      <w:tblGrid>
        <w:gridCol w:w="1417"/>
        <w:gridCol w:w="681"/>
        <w:gridCol w:w="680"/>
        <w:gridCol w:w="680"/>
        <w:gridCol w:w="681"/>
        <w:gridCol w:w="680"/>
        <w:gridCol w:w="680"/>
        <w:gridCol w:w="681"/>
        <w:gridCol w:w="680"/>
        <w:gridCol w:w="680"/>
        <w:gridCol w:w="680"/>
        <w:gridCol w:w="681"/>
        <w:gridCol w:w="737"/>
      </w:tblGrid>
      <w:tr w:rsidR="00652CE4" w:rsidRPr="00652CE4" w14:paraId="6A1F7529" w14:textId="77777777" w:rsidTr="00652CE4">
        <w:trPr>
          <w:trHeight w:val="60"/>
          <w:tblHeader/>
        </w:trPr>
        <w:tc>
          <w:tcPr>
            <w:tcW w:w="1417" w:type="dxa"/>
            <w:shd w:val="clear" w:color="auto" w:fill="1E4496" w:themeFill="text2"/>
            <w:tcMar>
              <w:top w:w="113" w:type="dxa"/>
              <w:left w:w="113" w:type="dxa"/>
              <w:bottom w:w="113" w:type="dxa"/>
              <w:right w:w="113" w:type="dxa"/>
            </w:tcMar>
            <w:vAlign w:val="bottom"/>
          </w:tcPr>
          <w:p w14:paraId="6F6A2BF7" w14:textId="77777777" w:rsidR="00652CE4" w:rsidRPr="00652CE4" w:rsidRDefault="00652CE4" w:rsidP="00D75D3C">
            <w:pPr>
              <w:pStyle w:val="CDITable-HeaderRowLeft"/>
            </w:pPr>
            <w:r w:rsidRPr="00652CE4">
              <w:t>Type of acquisition</w:t>
            </w:r>
          </w:p>
        </w:tc>
        <w:tc>
          <w:tcPr>
            <w:tcW w:w="681" w:type="dxa"/>
            <w:shd w:val="clear" w:color="auto" w:fill="1E4496" w:themeFill="text2"/>
            <w:tcMar>
              <w:top w:w="113" w:type="dxa"/>
              <w:left w:w="113" w:type="dxa"/>
              <w:bottom w:w="113" w:type="dxa"/>
              <w:right w:w="113" w:type="dxa"/>
            </w:tcMar>
            <w:vAlign w:val="bottom"/>
          </w:tcPr>
          <w:p w14:paraId="57258329" w14:textId="77777777" w:rsidR="00652CE4" w:rsidRPr="00652CE4" w:rsidRDefault="00652CE4" w:rsidP="00D75D3C">
            <w:pPr>
              <w:pStyle w:val="CDITable-HeaderRowCentre"/>
            </w:pPr>
            <w:r w:rsidRPr="00652CE4">
              <w:t>2014</w:t>
            </w:r>
          </w:p>
        </w:tc>
        <w:tc>
          <w:tcPr>
            <w:tcW w:w="680" w:type="dxa"/>
            <w:shd w:val="clear" w:color="auto" w:fill="1E4496" w:themeFill="text2"/>
            <w:tcMar>
              <w:top w:w="113" w:type="dxa"/>
              <w:left w:w="113" w:type="dxa"/>
              <w:bottom w:w="113" w:type="dxa"/>
              <w:right w:w="113" w:type="dxa"/>
            </w:tcMar>
            <w:vAlign w:val="bottom"/>
          </w:tcPr>
          <w:p w14:paraId="5525B367" w14:textId="77777777" w:rsidR="00652CE4" w:rsidRPr="00652CE4" w:rsidRDefault="00652CE4" w:rsidP="00D75D3C">
            <w:pPr>
              <w:pStyle w:val="CDITable-HeaderRowCentre"/>
            </w:pPr>
            <w:r w:rsidRPr="00652CE4">
              <w:t>2015</w:t>
            </w:r>
          </w:p>
        </w:tc>
        <w:tc>
          <w:tcPr>
            <w:tcW w:w="680" w:type="dxa"/>
            <w:shd w:val="clear" w:color="auto" w:fill="1E4496" w:themeFill="text2"/>
            <w:tcMar>
              <w:top w:w="113" w:type="dxa"/>
              <w:left w:w="113" w:type="dxa"/>
              <w:bottom w:w="113" w:type="dxa"/>
              <w:right w:w="113" w:type="dxa"/>
            </w:tcMar>
            <w:vAlign w:val="bottom"/>
          </w:tcPr>
          <w:p w14:paraId="22606BC2" w14:textId="77777777" w:rsidR="00652CE4" w:rsidRPr="00652CE4" w:rsidRDefault="00652CE4" w:rsidP="00D75D3C">
            <w:pPr>
              <w:pStyle w:val="CDITable-HeaderRowCentre"/>
            </w:pPr>
            <w:r w:rsidRPr="00652CE4">
              <w:t>2016</w:t>
            </w:r>
          </w:p>
        </w:tc>
        <w:tc>
          <w:tcPr>
            <w:tcW w:w="681" w:type="dxa"/>
            <w:shd w:val="clear" w:color="auto" w:fill="1E4496" w:themeFill="text2"/>
            <w:tcMar>
              <w:top w:w="113" w:type="dxa"/>
              <w:left w:w="113" w:type="dxa"/>
              <w:bottom w:w="113" w:type="dxa"/>
              <w:right w:w="113" w:type="dxa"/>
            </w:tcMar>
            <w:vAlign w:val="bottom"/>
          </w:tcPr>
          <w:p w14:paraId="6812B62F" w14:textId="77777777" w:rsidR="00652CE4" w:rsidRPr="00652CE4" w:rsidRDefault="00652CE4" w:rsidP="00D75D3C">
            <w:pPr>
              <w:pStyle w:val="CDITable-HeaderRowCentre"/>
            </w:pPr>
            <w:r w:rsidRPr="00652CE4">
              <w:t>2017</w:t>
            </w:r>
          </w:p>
        </w:tc>
        <w:tc>
          <w:tcPr>
            <w:tcW w:w="680" w:type="dxa"/>
            <w:shd w:val="clear" w:color="auto" w:fill="1E4496" w:themeFill="text2"/>
            <w:tcMar>
              <w:top w:w="113" w:type="dxa"/>
              <w:left w:w="113" w:type="dxa"/>
              <w:bottom w:w="113" w:type="dxa"/>
              <w:right w:w="113" w:type="dxa"/>
            </w:tcMar>
            <w:vAlign w:val="bottom"/>
          </w:tcPr>
          <w:p w14:paraId="30E41892" w14:textId="77777777" w:rsidR="00652CE4" w:rsidRPr="00652CE4" w:rsidRDefault="00652CE4" w:rsidP="00D75D3C">
            <w:pPr>
              <w:pStyle w:val="CDITable-HeaderRowCentre"/>
            </w:pPr>
            <w:r w:rsidRPr="00652CE4">
              <w:t>2018</w:t>
            </w:r>
          </w:p>
        </w:tc>
        <w:tc>
          <w:tcPr>
            <w:tcW w:w="680" w:type="dxa"/>
            <w:shd w:val="clear" w:color="auto" w:fill="1E4496" w:themeFill="text2"/>
            <w:tcMar>
              <w:top w:w="113" w:type="dxa"/>
              <w:left w:w="113" w:type="dxa"/>
              <w:bottom w:w="113" w:type="dxa"/>
              <w:right w:w="113" w:type="dxa"/>
            </w:tcMar>
            <w:vAlign w:val="bottom"/>
          </w:tcPr>
          <w:p w14:paraId="398F574E" w14:textId="77777777" w:rsidR="00652CE4" w:rsidRPr="00652CE4" w:rsidRDefault="00652CE4" w:rsidP="00D75D3C">
            <w:pPr>
              <w:pStyle w:val="CDITable-HeaderRowCentre"/>
            </w:pPr>
            <w:r w:rsidRPr="00652CE4">
              <w:t>2019</w:t>
            </w:r>
          </w:p>
        </w:tc>
        <w:tc>
          <w:tcPr>
            <w:tcW w:w="681" w:type="dxa"/>
            <w:shd w:val="clear" w:color="auto" w:fill="1E4496" w:themeFill="text2"/>
            <w:tcMar>
              <w:top w:w="113" w:type="dxa"/>
              <w:left w:w="113" w:type="dxa"/>
              <w:bottom w:w="113" w:type="dxa"/>
              <w:right w:w="113" w:type="dxa"/>
            </w:tcMar>
            <w:vAlign w:val="bottom"/>
          </w:tcPr>
          <w:p w14:paraId="4B152300" w14:textId="77777777" w:rsidR="00652CE4" w:rsidRPr="00652CE4" w:rsidRDefault="00652CE4" w:rsidP="00D75D3C">
            <w:pPr>
              <w:pStyle w:val="CDITable-HeaderRowCentre"/>
            </w:pPr>
            <w:r w:rsidRPr="00652CE4">
              <w:t>2020</w:t>
            </w:r>
          </w:p>
        </w:tc>
        <w:tc>
          <w:tcPr>
            <w:tcW w:w="680" w:type="dxa"/>
            <w:shd w:val="clear" w:color="auto" w:fill="1E4496" w:themeFill="text2"/>
            <w:tcMar>
              <w:top w:w="113" w:type="dxa"/>
              <w:left w:w="113" w:type="dxa"/>
              <w:bottom w:w="113" w:type="dxa"/>
              <w:right w:w="113" w:type="dxa"/>
            </w:tcMar>
            <w:vAlign w:val="bottom"/>
          </w:tcPr>
          <w:p w14:paraId="04ECA4C6" w14:textId="77777777" w:rsidR="00652CE4" w:rsidRPr="00652CE4" w:rsidRDefault="00652CE4" w:rsidP="00D75D3C">
            <w:pPr>
              <w:pStyle w:val="CDITable-HeaderRowCentre"/>
            </w:pPr>
            <w:r w:rsidRPr="00652CE4">
              <w:t>2021</w:t>
            </w:r>
          </w:p>
        </w:tc>
        <w:tc>
          <w:tcPr>
            <w:tcW w:w="680" w:type="dxa"/>
            <w:shd w:val="clear" w:color="auto" w:fill="1E4496" w:themeFill="text2"/>
            <w:tcMar>
              <w:top w:w="113" w:type="dxa"/>
              <w:left w:w="113" w:type="dxa"/>
              <w:bottom w:w="113" w:type="dxa"/>
              <w:right w:w="113" w:type="dxa"/>
            </w:tcMar>
            <w:vAlign w:val="bottom"/>
          </w:tcPr>
          <w:p w14:paraId="0579F761" w14:textId="77777777" w:rsidR="00652CE4" w:rsidRPr="00652CE4" w:rsidRDefault="00652CE4" w:rsidP="00D75D3C">
            <w:pPr>
              <w:pStyle w:val="CDITable-HeaderRowCentre"/>
            </w:pPr>
            <w:r w:rsidRPr="00652CE4">
              <w:t>2022</w:t>
            </w:r>
          </w:p>
        </w:tc>
        <w:tc>
          <w:tcPr>
            <w:tcW w:w="680" w:type="dxa"/>
            <w:shd w:val="clear" w:color="auto" w:fill="1E4496" w:themeFill="text2"/>
            <w:tcMar>
              <w:top w:w="113" w:type="dxa"/>
              <w:left w:w="113" w:type="dxa"/>
              <w:bottom w:w="113" w:type="dxa"/>
              <w:right w:w="113" w:type="dxa"/>
            </w:tcMar>
            <w:vAlign w:val="bottom"/>
          </w:tcPr>
          <w:p w14:paraId="3314079A" w14:textId="77777777" w:rsidR="00652CE4" w:rsidRPr="00652CE4" w:rsidRDefault="00652CE4" w:rsidP="00D75D3C">
            <w:pPr>
              <w:pStyle w:val="CDITable-HeaderRowCentre"/>
            </w:pPr>
            <w:r w:rsidRPr="00652CE4">
              <w:t>2023</w:t>
            </w:r>
          </w:p>
        </w:tc>
        <w:tc>
          <w:tcPr>
            <w:tcW w:w="681" w:type="dxa"/>
            <w:shd w:val="clear" w:color="auto" w:fill="1E4496" w:themeFill="text2"/>
            <w:tcMar>
              <w:top w:w="113" w:type="dxa"/>
              <w:left w:w="113" w:type="dxa"/>
              <w:bottom w:w="113" w:type="dxa"/>
              <w:right w:w="113" w:type="dxa"/>
            </w:tcMar>
            <w:vAlign w:val="bottom"/>
          </w:tcPr>
          <w:p w14:paraId="22745DBD" w14:textId="77777777" w:rsidR="00652CE4" w:rsidRPr="00652CE4" w:rsidRDefault="00652CE4" w:rsidP="00D75D3C">
            <w:pPr>
              <w:pStyle w:val="CDITable-HeaderRowCentre"/>
            </w:pPr>
            <w:r w:rsidRPr="00652CE4">
              <w:t>2024</w:t>
            </w:r>
          </w:p>
        </w:tc>
        <w:tc>
          <w:tcPr>
            <w:tcW w:w="737" w:type="dxa"/>
            <w:shd w:val="clear" w:color="auto" w:fill="1E4496" w:themeFill="text2"/>
            <w:tcMar>
              <w:top w:w="113" w:type="dxa"/>
              <w:left w:w="113" w:type="dxa"/>
              <w:bottom w:w="113" w:type="dxa"/>
              <w:right w:w="113" w:type="dxa"/>
            </w:tcMar>
            <w:vAlign w:val="bottom"/>
          </w:tcPr>
          <w:p w14:paraId="653CD760" w14:textId="77777777" w:rsidR="00652CE4" w:rsidRPr="00652CE4" w:rsidRDefault="00652CE4" w:rsidP="00D75D3C">
            <w:pPr>
              <w:pStyle w:val="CDITable-HeaderRowCentre"/>
            </w:pPr>
            <w:r w:rsidRPr="00652CE4">
              <w:t>Total</w:t>
            </w:r>
          </w:p>
        </w:tc>
      </w:tr>
      <w:tr w:rsidR="00652CE4" w:rsidRPr="00652CE4" w14:paraId="195270FA" w14:textId="77777777" w:rsidTr="00652CE4">
        <w:trPr>
          <w:trHeight w:val="60"/>
        </w:trPr>
        <w:tc>
          <w:tcPr>
            <w:tcW w:w="1417" w:type="dxa"/>
            <w:tcBorders>
              <w:bottom w:val="single" w:sz="6" w:space="0" w:color="1E4496" w:themeColor="text2"/>
            </w:tcBorders>
            <w:tcMar>
              <w:top w:w="113" w:type="dxa"/>
              <w:left w:w="113" w:type="dxa"/>
              <w:bottom w:w="113" w:type="dxa"/>
              <w:right w:w="113" w:type="dxa"/>
            </w:tcMar>
            <w:vAlign w:val="center"/>
          </w:tcPr>
          <w:p w14:paraId="53DE8654" w14:textId="77777777" w:rsidR="00652CE4" w:rsidRPr="00652CE4" w:rsidRDefault="00652CE4" w:rsidP="00D75D3C">
            <w:pPr>
              <w:pStyle w:val="CDITable-RowLeft"/>
            </w:pPr>
            <w:r w:rsidRPr="00652CE4">
              <w:t xml:space="preserve">Import </w:t>
            </w:r>
            <w:proofErr w:type="spellStart"/>
            <w:r w:rsidRPr="00652CE4">
              <w:t>related</w:t>
            </w:r>
            <w:r w:rsidRPr="00652CE4">
              <w:rPr>
                <w:vertAlign w:val="superscript"/>
              </w:rPr>
              <w:t>a</w:t>
            </w:r>
            <w:proofErr w:type="spellEnd"/>
          </w:p>
        </w:tc>
        <w:tc>
          <w:tcPr>
            <w:tcW w:w="681" w:type="dxa"/>
            <w:tcBorders>
              <w:bottom w:val="single" w:sz="6" w:space="0" w:color="1E4496" w:themeColor="text2"/>
            </w:tcBorders>
            <w:tcMar>
              <w:top w:w="113" w:type="dxa"/>
              <w:left w:w="113" w:type="dxa"/>
              <w:bottom w:w="113" w:type="dxa"/>
              <w:right w:w="113" w:type="dxa"/>
            </w:tcMar>
            <w:vAlign w:val="center"/>
          </w:tcPr>
          <w:p w14:paraId="1AD41597" w14:textId="77777777" w:rsidR="00652CE4" w:rsidRPr="00652CE4" w:rsidRDefault="00652CE4" w:rsidP="00D75D3C">
            <w:pPr>
              <w:pStyle w:val="CDITable-RowCentre"/>
            </w:pPr>
            <w:r w:rsidRPr="00652CE4">
              <w:t>198</w:t>
            </w:r>
          </w:p>
        </w:tc>
        <w:tc>
          <w:tcPr>
            <w:tcW w:w="680" w:type="dxa"/>
            <w:tcBorders>
              <w:bottom w:val="single" w:sz="6" w:space="0" w:color="1E4496" w:themeColor="text2"/>
            </w:tcBorders>
            <w:tcMar>
              <w:top w:w="113" w:type="dxa"/>
              <w:left w:w="113" w:type="dxa"/>
              <w:bottom w:w="113" w:type="dxa"/>
              <w:right w:w="113" w:type="dxa"/>
            </w:tcMar>
            <w:vAlign w:val="center"/>
          </w:tcPr>
          <w:p w14:paraId="554D09DC" w14:textId="77777777" w:rsidR="00652CE4" w:rsidRPr="00652CE4" w:rsidRDefault="00652CE4" w:rsidP="00D75D3C">
            <w:pPr>
              <w:pStyle w:val="CDITable-RowCentre"/>
            </w:pPr>
            <w:r w:rsidRPr="00652CE4">
              <w:t>39</w:t>
            </w:r>
          </w:p>
        </w:tc>
        <w:tc>
          <w:tcPr>
            <w:tcW w:w="680" w:type="dxa"/>
            <w:tcBorders>
              <w:bottom w:val="single" w:sz="6" w:space="0" w:color="1E4496" w:themeColor="text2"/>
            </w:tcBorders>
            <w:tcMar>
              <w:top w:w="113" w:type="dxa"/>
              <w:left w:w="113" w:type="dxa"/>
              <w:bottom w:w="113" w:type="dxa"/>
              <w:right w:w="113" w:type="dxa"/>
            </w:tcMar>
            <w:vAlign w:val="center"/>
          </w:tcPr>
          <w:p w14:paraId="07802C1F" w14:textId="77777777" w:rsidR="00652CE4" w:rsidRPr="00652CE4" w:rsidRDefault="00652CE4" w:rsidP="00D75D3C">
            <w:pPr>
              <w:pStyle w:val="CDITable-RowCentre"/>
            </w:pPr>
            <w:r w:rsidRPr="00652CE4">
              <w:t>62</w:t>
            </w:r>
          </w:p>
        </w:tc>
        <w:tc>
          <w:tcPr>
            <w:tcW w:w="681" w:type="dxa"/>
            <w:tcBorders>
              <w:bottom w:val="single" w:sz="6" w:space="0" w:color="1E4496" w:themeColor="text2"/>
            </w:tcBorders>
            <w:tcMar>
              <w:top w:w="113" w:type="dxa"/>
              <w:left w:w="113" w:type="dxa"/>
              <w:bottom w:w="113" w:type="dxa"/>
              <w:right w:w="113" w:type="dxa"/>
            </w:tcMar>
            <w:vAlign w:val="center"/>
          </w:tcPr>
          <w:p w14:paraId="5B2943A7" w14:textId="77777777" w:rsidR="00652CE4" w:rsidRPr="00652CE4" w:rsidRDefault="00652CE4" w:rsidP="00D75D3C">
            <w:pPr>
              <w:pStyle w:val="CDITable-RowCentre"/>
            </w:pPr>
            <w:r w:rsidRPr="00652CE4">
              <w:t>41</w:t>
            </w:r>
          </w:p>
        </w:tc>
        <w:tc>
          <w:tcPr>
            <w:tcW w:w="680" w:type="dxa"/>
            <w:tcBorders>
              <w:bottom w:val="single" w:sz="6" w:space="0" w:color="1E4496" w:themeColor="text2"/>
            </w:tcBorders>
            <w:tcMar>
              <w:top w:w="113" w:type="dxa"/>
              <w:left w:w="113" w:type="dxa"/>
              <w:bottom w:w="113" w:type="dxa"/>
              <w:right w:w="113" w:type="dxa"/>
            </w:tcMar>
            <w:vAlign w:val="center"/>
          </w:tcPr>
          <w:p w14:paraId="591545D1" w14:textId="77777777" w:rsidR="00652CE4" w:rsidRPr="00652CE4" w:rsidRDefault="00652CE4" w:rsidP="00D75D3C">
            <w:pPr>
              <w:pStyle w:val="CDITable-RowCentre"/>
            </w:pPr>
            <w:r w:rsidRPr="00652CE4">
              <w:t>46</w:t>
            </w:r>
          </w:p>
        </w:tc>
        <w:tc>
          <w:tcPr>
            <w:tcW w:w="680" w:type="dxa"/>
            <w:tcBorders>
              <w:bottom w:val="single" w:sz="6" w:space="0" w:color="1E4496" w:themeColor="text2"/>
            </w:tcBorders>
            <w:tcMar>
              <w:top w:w="113" w:type="dxa"/>
              <w:left w:w="113" w:type="dxa"/>
              <w:bottom w:w="113" w:type="dxa"/>
              <w:right w:w="113" w:type="dxa"/>
            </w:tcMar>
            <w:vAlign w:val="center"/>
          </w:tcPr>
          <w:p w14:paraId="20244F33" w14:textId="77777777" w:rsidR="00652CE4" w:rsidRPr="00652CE4" w:rsidRDefault="00652CE4" w:rsidP="00D75D3C">
            <w:pPr>
              <w:pStyle w:val="CDITable-RowCentre"/>
            </w:pPr>
            <w:r w:rsidRPr="00652CE4">
              <w:t>172</w:t>
            </w:r>
          </w:p>
        </w:tc>
        <w:tc>
          <w:tcPr>
            <w:tcW w:w="681" w:type="dxa"/>
            <w:tcBorders>
              <w:bottom w:val="single" w:sz="6" w:space="0" w:color="1E4496" w:themeColor="text2"/>
            </w:tcBorders>
            <w:tcMar>
              <w:top w:w="113" w:type="dxa"/>
              <w:left w:w="113" w:type="dxa"/>
              <w:bottom w:w="113" w:type="dxa"/>
              <w:right w:w="113" w:type="dxa"/>
            </w:tcMar>
            <w:vAlign w:val="center"/>
          </w:tcPr>
          <w:p w14:paraId="2BFF1D10" w14:textId="77777777" w:rsidR="00652CE4" w:rsidRPr="00652CE4" w:rsidRDefault="00652CE4" w:rsidP="00D75D3C">
            <w:pPr>
              <w:pStyle w:val="CDITable-RowCentre"/>
            </w:pPr>
            <w:r w:rsidRPr="00652CE4">
              <w:t>12</w:t>
            </w:r>
          </w:p>
        </w:tc>
        <w:tc>
          <w:tcPr>
            <w:tcW w:w="680" w:type="dxa"/>
            <w:tcBorders>
              <w:bottom w:val="single" w:sz="6" w:space="0" w:color="1E4496" w:themeColor="text2"/>
            </w:tcBorders>
            <w:tcMar>
              <w:top w:w="113" w:type="dxa"/>
              <w:left w:w="113" w:type="dxa"/>
              <w:bottom w:w="113" w:type="dxa"/>
              <w:right w:w="113" w:type="dxa"/>
            </w:tcMar>
            <w:vAlign w:val="center"/>
          </w:tcPr>
          <w:p w14:paraId="750AB7DD" w14:textId="77777777" w:rsidR="00652CE4" w:rsidRPr="00652CE4" w:rsidRDefault="00652CE4" w:rsidP="00D75D3C">
            <w:pPr>
              <w:pStyle w:val="CDITable-RowCentre"/>
            </w:pPr>
            <w:r w:rsidRPr="00652CE4">
              <w:t>0</w:t>
            </w:r>
          </w:p>
        </w:tc>
        <w:tc>
          <w:tcPr>
            <w:tcW w:w="680" w:type="dxa"/>
            <w:tcBorders>
              <w:bottom w:val="single" w:sz="6" w:space="0" w:color="1E4496" w:themeColor="text2"/>
            </w:tcBorders>
            <w:tcMar>
              <w:top w:w="113" w:type="dxa"/>
              <w:left w:w="113" w:type="dxa"/>
              <w:bottom w:w="113" w:type="dxa"/>
              <w:right w:w="113" w:type="dxa"/>
            </w:tcMar>
            <w:vAlign w:val="center"/>
          </w:tcPr>
          <w:p w14:paraId="373C9D4F" w14:textId="77777777" w:rsidR="00652CE4" w:rsidRPr="00652CE4" w:rsidRDefault="00652CE4" w:rsidP="00D75D3C">
            <w:pPr>
              <w:pStyle w:val="CDITable-RowCentre"/>
            </w:pPr>
            <w:r w:rsidRPr="00652CE4">
              <w:t>0</w:t>
            </w:r>
          </w:p>
        </w:tc>
        <w:tc>
          <w:tcPr>
            <w:tcW w:w="680" w:type="dxa"/>
            <w:tcBorders>
              <w:bottom w:val="single" w:sz="6" w:space="0" w:color="1E4496" w:themeColor="text2"/>
            </w:tcBorders>
            <w:tcMar>
              <w:top w:w="113" w:type="dxa"/>
              <w:left w:w="113" w:type="dxa"/>
              <w:bottom w:w="113" w:type="dxa"/>
              <w:right w:w="113" w:type="dxa"/>
            </w:tcMar>
            <w:vAlign w:val="center"/>
          </w:tcPr>
          <w:p w14:paraId="2B6BBBA3" w14:textId="77777777" w:rsidR="00652CE4" w:rsidRPr="00652CE4" w:rsidRDefault="00652CE4" w:rsidP="00D75D3C">
            <w:pPr>
              <w:pStyle w:val="CDITable-RowCentre"/>
            </w:pPr>
            <w:r w:rsidRPr="00652CE4">
              <w:t>6</w:t>
            </w:r>
          </w:p>
        </w:tc>
        <w:tc>
          <w:tcPr>
            <w:tcW w:w="681" w:type="dxa"/>
            <w:tcBorders>
              <w:bottom w:val="single" w:sz="6" w:space="0" w:color="1E4496" w:themeColor="text2"/>
            </w:tcBorders>
            <w:tcMar>
              <w:top w:w="113" w:type="dxa"/>
              <w:left w:w="113" w:type="dxa"/>
              <w:bottom w:w="113" w:type="dxa"/>
              <w:right w:w="113" w:type="dxa"/>
            </w:tcMar>
            <w:vAlign w:val="center"/>
          </w:tcPr>
          <w:p w14:paraId="5F0A312F" w14:textId="77777777" w:rsidR="00652CE4" w:rsidRPr="00652CE4" w:rsidRDefault="00652CE4" w:rsidP="00D75D3C">
            <w:pPr>
              <w:pStyle w:val="CDITable-RowCentre"/>
            </w:pPr>
            <w:r w:rsidRPr="00652CE4">
              <w:t>17</w:t>
            </w:r>
          </w:p>
        </w:tc>
        <w:tc>
          <w:tcPr>
            <w:tcW w:w="737" w:type="dxa"/>
            <w:tcBorders>
              <w:bottom w:val="single" w:sz="6" w:space="0" w:color="1E4496" w:themeColor="text2"/>
            </w:tcBorders>
            <w:tcMar>
              <w:top w:w="113" w:type="dxa"/>
              <w:left w:w="113" w:type="dxa"/>
              <w:bottom w:w="113" w:type="dxa"/>
              <w:right w:w="113" w:type="dxa"/>
            </w:tcMar>
            <w:vAlign w:val="center"/>
          </w:tcPr>
          <w:p w14:paraId="250DB12A" w14:textId="77777777" w:rsidR="00652CE4" w:rsidRPr="00652CE4" w:rsidRDefault="00652CE4" w:rsidP="00D75D3C">
            <w:pPr>
              <w:pStyle w:val="CDITable-RowCentre"/>
            </w:pPr>
            <w:r w:rsidRPr="00652CE4">
              <w:t>593</w:t>
            </w:r>
          </w:p>
        </w:tc>
      </w:tr>
      <w:tr w:rsidR="00652CE4" w:rsidRPr="00652CE4" w14:paraId="66F6327B" w14:textId="77777777" w:rsidTr="00652CE4">
        <w:trPr>
          <w:trHeight w:val="60"/>
        </w:trPr>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C4DCB3" w14:textId="77777777" w:rsidR="00652CE4" w:rsidRPr="00652CE4" w:rsidRDefault="00652CE4" w:rsidP="00D75D3C">
            <w:pPr>
              <w:pStyle w:val="CDITable-RowLeft"/>
            </w:pPr>
            <w:r w:rsidRPr="00652CE4">
              <w:t xml:space="preserve">Overseas acquired </w:t>
            </w:r>
          </w:p>
        </w:tc>
        <w:tc>
          <w:tcPr>
            <w:tcW w:w="6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536325" w14:textId="77777777" w:rsidR="00652CE4" w:rsidRPr="00652CE4" w:rsidRDefault="00652CE4" w:rsidP="00D75D3C">
            <w:pPr>
              <w:pStyle w:val="CDITable-RowCentre"/>
            </w:pPr>
            <w:r w:rsidRPr="00652CE4">
              <w:t>140</w:t>
            </w:r>
          </w:p>
        </w:tc>
        <w:tc>
          <w:tcPr>
            <w:tcW w:w="6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0F4B0C" w14:textId="77777777" w:rsidR="00652CE4" w:rsidRPr="00652CE4" w:rsidRDefault="00652CE4" w:rsidP="00D75D3C">
            <w:pPr>
              <w:pStyle w:val="CDITable-RowCentre"/>
            </w:pPr>
            <w:r w:rsidRPr="00652CE4">
              <w:t>35</w:t>
            </w:r>
          </w:p>
        </w:tc>
        <w:tc>
          <w:tcPr>
            <w:tcW w:w="6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BEE593" w14:textId="77777777" w:rsidR="00652CE4" w:rsidRPr="00652CE4" w:rsidRDefault="00652CE4" w:rsidP="00D75D3C">
            <w:pPr>
              <w:pStyle w:val="CDITable-RowCentre"/>
            </w:pPr>
            <w:r w:rsidRPr="00652CE4">
              <w:t>33</w:t>
            </w:r>
          </w:p>
        </w:tc>
        <w:tc>
          <w:tcPr>
            <w:tcW w:w="6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7A068E" w14:textId="77777777" w:rsidR="00652CE4" w:rsidRPr="00652CE4" w:rsidRDefault="00652CE4" w:rsidP="00D75D3C">
            <w:pPr>
              <w:pStyle w:val="CDITable-RowCentre"/>
            </w:pPr>
            <w:r w:rsidRPr="00652CE4">
              <w:t>39</w:t>
            </w:r>
          </w:p>
        </w:tc>
        <w:tc>
          <w:tcPr>
            <w:tcW w:w="6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5A3A5F" w14:textId="77777777" w:rsidR="00652CE4" w:rsidRPr="00652CE4" w:rsidRDefault="00652CE4" w:rsidP="00D75D3C">
            <w:pPr>
              <w:pStyle w:val="CDITable-RowCentre"/>
            </w:pPr>
            <w:r w:rsidRPr="00652CE4">
              <w:t>56</w:t>
            </w:r>
          </w:p>
        </w:tc>
        <w:tc>
          <w:tcPr>
            <w:tcW w:w="6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7E1E9E" w14:textId="77777777" w:rsidR="00652CE4" w:rsidRPr="00652CE4" w:rsidRDefault="00652CE4" w:rsidP="00D75D3C">
            <w:pPr>
              <w:pStyle w:val="CDITable-RowCentre"/>
            </w:pPr>
            <w:r w:rsidRPr="00652CE4">
              <w:t>111</w:t>
            </w:r>
          </w:p>
        </w:tc>
        <w:tc>
          <w:tcPr>
            <w:tcW w:w="6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693E2F" w14:textId="77777777" w:rsidR="00652CE4" w:rsidRPr="00652CE4" w:rsidRDefault="00652CE4" w:rsidP="00D75D3C">
            <w:pPr>
              <w:pStyle w:val="CDITable-RowCentre"/>
            </w:pPr>
            <w:r w:rsidRPr="00652CE4">
              <w:t>12</w:t>
            </w:r>
          </w:p>
        </w:tc>
        <w:tc>
          <w:tcPr>
            <w:tcW w:w="6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83600C" w14:textId="77777777" w:rsidR="00652CE4" w:rsidRPr="00652CE4" w:rsidRDefault="00652CE4" w:rsidP="00D75D3C">
            <w:pPr>
              <w:pStyle w:val="CDITable-RowCentre"/>
            </w:pPr>
            <w:r w:rsidRPr="00652CE4">
              <w:t>0</w:t>
            </w:r>
          </w:p>
        </w:tc>
        <w:tc>
          <w:tcPr>
            <w:tcW w:w="6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08976F" w14:textId="77777777" w:rsidR="00652CE4" w:rsidRPr="00652CE4" w:rsidRDefault="00652CE4" w:rsidP="00D75D3C">
            <w:pPr>
              <w:pStyle w:val="CDITable-RowCentre"/>
            </w:pPr>
            <w:r w:rsidRPr="00652CE4">
              <w:t>7</w:t>
            </w:r>
          </w:p>
        </w:tc>
        <w:tc>
          <w:tcPr>
            <w:tcW w:w="6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A64687" w14:textId="77777777" w:rsidR="00652CE4" w:rsidRPr="00652CE4" w:rsidRDefault="00652CE4" w:rsidP="00D75D3C">
            <w:pPr>
              <w:pStyle w:val="CDITable-RowCentre"/>
            </w:pPr>
            <w:r w:rsidRPr="00652CE4">
              <w:t>20</w:t>
            </w:r>
          </w:p>
        </w:tc>
        <w:tc>
          <w:tcPr>
            <w:tcW w:w="68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EC94A3" w14:textId="77777777" w:rsidR="00652CE4" w:rsidRPr="00652CE4" w:rsidRDefault="00652CE4" w:rsidP="00D75D3C">
            <w:pPr>
              <w:pStyle w:val="CDITable-RowCentre"/>
            </w:pPr>
            <w:r w:rsidRPr="00652CE4">
              <w:t>40</w:t>
            </w:r>
          </w:p>
        </w:tc>
        <w:tc>
          <w:tcPr>
            <w:tcW w:w="73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0F2B20" w14:textId="77777777" w:rsidR="00652CE4" w:rsidRPr="00652CE4" w:rsidRDefault="00652CE4" w:rsidP="00D75D3C">
            <w:pPr>
              <w:pStyle w:val="CDITable-RowCentre"/>
            </w:pPr>
            <w:r w:rsidRPr="00652CE4">
              <w:t>493</w:t>
            </w:r>
          </w:p>
        </w:tc>
      </w:tr>
      <w:tr w:rsidR="00652CE4" w:rsidRPr="00652CE4" w14:paraId="7053F4E1" w14:textId="77777777" w:rsidTr="00652CE4">
        <w:trPr>
          <w:trHeight w:val="60"/>
        </w:trPr>
        <w:tc>
          <w:tcPr>
            <w:tcW w:w="1417" w:type="dxa"/>
            <w:tcBorders>
              <w:top w:val="single" w:sz="6" w:space="0" w:color="1E4496" w:themeColor="text2"/>
            </w:tcBorders>
            <w:tcMar>
              <w:top w:w="113" w:type="dxa"/>
              <w:left w:w="113" w:type="dxa"/>
              <w:bottom w:w="113" w:type="dxa"/>
              <w:right w:w="113" w:type="dxa"/>
            </w:tcMar>
            <w:vAlign w:val="center"/>
          </w:tcPr>
          <w:p w14:paraId="0DFB79F2" w14:textId="77777777" w:rsidR="00652CE4" w:rsidRPr="00652CE4" w:rsidRDefault="00652CE4" w:rsidP="00D75D3C">
            <w:pPr>
              <w:pStyle w:val="CDITable-RowLeft"/>
            </w:pPr>
            <w:r w:rsidRPr="00652CE4">
              <w:t>Unknown</w:t>
            </w:r>
          </w:p>
        </w:tc>
        <w:tc>
          <w:tcPr>
            <w:tcW w:w="681" w:type="dxa"/>
            <w:tcBorders>
              <w:top w:val="single" w:sz="6" w:space="0" w:color="1E4496" w:themeColor="text2"/>
            </w:tcBorders>
            <w:tcMar>
              <w:top w:w="113" w:type="dxa"/>
              <w:left w:w="113" w:type="dxa"/>
              <w:bottom w:w="113" w:type="dxa"/>
              <w:right w:w="113" w:type="dxa"/>
            </w:tcMar>
            <w:vAlign w:val="center"/>
          </w:tcPr>
          <w:p w14:paraId="0381E38D" w14:textId="77777777" w:rsidR="00652CE4" w:rsidRPr="00652CE4" w:rsidRDefault="00652CE4" w:rsidP="00D75D3C">
            <w:pPr>
              <w:pStyle w:val="CDITable-RowCentre"/>
            </w:pPr>
            <w:r w:rsidRPr="00652CE4">
              <w:t>1</w:t>
            </w:r>
          </w:p>
        </w:tc>
        <w:tc>
          <w:tcPr>
            <w:tcW w:w="680" w:type="dxa"/>
            <w:tcBorders>
              <w:top w:val="single" w:sz="6" w:space="0" w:color="1E4496" w:themeColor="text2"/>
            </w:tcBorders>
            <w:tcMar>
              <w:top w:w="113" w:type="dxa"/>
              <w:left w:w="113" w:type="dxa"/>
              <w:bottom w:w="113" w:type="dxa"/>
              <w:right w:w="113" w:type="dxa"/>
            </w:tcMar>
            <w:vAlign w:val="center"/>
          </w:tcPr>
          <w:p w14:paraId="29035943" w14:textId="77777777" w:rsidR="00652CE4" w:rsidRPr="00652CE4" w:rsidRDefault="00652CE4" w:rsidP="00D75D3C">
            <w:pPr>
              <w:pStyle w:val="CDITable-RowCentre"/>
            </w:pPr>
            <w:r w:rsidRPr="00652CE4">
              <w:t>0</w:t>
            </w:r>
          </w:p>
        </w:tc>
        <w:tc>
          <w:tcPr>
            <w:tcW w:w="680" w:type="dxa"/>
            <w:tcBorders>
              <w:top w:val="single" w:sz="6" w:space="0" w:color="1E4496" w:themeColor="text2"/>
            </w:tcBorders>
            <w:tcMar>
              <w:top w:w="113" w:type="dxa"/>
              <w:left w:w="113" w:type="dxa"/>
              <w:bottom w:w="113" w:type="dxa"/>
              <w:right w:w="113" w:type="dxa"/>
            </w:tcMar>
            <w:vAlign w:val="center"/>
          </w:tcPr>
          <w:p w14:paraId="00842C4C" w14:textId="77777777" w:rsidR="00652CE4" w:rsidRPr="00652CE4" w:rsidRDefault="00652CE4" w:rsidP="00D75D3C">
            <w:pPr>
              <w:pStyle w:val="CDITable-RowCentre"/>
            </w:pPr>
            <w:r w:rsidRPr="00652CE4">
              <w:t>4</w:t>
            </w:r>
          </w:p>
        </w:tc>
        <w:tc>
          <w:tcPr>
            <w:tcW w:w="681" w:type="dxa"/>
            <w:tcBorders>
              <w:top w:val="single" w:sz="6" w:space="0" w:color="1E4496" w:themeColor="text2"/>
            </w:tcBorders>
            <w:tcMar>
              <w:top w:w="113" w:type="dxa"/>
              <w:left w:w="113" w:type="dxa"/>
              <w:bottom w:w="113" w:type="dxa"/>
              <w:right w:w="113" w:type="dxa"/>
            </w:tcMar>
            <w:vAlign w:val="center"/>
          </w:tcPr>
          <w:p w14:paraId="69A401A0" w14:textId="77777777" w:rsidR="00652CE4" w:rsidRPr="00652CE4" w:rsidRDefault="00652CE4" w:rsidP="00D75D3C">
            <w:pPr>
              <w:pStyle w:val="CDITable-RowCentre"/>
            </w:pPr>
            <w:r w:rsidRPr="00652CE4">
              <w:t>1</w:t>
            </w:r>
          </w:p>
        </w:tc>
        <w:tc>
          <w:tcPr>
            <w:tcW w:w="680" w:type="dxa"/>
            <w:tcBorders>
              <w:top w:val="single" w:sz="6" w:space="0" w:color="1E4496" w:themeColor="text2"/>
            </w:tcBorders>
            <w:tcMar>
              <w:top w:w="113" w:type="dxa"/>
              <w:left w:w="113" w:type="dxa"/>
              <w:bottom w:w="113" w:type="dxa"/>
              <w:right w:w="113" w:type="dxa"/>
            </w:tcMar>
            <w:vAlign w:val="center"/>
          </w:tcPr>
          <w:p w14:paraId="53DF42CC" w14:textId="77777777" w:rsidR="00652CE4" w:rsidRPr="00652CE4" w:rsidRDefault="00652CE4" w:rsidP="00D75D3C">
            <w:pPr>
              <w:pStyle w:val="CDITable-RowCentre"/>
            </w:pPr>
            <w:r w:rsidRPr="00652CE4">
              <w:t>1</w:t>
            </w:r>
          </w:p>
        </w:tc>
        <w:tc>
          <w:tcPr>
            <w:tcW w:w="680" w:type="dxa"/>
            <w:tcBorders>
              <w:top w:val="single" w:sz="6" w:space="0" w:color="1E4496" w:themeColor="text2"/>
            </w:tcBorders>
            <w:tcMar>
              <w:top w:w="113" w:type="dxa"/>
              <w:left w:w="113" w:type="dxa"/>
              <w:bottom w:w="113" w:type="dxa"/>
              <w:right w:w="113" w:type="dxa"/>
            </w:tcMar>
            <w:vAlign w:val="center"/>
          </w:tcPr>
          <w:p w14:paraId="37127216" w14:textId="77777777" w:rsidR="00652CE4" w:rsidRPr="00652CE4" w:rsidRDefault="00652CE4" w:rsidP="00D75D3C">
            <w:pPr>
              <w:pStyle w:val="CDITable-RowCentre"/>
            </w:pPr>
            <w:r w:rsidRPr="00652CE4">
              <w:t>1</w:t>
            </w:r>
          </w:p>
        </w:tc>
        <w:tc>
          <w:tcPr>
            <w:tcW w:w="681" w:type="dxa"/>
            <w:tcBorders>
              <w:top w:val="single" w:sz="6" w:space="0" w:color="1E4496" w:themeColor="text2"/>
            </w:tcBorders>
            <w:tcMar>
              <w:top w:w="113" w:type="dxa"/>
              <w:left w:w="113" w:type="dxa"/>
              <w:bottom w:w="113" w:type="dxa"/>
              <w:right w:w="113" w:type="dxa"/>
            </w:tcMar>
            <w:vAlign w:val="center"/>
          </w:tcPr>
          <w:p w14:paraId="59AF97FF" w14:textId="77777777" w:rsidR="00652CE4" w:rsidRPr="00652CE4" w:rsidRDefault="00652CE4" w:rsidP="00D75D3C">
            <w:pPr>
              <w:pStyle w:val="CDITable-RowCentre"/>
            </w:pPr>
            <w:r w:rsidRPr="00652CE4">
              <w:t>1</w:t>
            </w:r>
          </w:p>
        </w:tc>
        <w:tc>
          <w:tcPr>
            <w:tcW w:w="680" w:type="dxa"/>
            <w:tcBorders>
              <w:top w:val="single" w:sz="6" w:space="0" w:color="1E4496" w:themeColor="text2"/>
            </w:tcBorders>
            <w:tcMar>
              <w:top w:w="113" w:type="dxa"/>
              <w:left w:w="113" w:type="dxa"/>
              <w:bottom w:w="113" w:type="dxa"/>
              <w:right w:w="113" w:type="dxa"/>
            </w:tcMar>
            <w:vAlign w:val="center"/>
          </w:tcPr>
          <w:p w14:paraId="406701F4" w14:textId="77777777" w:rsidR="00652CE4" w:rsidRPr="00652CE4" w:rsidRDefault="00652CE4" w:rsidP="00D75D3C">
            <w:pPr>
              <w:pStyle w:val="CDITable-RowCentre"/>
            </w:pPr>
            <w:r w:rsidRPr="00652CE4">
              <w:t>0</w:t>
            </w:r>
          </w:p>
        </w:tc>
        <w:tc>
          <w:tcPr>
            <w:tcW w:w="680" w:type="dxa"/>
            <w:tcBorders>
              <w:top w:val="single" w:sz="6" w:space="0" w:color="1E4496" w:themeColor="text2"/>
            </w:tcBorders>
            <w:tcMar>
              <w:top w:w="113" w:type="dxa"/>
              <w:left w:w="113" w:type="dxa"/>
              <w:bottom w:w="113" w:type="dxa"/>
              <w:right w:w="113" w:type="dxa"/>
            </w:tcMar>
            <w:vAlign w:val="center"/>
          </w:tcPr>
          <w:p w14:paraId="4AC2D232" w14:textId="77777777" w:rsidR="00652CE4" w:rsidRPr="00652CE4" w:rsidRDefault="00652CE4" w:rsidP="00D75D3C">
            <w:pPr>
              <w:pStyle w:val="CDITable-RowCentre"/>
            </w:pPr>
            <w:r w:rsidRPr="00652CE4">
              <w:t>0</w:t>
            </w:r>
          </w:p>
        </w:tc>
        <w:tc>
          <w:tcPr>
            <w:tcW w:w="680" w:type="dxa"/>
            <w:tcBorders>
              <w:top w:val="single" w:sz="6" w:space="0" w:color="1E4496" w:themeColor="text2"/>
            </w:tcBorders>
            <w:tcMar>
              <w:top w:w="113" w:type="dxa"/>
              <w:left w:w="113" w:type="dxa"/>
              <w:bottom w:w="113" w:type="dxa"/>
              <w:right w:w="113" w:type="dxa"/>
            </w:tcMar>
            <w:vAlign w:val="center"/>
          </w:tcPr>
          <w:p w14:paraId="2F0698DD" w14:textId="77777777" w:rsidR="00652CE4" w:rsidRPr="00652CE4" w:rsidRDefault="00652CE4" w:rsidP="00D75D3C">
            <w:pPr>
              <w:pStyle w:val="CDITable-RowCentre"/>
            </w:pPr>
            <w:r w:rsidRPr="00652CE4">
              <w:t>0</w:t>
            </w:r>
          </w:p>
        </w:tc>
        <w:tc>
          <w:tcPr>
            <w:tcW w:w="681" w:type="dxa"/>
            <w:tcBorders>
              <w:top w:val="single" w:sz="6" w:space="0" w:color="1E4496" w:themeColor="text2"/>
            </w:tcBorders>
            <w:tcMar>
              <w:top w:w="113" w:type="dxa"/>
              <w:left w:w="113" w:type="dxa"/>
              <w:bottom w:w="113" w:type="dxa"/>
              <w:right w:w="113" w:type="dxa"/>
            </w:tcMar>
            <w:vAlign w:val="center"/>
          </w:tcPr>
          <w:p w14:paraId="2B2321D1" w14:textId="77777777" w:rsidR="00652CE4" w:rsidRPr="00652CE4" w:rsidRDefault="00652CE4" w:rsidP="00D75D3C">
            <w:pPr>
              <w:pStyle w:val="CDITable-RowCentre"/>
            </w:pPr>
            <w:r w:rsidRPr="00652CE4">
              <w:t>0</w:t>
            </w:r>
          </w:p>
        </w:tc>
        <w:tc>
          <w:tcPr>
            <w:tcW w:w="737" w:type="dxa"/>
            <w:tcBorders>
              <w:top w:val="single" w:sz="6" w:space="0" w:color="1E4496" w:themeColor="text2"/>
            </w:tcBorders>
            <w:tcMar>
              <w:top w:w="113" w:type="dxa"/>
              <w:left w:w="113" w:type="dxa"/>
              <w:bottom w:w="113" w:type="dxa"/>
              <w:right w:w="113" w:type="dxa"/>
            </w:tcMar>
            <w:vAlign w:val="center"/>
          </w:tcPr>
          <w:p w14:paraId="7DD505FF" w14:textId="77777777" w:rsidR="00652CE4" w:rsidRPr="00652CE4" w:rsidRDefault="00652CE4" w:rsidP="00D75D3C">
            <w:pPr>
              <w:pStyle w:val="CDITable-RowCentre"/>
            </w:pPr>
            <w:r w:rsidRPr="00652CE4">
              <w:t>9</w:t>
            </w:r>
          </w:p>
        </w:tc>
      </w:tr>
      <w:tr w:rsidR="00652CE4" w:rsidRPr="00652CE4" w14:paraId="7A0B30ED" w14:textId="77777777" w:rsidTr="00652CE4">
        <w:trPr>
          <w:trHeight w:val="60"/>
        </w:trPr>
        <w:tc>
          <w:tcPr>
            <w:tcW w:w="141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FE655A5" w14:textId="77777777" w:rsidR="00652CE4" w:rsidRPr="00652CE4" w:rsidRDefault="00652CE4" w:rsidP="00D75D3C">
            <w:pPr>
              <w:pStyle w:val="CDITable-TotalRowLeft"/>
            </w:pPr>
            <w:r w:rsidRPr="00652CE4">
              <w:t>Total</w:t>
            </w:r>
          </w:p>
        </w:tc>
        <w:tc>
          <w:tcPr>
            <w:tcW w:w="68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270892A" w14:textId="77777777" w:rsidR="00652CE4" w:rsidRPr="00652CE4" w:rsidRDefault="00652CE4" w:rsidP="00D75D3C">
            <w:pPr>
              <w:pStyle w:val="CDITable-TotalRowCentre"/>
            </w:pPr>
            <w:r w:rsidRPr="00652CE4">
              <w:t>339</w:t>
            </w:r>
          </w:p>
        </w:tc>
        <w:tc>
          <w:tcPr>
            <w:tcW w:w="68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24ACB27" w14:textId="77777777" w:rsidR="00652CE4" w:rsidRPr="00652CE4" w:rsidRDefault="00652CE4" w:rsidP="00D75D3C">
            <w:pPr>
              <w:pStyle w:val="CDITable-TotalRowCentre"/>
            </w:pPr>
            <w:r w:rsidRPr="00652CE4">
              <w:t>74</w:t>
            </w:r>
          </w:p>
        </w:tc>
        <w:tc>
          <w:tcPr>
            <w:tcW w:w="68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A60682B" w14:textId="77777777" w:rsidR="00652CE4" w:rsidRPr="00652CE4" w:rsidRDefault="00652CE4" w:rsidP="00D75D3C">
            <w:pPr>
              <w:pStyle w:val="CDITable-TotalRowCentre"/>
            </w:pPr>
            <w:r w:rsidRPr="00652CE4">
              <w:t>99</w:t>
            </w:r>
          </w:p>
        </w:tc>
        <w:tc>
          <w:tcPr>
            <w:tcW w:w="68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F88FAA8" w14:textId="77777777" w:rsidR="00652CE4" w:rsidRPr="00652CE4" w:rsidRDefault="00652CE4" w:rsidP="00D75D3C">
            <w:pPr>
              <w:pStyle w:val="CDITable-TotalRowCentre"/>
            </w:pPr>
            <w:r w:rsidRPr="00652CE4">
              <w:t>81</w:t>
            </w:r>
          </w:p>
        </w:tc>
        <w:tc>
          <w:tcPr>
            <w:tcW w:w="68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504F259" w14:textId="77777777" w:rsidR="00652CE4" w:rsidRPr="00652CE4" w:rsidRDefault="00652CE4" w:rsidP="00D75D3C">
            <w:pPr>
              <w:pStyle w:val="CDITable-TotalRowCentre"/>
            </w:pPr>
            <w:r w:rsidRPr="00652CE4">
              <w:t>103</w:t>
            </w:r>
          </w:p>
        </w:tc>
        <w:tc>
          <w:tcPr>
            <w:tcW w:w="68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9D208C9" w14:textId="77777777" w:rsidR="00652CE4" w:rsidRPr="00652CE4" w:rsidRDefault="00652CE4" w:rsidP="00D75D3C">
            <w:pPr>
              <w:pStyle w:val="CDITable-TotalRowCentre"/>
            </w:pPr>
            <w:r w:rsidRPr="00652CE4">
              <w:t>284</w:t>
            </w:r>
          </w:p>
        </w:tc>
        <w:tc>
          <w:tcPr>
            <w:tcW w:w="68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9A7F9A9" w14:textId="77777777" w:rsidR="00652CE4" w:rsidRPr="00652CE4" w:rsidRDefault="00652CE4" w:rsidP="00D75D3C">
            <w:pPr>
              <w:pStyle w:val="CDITable-TotalRowCentre"/>
            </w:pPr>
            <w:r w:rsidRPr="00652CE4">
              <w:t>25</w:t>
            </w:r>
          </w:p>
        </w:tc>
        <w:tc>
          <w:tcPr>
            <w:tcW w:w="68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C219EC9" w14:textId="77777777" w:rsidR="00652CE4" w:rsidRPr="00652CE4" w:rsidRDefault="00652CE4" w:rsidP="00D75D3C">
            <w:pPr>
              <w:pStyle w:val="CDITable-TotalRowCentre"/>
            </w:pPr>
            <w:r w:rsidRPr="00652CE4">
              <w:t>0</w:t>
            </w:r>
          </w:p>
        </w:tc>
        <w:tc>
          <w:tcPr>
            <w:tcW w:w="68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0D56F6B" w14:textId="77777777" w:rsidR="00652CE4" w:rsidRPr="00652CE4" w:rsidRDefault="00652CE4" w:rsidP="00D75D3C">
            <w:pPr>
              <w:pStyle w:val="CDITable-TotalRowCentre"/>
            </w:pPr>
            <w:r w:rsidRPr="00652CE4">
              <w:t>7</w:t>
            </w:r>
          </w:p>
        </w:tc>
        <w:tc>
          <w:tcPr>
            <w:tcW w:w="68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7203304" w14:textId="77777777" w:rsidR="00652CE4" w:rsidRPr="00652CE4" w:rsidRDefault="00652CE4" w:rsidP="00D75D3C">
            <w:pPr>
              <w:pStyle w:val="CDITable-TotalRowCentre"/>
            </w:pPr>
            <w:r w:rsidRPr="00652CE4">
              <w:t>26</w:t>
            </w:r>
          </w:p>
        </w:tc>
        <w:tc>
          <w:tcPr>
            <w:tcW w:w="68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951DD71" w14:textId="77777777" w:rsidR="00652CE4" w:rsidRPr="00652CE4" w:rsidRDefault="00652CE4" w:rsidP="00D75D3C">
            <w:pPr>
              <w:pStyle w:val="CDITable-TotalRowCentre"/>
            </w:pPr>
            <w:r w:rsidRPr="00652CE4">
              <w:t>57</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4A932B5" w14:textId="77777777" w:rsidR="00652CE4" w:rsidRPr="00652CE4" w:rsidRDefault="00652CE4" w:rsidP="00D75D3C">
            <w:pPr>
              <w:pStyle w:val="CDITable-TotalRowCentre"/>
            </w:pPr>
            <w:r w:rsidRPr="00652CE4">
              <w:t>1,095</w:t>
            </w:r>
          </w:p>
        </w:tc>
      </w:tr>
    </w:tbl>
    <w:p w14:paraId="1A60F8E0" w14:textId="77777777" w:rsidR="00652CE4" w:rsidRDefault="00652CE4" w:rsidP="00652CE4">
      <w:pPr>
        <w:pStyle w:val="CDITable-FirstFootnote"/>
        <w:rPr>
          <w:lang w:val="en-GB"/>
        </w:rPr>
      </w:pPr>
      <w:r w:rsidRPr="00652CE4">
        <w:rPr>
          <w:lang w:val="en-GB"/>
        </w:rPr>
        <w:t>a</w:t>
      </w:r>
      <w:r w:rsidRPr="00652CE4">
        <w:rPr>
          <w:lang w:val="en-GB"/>
        </w:rPr>
        <w:tab/>
        <w:t>Cases where the NNDSS country of acquisition field was Australia.</w:t>
      </w:r>
    </w:p>
    <w:p w14:paraId="2068136C" w14:textId="162C2290" w:rsidR="00652CE4" w:rsidRPr="00652CE4" w:rsidRDefault="00652CE4" w:rsidP="00652CE4">
      <w:pPr>
        <w:pStyle w:val="Normal-morespacebefore"/>
        <w:rPr>
          <w:lang w:val="en-GB"/>
        </w:rPr>
      </w:pPr>
      <w:r w:rsidRPr="00652CE4">
        <w:rPr>
          <w:lang w:val="en-GB"/>
        </w:rPr>
        <w:t xml:space="preserve">Across the total period, the most common WHO region of importation was the Western Pacific Region (WPR) (221 cases acquired in this region; 44.8% of total overseas-acquired cases), followed by the </w:t>
      </w:r>
      <w:proofErr w:type="gramStart"/>
      <w:r w:rsidRPr="00652CE4">
        <w:rPr>
          <w:lang w:val="en-GB"/>
        </w:rPr>
        <w:t>South East</w:t>
      </w:r>
      <w:proofErr w:type="gramEnd"/>
      <w:r w:rsidRPr="00652CE4">
        <w:rPr>
          <w:lang w:val="en-GB"/>
        </w:rPr>
        <w:t xml:space="preserve"> Asian Region (SEAR) (204 cases; 41.4%) (Table 6). </w:t>
      </w:r>
    </w:p>
    <w:p w14:paraId="53BDE25C" w14:textId="77777777" w:rsidR="00652CE4" w:rsidRPr="00652CE4" w:rsidRDefault="00652CE4" w:rsidP="00652CE4">
      <w:pPr>
        <w:rPr>
          <w:lang w:val="en-GB"/>
        </w:rPr>
      </w:pPr>
      <w:r w:rsidRPr="00652CE4">
        <w:rPr>
          <w:lang w:val="en-GB"/>
        </w:rPr>
        <w:t>The most common countries of acquisition from each of these regions varied year to year, with Indonesia the top contributor from the SEAR in 2014, 2016, 2017 and 2023;</w:t>
      </w:r>
      <w:r w:rsidRPr="00652CE4">
        <w:rPr>
          <w:vertAlign w:val="superscript"/>
          <w:lang w:val="en-GB"/>
        </w:rPr>
        <w:footnoteReference w:id="4"/>
      </w:r>
      <w:r w:rsidRPr="00652CE4">
        <w:rPr>
          <w:lang w:val="en-GB"/>
        </w:rPr>
        <w:t xml:space="preserve"> India in 2015 and 2024; and Thailand in 2018 and 2019. From the WPR, the top countries of acquisition were the Philippines in 2014 and 2018 and New Zealand in 2019 (followed very closely by the Philippines in the same year).</w:t>
      </w:r>
    </w:p>
    <w:p w14:paraId="36A1D23E" w14:textId="77777777" w:rsidR="00652CE4" w:rsidRPr="00652CE4" w:rsidRDefault="00652CE4" w:rsidP="00652CE4">
      <w:pPr>
        <w:rPr>
          <w:lang w:val="en-GB"/>
        </w:rPr>
      </w:pPr>
      <w:r w:rsidRPr="00652CE4">
        <w:rPr>
          <w:lang w:val="en-GB"/>
        </w:rPr>
        <w:t>Only two cases were acquired from the WPR in 2022 (from Malaysia), and no cases were acquired from the WPR in 2023. Finally, in 2024, Viet Nam accounted for the highest proportion of cases acquired from the WPR (9/40, 22.5%). These patterns generally coincide with peaks in cases within SEAR and WPR countries. For example, both Indonesia and the Philippines were among the top 10 countries globally for measles notifications in 2014, and Thailand was in the top 20 in 2018 and 2019.</w:t>
      </w:r>
      <w:r w:rsidRPr="00652CE4">
        <w:rPr>
          <w:vertAlign w:val="superscript"/>
          <w:lang w:val="en-GB"/>
        </w:rPr>
        <w:t>5</w:t>
      </w:r>
      <w:r w:rsidRPr="00652CE4">
        <w:rPr>
          <w:lang w:val="en-GB"/>
        </w:rPr>
        <w:t xml:space="preserve"> </w:t>
      </w:r>
    </w:p>
    <w:p w14:paraId="03DFFAF6" w14:textId="77777777" w:rsidR="00652CE4" w:rsidRDefault="00652CE4" w:rsidP="00652CE4">
      <w:pPr>
        <w:rPr>
          <w:lang w:val="en-GB"/>
        </w:rPr>
        <w:sectPr w:rsidR="00652CE4" w:rsidSect="001E3ECB">
          <w:footnotePr>
            <w:numFmt w:val="lowerRoman"/>
          </w:footnotePr>
          <w:pgSz w:w="11907" w:h="16840" w:code="9"/>
          <w:pgMar w:top="1134" w:right="1134" w:bottom="1134" w:left="1134" w:header="709" w:footer="567" w:gutter="0"/>
          <w:cols w:space="708"/>
          <w:docGrid w:linePitch="360"/>
        </w:sectPr>
      </w:pPr>
      <w:r w:rsidRPr="00652CE4">
        <w:rPr>
          <w:lang w:val="en-GB"/>
        </w:rPr>
        <w:t>These countries from the WPR and SEAR are popular for overseas travel by Australians, with New Zealand, Indonesia, Thailand, Indonesia and Viet Nam in the top ten travel destinations in 2019,</w:t>
      </w:r>
      <w:r w:rsidRPr="00652CE4">
        <w:rPr>
          <w:vertAlign w:val="superscript"/>
          <w:lang w:val="en-GB"/>
        </w:rPr>
        <w:t>18</w:t>
      </w:r>
      <w:r w:rsidRPr="00652CE4">
        <w:rPr>
          <w:lang w:val="en-GB"/>
        </w:rPr>
        <w:t xml:space="preserve"> and Indonesia overtaking New Zealand as the top destination for Australians in 2025 for the first time in 50 years.</w:t>
      </w:r>
      <w:r w:rsidRPr="00652CE4">
        <w:rPr>
          <w:vertAlign w:val="superscript"/>
          <w:lang w:val="en-GB"/>
        </w:rPr>
        <w:t>19</w:t>
      </w:r>
      <w:r w:rsidRPr="00652CE4">
        <w:rPr>
          <w:lang w:val="en-GB"/>
        </w:rPr>
        <w:t xml:space="preserve"> </w:t>
      </w:r>
    </w:p>
    <w:p w14:paraId="55767853" w14:textId="77777777" w:rsidR="00652CE4" w:rsidRDefault="00652CE4" w:rsidP="00652CE4">
      <w:pPr>
        <w:pStyle w:val="CDITable-Title"/>
        <w:spacing w:before="0"/>
      </w:pPr>
      <w:r>
        <w:lastRenderedPageBreak/>
        <w:t>Table 6: Numbers of overseas acquired measles cases by WHO region and country of acquisition, Australia 2014–2024</w:t>
      </w:r>
    </w:p>
    <w:tbl>
      <w:tblPr>
        <w:tblW w:w="0" w:type="auto"/>
        <w:tblLayout w:type="fixed"/>
        <w:tblCellMar>
          <w:left w:w="0" w:type="dxa"/>
          <w:right w:w="0" w:type="dxa"/>
        </w:tblCellMar>
        <w:tblLook w:val="0000" w:firstRow="0" w:lastRow="0" w:firstColumn="0" w:lastColumn="0" w:noHBand="0" w:noVBand="0"/>
        <w:tblCaption w:val="Table 6: Numbers of overseas acquired measles cases by WHO region and country of acquisition, Australia 2014–2024"/>
        <w:tblDescription w:val="Table 6: Presents counts per year of measles cases notified to the National Notifiable Disease Surveillance System (NNDSS) by reported country of acquisition (including country unknown), grouped by World Health Organization Region. "/>
      </w:tblPr>
      <w:tblGrid>
        <w:gridCol w:w="1814"/>
        <w:gridCol w:w="2608"/>
        <w:gridCol w:w="737"/>
        <w:gridCol w:w="737"/>
        <w:gridCol w:w="737"/>
        <w:gridCol w:w="737"/>
        <w:gridCol w:w="737"/>
        <w:gridCol w:w="737"/>
        <w:gridCol w:w="737"/>
        <w:gridCol w:w="737"/>
        <w:gridCol w:w="737"/>
        <w:gridCol w:w="737"/>
        <w:gridCol w:w="737"/>
        <w:gridCol w:w="907"/>
        <w:gridCol w:w="907"/>
      </w:tblGrid>
      <w:tr w:rsidR="00652CE4" w:rsidRPr="00652CE4" w14:paraId="353E6B3B" w14:textId="77777777" w:rsidTr="00C47712">
        <w:trPr>
          <w:trHeight w:val="60"/>
          <w:tblHeader/>
        </w:trPr>
        <w:tc>
          <w:tcPr>
            <w:tcW w:w="1814" w:type="dxa"/>
            <w:vMerge w:val="restart"/>
            <w:shd w:val="clear" w:color="auto" w:fill="1E4496" w:themeFill="text2"/>
            <w:tcMar>
              <w:top w:w="57" w:type="dxa"/>
              <w:left w:w="113" w:type="dxa"/>
              <w:bottom w:w="57" w:type="dxa"/>
              <w:right w:w="113" w:type="dxa"/>
            </w:tcMar>
            <w:vAlign w:val="bottom"/>
          </w:tcPr>
          <w:p w14:paraId="5E7D50FC" w14:textId="77777777" w:rsidR="00652CE4" w:rsidRPr="00652CE4" w:rsidRDefault="00652CE4" w:rsidP="00652CE4">
            <w:pPr>
              <w:pStyle w:val="CDITable-HeaderRowLeft"/>
            </w:pPr>
            <w:r w:rsidRPr="00652CE4">
              <w:t>WHO region</w:t>
            </w:r>
          </w:p>
        </w:tc>
        <w:tc>
          <w:tcPr>
            <w:tcW w:w="2608" w:type="dxa"/>
            <w:vMerge w:val="restart"/>
            <w:shd w:val="clear" w:color="auto" w:fill="1E4496" w:themeFill="text2"/>
            <w:tcMar>
              <w:top w:w="57" w:type="dxa"/>
              <w:left w:w="113" w:type="dxa"/>
              <w:bottom w:w="57" w:type="dxa"/>
              <w:right w:w="113" w:type="dxa"/>
            </w:tcMar>
            <w:vAlign w:val="bottom"/>
          </w:tcPr>
          <w:p w14:paraId="0898B0E9" w14:textId="77777777" w:rsidR="00652CE4" w:rsidRPr="00652CE4" w:rsidRDefault="00652CE4" w:rsidP="00652CE4">
            <w:pPr>
              <w:pStyle w:val="CDITable-HeaderRowLeft"/>
            </w:pPr>
            <w:r w:rsidRPr="00652CE4">
              <w:t>Country of acquisition</w:t>
            </w:r>
          </w:p>
        </w:tc>
        <w:tc>
          <w:tcPr>
            <w:tcW w:w="737" w:type="dxa"/>
            <w:vMerge w:val="restart"/>
            <w:shd w:val="clear" w:color="auto" w:fill="1E4496" w:themeFill="text2"/>
            <w:tcMar>
              <w:top w:w="57" w:type="dxa"/>
              <w:left w:w="113" w:type="dxa"/>
              <w:bottom w:w="57" w:type="dxa"/>
              <w:right w:w="113" w:type="dxa"/>
            </w:tcMar>
            <w:vAlign w:val="bottom"/>
          </w:tcPr>
          <w:p w14:paraId="64C79A8E" w14:textId="77777777" w:rsidR="00652CE4" w:rsidRPr="00652CE4" w:rsidRDefault="00652CE4" w:rsidP="00652CE4">
            <w:pPr>
              <w:pStyle w:val="CDITable-HeaderRowCentre"/>
            </w:pPr>
            <w:r w:rsidRPr="00652CE4">
              <w:t>2014</w:t>
            </w:r>
          </w:p>
        </w:tc>
        <w:tc>
          <w:tcPr>
            <w:tcW w:w="737" w:type="dxa"/>
            <w:vMerge w:val="restart"/>
            <w:shd w:val="clear" w:color="auto" w:fill="1E4496" w:themeFill="text2"/>
            <w:tcMar>
              <w:top w:w="57" w:type="dxa"/>
              <w:left w:w="113" w:type="dxa"/>
              <w:bottom w:w="57" w:type="dxa"/>
              <w:right w:w="113" w:type="dxa"/>
            </w:tcMar>
            <w:vAlign w:val="bottom"/>
          </w:tcPr>
          <w:p w14:paraId="58813777" w14:textId="77777777" w:rsidR="00652CE4" w:rsidRPr="00652CE4" w:rsidRDefault="00652CE4" w:rsidP="00652CE4">
            <w:pPr>
              <w:pStyle w:val="CDITable-HeaderRowCentre"/>
            </w:pPr>
            <w:r w:rsidRPr="00652CE4">
              <w:t>2015</w:t>
            </w:r>
          </w:p>
        </w:tc>
        <w:tc>
          <w:tcPr>
            <w:tcW w:w="737" w:type="dxa"/>
            <w:vMerge w:val="restart"/>
            <w:shd w:val="clear" w:color="auto" w:fill="1E4496" w:themeFill="text2"/>
            <w:tcMar>
              <w:top w:w="57" w:type="dxa"/>
              <w:left w:w="113" w:type="dxa"/>
              <w:bottom w:w="57" w:type="dxa"/>
              <w:right w:w="113" w:type="dxa"/>
            </w:tcMar>
            <w:vAlign w:val="bottom"/>
          </w:tcPr>
          <w:p w14:paraId="7039B010" w14:textId="77777777" w:rsidR="00652CE4" w:rsidRPr="00652CE4" w:rsidRDefault="00652CE4" w:rsidP="00652CE4">
            <w:pPr>
              <w:pStyle w:val="CDITable-HeaderRowCentre"/>
            </w:pPr>
            <w:r w:rsidRPr="00652CE4">
              <w:t>2016</w:t>
            </w:r>
          </w:p>
        </w:tc>
        <w:tc>
          <w:tcPr>
            <w:tcW w:w="737" w:type="dxa"/>
            <w:vMerge w:val="restart"/>
            <w:shd w:val="clear" w:color="auto" w:fill="1E4496" w:themeFill="text2"/>
            <w:tcMar>
              <w:top w:w="57" w:type="dxa"/>
              <w:left w:w="113" w:type="dxa"/>
              <w:bottom w:w="57" w:type="dxa"/>
              <w:right w:w="113" w:type="dxa"/>
            </w:tcMar>
            <w:vAlign w:val="bottom"/>
          </w:tcPr>
          <w:p w14:paraId="70243BDD" w14:textId="77777777" w:rsidR="00652CE4" w:rsidRPr="00652CE4" w:rsidRDefault="00652CE4" w:rsidP="00652CE4">
            <w:pPr>
              <w:pStyle w:val="CDITable-HeaderRowCentre"/>
            </w:pPr>
            <w:r w:rsidRPr="00652CE4">
              <w:t>2017</w:t>
            </w:r>
          </w:p>
        </w:tc>
        <w:tc>
          <w:tcPr>
            <w:tcW w:w="737" w:type="dxa"/>
            <w:vMerge w:val="restart"/>
            <w:shd w:val="clear" w:color="auto" w:fill="1E4496" w:themeFill="text2"/>
            <w:tcMar>
              <w:top w:w="57" w:type="dxa"/>
              <w:left w:w="113" w:type="dxa"/>
              <w:bottom w:w="57" w:type="dxa"/>
              <w:right w:w="113" w:type="dxa"/>
            </w:tcMar>
            <w:vAlign w:val="bottom"/>
          </w:tcPr>
          <w:p w14:paraId="39197669" w14:textId="77777777" w:rsidR="00652CE4" w:rsidRPr="00652CE4" w:rsidRDefault="00652CE4" w:rsidP="00652CE4">
            <w:pPr>
              <w:pStyle w:val="CDITable-HeaderRowCentre"/>
            </w:pPr>
            <w:r w:rsidRPr="00652CE4">
              <w:t>2018</w:t>
            </w:r>
          </w:p>
        </w:tc>
        <w:tc>
          <w:tcPr>
            <w:tcW w:w="737" w:type="dxa"/>
            <w:vMerge w:val="restart"/>
            <w:shd w:val="clear" w:color="auto" w:fill="1E4496" w:themeFill="text2"/>
            <w:tcMar>
              <w:top w:w="57" w:type="dxa"/>
              <w:left w:w="113" w:type="dxa"/>
              <w:bottom w:w="57" w:type="dxa"/>
              <w:right w:w="113" w:type="dxa"/>
            </w:tcMar>
            <w:vAlign w:val="bottom"/>
          </w:tcPr>
          <w:p w14:paraId="20E06DFE" w14:textId="77777777" w:rsidR="00652CE4" w:rsidRPr="00652CE4" w:rsidRDefault="00652CE4" w:rsidP="00652CE4">
            <w:pPr>
              <w:pStyle w:val="CDITable-HeaderRowCentre"/>
            </w:pPr>
            <w:r w:rsidRPr="00652CE4">
              <w:t>2019</w:t>
            </w:r>
          </w:p>
        </w:tc>
        <w:tc>
          <w:tcPr>
            <w:tcW w:w="737" w:type="dxa"/>
            <w:vMerge w:val="restart"/>
            <w:shd w:val="clear" w:color="auto" w:fill="1E4496" w:themeFill="text2"/>
            <w:tcMar>
              <w:top w:w="57" w:type="dxa"/>
              <w:left w:w="113" w:type="dxa"/>
              <w:bottom w:w="57" w:type="dxa"/>
              <w:right w:w="113" w:type="dxa"/>
            </w:tcMar>
            <w:vAlign w:val="bottom"/>
          </w:tcPr>
          <w:p w14:paraId="5CE86690" w14:textId="77777777" w:rsidR="00652CE4" w:rsidRPr="00652CE4" w:rsidRDefault="00652CE4" w:rsidP="00652CE4">
            <w:pPr>
              <w:pStyle w:val="CDITable-HeaderRowCentre"/>
            </w:pPr>
            <w:r w:rsidRPr="00652CE4">
              <w:t>2020</w:t>
            </w:r>
          </w:p>
        </w:tc>
        <w:tc>
          <w:tcPr>
            <w:tcW w:w="737" w:type="dxa"/>
            <w:vMerge w:val="restart"/>
            <w:shd w:val="clear" w:color="auto" w:fill="1E4496" w:themeFill="text2"/>
            <w:tcMar>
              <w:top w:w="57" w:type="dxa"/>
              <w:left w:w="113" w:type="dxa"/>
              <w:bottom w:w="57" w:type="dxa"/>
              <w:right w:w="113" w:type="dxa"/>
            </w:tcMar>
            <w:vAlign w:val="bottom"/>
          </w:tcPr>
          <w:p w14:paraId="5AB3927B" w14:textId="77777777" w:rsidR="00652CE4" w:rsidRPr="00652CE4" w:rsidRDefault="00652CE4" w:rsidP="00652CE4">
            <w:pPr>
              <w:pStyle w:val="CDITable-HeaderRowCentre"/>
            </w:pPr>
            <w:r w:rsidRPr="00652CE4">
              <w:t>2021</w:t>
            </w:r>
          </w:p>
        </w:tc>
        <w:tc>
          <w:tcPr>
            <w:tcW w:w="737" w:type="dxa"/>
            <w:vMerge w:val="restart"/>
            <w:shd w:val="clear" w:color="auto" w:fill="1E4496" w:themeFill="text2"/>
            <w:tcMar>
              <w:top w:w="57" w:type="dxa"/>
              <w:left w:w="113" w:type="dxa"/>
              <w:bottom w:w="57" w:type="dxa"/>
              <w:right w:w="113" w:type="dxa"/>
            </w:tcMar>
            <w:vAlign w:val="bottom"/>
          </w:tcPr>
          <w:p w14:paraId="36074F4D" w14:textId="77777777" w:rsidR="00652CE4" w:rsidRPr="00652CE4" w:rsidRDefault="00652CE4" w:rsidP="00652CE4">
            <w:pPr>
              <w:pStyle w:val="CDITable-HeaderRowCentre"/>
            </w:pPr>
            <w:r w:rsidRPr="00652CE4">
              <w:t>2022</w:t>
            </w:r>
          </w:p>
        </w:tc>
        <w:tc>
          <w:tcPr>
            <w:tcW w:w="737" w:type="dxa"/>
            <w:vMerge w:val="restart"/>
            <w:shd w:val="clear" w:color="auto" w:fill="1E4496" w:themeFill="text2"/>
            <w:tcMar>
              <w:top w:w="57" w:type="dxa"/>
              <w:left w:w="113" w:type="dxa"/>
              <w:bottom w:w="57" w:type="dxa"/>
              <w:right w:w="113" w:type="dxa"/>
            </w:tcMar>
            <w:vAlign w:val="bottom"/>
          </w:tcPr>
          <w:p w14:paraId="517A15E9" w14:textId="77777777" w:rsidR="00652CE4" w:rsidRPr="00652CE4" w:rsidRDefault="00652CE4" w:rsidP="00652CE4">
            <w:pPr>
              <w:pStyle w:val="CDITable-HeaderRowCentre"/>
            </w:pPr>
            <w:r w:rsidRPr="00652CE4">
              <w:t>2023</w:t>
            </w:r>
          </w:p>
        </w:tc>
        <w:tc>
          <w:tcPr>
            <w:tcW w:w="737" w:type="dxa"/>
            <w:vMerge w:val="restart"/>
            <w:shd w:val="clear" w:color="auto" w:fill="1E4496" w:themeFill="text2"/>
            <w:tcMar>
              <w:top w:w="57" w:type="dxa"/>
              <w:left w:w="113" w:type="dxa"/>
              <w:bottom w:w="57" w:type="dxa"/>
              <w:right w:w="113" w:type="dxa"/>
            </w:tcMar>
            <w:vAlign w:val="bottom"/>
          </w:tcPr>
          <w:p w14:paraId="53A77CC9" w14:textId="77777777" w:rsidR="00652CE4" w:rsidRPr="00652CE4" w:rsidRDefault="00652CE4" w:rsidP="00652CE4">
            <w:pPr>
              <w:pStyle w:val="CDITable-HeaderRowCentre"/>
            </w:pPr>
            <w:r w:rsidRPr="00652CE4">
              <w:t>2024</w:t>
            </w:r>
          </w:p>
        </w:tc>
        <w:tc>
          <w:tcPr>
            <w:tcW w:w="1814" w:type="dxa"/>
            <w:gridSpan w:val="2"/>
            <w:tcBorders>
              <w:bottom w:val="single" w:sz="6" w:space="0" w:color="FFFFFF" w:themeColor="background1"/>
            </w:tcBorders>
            <w:shd w:val="clear" w:color="auto" w:fill="1E4496" w:themeFill="text2"/>
            <w:tcMar>
              <w:top w:w="57" w:type="dxa"/>
              <w:left w:w="113" w:type="dxa"/>
              <w:bottom w:w="57" w:type="dxa"/>
              <w:right w:w="113" w:type="dxa"/>
            </w:tcMar>
            <w:vAlign w:val="bottom"/>
          </w:tcPr>
          <w:p w14:paraId="5B6B0F7F" w14:textId="77777777" w:rsidR="00652CE4" w:rsidRPr="00652CE4" w:rsidRDefault="00652CE4" w:rsidP="00652CE4">
            <w:pPr>
              <w:pStyle w:val="CDITable-HeaderRowCentre"/>
            </w:pPr>
            <w:r w:rsidRPr="00652CE4">
              <w:t>Total 2014–2024</w:t>
            </w:r>
          </w:p>
        </w:tc>
      </w:tr>
      <w:tr w:rsidR="00652CE4" w:rsidRPr="00652CE4" w14:paraId="336E16DA" w14:textId="77777777" w:rsidTr="00C47712">
        <w:trPr>
          <w:trHeight w:val="60"/>
          <w:tblHeader/>
        </w:trPr>
        <w:tc>
          <w:tcPr>
            <w:tcW w:w="1814" w:type="dxa"/>
            <w:vMerge/>
            <w:shd w:val="clear" w:color="auto" w:fill="1E4496" w:themeFill="text2"/>
            <w:tcMar>
              <w:top w:w="57" w:type="dxa"/>
              <w:bottom w:w="57" w:type="dxa"/>
            </w:tcMar>
          </w:tcPr>
          <w:p w14:paraId="36A48615" w14:textId="77777777" w:rsidR="00652CE4" w:rsidRPr="00652CE4" w:rsidRDefault="00652CE4" w:rsidP="00652CE4">
            <w:pPr>
              <w:pStyle w:val="CDITable-HeaderRowCentre"/>
            </w:pPr>
          </w:p>
        </w:tc>
        <w:tc>
          <w:tcPr>
            <w:tcW w:w="2608" w:type="dxa"/>
            <w:vMerge/>
            <w:shd w:val="clear" w:color="auto" w:fill="1E4496" w:themeFill="text2"/>
            <w:tcMar>
              <w:top w:w="57" w:type="dxa"/>
              <w:bottom w:w="57" w:type="dxa"/>
            </w:tcMar>
          </w:tcPr>
          <w:p w14:paraId="60B8B0B0"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285F40B5"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69422164"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2907D7AA"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2CE96289"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1075EA14"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16A1BF9C"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56407BF1"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02DFB634"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5B5DA0B6"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31EB4C53" w14:textId="77777777" w:rsidR="00652CE4" w:rsidRPr="00652CE4" w:rsidRDefault="00652CE4" w:rsidP="00652CE4">
            <w:pPr>
              <w:pStyle w:val="CDITable-HeaderRowCentre"/>
            </w:pPr>
          </w:p>
        </w:tc>
        <w:tc>
          <w:tcPr>
            <w:tcW w:w="737" w:type="dxa"/>
            <w:vMerge/>
            <w:shd w:val="clear" w:color="auto" w:fill="1E4496" w:themeFill="text2"/>
            <w:tcMar>
              <w:top w:w="57" w:type="dxa"/>
              <w:bottom w:w="57" w:type="dxa"/>
            </w:tcMar>
          </w:tcPr>
          <w:p w14:paraId="2ADBCD57" w14:textId="77777777" w:rsidR="00652CE4" w:rsidRPr="00652CE4" w:rsidRDefault="00652CE4" w:rsidP="00652CE4">
            <w:pPr>
              <w:pStyle w:val="CDITable-HeaderRowCentre"/>
            </w:pPr>
          </w:p>
        </w:tc>
        <w:tc>
          <w:tcPr>
            <w:tcW w:w="907" w:type="dxa"/>
            <w:tcBorders>
              <w:top w:val="single" w:sz="6" w:space="0" w:color="FFFFFF" w:themeColor="background1"/>
            </w:tcBorders>
            <w:shd w:val="clear" w:color="auto" w:fill="1E4496" w:themeFill="text2"/>
            <w:tcMar>
              <w:top w:w="57" w:type="dxa"/>
              <w:left w:w="113" w:type="dxa"/>
              <w:bottom w:w="57" w:type="dxa"/>
              <w:right w:w="113" w:type="dxa"/>
            </w:tcMar>
            <w:vAlign w:val="bottom"/>
          </w:tcPr>
          <w:p w14:paraId="4D615D7E" w14:textId="77777777" w:rsidR="00652CE4" w:rsidRPr="00652CE4" w:rsidRDefault="00652CE4" w:rsidP="00652CE4">
            <w:pPr>
              <w:pStyle w:val="CDITable-HeaderRowCentre"/>
            </w:pPr>
            <w:r w:rsidRPr="00652CE4">
              <w:t>by country</w:t>
            </w:r>
          </w:p>
        </w:tc>
        <w:tc>
          <w:tcPr>
            <w:tcW w:w="907" w:type="dxa"/>
            <w:tcBorders>
              <w:top w:val="single" w:sz="6" w:space="0" w:color="FFFFFF" w:themeColor="background1"/>
            </w:tcBorders>
            <w:shd w:val="clear" w:color="auto" w:fill="1E4496" w:themeFill="text2"/>
            <w:tcMar>
              <w:top w:w="57" w:type="dxa"/>
              <w:left w:w="113" w:type="dxa"/>
              <w:bottom w:w="57" w:type="dxa"/>
              <w:right w:w="113" w:type="dxa"/>
            </w:tcMar>
            <w:vAlign w:val="bottom"/>
          </w:tcPr>
          <w:p w14:paraId="2B4C9147" w14:textId="77777777" w:rsidR="00652CE4" w:rsidRPr="00652CE4" w:rsidRDefault="00652CE4" w:rsidP="00652CE4">
            <w:pPr>
              <w:pStyle w:val="CDITable-HeaderRowCentre"/>
            </w:pPr>
            <w:r w:rsidRPr="00652CE4">
              <w:t>by region</w:t>
            </w:r>
          </w:p>
        </w:tc>
      </w:tr>
      <w:tr w:rsidR="00652CE4" w:rsidRPr="00652CE4" w14:paraId="54D444DC" w14:textId="77777777" w:rsidTr="00520680">
        <w:trPr>
          <w:trHeight w:val="60"/>
        </w:trPr>
        <w:tc>
          <w:tcPr>
            <w:tcW w:w="1814" w:type="dxa"/>
            <w:vMerge w:val="restart"/>
            <w:tcBorders>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216F7CAB" w14:textId="77777777" w:rsidR="00652CE4" w:rsidRPr="00982DE4" w:rsidRDefault="00652CE4" w:rsidP="00982DE4">
            <w:pPr>
              <w:pStyle w:val="CDITable-RowLeft"/>
              <w:rPr>
                <w:b/>
                <w:bCs/>
              </w:rPr>
            </w:pPr>
            <w:r w:rsidRPr="00982DE4">
              <w:rPr>
                <w:b/>
                <w:bCs/>
              </w:rPr>
              <w:t>Africa</w:t>
            </w:r>
          </w:p>
        </w:tc>
        <w:tc>
          <w:tcPr>
            <w:tcW w:w="2608" w:type="dxa"/>
            <w:tcBorders>
              <w:bottom w:val="single" w:sz="6" w:space="0" w:color="1E4496" w:themeColor="text2"/>
            </w:tcBorders>
            <w:tcMar>
              <w:top w:w="62" w:type="dxa"/>
              <w:left w:w="113" w:type="dxa"/>
              <w:bottom w:w="62" w:type="dxa"/>
              <w:right w:w="113" w:type="dxa"/>
            </w:tcMar>
            <w:vAlign w:val="center"/>
          </w:tcPr>
          <w:p w14:paraId="4D0E6CEF" w14:textId="77777777" w:rsidR="00652CE4" w:rsidRPr="00652CE4" w:rsidRDefault="00652CE4" w:rsidP="00982DE4">
            <w:pPr>
              <w:pStyle w:val="CDITable-RowLeft"/>
            </w:pPr>
            <w:r w:rsidRPr="00652CE4">
              <w:t>Somalia</w:t>
            </w:r>
          </w:p>
        </w:tc>
        <w:tc>
          <w:tcPr>
            <w:tcW w:w="737" w:type="dxa"/>
            <w:tcBorders>
              <w:bottom w:val="single" w:sz="6" w:space="0" w:color="1E4496" w:themeColor="text2"/>
            </w:tcBorders>
            <w:tcMar>
              <w:top w:w="62" w:type="dxa"/>
              <w:left w:w="113" w:type="dxa"/>
              <w:bottom w:w="62" w:type="dxa"/>
              <w:right w:w="113" w:type="dxa"/>
            </w:tcMar>
            <w:vAlign w:val="center"/>
          </w:tcPr>
          <w:p w14:paraId="3D75EB3C" w14:textId="77777777" w:rsidR="00652CE4" w:rsidRPr="00652CE4" w:rsidRDefault="00652CE4" w:rsidP="00982DE4">
            <w:pPr>
              <w:pStyle w:val="CDITable-RowCentre"/>
            </w:pPr>
            <w:r w:rsidRPr="00652CE4">
              <w:t>1</w:t>
            </w:r>
          </w:p>
        </w:tc>
        <w:tc>
          <w:tcPr>
            <w:tcW w:w="737" w:type="dxa"/>
            <w:tcBorders>
              <w:bottom w:val="single" w:sz="6" w:space="0" w:color="1E4496" w:themeColor="text2"/>
            </w:tcBorders>
            <w:tcMar>
              <w:top w:w="62" w:type="dxa"/>
              <w:left w:w="113" w:type="dxa"/>
              <w:bottom w:w="62" w:type="dxa"/>
              <w:right w:w="113" w:type="dxa"/>
            </w:tcMar>
            <w:vAlign w:val="center"/>
          </w:tcPr>
          <w:p w14:paraId="6FCE318A"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544F65AE"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04FCA971"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6BFD16BC"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675E1D76"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209D18C0"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45CB5245"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241FF6B6"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79486F31" w14:textId="77777777" w:rsidR="00652CE4" w:rsidRPr="00652CE4" w:rsidRDefault="00652CE4" w:rsidP="00982DE4">
            <w:pPr>
              <w:pStyle w:val="CDITable-RowCentre"/>
            </w:pPr>
            <w:r w:rsidRPr="00652CE4">
              <w:t>0</w:t>
            </w:r>
          </w:p>
        </w:tc>
        <w:tc>
          <w:tcPr>
            <w:tcW w:w="737" w:type="dxa"/>
            <w:tcBorders>
              <w:bottom w:val="single" w:sz="6" w:space="0" w:color="1E4496" w:themeColor="text2"/>
            </w:tcBorders>
            <w:tcMar>
              <w:top w:w="62" w:type="dxa"/>
              <w:left w:w="113" w:type="dxa"/>
              <w:bottom w:w="62" w:type="dxa"/>
              <w:right w:w="113" w:type="dxa"/>
            </w:tcMar>
            <w:vAlign w:val="center"/>
          </w:tcPr>
          <w:p w14:paraId="6ADEAB27" w14:textId="77777777" w:rsidR="00652CE4" w:rsidRPr="00652CE4" w:rsidRDefault="00652CE4" w:rsidP="00982DE4">
            <w:pPr>
              <w:pStyle w:val="CDITable-RowCentre"/>
            </w:pPr>
            <w:r w:rsidRPr="00652CE4">
              <w:t>0</w:t>
            </w:r>
          </w:p>
        </w:tc>
        <w:tc>
          <w:tcPr>
            <w:tcW w:w="907" w:type="dxa"/>
            <w:tcBorders>
              <w:bottom w:val="single" w:sz="6" w:space="0" w:color="1E4496" w:themeColor="text2"/>
            </w:tcBorders>
            <w:tcMar>
              <w:top w:w="62" w:type="dxa"/>
              <w:left w:w="113" w:type="dxa"/>
              <w:bottom w:w="62" w:type="dxa"/>
              <w:right w:w="113" w:type="dxa"/>
            </w:tcMar>
            <w:vAlign w:val="center"/>
          </w:tcPr>
          <w:p w14:paraId="7B58D6D9" w14:textId="77777777" w:rsidR="00652CE4" w:rsidRPr="00652CE4" w:rsidRDefault="00652CE4" w:rsidP="00982DE4">
            <w:pPr>
              <w:pStyle w:val="CDITable-RowCentre"/>
            </w:pPr>
            <w:r w:rsidRPr="00652CE4">
              <w:t>1</w:t>
            </w:r>
          </w:p>
        </w:tc>
        <w:tc>
          <w:tcPr>
            <w:tcW w:w="907" w:type="dxa"/>
            <w:vMerge w:val="restart"/>
            <w:tcBorders>
              <w:bottom w:val="single" w:sz="6" w:space="0" w:color="1E4496" w:themeColor="text2"/>
            </w:tcBorders>
            <w:tcMar>
              <w:top w:w="62" w:type="dxa"/>
              <w:left w:w="113" w:type="dxa"/>
              <w:bottom w:w="62" w:type="dxa"/>
              <w:right w:w="113" w:type="dxa"/>
            </w:tcMar>
            <w:vAlign w:val="center"/>
          </w:tcPr>
          <w:p w14:paraId="1A374163" w14:textId="77777777" w:rsidR="00652CE4" w:rsidRPr="00982DE4" w:rsidRDefault="00652CE4" w:rsidP="00982DE4">
            <w:pPr>
              <w:pStyle w:val="CDITable-RowCentre"/>
              <w:rPr>
                <w:b/>
                <w:bCs/>
              </w:rPr>
            </w:pPr>
            <w:r w:rsidRPr="00982DE4">
              <w:rPr>
                <w:b/>
                <w:bCs/>
              </w:rPr>
              <w:t>4</w:t>
            </w:r>
          </w:p>
        </w:tc>
      </w:tr>
      <w:tr w:rsidR="00652CE4" w:rsidRPr="00652CE4" w14:paraId="36A242D2" w14:textId="77777777" w:rsidTr="00520680">
        <w:trPr>
          <w:trHeight w:val="60"/>
        </w:trPr>
        <w:tc>
          <w:tcPr>
            <w:tcW w:w="1814" w:type="dxa"/>
            <w:vMerge/>
            <w:tcBorders>
              <w:top w:val="single" w:sz="6" w:space="0" w:color="1E4496" w:themeColor="text2"/>
              <w:bottom w:val="single" w:sz="6" w:space="0" w:color="1E4496" w:themeColor="text2"/>
            </w:tcBorders>
            <w:shd w:val="clear" w:color="auto" w:fill="DCF4FC" w:themeFill="background2" w:themeFillTint="33"/>
            <w:tcMar>
              <w:top w:w="62" w:type="dxa"/>
              <w:bottom w:w="62" w:type="dxa"/>
            </w:tcMar>
          </w:tcPr>
          <w:p w14:paraId="6E629A37"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7C31834" w14:textId="77777777" w:rsidR="00652CE4" w:rsidRPr="00652CE4" w:rsidRDefault="00652CE4" w:rsidP="00982DE4">
            <w:pPr>
              <w:pStyle w:val="CDITable-RowLeft"/>
            </w:pPr>
            <w:r w:rsidRPr="00652CE4">
              <w:t>Ethiopia</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284763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EB797A2"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4410DA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EB667F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6BE1D9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6829EB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C0FE9C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987AD6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514919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1228F7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5E6D637"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3B50434" w14:textId="77777777" w:rsidR="00652CE4" w:rsidRPr="00652CE4" w:rsidRDefault="00652CE4" w:rsidP="00982DE4">
            <w:pPr>
              <w:pStyle w:val="CDITable-RowCentre"/>
            </w:pPr>
            <w:r w:rsidRPr="00652CE4">
              <w:t>2</w:t>
            </w:r>
          </w:p>
        </w:tc>
        <w:tc>
          <w:tcPr>
            <w:tcW w:w="907" w:type="dxa"/>
            <w:vMerge/>
            <w:tcBorders>
              <w:top w:val="single" w:sz="6" w:space="0" w:color="1E4496" w:themeColor="text2"/>
              <w:bottom w:val="single" w:sz="6" w:space="0" w:color="1E4496" w:themeColor="text2"/>
            </w:tcBorders>
            <w:tcMar>
              <w:top w:w="62" w:type="dxa"/>
              <w:bottom w:w="62" w:type="dxa"/>
            </w:tcMar>
          </w:tcPr>
          <w:p w14:paraId="426EFB0F" w14:textId="77777777" w:rsidR="00652CE4" w:rsidRPr="00652CE4" w:rsidRDefault="00652CE4" w:rsidP="00982DE4">
            <w:pPr>
              <w:pStyle w:val="CDITable-RowCentre"/>
            </w:pPr>
          </w:p>
        </w:tc>
      </w:tr>
      <w:tr w:rsidR="00652CE4" w:rsidRPr="00652CE4" w14:paraId="294A3370"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09EA3A00"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9BFBEF4" w14:textId="77777777" w:rsidR="00652CE4" w:rsidRPr="00652CE4" w:rsidRDefault="00652CE4" w:rsidP="00982DE4">
            <w:pPr>
              <w:pStyle w:val="CDITable-RowLeft"/>
            </w:pPr>
            <w:r w:rsidRPr="00652CE4">
              <w:t>Tanzania</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C0D963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049AF4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5D5053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835D61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462F24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2F5FB1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1AE850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F318DE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B1D60C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117BE24"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6E635DB"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8ACF709"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7E8E045C" w14:textId="77777777" w:rsidR="00652CE4" w:rsidRPr="00652CE4" w:rsidRDefault="00652CE4" w:rsidP="00982DE4">
            <w:pPr>
              <w:pStyle w:val="CDITable-RowCentre"/>
            </w:pPr>
          </w:p>
        </w:tc>
      </w:tr>
      <w:tr w:rsidR="00652CE4" w:rsidRPr="00652CE4" w14:paraId="32193D5A" w14:textId="77777777" w:rsidTr="00520680">
        <w:trPr>
          <w:trHeight w:val="60"/>
        </w:trPr>
        <w:tc>
          <w:tcPr>
            <w:tcW w:w="1814" w:type="dxa"/>
            <w:vMerge w:val="restart"/>
            <w:tcBorders>
              <w:top w:val="single" w:sz="6" w:space="0" w:color="1E4496" w:themeColor="text2"/>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1EA40676" w14:textId="77777777" w:rsidR="00652CE4" w:rsidRPr="00982DE4" w:rsidRDefault="00652CE4" w:rsidP="00982DE4">
            <w:pPr>
              <w:pStyle w:val="CDITable-RowLeft"/>
              <w:rPr>
                <w:b/>
                <w:bCs/>
              </w:rPr>
            </w:pPr>
            <w:r w:rsidRPr="00982DE4">
              <w:rPr>
                <w:b/>
                <w:bCs/>
              </w:rPr>
              <w:t>Americas</w:t>
            </w: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598AE3E" w14:textId="77777777" w:rsidR="00652CE4" w:rsidRPr="00652CE4" w:rsidRDefault="00652CE4" w:rsidP="00982DE4">
            <w:pPr>
              <w:pStyle w:val="CDITable-RowLeft"/>
            </w:pPr>
            <w:r w:rsidRPr="00652CE4">
              <w:t>Brazil</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D613E0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695E45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F65CE3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FA53AC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0CC7E25"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0101E8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57090D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A705EF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3F9119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52577B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96DC254"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2C4E21E" w14:textId="77777777" w:rsidR="00652CE4" w:rsidRPr="00652CE4" w:rsidRDefault="00652CE4" w:rsidP="00982DE4">
            <w:pPr>
              <w:pStyle w:val="CDITable-RowCentre"/>
            </w:pPr>
            <w:r w:rsidRPr="00652CE4">
              <w:t>1</w:t>
            </w:r>
          </w:p>
        </w:tc>
        <w:tc>
          <w:tcPr>
            <w:tcW w:w="907" w:type="dxa"/>
            <w:vMerge w:val="restart"/>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62344F5" w14:textId="77777777" w:rsidR="00652CE4" w:rsidRPr="00982DE4" w:rsidRDefault="00652CE4" w:rsidP="00982DE4">
            <w:pPr>
              <w:pStyle w:val="CDITable-RowCentre"/>
              <w:rPr>
                <w:b/>
                <w:bCs/>
              </w:rPr>
            </w:pPr>
            <w:r w:rsidRPr="00982DE4">
              <w:rPr>
                <w:b/>
                <w:bCs/>
              </w:rPr>
              <w:t>2</w:t>
            </w:r>
          </w:p>
        </w:tc>
      </w:tr>
      <w:tr w:rsidR="00652CE4" w:rsidRPr="00652CE4" w14:paraId="14C59F08"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0D537114"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525B566" w14:textId="77777777" w:rsidR="00652CE4" w:rsidRPr="00652CE4" w:rsidRDefault="00652CE4" w:rsidP="00982DE4">
            <w:pPr>
              <w:pStyle w:val="CDITable-RowLeft"/>
            </w:pPr>
            <w:r w:rsidRPr="00652CE4">
              <w:t>Chile</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2ACFF8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1D44A2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82D2E5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85731E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421EED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4D38C7C"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2C152A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D8DAAA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ED9F4B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A8E9F2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C7B4566"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0222B6D"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19E8D87B" w14:textId="77777777" w:rsidR="00652CE4" w:rsidRPr="00652CE4" w:rsidRDefault="00652CE4" w:rsidP="00982DE4">
            <w:pPr>
              <w:pStyle w:val="CDITable-RowCentre"/>
            </w:pPr>
          </w:p>
        </w:tc>
      </w:tr>
      <w:tr w:rsidR="00652CE4" w:rsidRPr="00652CE4" w14:paraId="59722E02" w14:textId="77777777" w:rsidTr="00520680">
        <w:trPr>
          <w:trHeight w:val="60"/>
        </w:trPr>
        <w:tc>
          <w:tcPr>
            <w:tcW w:w="1814" w:type="dxa"/>
            <w:vMerge w:val="restart"/>
            <w:tcBorders>
              <w:top w:val="single" w:sz="6" w:space="0" w:color="1E4496" w:themeColor="text2"/>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7C72C028" w14:textId="77777777" w:rsidR="00652CE4" w:rsidRPr="00982DE4" w:rsidRDefault="00652CE4" w:rsidP="00982DE4">
            <w:pPr>
              <w:pStyle w:val="CDITable-RowLeft"/>
              <w:rPr>
                <w:b/>
                <w:bCs/>
              </w:rPr>
            </w:pPr>
            <w:r w:rsidRPr="00982DE4">
              <w:rPr>
                <w:b/>
                <w:bCs/>
              </w:rPr>
              <w:t>Eastern Mediterranean</w:t>
            </w: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942BEF5" w14:textId="77777777" w:rsidR="00652CE4" w:rsidRPr="00652CE4" w:rsidRDefault="00652CE4" w:rsidP="00982DE4">
            <w:pPr>
              <w:pStyle w:val="CDITable-RowLeft"/>
            </w:pPr>
            <w:r w:rsidRPr="00652CE4">
              <w:t>Afghanistan</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0A4A3B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72A17E5"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4E399D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A90908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704C42A"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CE6392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72C5CD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BF2C11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AE60AB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635B81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5E336C0" w14:textId="77777777" w:rsidR="00652CE4" w:rsidRPr="00652CE4" w:rsidRDefault="00652CE4" w:rsidP="00982DE4">
            <w:pPr>
              <w:pStyle w:val="CDITable-RowCentre"/>
            </w:pPr>
            <w:r w:rsidRPr="00652CE4">
              <w:t>2</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8B81DAB" w14:textId="77777777" w:rsidR="00652CE4" w:rsidRPr="00652CE4" w:rsidRDefault="00652CE4" w:rsidP="00982DE4">
            <w:pPr>
              <w:pStyle w:val="CDITable-RowCentre"/>
            </w:pPr>
            <w:r w:rsidRPr="00652CE4">
              <w:t>4</w:t>
            </w:r>
          </w:p>
        </w:tc>
        <w:tc>
          <w:tcPr>
            <w:tcW w:w="907" w:type="dxa"/>
            <w:vMerge w:val="restart"/>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A57129E" w14:textId="77777777" w:rsidR="00652CE4" w:rsidRPr="00982DE4" w:rsidRDefault="00652CE4" w:rsidP="00982DE4">
            <w:pPr>
              <w:pStyle w:val="CDITable-RowCentre"/>
              <w:rPr>
                <w:b/>
                <w:bCs/>
              </w:rPr>
            </w:pPr>
            <w:r w:rsidRPr="00982DE4">
              <w:rPr>
                <w:b/>
                <w:bCs/>
              </w:rPr>
              <w:t>30</w:t>
            </w:r>
          </w:p>
        </w:tc>
      </w:tr>
      <w:tr w:rsidR="00652CE4" w:rsidRPr="00652CE4" w14:paraId="50B0CE13"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0C5BF12D"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E3FF4C9" w14:textId="77777777" w:rsidR="00652CE4" w:rsidRPr="00652CE4" w:rsidRDefault="00652CE4" w:rsidP="00982DE4">
            <w:pPr>
              <w:pStyle w:val="CDITable-RowLeft"/>
            </w:pPr>
            <w:r w:rsidRPr="00652CE4">
              <w:t>Pakistan</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69E87A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AC6FA3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E79128D" w14:textId="77777777" w:rsidR="00652CE4" w:rsidRPr="00652CE4" w:rsidRDefault="00652CE4" w:rsidP="00982DE4">
            <w:pPr>
              <w:pStyle w:val="CDITable-RowCentre"/>
            </w:pPr>
            <w:r w:rsidRPr="00652CE4">
              <w:t>3</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5C982AA"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EA68C9F"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66D99F0"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5B74E6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44874F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ABB87C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75601DE" w14:textId="77777777" w:rsidR="00652CE4" w:rsidRPr="00652CE4" w:rsidRDefault="00652CE4" w:rsidP="00982DE4">
            <w:pPr>
              <w:pStyle w:val="CDITable-RowCentre"/>
            </w:pPr>
            <w:r w:rsidRPr="00652CE4">
              <w:t>3</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9926A2D" w14:textId="77777777" w:rsidR="00652CE4" w:rsidRPr="00652CE4" w:rsidRDefault="00652CE4" w:rsidP="00982DE4">
            <w:pPr>
              <w:pStyle w:val="CDITable-RowCentre"/>
            </w:pPr>
            <w:r w:rsidRPr="00652CE4">
              <w:t>7</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10039F6" w14:textId="77777777" w:rsidR="00652CE4" w:rsidRPr="00652CE4" w:rsidRDefault="00652CE4" w:rsidP="00982DE4">
            <w:pPr>
              <w:pStyle w:val="CDITable-RowCentre"/>
            </w:pPr>
            <w:r w:rsidRPr="00652CE4">
              <w:t>18</w:t>
            </w:r>
          </w:p>
        </w:tc>
        <w:tc>
          <w:tcPr>
            <w:tcW w:w="907" w:type="dxa"/>
            <w:vMerge/>
            <w:tcBorders>
              <w:bottom w:val="single" w:sz="6" w:space="0" w:color="1E4496" w:themeColor="text2"/>
            </w:tcBorders>
            <w:tcMar>
              <w:top w:w="62" w:type="dxa"/>
              <w:bottom w:w="62" w:type="dxa"/>
            </w:tcMar>
          </w:tcPr>
          <w:p w14:paraId="00BC3E5B" w14:textId="77777777" w:rsidR="00652CE4" w:rsidRPr="00652CE4" w:rsidRDefault="00652CE4" w:rsidP="00982DE4">
            <w:pPr>
              <w:pStyle w:val="CDITable-RowCentre"/>
            </w:pPr>
          </w:p>
        </w:tc>
      </w:tr>
      <w:tr w:rsidR="00652CE4" w:rsidRPr="00652CE4" w14:paraId="0D7C9E94"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29DE89E7"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95D29B9" w14:textId="77777777" w:rsidR="00652CE4" w:rsidRPr="00652CE4" w:rsidRDefault="00652CE4" w:rsidP="00982DE4">
            <w:pPr>
              <w:pStyle w:val="CDITable-RowLeft"/>
            </w:pPr>
            <w:r w:rsidRPr="00652CE4">
              <w:t>Lebanon</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61690F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AC56AF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2A567E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E8F475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9B14A5F"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17EEFF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DC874D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E37A9C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8794EB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0CDECB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6FF1CB1"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3FCA7F1" w14:textId="77777777" w:rsidR="00652CE4" w:rsidRPr="00652CE4" w:rsidRDefault="00652CE4" w:rsidP="00982DE4">
            <w:pPr>
              <w:pStyle w:val="CDITable-RowCentre"/>
            </w:pPr>
            <w:r w:rsidRPr="00652CE4">
              <w:t>3</w:t>
            </w:r>
          </w:p>
        </w:tc>
        <w:tc>
          <w:tcPr>
            <w:tcW w:w="907" w:type="dxa"/>
            <w:vMerge/>
            <w:tcBorders>
              <w:bottom w:val="single" w:sz="6" w:space="0" w:color="1E4496" w:themeColor="text2"/>
            </w:tcBorders>
            <w:tcMar>
              <w:top w:w="62" w:type="dxa"/>
              <w:bottom w:w="62" w:type="dxa"/>
            </w:tcMar>
          </w:tcPr>
          <w:p w14:paraId="5EC382C5" w14:textId="77777777" w:rsidR="00652CE4" w:rsidRPr="00652CE4" w:rsidRDefault="00652CE4" w:rsidP="00982DE4">
            <w:pPr>
              <w:pStyle w:val="CDITable-RowCentre"/>
            </w:pPr>
          </w:p>
        </w:tc>
      </w:tr>
      <w:tr w:rsidR="00652CE4" w:rsidRPr="00652CE4" w14:paraId="46CBAC9C"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00DC5389"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F7D51FD" w14:textId="77777777" w:rsidR="00652CE4" w:rsidRPr="00652CE4" w:rsidRDefault="00652CE4" w:rsidP="00982DE4">
            <w:pPr>
              <w:pStyle w:val="CDITable-RowLeft"/>
            </w:pPr>
            <w:r w:rsidRPr="00652CE4">
              <w:t>United Arab Emirates</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5BF18A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F207C9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C579EF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87ACC4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9FB8DC2"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27A1207"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012375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5E2B3B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514740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CB40B9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22D2135"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85FAC13" w14:textId="77777777" w:rsidR="00652CE4" w:rsidRPr="00652CE4" w:rsidRDefault="00652CE4" w:rsidP="00982DE4">
            <w:pPr>
              <w:pStyle w:val="CDITable-RowCentre"/>
            </w:pPr>
            <w:r w:rsidRPr="00652CE4">
              <w:t>3</w:t>
            </w:r>
          </w:p>
        </w:tc>
        <w:tc>
          <w:tcPr>
            <w:tcW w:w="907" w:type="dxa"/>
            <w:vMerge/>
            <w:tcBorders>
              <w:bottom w:val="single" w:sz="6" w:space="0" w:color="1E4496" w:themeColor="text2"/>
            </w:tcBorders>
            <w:tcMar>
              <w:top w:w="62" w:type="dxa"/>
              <w:bottom w:w="62" w:type="dxa"/>
            </w:tcMar>
          </w:tcPr>
          <w:p w14:paraId="595902C2" w14:textId="77777777" w:rsidR="00652CE4" w:rsidRPr="00652CE4" w:rsidRDefault="00652CE4" w:rsidP="00982DE4">
            <w:pPr>
              <w:pStyle w:val="CDITable-RowCentre"/>
            </w:pPr>
          </w:p>
        </w:tc>
      </w:tr>
      <w:tr w:rsidR="00652CE4" w:rsidRPr="00652CE4" w14:paraId="2E5A6AFC"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0EA9B83D"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00DAE4A" w14:textId="77777777" w:rsidR="00652CE4" w:rsidRPr="00652CE4" w:rsidRDefault="00652CE4" w:rsidP="00982DE4">
            <w:pPr>
              <w:pStyle w:val="CDITable-RowLeft"/>
            </w:pPr>
            <w:r w:rsidRPr="00652CE4">
              <w:t>Saudi Arabia</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7E4143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3E858D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3A45E2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3BC232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39C8E9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8171C6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9A8BA2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8FA999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0E27EB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C23CB9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445E733"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8C36D3A" w14:textId="77777777" w:rsidR="00652CE4" w:rsidRPr="00652CE4" w:rsidRDefault="00652CE4" w:rsidP="00982DE4">
            <w:pPr>
              <w:pStyle w:val="CDITable-RowCentre"/>
            </w:pPr>
            <w:r w:rsidRPr="00652CE4">
              <w:t>2</w:t>
            </w:r>
          </w:p>
        </w:tc>
        <w:tc>
          <w:tcPr>
            <w:tcW w:w="907" w:type="dxa"/>
            <w:vMerge/>
            <w:tcBorders>
              <w:bottom w:val="single" w:sz="6" w:space="0" w:color="1E4496" w:themeColor="text2"/>
            </w:tcBorders>
            <w:tcMar>
              <w:top w:w="62" w:type="dxa"/>
              <w:bottom w:w="62" w:type="dxa"/>
            </w:tcMar>
          </w:tcPr>
          <w:p w14:paraId="1C421633" w14:textId="77777777" w:rsidR="00652CE4" w:rsidRPr="00652CE4" w:rsidRDefault="00652CE4" w:rsidP="00982DE4">
            <w:pPr>
              <w:pStyle w:val="CDITable-RowCentre"/>
            </w:pPr>
          </w:p>
        </w:tc>
      </w:tr>
      <w:tr w:rsidR="00652CE4" w:rsidRPr="00652CE4" w14:paraId="36EDDF32" w14:textId="77777777" w:rsidTr="00520680">
        <w:trPr>
          <w:trHeight w:val="60"/>
        </w:trPr>
        <w:tc>
          <w:tcPr>
            <w:tcW w:w="1814" w:type="dxa"/>
            <w:vMerge w:val="restart"/>
            <w:tcBorders>
              <w:top w:val="single" w:sz="6" w:space="0" w:color="1E4496" w:themeColor="text2"/>
              <w:bottom w:val="single" w:sz="6" w:space="0" w:color="1E4496" w:themeColor="text2"/>
            </w:tcBorders>
            <w:shd w:val="clear" w:color="auto" w:fill="DCF4FC" w:themeFill="background2" w:themeFillTint="33"/>
            <w:tcMar>
              <w:top w:w="62" w:type="dxa"/>
              <w:left w:w="113" w:type="dxa"/>
              <w:bottom w:w="62" w:type="dxa"/>
              <w:right w:w="113" w:type="dxa"/>
            </w:tcMar>
            <w:vAlign w:val="center"/>
          </w:tcPr>
          <w:p w14:paraId="5DC711D3" w14:textId="77777777" w:rsidR="00652CE4" w:rsidRPr="00982DE4" w:rsidRDefault="00652CE4" w:rsidP="00982DE4">
            <w:pPr>
              <w:pStyle w:val="CDITable-RowLeft"/>
              <w:rPr>
                <w:b/>
                <w:bCs/>
              </w:rPr>
            </w:pPr>
            <w:r w:rsidRPr="00982DE4">
              <w:rPr>
                <w:b/>
                <w:bCs/>
              </w:rPr>
              <w:t>Europe</w:t>
            </w:r>
          </w:p>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903A20C" w14:textId="77777777" w:rsidR="00652CE4" w:rsidRPr="00652CE4" w:rsidRDefault="00652CE4" w:rsidP="00982DE4">
            <w:pPr>
              <w:pStyle w:val="CDITable-RowLeft"/>
            </w:pPr>
            <w:r w:rsidRPr="00652CE4">
              <w:t>Germany</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B6C6A65"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93A7BD5"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3AD7DB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1BD699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A88ACF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8600A7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77D904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714DE1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699F51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B5B9B0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456BC5F"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E857322" w14:textId="77777777" w:rsidR="00652CE4" w:rsidRPr="00652CE4" w:rsidRDefault="00652CE4" w:rsidP="00982DE4">
            <w:pPr>
              <w:pStyle w:val="CDITable-RowCentre"/>
            </w:pPr>
            <w:r w:rsidRPr="00652CE4">
              <w:t>2</w:t>
            </w:r>
          </w:p>
        </w:tc>
        <w:tc>
          <w:tcPr>
            <w:tcW w:w="907" w:type="dxa"/>
            <w:vMerge w:val="restart"/>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09ECB67" w14:textId="77777777" w:rsidR="00652CE4" w:rsidRPr="00982DE4" w:rsidRDefault="00652CE4" w:rsidP="00982DE4">
            <w:pPr>
              <w:pStyle w:val="CDITable-RowCentre"/>
              <w:rPr>
                <w:b/>
                <w:bCs/>
              </w:rPr>
            </w:pPr>
            <w:r w:rsidRPr="00982DE4">
              <w:rPr>
                <w:b/>
                <w:bCs/>
              </w:rPr>
              <w:t>23</w:t>
            </w:r>
          </w:p>
        </w:tc>
      </w:tr>
      <w:tr w:rsidR="00652CE4" w:rsidRPr="00652CE4" w14:paraId="7B279EA9"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5E986484"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755169D" w14:textId="77777777" w:rsidR="00652CE4" w:rsidRPr="00652CE4" w:rsidRDefault="00652CE4" w:rsidP="00982DE4">
            <w:pPr>
              <w:pStyle w:val="CDITable-RowLeft"/>
            </w:pPr>
            <w:r w:rsidRPr="00652CE4">
              <w:t>Netherlands</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65145C6"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6EE945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9BED96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9A6220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5750EF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6CBBCB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113D86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160CC8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993B90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32E14C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9E06746"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0E68C66" w14:textId="77777777" w:rsidR="00652CE4" w:rsidRPr="00652CE4" w:rsidRDefault="00652CE4" w:rsidP="00982DE4">
            <w:pPr>
              <w:pStyle w:val="CDITable-RowCentre"/>
            </w:pPr>
            <w:r w:rsidRPr="00652CE4">
              <w:t>2</w:t>
            </w:r>
          </w:p>
        </w:tc>
        <w:tc>
          <w:tcPr>
            <w:tcW w:w="907" w:type="dxa"/>
            <w:vMerge/>
            <w:tcBorders>
              <w:bottom w:val="single" w:sz="6" w:space="0" w:color="1E4496" w:themeColor="text2"/>
            </w:tcBorders>
            <w:tcMar>
              <w:top w:w="62" w:type="dxa"/>
              <w:bottom w:w="62" w:type="dxa"/>
            </w:tcMar>
          </w:tcPr>
          <w:p w14:paraId="27A4DFBA" w14:textId="77777777" w:rsidR="00652CE4" w:rsidRPr="00652CE4" w:rsidRDefault="00652CE4" w:rsidP="00652CE4"/>
        </w:tc>
      </w:tr>
      <w:tr w:rsidR="00652CE4" w:rsidRPr="00652CE4" w14:paraId="3C88FF6F"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39FEB8A9"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BFF05FB" w14:textId="77777777" w:rsidR="00652CE4" w:rsidRPr="00652CE4" w:rsidRDefault="00652CE4" w:rsidP="00982DE4">
            <w:pPr>
              <w:pStyle w:val="CDITable-RowLeft"/>
            </w:pPr>
            <w:r w:rsidRPr="00652CE4">
              <w:t>Azerbaijan</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1955F2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A7117E3"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FAE57C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E6B2DD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0CA46D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B0C15E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9B1CF9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575609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3077C6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13CB62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1244F6D"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9080C53"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64CD8C37" w14:textId="77777777" w:rsidR="00652CE4" w:rsidRPr="00652CE4" w:rsidRDefault="00652CE4" w:rsidP="00652CE4"/>
        </w:tc>
      </w:tr>
      <w:tr w:rsidR="00652CE4" w:rsidRPr="00652CE4" w14:paraId="75C2AA50"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6EBC1CEA"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1AE23CF" w14:textId="77777777" w:rsidR="00652CE4" w:rsidRPr="00652CE4" w:rsidRDefault="00652CE4" w:rsidP="00982DE4">
            <w:pPr>
              <w:pStyle w:val="CDITable-RowLeft"/>
            </w:pPr>
            <w:r w:rsidRPr="00652CE4">
              <w:t>Norway</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0A09E2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CDF4157"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BDA68E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4F7CFB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1E7AEB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0266E2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D5CDFE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F0685E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84C914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C6DB21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7554A9C"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E1C15FD"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16848A84" w14:textId="77777777" w:rsidR="00652CE4" w:rsidRPr="00652CE4" w:rsidRDefault="00652CE4" w:rsidP="00652CE4"/>
        </w:tc>
      </w:tr>
      <w:tr w:rsidR="00652CE4" w:rsidRPr="00652CE4" w14:paraId="71A81049"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480CC063"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C3D8396" w14:textId="77777777" w:rsidR="00652CE4" w:rsidRPr="00652CE4" w:rsidRDefault="00652CE4" w:rsidP="00982DE4">
            <w:pPr>
              <w:pStyle w:val="CDITable-RowLeft"/>
            </w:pPr>
            <w:r w:rsidRPr="00652CE4">
              <w:t>Switzerland</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EEDE15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6EB9EC1"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836102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D16914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5D0BE0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4167C4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DAAFEB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3FBB36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A1DBA2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17C28A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331C7B2"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7C6D6E5"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522F0A39" w14:textId="77777777" w:rsidR="00652CE4" w:rsidRPr="00652CE4" w:rsidRDefault="00652CE4" w:rsidP="00652CE4"/>
        </w:tc>
      </w:tr>
      <w:tr w:rsidR="00652CE4" w:rsidRPr="00652CE4" w14:paraId="6D090BA0"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5785A9B8"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DCCD295" w14:textId="77777777" w:rsidR="00652CE4" w:rsidRPr="00652CE4" w:rsidRDefault="00652CE4" w:rsidP="00982DE4">
            <w:pPr>
              <w:pStyle w:val="CDITable-RowLeft"/>
            </w:pPr>
            <w:r w:rsidRPr="00652CE4">
              <w:t>Italy</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5B776B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A5158F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DCECE8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1D5DFDE"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4FA24C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B620464"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A4F543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05E53F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DC7F4F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B0E419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CF7E440"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CFC3846" w14:textId="77777777" w:rsidR="00652CE4" w:rsidRPr="00652CE4" w:rsidRDefault="00652CE4" w:rsidP="00982DE4">
            <w:pPr>
              <w:pStyle w:val="CDITable-RowCentre"/>
            </w:pPr>
            <w:r w:rsidRPr="00652CE4">
              <w:t>4</w:t>
            </w:r>
          </w:p>
        </w:tc>
        <w:tc>
          <w:tcPr>
            <w:tcW w:w="907" w:type="dxa"/>
            <w:vMerge/>
            <w:tcBorders>
              <w:bottom w:val="single" w:sz="6" w:space="0" w:color="1E4496" w:themeColor="text2"/>
            </w:tcBorders>
            <w:tcMar>
              <w:top w:w="62" w:type="dxa"/>
              <w:bottom w:w="62" w:type="dxa"/>
            </w:tcMar>
          </w:tcPr>
          <w:p w14:paraId="5307CB24" w14:textId="77777777" w:rsidR="00652CE4" w:rsidRPr="00652CE4" w:rsidRDefault="00652CE4" w:rsidP="00652CE4"/>
        </w:tc>
      </w:tr>
      <w:tr w:rsidR="00652CE4" w:rsidRPr="00652CE4" w14:paraId="335792A7"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0F0FFA61"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3051B73" w14:textId="77777777" w:rsidR="00652CE4" w:rsidRPr="00652CE4" w:rsidRDefault="00652CE4" w:rsidP="00982DE4">
            <w:pPr>
              <w:pStyle w:val="CDITable-RowLeft"/>
            </w:pPr>
            <w:r w:rsidRPr="00652CE4">
              <w:t>Romania</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5FAFE2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8F586F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E47BFA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18FF7D4"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B23669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823A23F"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A141A3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03F575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906CC3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4D566D9"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9D76741"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7A12585" w14:textId="77777777" w:rsidR="00652CE4" w:rsidRPr="00652CE4" w:rsidRDefault="00652CE4" w:rsidP="00982DE4">
            <w:pPr>
              <w:pStyle w:val="CDITable-RowCentre"/>
            </w:pPr>
            <w:r w:rsidRPr="00652CE4">
              <w:t>4</w:t>
            </w:r>
          </w:p>
        </w:tc>
        <w:tc>
          <w:tcPr>
            <w:tcW w:w="907" w:type="dxa"/>
            <w:vMerge/>
            <w:tcBorders>
              <w:bottom w:val="single" w:sz="6" w:space="0" w:color="1E4496" w:themeColor="text2"/>
            </w:tcBorders>
            <w:tcMar>
              <w:top w:w="62" w:type="dxa"/>
              <w:bottom w:w="62" w:type="dxa"/>
            </w:tcMar>
          </w:tcPr>
          <w:p w14:paraId="5C29315D" w14:textId="77777777" w:rsidR="00652CE4" w:rsidRPr="00652CE4" w:rsidRDefault="00652CE4" w:rsidP="00652CE4"/>
        </w:tc>
      </w:tr>
      <w:tr w:rsidR="00652CE4" w:rsidRPr="00652CE4" w14:paraId="507A4C97"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41A1F0A7"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C9A044A" w14:textId="77777777" w:rsidR="00652CE4" w:rsidRPr="00652CE4" w:rsidRDefault="00652CE4" w:rsidP="00982DE4">
            <w:pPr>
              <w:pStyle w:val="CDITable-RowLeft"/>
            </w:pPr>
            <w:r w:rsidRPr="00652CE4">
              <w:t>Spain</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BA391F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D2410D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BA6ECF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DDD5F94"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0A86BD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83CC32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E16CE8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BFD50C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00FDBC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B6FF93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1B8F0EE"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EFF86E4"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2BE6CE04" w14:textId="77777777" w:rsidR="00652CE4" w:rsidRPr="00652CE4" w:rsidRDefault="00652CE4" w:rsidP="00652CE4"/>
        </w:tc>
      </w:tr>
      <w:tr w:rsidR="00652CE4" w:rsidRPr="00652CE4" w14:paraId="6B3111D9"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7ED90E39"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803AAF3" w14:textId="77777777" w:rsidR="00652CE4" w:rsidRPr="00652CE4" w:rsidRDefault="00652CE4" w:rsidP="00982DE4">
            <w:pPr>
              <w:pStyle w:val="CDITable-RowLeft"/>
            </w:pPr>
            <w:r w:rsidRPr="00652CE4">
              <w:t>Croatia</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FC20B0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22F360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838CD3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625779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668FC8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4AD5EE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A1E87C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04CB30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97D723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C9414F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7F5A8F7"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65FE606"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780822EF" w14:textId="77777777" w:rsidR="00652CE4" w:rsidRPr="00652CE4" w:rsidRDefault="00652CE4" w:rsidP="00652CE4"/>
        </w:tc>
      </w:tr>
      <w:tr w:rsidR="00652CE4" w:rsidRPr="00652CE4" w14:paraId="45E1AAD9"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5486A8BE"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D04650D" w14:textId="77777777" w:rsidR="00652CE4" w:rsidRPr="00652CE4" w:rsidRDefault="00652CE4" w:rsidP="00982DE4">
            <w:pPr>
              <w:pStyle w:val="CDITable-RowLeft"/>
            </w:pPr>
            <w:r w:rsidRPr="00652CE4">
              <w:t>England</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CA5905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6A04E8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EF1457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903D24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2A7EAE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EEA8CD5"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729B21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5A175E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E358B3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72B9F5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F8BBF71"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F3C23CC" w14:textId="77777777" w:rsidR="00652CE4" w:rsidRPr="00652CE4" w:rsidRDefault="00652CE4" w:rsidP="00982DE4">
            <w:pPr>
              <w:pStyle w:val="CDITable-RowCentre"/>
            </w:pPr>
            <w:r w:rsidRPr="00652CE4">
              <w:t>2</w:t>
            </w:r>
          </w:p>
        </w:tc>
        <w:tc>
          <w:tcPr>
            <w:tcW w:w="907" w:type="dxa"/>
            <w:vMerge/>
            <w:tcBorders>
              <w:bottom w:val="single" w:sz="6" w:space="0" w:color="1E4496" w:themeColor="text2"/>
            </w:tcBorders>
            <w:tcMar>
              <w:top w:w="62" w:type="dxa"/>
              <w:bottom w:w="62" w:type="dxa"/>
            </w:tcMar>
          </w:tcPr>
          <w:p w14:paraId="71362977" w14:textId="77777777" w:rsidR="00652CE4" w:rsidRPr="00652CE4" w:rsidRDefault="00652CE4" w:rsidP="00652CE4"/>
        </w:tc>
      </w:tr>
      <w:tr w:rsidR="00652CE4" w:rsidRPr="00652CE4" w14:paraId="192125E8"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7D6420F8"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551B7A5" w14:textId="77777777" w:rsidR="00652CE4" w:rsidRPr="00652CE4" w:rsidRDefault="00652CE4" w:rsidP="00982DE4">
            <w:pPr>
              <w:pStyle w:val="CDITable-RowLeft"/>
            </w:pPr>
            <w:r w:rsidRPr="00652CE4">
              <w:t>Ireland</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AFED7A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DA33F8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AC8606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426304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816A86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847290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CFD881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55AF46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D5F250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61B6E6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5684E80"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D98447D"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45884DE5" w14:textId="77777777" w:rsidR="00652CE4" w:rsidRPr="00652CE4" w:rsidRDefault="00652CE4" w:rsidP="00652CE4"/>
        </w:tc>
      </w:tr>
      <w:tr w:rsidR="00652CE4" w:rsidRPr="00652CE4" w14:paraId="2AD59699"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27B7F559"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74C166C" w14:textId="77777777" w:rsidR="00652CE4" w:rsidRPr="00652CE4" w:rsidRDefault="00652CE4" w:rsidP="00982DE4">
            <w:pPr>
              <w:pStyle w:val="CDITable-RowLeft"/>
            </w:pPr>
            <w:r w:rsidRPr="00652CE4">
              <w:t>United Kingdom, Channel Islands and Isle of Man</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D0504D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496F97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EECB91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A84D0E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44E7D2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2239E6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B80A47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1325B4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3E4519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91ADA6E"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163AA03B"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221AB0F" w14:textId="77777777" w:rsidR="00652CE4" w:rsidRPr="00652CE4" w:rsidRDefault="00652CE4" w:rsidP="00982DE4">
            <w:pPr>
              <w:pStyle w:val="CDITable-RowCentre"/>
            </w:pPr>
            <w:r w:rsidRPr="00652CE4">
              <w:t>2</w:t>
            </w:r>
          </w:p>
        </w:tc>
        <w:tc>
          <w:tcPr>
            <w:tcW w:w="907" w:type="dxa"/>
            <w:vMerge/>
            <w:tcBorders>
              <w:bottom w:val="single" w:sz="6" w:space="0" w:color="1E4496" w:themeColor="text2"/>
            </w:tcBorders>
            <w:tcMar>
              <w:top w:w="62" w:type="dxa"/>
              <w:bottom w:w="62" w:type="dxa"/>
            </w:tcMar>
          </w:tcPr>
          <w:p w14:paraId="40AC3E0F" w14:textId="77777777" w:rsidR="00652CE4" w:rsidRPr="00652CE4" w:rsidRDefault="00652CE4" w:rsidP="00652CE4"/>
        </w:tc>
      </w:tr>
      <w:tr w:rsidR="00652CE4" w:rsidRPr="00652CE4" w14:paraId="734F5773" w14:textId="77777777" w:rsidTr="00520680">
        <w:trPr>
          <w:trHeight w:val="60"/>
        </w:trPr>
        <w:tc>
          <w:tcPr>
            <w:tcW w:w="1814" w:type="dxa"/>
            <w:vMerge/>
            <w:tcBorders>
              <w:bottom w:val="single" w:sz="6" w:space="0" w:color="1E4496" w:themeColor="text2"/>
            </w:tcBorders>
            <w:shd w:val="clear" w:color="auto" w:fill="DCF4FC" w:themeFill="background2" w:themeFillTint="33"/>
            <w:tcMar>
              <w:top w:w="62" w:type="dxa"/>
              <w:bottom w:w="62" w:type="dxa"/>
            </w:tcMar>
          </w:tcPr>
          <w:p w14:paraId="5EFF3A8E"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07644AA" w14:textId="77777777" w:rsidR="00652CE4" w:rsidRPr="00652CE4" w:rsidRDefault="00652CE4" w:rsidP="00982DE4">
            <w:pPr>
              <w:pStyle w:val="CDITable-RowLeft"/>
            </w:pPr>
            <w:r w:rsidRPr="00652CE4">
              <w:t xml:space="preserve">Western Europe, </w:t>
            </w:r>
            <w:proofErr w:type="spellStart"/>
            <w:r w:rsidRPr="00652CE4">
              <w:t>nfd</w:t>
            </w:r>
            <w:proofErr w:type="spellEnd"/>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434D08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0930895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6107ED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1DE70C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2D9902A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208307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F371C1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303E862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69ADB60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482CE9E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7E1742EC"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62" w:type="dxa"/>
              <w:left w:w="113" w:type="dxa"/>
              <w:bottom w:w="62" w:type="dxa"/>
              <w:right w:w="113" w:type="dxa"/>
            </w:tcMar>
            <w:vAlign w:val="center"/>
          </w:tcPr>
          <w:p w14:paraId="5D6F546A"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62" w:type="dxa"/>
              <w:bottom w:w="62" w:type="dxa"/>
            </w:tcMar>
          </w:tcPr>
          <w:p w14:paraId="130649F1" w14:textId="77777777" w:rsidR="00652CE4" w:rsidRPr="00652CE4" w:rsidRDefault="00652CE4" w:rsidP="00652CE4"/>
        </w:tc>
      </w:tr>
      <w:tr w:rsidR="00652CE4" w:rsidRPr="00652CE4" w14:paraId="57D92411" w14:textId="77777777" w:rsidTr="00520680">
        <w:trPr>
          <w:trHeight w:val="60"/>
        </w:trPr>
        <w:tc>
          <w:tcPr>
            <w:tcW w:w="1814" w:type="dxa"/>
            <w:vMerge w:val="restart"/>
            <w:tcBorders>
              <w:top w:val="single" w:sz="6" w:space="0" w:color="1E4496" w:themeColor="text2"/>
              <w:bottom w:val="single" w:sz="6" w:space="0" w:color="1E4496" w:themeColor="text2"/>
            </w:tcBorders>
            <w:shd w:val="clear" w:color="auto" w:fill="DCF4FC" w:themeFill="background2" w:themeFillTint="33"/>
            <w:tcMar>
              <w:top w:w="57" w:type="dxa"/>
              <w:left w:w="113" w:type="dxa"/>
              <w:bottom w:w="57" w:type="dxa"/>
              <w:right w:w="113" w:type="dxa"/>
            </w:tcMar>
            <w:vAlign w:val="center"/>
          </w:tcPr>
          <w:p w14:paraId="45DAB9C2" w14:textId="77777777" w:rsidR="00652CE4" w:rsidRPr="00982DE4" w:rsidRDefault="00652CE4" w:rsidP="00982DE4">
            <w:pPr>
              <w:pStyle w:val="CDITable-RowLeft"/>
              <w:rPr>
                <w:b/>
                <w:bCs/>
              </w:rPr>
            </w:pPr>
            <w:proofErr w:type="gramStart"/>
            <w:r w:rsidRPr="00982DE4">
              <w:rPr>
                <w:b/>
                <w:bCs/>
              </w:rPr>
              <w:lastRenderedPageBreak/>
              <w:t>South East</w:t>
            </w:r>
            <w:proofErr w:type="gramEnd"/>
            <w:r w:rsidRPr="00982DE4">
              <w:rPr>
                <w:b/>
                <w:bCs/>
              </w:rPr>
              <w:t xml:space="preserve"> Asia</w:t>
            </w: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3151F5D" w14:textId="77777777" w:rsidR="00652CE4" w:rsidRPr="00652CE4" w:rsidRDefault="00652CE4" w:rsidP="00982DE4">
            <w:pPr>
              <w:pStyle w:val="CDITable-RowLeft"/>
            </w:pPr>
            <w:r w:rsidRPr="00652CE4">
              <w:t>India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C613577" w14:textId="77777777" w:rsidR="00652CE4" w:rsidRPr="00652CE4" w:rsidRDefault="00652CE4" w:rsidP="00982DE4">
            <w:pPr>
              <w:pStyle w:val="CDITable-RowCentre"/>
            </w:pPr>
            <w:r w:rsidRPr="00652CE4">
              <w:t>4</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84CC151" w14:textId="77777777" w:rsidR="00652CE4" w:rsidRPr="00652CE4" w:rsidRDefault="00652CE4" w:rsidP="00982DE4">
            <w:pPr>
              <w:pStyle w:val="CDITable-RowCentre"/>
            </w:pPr>
            <w:r w:rsidRPr="00652CE4">
              <w:t>13</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3A104EA" w14:textId="77777777" w:rsidR="00652CE4" w:rsidRPr="00652CE4" w:rsidRDefault="00652CE4" w:rsidP="00982DE4">
            <w:pPr>
              <w:pStyle w:val="CDITable-RowCentre"/>
            </w:pPr>
            <w:r w:rsidRPr="00652CE4">
              <w:t>6</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346393B" w14:textId="77777777" w:rsidR="00652CE4" w:rsidRPr="00652CE4" w:rsidRDefault="00652CE4" w:rsidP="00982DE4">
            <w:pPr>
              <w:pStyle w:val="CDITable-RowCentre"/>
            </w:pPr>
            <w:r w:rsidRPr="00652CE4">
              <w:t>4</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80E7D6D" w14:textId="77777777" w:rsidR="00652CE4" w:rsidRPr="00652CE4" w:rsidRDefault="00652CE4" w:rsidP="00982DE4">
            <w:pPr>
              <w:pStyle w:val="CDITable-RowCentre"/>
            </w:pPr>
            <w:r w:rsidRPr="00652CE4">
              <w:t>10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EEE9523"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1DC580D"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D2AB9C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B25AC9C"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F5BA1AF" w14:textId="77777777" w:rsidR="00652CE4" w:rsidRPr="00652CE4" w:rsidRDefault="00652CE4" w:rsidP="00982DE4">
            <w:pPr>
              <w:pStyle w:val="CDITable-RowCentre"/>
            </w:pPr>
            <w:r w:rsidRPr="00652CE4">
              <w:t>3</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9567536" w14:textId="77777777" w:rsidR="00652CE4" w:rsidRPr="00652CE4" w:rsidRDefault="00652CE4" w:rsidP="00982DE4">
            <w:pPr>
              <w:pStyle w:val="CDITable-RowCentre"/>
            </w:pPr>
            <w:r w:rsidRPr="00652CE4">
              <w:t>8</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4DB9320" w14:textId="77777777" w:rsidR="00652CE4" w:rsidRPr="00652CE4" w:rsidRDefault="00652CE4" w:rsidP="00982DE4">
            <w:pPr>
              <w:pStyle w:val="CDITable-RowCentre"/>
            </w:pPr>
            <w:r w:rsidRPr="00652CE4">
              <w:t>52</w:t>
            </w:r>
          </w:p>
        </w:tc>
        <w:tc>
          <w:tcPr>
            <w:tcW w:w="907" w:type="dxa"/>
            <w:vMerge w:val="restart"/>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6A80BCA" w14:textId="77777777" w:rsidR="00652CE4" w:rsidRPr="00C47712" w:rsidRDefault="00652CE4" w:rsidP="00982DE4">
            <w:pPr>
              <w:pStyle w:val="CDITable-RowCentre"/>
              <w:rPr>
                <w:b/>
                <w:bCs/>
              </w:rPr>
            </w:pPr>
            <w:r w:rsidRPr="00C47712">
              <w:rPr>
                <w:b/>
                <w:bCs/>
              </w:rPr>
              <w:t>204</w:t>
            </w:r>
          </w:p>
        </w:tc>
      </w:tr>
      <w:tr w:rsidR="00652CE4" w:rsidRPr="00652CE4" w14:paraId="3ED97AA1"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4049784B"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D98A019" w14:textId="77777777" w:rsidR="00652CE4" w:rsidRPr="00652CE4" w:rsidRDefault="00652CE4" w:rsidP="00982DE4">
            <w:pPr>
              <w:pStyle w:val="CDITable-RowLeft"/>
            </w:pPr>
            <w:r w:rsidRPr="00652CE4">
              <w:t>Indonesia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342CA88" w14:textId="77777777" w:rsidR="00652CE4" w:rsidRPr="00652CE4" w:rsidRDefault="00652CE4" w:rsidP="00982DE4">
            <w:pPr>
              <w:pStyle w:val="CDITable-RowCentre"/>
            </w:pPr>
            <w:r w:rsidRPr="00652CE4">
              <w:t>31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4608903" w14:textId="77777777" w:rsidR="00652CE4" w:rsidRPr="00652CE4" w:rsidRDefault="00652CE4" w:rsidP="00982DE4">
            <w:pPr>
              <w:pStyle w:val="CDITable-RowCentre"/>
            </w:pPr>
            <w:r w:rsidRPr="00652CE4">
              <w:t>7</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6752E7A" w14:textId="77777777" w:rsidR="00652CE4" w:rsidRPr="00652CE4" w:rsidRDefault="00652CE4" w:rsidP="00982DE4">
            <w:pPr>
              <w:pStyle w:val="CDITable-RowCentre"/>
            </w:pPr>
            <w:r w:rsidRPr="00652CE4">
              <w:t>14</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884D7DC" w14:textId="77777777" w:rsidR="00652CE4" w:rsidRPr="00652CE4" w:rsidRDefault="00652CE4" w:rsidP="00982DE4">
            <w:pPr>
              <w:pStyle w:val="CDITable-RowCentre"/>
            </w:pPr>
            <w:r w:rsidRPr="00652CE4">
              <w:t>21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B59EF16" w14:textId="77777777" w:rsidR="00652CE4" w:rsidRPr="00652CE4" w:rsidRDefault="00652CE4" w:rsidP="00982DE4">
            <w:pPr>
              <w:pStyle w:val="CDITable-RowCentre"/>
            </w:pPr>
            <w:r w:rsidRPr="00652CE4">
              <w:t>10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435E281" w14:textId="77777777" w:rsidR="00652CE4" w:rsidRPr="00652CE4" w:rsidRDefault="00652CE4" w:rsidP="00982DE4">
            <w:pPr>
              <w:pStyle w:val="CDITable-RowCentre"/>
            </w:pPr>
            <w:r w:rsidRPr="00652CE4">
              <w:t>3</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23F3B9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EDDE9B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25B2356"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D6773A2" w14:textId="77777777" w:rsidR="00652CE4" w:rsidRPr="00652CE4" w:rsidRDefault="00652CE4" w:rsidP="00982DE4">
            <w:pPr>
              <w:pStyle w:val="CDITable-RowCentre"/>
            </w:pPr>
            <w:r w:rsidRPr="00652CE4">
              <w:t>9</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4CBDC14" w14:textId="77777777" w:rsidR="00652CE4" w:rsidRPr="00652CE4" w:rsidRDefault="00652CE4" w:rsidP="00982DE4">
            <w:pPr>
              <w:pStyle w:val="CDITable-RowCentre"/>
            </w:pPr>
            <w:r w:rsidRPr="00652CE4">
              <w:t>2</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BC6B704" w14:textId="77777777" w:rsidR="00652CE4" w:rsidRPr="00652CE4" w:rsidRDefault="00652CE4" w:rsidP="00982DE4">
            <w:pPr>
              <w:pStyle w:val="CDITable-RowCentre"/>
            </w:pPr>
            <w:r w:rsidRPr="00652CE4">
              <w:t>99</w:t>
            </w:r>
          </w:p>
        </w:tc>
        <w:tc>
          <w:tcPr>
            <w:tcW w:w="907" w:type="dxa"/>
            <w:vMerge/>
            <w:tcBorders>
              <w:bottom w:val="single" w:sz="6" w:space="0" w:color="1E4496" w:themeColor="text2"/>
            </w:tcBorders>
            <w:tcMar>
              <w:top w:w="57" w:type="dxa"/>
              <w:bottom w:w="57" w:type="dxa"/>
            </w:tcMar>
          </w:tcPr>
          <w:p w14:paraId="716806CA" w14:textId="77777777" w:rsidR="00652CE4" w:rsidRPr="00652CE4" w:rsidRDefault="00652CE4" w:rsidP="00982DE4">
            <w:pPr>
              <w:pStyle w:val="CDITable-RowCentre"/>
            </w:pPr>
          </w:p>
        </w:tc>
      </w:tr>
      <w:tr w:rsidR="00652CE4" w:rsidRPr="00652CE4" w14:paraId="7095E59A"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38424715"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1ADCD3D" w14:textId="77777777" w:rsidR="00652CE4" w:rsidRPr="00652CE4" w:rsidRDefault="00652CE4" w:rsidP="00982DE4">
            <w:pPr>
              <w:pStyle w:val="CDITable-RowLeft"/>
            </w:pPr>
            <w:r w:rsidRPr="00652CE4">
              <w:t>Myanmar</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3A78A7B"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D786B0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FAF877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BEC035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84831A2"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4A513AF"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BF0CF8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57502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0AAD2A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45FBBC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7B30E0B"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B2E8C8B" w14:textId="77777777" w:rsidR="00652CE4" w:rsidRPr="00652CE4" w:rsidRDefault="00652CE4" w:rsidP="00982DE4">
            <w:pPr>
              <w:pStyle w:val="CDITable-RowCentre"/>
            </w:pPr>
            <w:r w:rsidRPr="00652CE4">
              <w:t>6</w:t>
            </w:r>
          </w:p>
        </w:tc>
        <w:tc>
          <w:tcPr>
            <w:tcW w:w="907" w:type="dxa"/>
            <w:vMerge/>
            <w:tcBorders>
              <w:bottom w:val="single" w:sz="6" w:space="0" w:color="1E4496" w:themeColor="text2"/>
            </w:tcBorders>
            <w:tcMar>
              <w:top w:w="57" w:type="dxa"/>
              <w:bottom w:w="57" w:type="dxa"/>
            </w:tcMar>
          </w:tcPr>
          <w:p w14:paraId="73D29473" w14:textId="77777777" w:rsidR="00652CE4" w:rsidRPr="00652CE4" w:rsidRDefault="00652CE4" w:rsidP="00982DE4">
            <w:pPr>
              <w:pStyle w:val="CDITable-RowCentre"/>
            </w:pPr>
          </w:p>
        </w:tc>
      </w:tr>
      <w:tr w:rsidR="00652CE4" w:rsidRPr="00652CE4" w14:paraId="458DE232"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41963F74"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C0D1E61" w14:textId="77777777" w:rsidR="00652CE4" w:rsidRPr="00652CE4" w:rsidRDefault="00652CE4" w:rsidP="00982DE4">
            <w:pPr>
              <w:pStyle w:val="CDITable-RowLeft"/>
            </w:pPr>
            <w:r w:rsidRPr="00652CE4">
              <w:t>Sri Lanka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E5355E3"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E12DFD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5216CE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E5ADBA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EA9E03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60ADD64"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9DC2F8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F172A2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6B9D0A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187258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8B7C472"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CF834C9" w14:textId="77777777" w:rsidR="00652CE4" w:rsidRPr="00652CE4" w:rsidRDefault="00652CE4" w:rsidP="00982DE4">
            <w:pPr>
              <w:pStyle w:val="CDITable-RowCentre"/>
            </w:pPr>
            <w:r w:rsidRPr="00652CE4">
              <w:t>4</w:t>
            </w:r>
          </w:p>
        </w:tc>
        <w:tc>
          <w:tcPr>
            <w:tcW w:w="907" w:type="dxa"/>
            <w:vMerge/>
            <w:tcBorders>
              <w:bottom w:val="single" w:sz="6" w:space="0" w:color="1E4496" w:themeColor="text2"/>
            </w:tcBorders>
            <w:tcMar>
              <w:top w:w="57" w:type="dxa"/>
              <w:bottom w:w="57" w:type="dxa"/>
            </w:tcMar>
          </w:tcPr>
          <w:p w14:paraId="190DE81A" w14:textId="77777777" w:rsidR="00652CE4" w:rsidRPr="00652CE4" w:rsidRDefault="00652CE4" w:rsidP="00982DE4">
            <w:pPr>
              <w:pStyle w:val="CDITable-RowCentre"/>
            </w:pPr>
          </w:p>
        </w:tc>
      </w:tr>
      <w:tr w:rsidR="00652CE4" w:rsidRPr="00652CE4" w14:paraId="4E7BF22A"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6F2B6D35"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096A4F" w14:textId="77777777" w:rsidR="00652CE4" w:rsidRPr="00652CE4" w:rsidRDefault="00652CE4" w:rsidP="00982DE4">
            <w:pPr>
              <w:pStyle w:val="CDITable-RowLeft"/>
            </w:pPr>
            <w:r w:rsidRPr="00652CE4">
              <w:t>Thailand</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44053CF"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2DBF07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AA4A48C"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9498C37"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594EF67" w14:textId="77777777" w:rsidR="00652CE4" w:rsidRPr="00652CE4" w:rsidRDefault="00652CE4" w:rsidP="00982DE4">
            <w:pPr>
              <w:pStyle w:val="CDITable-RowCentre"/>
            </w:pPr>
            <w:r w:rsidRPr="00652CE4">
              <w:t>11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DB0F897" w14:textId="77777777" w:rsidR="00652CE4" w:rsidRPr="00652CE4" w:rsidRDefault="00652CE4" w:rsidP="00982DE4">
            <w:pPr>
              <w:pStyle w:val="CDITable-RowCentre"/>
            </w:pPr>
            <w:r w:rsidRPr="00652CE4">
              <w:t>14</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93D9F35"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C1192B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937385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67A7AF0"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3CB2EA5" w14:textId="77777777" w:rsidR="00652CE4" w:rsidRPr="00652CE4" w:rsidRDefault="00652CE4" w:rsidP="00982DE4">
            <w:pPr>
              <w:pStyle w:val="CDITable-RowCentre"/>
            </w:pPr>
            <w:r w:rsidRPr="00652CE4">
              <w:t>2</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4C9212C" w14:textId="77777777" w:rsidR="00652CE4" w:rsidRPr="00652CE4" w:rsidRDefault="00652CE4" w:rsidP="00982DE4">
            <w:pPr>
              <w:pStyle w:val="CDITable-RowCentre"/>
            </w:pPr>
            <w:r w:rsidRPr="00652CE4">
              <w:t>34</w:t>
            </w:r>
          </w:p>
        </w:tc>
        <w:tc>
          <w:tcPr>
            <w:tcW w:w="907" w:type="dxa"/>
            <w:vMerge/>
            <w:tcBorders>
              <w:bottom w:val="single" w:sz="6" w:space="0" w:color="1E4496" w:themeColor="text2"/>
            </w:tcBorders>
            <w:tcMar>
              <w:top w:w="57" w:type="dxa"/>
              <w:bottom w:w="57" w:type="dxa"/>
            </w:tcMar>
          </w:tcPr>
          <w:p w14:paraId="530A556C" w14:textId="77777777" w:rsidR="00652CE4" w:rsidRPr="00652CE4" w:rsidRDefault="00652CE4" w:rsidP="00982DE4">
            <w:pPr>
              <w:pStyle w:val="CDITable-RowCentre"/>
            </w:pPr>
          </w:p>
        </w:tc>
      </w:tr>
      <w:tr w:rsidR="00652CE4" w:rsidRPr="00652CE4" w14:paraId="64C6953F"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04061E9C"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9D108FB" w14:textId="77777777" w:rsidR="00652CE4" w:rsidRPr="00652CE4" w:rsidRDefault="00652CE4" w:rsidP="00982DE4">
            <w:pPr>
              <w:pStyle w:val="CDITable-RowLeft"/>
            </w:pPr>
            <w:r w:rsidRPr="00652CE4">
              <w:t>Nepal</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3527BD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E66E90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D07D67D"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0BC64E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678F17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8D4A83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1453599"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725E13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33E8C8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1A29C5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653B7E1"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4C1EE4E" w14:textId="77777777" w:rsidR="00652CE4" w:rsidRPr="00652CE4" w:rsidRDefault="00652CE4" w:rsidP="00982DE4">
            <w:pPr>
              <w:pStyle w:val="CDITable-RowCentre"/>
            </w:pPr>
            <w:r w:rsidRPr="00652CE4">
              <w:t>3</w:t>
            </w:r>
          </w:p>
        </w:tc>
        <w:tc>
          <w:tcPr>
            <w:tcW w:w="907" w:type="dxa"/>
            <w:vMerge/>
            <w:tcBorders>
              <w:bottom w:val="single" w:sz="6" w:space="0" w:color="1E4496" w:themeColor="text2"/>
            </w:tcBorders>
            <w:tcMar>
              <w:top w:w="57" w:type="dxa"/>
              <w:bottom w:w="57" w:type="dxa"/>
            </w:tcMar>
          </w:tcPr>
          <w:p w14:paraId="2EE00FB0" w14:textId="77777777" w:rsidR="00652CE4" w:rsidRPr="00652CE4" w:rsidRDefault="00652CE4" w:rsidP="00982DE4">
            <w:pPr>
              <w:pStyle w:val="CDITable-RowCentre"/>
            </w:pPr>
          </w:p>
        </w:tc>
      </w:tr>
      <w:tr w:rsidR="00652CE4" w:rsidRPr="00652CE4" w14:paraId="7D38A63E"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31588893"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C7C3E74" w14:textId="77777777" w:rsidR="00652CE4" w:rsidRPr="00652CE4" w:rsidRDefault="00652CE4" w:rsidP="00982DE4">
            <w:pPr>
              <w:pStyle w:val="CDITable-RowLeft"/>
            </w:pPr>
            <w:r w:rsidRPr="00652CE4">
              <w:t>Bangladesh</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574B3D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923444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8FFFC9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F8AE72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ED3A8E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902790F"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EEB0C9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A4DE18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8D1E37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7111E6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6C765A0"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A9284A9"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57" w:type="dxa"/>
              <w:bottom w:w="57" w:type="dxa"/>
            </w:tcMar>
          </w:tcPr>
          <w:p w14:paraId="11F849EC" w14:textId="77777777" w:rsidR="00652CE4" w:rsidRPr="00652CE4" w:rsidRDefault="00652CE4" w:rsidP="00982DE4">
            <w:pPr>
              <w:pStyle w:val="CDITable-RowCentre"/>
            </w:pPr>
          </w:p>
        </w:tc>
      </w:tr>
      <w:tr w:rsidR="00652CE4" w:rsidRPr="00652CE4" w14:paraId="2212BA79"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014E8B9E" w14:textId="77777777" w:rsidR="00652CE4" w:rsidRPr="00982DE4" w:rsidRDefault="00652CE4" w:rsidP="00982DE4">
            <w:pPr>
              <w:pStyle w:val="CDITable-RowLeft"/>
              <w:rPr>
                <w:b/>
                <w:bCs/>
              </w:rPr>
            </w:pP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D4EDFE0" w14:textId="77777777" w:rsidR="00652CE4" w:rsidRPr="00652CE4" w:rsidRDefault="00652CE4" w:rsidP="00982DE4">
            <w:pPr>
              <w:pStyle w:val="CDITable-RowLeft"/>
            </w:pPr>
            <w:proofErr w:type="gramStart"/>
            <w:r w:rsidRPr="00652CE4">
              <w:t>South East</w:t>
            </w:r>
            <w:proofErr w:type="gramEnd"/>
            <w:r w:rsidRPr="00652CE4">
              <w:t xml:space="preserve"> Asia, </w:t>
            </w:r>
            <w:proofErr w:type="spellStart"/>
            <w:r w:rsidRPr="00652CE4">
              <w:t>nfd</w:t>
            </w:r>
            <w:proofErr w:type="spellEnd"/>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5EF660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C2ABF3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EF66731"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DE17DD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EA5A66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3ED9C95"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D9CA77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DD167E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58CFE4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D0414C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09E0377"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8F7B8BB" w14:textId="77777777" w:rsidR="00652CE4" w:rsidRPr="00652CE4" w:rsidRDefault="00652CE4" w:rsidP="00982DE4">
            <w:pPr>
              <w:pStyle w:val="CDITable-RowCentre"/>
            </w:pPr>
            <w:r w:rsidRPr="00652CE4">
              <w:t>5</w:t>
            </w:r>
          </w:p>
        </w:tc>
        <w:tc>
          <w:tcPr>
            <w:tcW w:w="907" w:type="dxa"/>
            <w:vMerge/>
            <w:tcBorders>
              <w:bottom w:val="single" w:sz="6" w:space="0" w:color="1E4496" w:themeColor="text2"/>
            </w:tcBorders>
            <w:tcMar>
              <w:top w:w="57" w:type="dxa"/>
              <w:bottom w:w="57" w:type="dxa"/>
            </w:tcMar>
          </w:tcPr>
          <w:p w14:paraId="0276C93C" w14:textId="77777777" w:rsidR="00652CE4" w:rsidRPr="00652CE4" w:rsidRDefault="00652CE4" w:rsidP="00982DE4">
            <w:pPr>
              <w:pStyle w:val="CDITable-RowCentre"/>
            </w:pPr>
          </w:p>
        </w:tc>
      </w:tr>
      <w:tr w:rsidR="00652CE4" w:rsidRPr="00652CE4" w14:paraId="5E12E91C" w14:textId="77777777" w:rsidTr="00520680">
        <w:trPr>
          <w:trHeight w:val="60"/>
        </w:trPr>
        <w:tc>
          <w:tcPr>
            <w:tcW w:w="1814" w:type="dxa"/>
            <w:vMerge w:val="restart"/>
            <w:tcBorders>
              <w:top w:val="single" w:sz="6" w:space="0" w:color="1E4496" w:themeColor="text2"/>
              <w:bottom w:val="single" w:sz="6" w:space="0" w:color="1E4496" w:themeColor="text2"/>
            </w:tcBorders>
            <w:shd w:val="clear" w:color="auto" w:fill="DCF4FC" w:themeFill="background2" w:themeFillTint="33"/>
            <w:tcMar>
              <w:top w:w="57" w:type="dxa"/>
              <w:left w:w="113" w:type="dxa"/>
              <w:bottom w:w="57" w:type="dxa"/>
              <w:right w:w="113" w:type="dxa"/>
            </w:tcMar>
            <w:vAlign w:val="center"/>
          </w:tcPr>
          <w:p w14:paraId="438865DD" w14:textId="77777777" w:rsidR="00652CE4" w:rsidRPr="00982DE4" w:rsidRDefault="00652CE4" w:rsidP="00982DE4">
            <w:pPr>
              <w:pStyle w:val="CDITable-RowLeft"/>
              <w:rPr>
                <w:b/>
                <w:bCs/>
              </w:rPr>
            </w:pPr>
            <w:r w:rsidRPr="00982DE4">
              <w:rPr>
                <w:b/>
                <w:bCs/>
              </w:rPr>
              <w:t>Western Pacific</w:t>
            </w:r>
          </w:p>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2B898B7" w14:textId="77777777" w:rsidR="00652CE4" w:rsidRPr="00652CE4" w:rsidRDefault="00652CE4" w:rsidP="00982DE4">
            <w:pPr>
              <w:pStyle w:val="CDITable-RowLeft"/>
            </w:pPr>
            <w:r w:rsidRPr="00652CE4">
              <w:t>Brunei Darussalam</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EC77E9E"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65160F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B00ECD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D8A040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2C8CB2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C252A8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8DDFED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787A2D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97E757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36DE10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95F82BE"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2796C0" w14:textId="77777777" w:rsidR="00652CE4" w:rsidRPr="00652CE4" w:rsidRDefault="00652CE4" w:rsidP="00982DE4">
            <w:pPr>
              <w:pStyle w:val="CDITable-RowCentre"/>
            </w:pPr>
            <w:r w:rsidRPr="00652CE4">
              <w:t>1</w:t>
            </w:r>
          </w:p>
        </w:tc>
        <w:tc>
          <w:tcPr>
            <w:tcW w:w="907" w:type="dxa"/>
            <w:vMerge w:val="restart"/>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9CF3AE3" w14:textId="77777777" w:rsidR="00652CE4" w:rsidRPr="00C47712" w:rsidRDefault="00652CE4" w:rsidP="00982DE4">
            <w:pPr>
              <w:pStyle w:val="CDITable-RowCentre"/>
              <w:rPr>
                <w:b/>
                <w:bCs/>
              </w:rPr>
            </w:pPr>
            <w:r w:rsidRPr="00C47712">
              <w:rPr>
                <w:b/>
                <w:bCs/>
              </w:rPr>
              <w:t>221</w:t>
            </w:r>
          </w:p>
        </w:tc>
      </w:tr>
      <w:tr w:rsidR="00652CE4" w:rsidRPr="00652CE4" w14:paraId="025E5BE4"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1685BE6D"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3E71A9D" w14:textId="77777777" w:rsidR="00652CE4" w:rsidRPr="00652CE4" w:rsidRDefault="00652CE4" w:rsidP="00982DE4">
            <w:pPr>
              <w:pStyle w:val="CDITable-RowLeft"/>
            </w:pPr>
            <w:r w:rsidRPr="00652CE4">
              <w:t>China (excludes SARs and Taiwan)</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3F4C9A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0E91CF5"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A089E4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7ACB0E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70B871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49D91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C1A247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1F6C73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3459A3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039248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B3B9AB2"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8AA9353" w14:textId="77777777" w:rsidR="00652CE4" w:rsidRPr="00652CE4" w:rsidRDefault="00652CE4" w:rsidP="00982DE4">
            <w:pPr>
              <w:pStyle w:val="CDITable-RowCentre"/>
            </w:pPr>
            <w:r w:rsidRPr="00652CE4">
              <w:t>2</w:t>
            </w:r>
          </w:p>
        </w:tc>
        <w:tc>
          <w:tcPr>
            <w:tcW w:w="907" w:type="dxa"/>
            <w:vMerge/>
            <w:tcBorders>
              <w:bottom w:val="single" w:sz="6" w:space="0" w:color="1E4496" w:themeColor="text2"/>
            </w:tcBorders>
            <w:tcMar>
              <w:top w:w="57" w:type="dxa"/>
              <w:bottom w:w="57" w:type="dxa"/>
            </w:tcMar>
          </w:tcPr>
          <w:p w14:paraId="72E2D04F" w14:textId="77777777" w:rsidR="00652CE4" w:rsidRPr="00652CE4" w:rsidRDefault="00652CE4" w:rsidP="00652CE4"/>
        </w:tc>
      </w:tr>
      <w:tr w:rsidR="00652CE4" w:rsidRPr="00652CE4" w14:paraId="55189092"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78F7F099"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AD61552" w14:textId="77777777" w:rsidR="00652CE4" w:rsidRPr="00652CE4" w:rsidRDefault="00652CE4" w:rsidP="00982DE4">
            <w:pPr>
              <w:pStyle w:val="CDITable-RowLeft"/>
            </w:pPr>
            <w:r w:rsidRPr="00652CE4">
              <w:t>Malaysia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1FCBF62"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846EF37"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453D7F1"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F8FEC8C"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F72B94E" w14:textId="77777777" w:rsidR="00652CE4" w:rsidRPr="00652CE4" w:rsidRDefault="00652CE4" w:rsidP="00982DE4">
            <w:pPr>
              <w:pStyle w:val="CDITable-RowCentre"/>
            </w:pPr>
            <w:r w:rsidRPr="00652CE4">
              <w:t>4</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F3BEEA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940611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5D9FED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71209CB"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A0E977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CD5D7FE" w14:textId="77777777" w:rsidR="00652CE4" w:rsidRPr="00652CE4" w:rsidRDefault="00652CE4" w:rsidP="00982DE4">
            <w:pPr>
              <w:pStyle w:val="CDITable-RowCentre"/>
            </w:pPr>
            <w:r w:rsidRPr="00652CE4">
              <w:t>2</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2CC1FB6" w14:textId="77777777" w:rsidR="00652CE4" w:rsidRPr="00652CE4" w:rsidRDefault="00652CE4" w:rsidP="00982DE4">
            <w:pPr>
              <w:pStyle w:val="CDITable-RowCentre"/>
            </w:pPr>
            <w:r w:rsidRPr="00652CE4">
              <w:t>14</w:t>
            </w:r>
          </w:p>
        </w:tc>
        <w:tc>
          <w:tcPr>
            <w:tcW w:w="907" w:type="dxa"/>
            <w:vMerge/>
            <w:tcBorders>
              <w:bottom w:val="single" w:sz="6" w:space="0" w:color="1E4496" w:themeColor="text2"/>
            </w:tcBorders>
            <w:tcMar>
              <w:top w:w="57" w:type="dxa"/>
              <w:bottom w:w="57" w:type="dxa"/>
            </w:tcMar>
          </w:tcPr>
          <w:p w14:paraId="4BE96D72" w14:textId="77777777" w:rsidR="00652CE4" w:rsidRPr="00652CE4" w:rsidRDefault="00652CE4" w:rsidP="00652CE4"/>
        </w:tc>
      </w:tr>
      <w:tr w:rsidR="00652CE4" w:rsidRPr="00652CE4" w14:paraId="72BC9302"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2A6F08EE"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0B66EC7" w14:textId="77777777" w:rsidR="00652CE4" w:rsidRPr="00652CE4" w:rsidRDefault="00652CE4" w:rsidP="00982DE4">
            <w:pPr>
              <w:pStyle w:val="CDITable-RowLeft"/>
            </w:pPr>
            <w:r w:rsidRPr="00652CE4">
              <w:t>New Zealand</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1C47360"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88B14B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AA6E35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F6C23D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2A7175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F383016" w14:textId="77777777" w:rsidR="00652CE4" w:rsidRPr="00652CE4" w:rsidRDefault="00652CE4" w:rsidP="00982DE4">
            <w:pPr>
              <w:pStyle w:val="CDITable-RowCentre"/>
            </w:pPr>
            <w:r w:rsidRPr="00652CE4">
              <w:t>21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999AC0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768B7D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761C19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C4DB6D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C6B69C2"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FC51EA8" w14:textId="77777777" w:rsidR="00652CE4" w:rsidRPr="00652CE4" w:rsidRDefault="00652CE4" w:rsidP="00982DE4">
            <w:pPr>
              <w:pStyle w:val="CDITable-RowCentre"/>
            </w:pPr>
            <w:r w:rsidRPr="00652CE4">
              <w:t>23</w:t>
            </w:r>
          </w:p>
        </w:tc>
        <w:tc>
          <w:tcPr>
            <w:tcW w:w="907" w:type="dxa"/>
            <w:vMerge/>
            <w:tcBorders>
              <w:bottom w:val="single" w:sz="6" w:space="0" w:color="1E4496" w:themeColor="text2"/>
            </w:tcBorders>
            <w:tcMar>
              <w:top w:w="57" w:type="dxa"/>
              <w:bottom w:w="57" w:type="dxa"/>
            </w:tcMar>
          </w:tcPr>
          <w:p w14:paraId="6835CB13" w14:textId="77777777" w:rsidR="00652CE4" w:rsidRPr="00652CE4" w:rsidRDefault="00652CE4" w:rsidP="00652CE4"/>
        </w:tc>
      </w:tr>
      <w:tr w:rsidR="00652CE4" w:rsidRPr="00652CE4" w14:paraId="6FAE96A4"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47609E46"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0A4C8A8" w14:textId="77777777" w:rsidR="00652CE4" w:rsidRPr="00652CE4" w:rsidRDefault="00652CE4" w:rsidP="00982DE4">
            <w:pPr>
              <w:pStyle w:val="CDITable-RowLeft"/>
            </w:pPr>
            <w:r w:rsidRPr="00652CE4">
              <w:t>Papua New Guinea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CB2BE15" w14:textId="77777777" w:rsidR="00652CE4" w:rsidRPr="00652CE4" w:rsidRDefault="00652CE4" w:rsidP="00982DE4">
            <w:pPr>
              <w:pStyle w:val="CDITable-RowCentre"/>
            </w:pPr>
            <w:r w:rsidRPr="00652CE4">
              <w:t>20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032F86E"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E7174C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199771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77B93A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ADCAB7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EAAB6FD"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63B020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0CA3CA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986D38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46CABBF"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805747B" w14:textId="77777777" w:rsidR="00652CE4" w:rsidRPr="00652CE4" w:rsidRDefault="00652CE4" w:rsidP="00982DE4">
            <w:pPr>
              <w:pStyle w:val="CDITable-RowCentre"/>
            </w:pPr>
            <w:r w:rsidRPr="00652CE4">
              <w:t>21</w:t>
            </w:r>
          </w:p>
        </w:tc>
        <w:tc>
          <w:tcPr>
            <w:tcW w:w="907" w:type="dxa"/>
            <w:vMerge/>
            <w:tcBorders>
              <w:bottom w:val="single" w:sz="6" w:space="0" w:color="1E4496" w:themeColor="text2"/>
            </w:tcBorders>
            <w:tcMar>
              <w:top w:w="57" w:type="dxa"/>
              <w:bottom w:w="57" w:type="dxa"/>
            </w:tcMar>
          </w:tcPr>
          <w:p w14:paraId="0452986F" w14:textId="77777777" w:rsidR="00652CE4" w:rsidRPr="00652CE4" w:rsidRDefault="00652CE4" w:rsidP="00652CE4"/>
        </w:tc>
      </w:tr>
      <w:tr w:rsidR="00652CE4" w:rsidRPr="00652CE4" w14:paraId="72637194"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17D5F3E3"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5FA0AEF" w14:textId="77777777" w:rsidR="00652CE4" w:rsidRPr="00652CE4" w:rsidRDefault="00652CE4" w:rsidP="00982DE4">
            <w:pPr>
              <w:pStyle w:val="CDITable-RowLeft"/>
            </w:pPr>
            <w:r w:rsidRPr="00652CE4">
              <w:t>Philippines</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4822087" w14:textId="77777777" w:rsidR="00652CE4" w:rsidRPr="00652CE4" w:rsidRDefault="00652CE4" w:rsidP="00982DE4">
            <w:pPr>
              <w:pStyle w:val="CDITable-RowCentre"/>
            </w:pPr>
            <w:r w:rsidRPr="00652CE4">
              <w:t>50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F26D39A"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F909EC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A27037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5BDC726" w14:textId="77777777" w:rsidR="00652CE4" w:rsidRPr="00652CE4" w:rsidRDefault="00652CE4" w:rsidP="00982DE4">
            <w:pPr>
              <w:pStyle w:val="CDITable-RowCentre"/>
            </w:pPr>
            <w:r w:rsidRPr="00652CE4">
              <w:t>9</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C8DD67E" w14:textId="77777777" w:rsidR="00652CE4" w:rsidRPr="00652CE4" w:rsidRDefault="00652CE4" w:rsidP="00982DE4">
            <w:pPr>
              <w:pStyle w:val="CDITable-RowCentre"/>
            </w:pPr>
            <w:r w:rsidRPr="00652CE4">
              <w:t>20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86A89DE"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A3811A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409B47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35E1F8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CECBBD7"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EEDE40" w14:textId="77777777" w:rsidR="00652CE4" w:rsidRPr="00652CE4" w:rsidRDefault="00652CE4" w:rsidP="00982DE4">
            <w:pPr>
              <w:pStyle w:val="CDITable-RowCentre"/>
            </w:pPr>
            <w:r w:rsidRPr="00652CE4">
              <w:t>82</w:t>
            </w:r>
          </w:p>
        </w:tc>
        <w:tc>
          <w:tcPr>
            <w:tcW w:w="907" w:type="dxa"/>
            <w:vMerge/>
            <w:tcBorders>
              <w:bottom w:val="single" w:sz="6" w:space="0" w:color="1E4496" w:themeColor="text2"/>
            </w:tcBorders>
            <w:tcMar>
              <w:top w:w="57" w:type="dxa"/>
              <w:bottom w:w="57" w:type="dxa"/>
            </w:tcMar>
          </w:tcPr>
          <w:p w14:paraId="16D13177" w14:textId="77777777" w:rsidR="00652CE4" w:rsidRPr="00652CE4" w:rsidRDefault="00652CE4" w:rsidP="00652CE4"/>
        </w:tc>
      </w:tr>
      <w:tr w:rsidR="00652CE4" w:rsidRPr="00652CE4" w14:paraId="105903B4"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6C092250"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5765877" w14:textId="77777777" w:rsidR="00652CE4" w:rsidRPr="00652CE4" w:rsidRDefault="00652CE4" w:rsidP="00982DE4">
            <w:pPr>
              <w:pStyle w:val="CDITable-RowLeft"/>
            </w:pPr>
            <w:r w:rsidRPr="00652CE4">
              <w:t>Singapore</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82C9B62" w14:textId="77777777" w:rsidR="00652CE4" w:rsidRPr="00652CE4" w:rsidRDefault="00652CE4" w:rsidP="00982DE4">
            <w:pPr>
              <w:pStyle w:val="CDITable-RowCentre"/>
            </w:pPr>
            <w:r w:rsidRPr="00652CE4">
              <w:t>7</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251C364"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5C17D1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AE7AF5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53DCBD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EC18B90" w14:textId="77777777" w:rsidR="00652CE4" w:rsidRPr="00652CE4" w:rsidRDefault="00652CE4" w:rsidP="00982DE4">
            <w:pPr>
              <w:pStyle w:val="CDITable-RowCentre"/>
            </w:pPr>
            <w:r w:rsidRPr="00652CE4">
              <w:t>4</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213DD58"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F1F3E2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C9F449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5163A9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D219AD"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73000DA" w14:textId="77777777" w:rsidR="00652CE4" w:rsidRPr="00652CE4" w:rsidRDefault="00652CE4" w:rsidP="00982DE4">
            <w:pPr>
              <w:pStyle w:val="CDITable-RowCentre"/>
            </w:pPr>
            <w:r w:rsidRPr="00652CE4">
              <w:t>14</w:t>
            </w:r>
          </w:p>
        </w:tc>
        <w:tc>
          <w:tcPr>
            <w:tcW w:w="907" w:type="dxa"/>
            <w:vMerge/>
            <w:tcBorders>
              <w:bottom w:val="single" w:sz="6" w:space="0" w:color="1E4496" w:themeColor="text2"/>
            </w:tcBorders>
            <w:tcMar>
              <w:top w:w="57" w:type="dxa"/>
              <w:bottom w:w="57" w:type="dxa"/>
            </w:tcMar>
          </w:tcPr>
          <w:p w14:paraId="179D808B" w14:textId="77777777" w:rsidR="00652CE4" w:rsidRPr="00652CE4" w:rsidRDefault="00652CE4" w:rsidP="00652CE4"/>
        </w:tc>
      </w:tr>
      <w:tr w:rsidR="00652CE4" w:rsidRPr="00652CE4" w14:paraId="0CC7A495"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41EFD480"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8B8109D" w14:textId="77777777" w:rsidR="00652CE4" w:rsidRPr="00652CE4" w:rsidRDefault="00652CE4" w:rsidP="00982DE4">
            <w:pPr>
              <w:pStyle w:val="CDITable-RowLeft"/>
            </w:pPr>
            <w:r w:rsidRPr="00652CE4">
              <w:t>Solomon Islands</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8620FE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5090BF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71C4CD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3BD56C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1B62B3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4A4B58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DD58A2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422199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B3D8A4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2EDC0E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60CFC28"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B327FDE"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57" w:type="dxa"/>
              <w:bottom w:w="57" w:type="dxa"/>
            </w:tcMar>
          </w:tcPr>
          <w:p w14:paraId="0B6069CD" w14:textId="77777777" w:rsidR="00652CE4" w:rsidRPr="00652CE4" w:rsidRDefault="00652CE4" w:rsidP="00652CE4"/>
        </w:tc>
      </w:tr>
      <w:tr w:rsidR="00652CE4" w:rsidRPr="00652CE4" w14:paraId="6966A3AA"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6201AA10"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4E62205" w14:textId="77777777" w:rsidR="00652CE4" w:rsidRPr="00652CE4" w:rsidRDefault="00652CE4" w:rsidP="00982DE4">
            <w:pPr>
              <w:pStyle w:val="CDITable-RowLeft"/>
            </w:pPr>
            <w:r w:rsidRPr="00652CE4">
              <w:t>Taiwan</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BB3FD79"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30FD4E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167D33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71E1C3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92DBF9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B1C4B5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7822A2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7972DA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DBFF8B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8B5B7D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E5B46EA"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EBC7099"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57" w:type="dxa"/>
              <w:bottom w:w="57" w:type="dxa"/>
            </w:tcMar>
          </w:tcPr>
          <w:p w14:paraId="4E388582" w14:textId="77777777" w:rsidR="00652CE4" w:rsidRPr="00652CE4" w:rsidRDefault="00652CE4" w:rsidP="00652CE4"/>
        </w:tc>
      </w:tr>
      <w:tr w:rsidR="00652CE4" w:rsidRPr="00652CE4" w14:paraId="465ADFE7"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21A1AFFD"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2E940B8" w14:textId="77777777" w:rsidR="00652CE4" w:rsidRPr="00652CE4" w:rsidRDefault="00652CE4" w:rsidP="00982DE4">
            <w:pPr>
              <w:pStyle w:val="CDITable-RowLeft"/>
            </w:pPr>
            <w:r w:rsidRPr="00652CE4">
              <w:t>Vietnam</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964BB71" w14:textId="77777777" w:rsidR="00652CE4" w:rsidRPr="00652CE4" w:rsidRDefault="00652CE4" w:rsidP="00982DE4">
            <w:pPr>
              <w:pStyle w:val="CDITable-RowCentre"/>
            </w:pPr>
            <w:r w:rsidRPr="00652CE4">
              <w:t>13</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877CDC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71DD1B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E040AF6"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C256E57"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306B375" w14:textId="77777777" w:rsidR="00652CE4" w:rsidRPr="00652CE4" w:rsidRDefault="00652CE4" w:rsidP="00982DE4">
            <w:pPr>
              <w:pStyle w:val="CDITable-RowCentre"/>
            </w:pPr>
            <w:r w:rsidRPr="00652CE4">
              <w:t>12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31F5DA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558BAD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803B40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11E41B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0CAF246" w14:textId="77777777" w:rsidR="00652CE4" w:rsidRPr="00652CE4" w:rsidRDefault="00652CE4" w:rsidP="00982DE4">
            <w:pPr>
              <w:pStyle w:val="CDITable-RowCentre"/>
            </w:pPr>
            <w:r w:rsidRPr="00652CE4">
              <w:t>9</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4BD5280" w14:textId="77777777" w:rsidR="00652CE4" w:rsidRPr="00652CE4" w:rsidRDefault="00652CE4" w:rsidP="00982DE4">
            <w:pPr>
              <w:pStyle w:val="CDITable-RowCentre"/>
            </w:pPr>
            <w:r w:rsidRPr="00652CE4">
              <w:t>39</w:t>
            </w:r>
          </w:p>
        </w:tc>
        <w:tc>
          <w:tcPr>
            <w:tcW w:w="907" w:type="dxa"/>
            <w:vMerge/>
            <w:tcBorders>
              <w:bottom w:val="single" w:sz="6" w:space="0" w:color="1E4496" w:themeColor="text2"/>
            </w:tcBorders>
            <w:tcMar>
              <w:top w:w="57" w:type="dxa"/>
              <w:bottom w:w="57" w:type="dxa"/>
            </w:tcMar>
          </w:tcPr>
          <w:p w14:paraId="4E12E7FE" w14:textId="77777777" w:rsidR="00652CE4" w:rsidRPr="00652CE4" w:rsidRDefault="00652CE4" w:rsidP="00652CE4"/>
        </w:tc>
      </w:tr>
      <w:tr w:rsidR="00652CE4" w:rsidRPr="00652CE4" w14:paraId="6B5EF3B7"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274C7896"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BBAD9E6" w14:textId="77777777" w:rsidR="00652CE4" w:rsidRPr="00652CE4" w:rsidRDefault="00652CE4" w:rsidP="00982DE4">
            <w:pPr>
              <w:pStyle w:val="CDITable-RowLeft"/>
            </w:pPr>
            <w:r w:rsidRPr="00652CE4">
              <w:t>Hong Kong (SAR of China)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A462A5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0D41B82"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4302F6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7967E5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378E0B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F51868D"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5A3A04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1494B9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3E6B53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4C3613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6745696"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82AA4C3" w14:textId="77777777" w:rsidR="00652CE4" w:rsidRPr="00652CE4" w:rsidRDefault="00652CE4" w:rsidP="00982DE4">
            <w:pPr>
              <w:pStyle w:val="CDITable-RowCentre"/>
            </w:pPr>
            <w:r w:rsidRPr="00652CE4">
              <w:t>2</w:t>
            </w:r>
          </w:p>
        </w:tc>
        <w:tc>
          <w:tcPr>
            <w:tcW w:w="907" w:type="dxa"/>
            <w:vMerge/>
            <w:tcBorders>
              <w:bottom w:val="single" w:sz="6" w:space="0" w:color="1E4496" w:themeColor="text2"/>
            </w:tcBorders>
            <w:tcMar>
              <w:top w:w="57" w:type="dxa"/>
              <w:bottom w:w="57" w:type="dxa"/>
            </w:tcMar>
          </w:tcPr>
          <w:p w14:paraId="16FFB8BD" w14:textId="77777777" w:rsidR="00652CE4" w:rsidRPr="00652CE4" w:rsidRDefault="00652CE4" w:rsidP="00652CE4"/>
        </w:tc>
      </w:tr>
      <w:tr w:rsidR="00652CE4" w:rsidRPr="00652CE4" w14:paraId="4CDE7FFD"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34B89124"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7A4EE04" w14:textId="77777777" w:rsidR="00652CE4" w:rsidRPr="00652CE4" w:rsidRDefault="00652CE4" w:rsidP="00982DE4">
            <w:pPr>
              <w:pStyle w:val="CDITable-RowLeft"/>
            </w:pPr>
            <w:r w:rsidRPr="00652CE4">
              <w:t>Vanuatu</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D4BE46B"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386DC53"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7BF34F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D5EE4C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C7AACD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94556B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41CCDE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13D07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3312BE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06D886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51657DF"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535BCF0"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57" w:type="dxa"/>
              <w:bottom w:w="57" w:type="dxa"/>
            </w:tcMar>
          </w:tcPr>
          <w:p w14:paraId="499DFC22" w14:textId="77777777" w:rsidR="00652CE4" w:rsidRPr="00652CE4" w:rsidRDefault="00652CE4" w:rsidP="00652CE4"/>
        </w:tc>
      </w:tr>
      <w:tr w:rsidR="00652CE4" w:rsidRPr="00652CE4" w14:paraId="2D411243"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0EE0EC5F"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5D8BBB8" w14:textId="77777777" w:rsidR="00652CE4" w:rsidRPr="00652CE4" w:rsidRDefault="00652CE4" w:rsidP="00982DE4">
            <w:pPr>
              <w:pStyle w:val="CDITable-RowLeft"/>
            </w:pPr>
            <w:r w:rsidRPr="00652CE4">
              <w:t>Japan</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6A67F6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C733C8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BE70A1F" w14:textId="77777777" w:rsidR="00652CE4" w:rsidRPr="00652CE4" w:rsidRDefault="00652CE4" w:rsidP="00982DE4">
            <w:pPr>
              <w:pStyle w:val="CDITable-RowCentre"/>
            </w:pPr>
            <w:r w:rsidRPr="00652CE4">
              <w:t>2</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97C2EE4"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C1F9C6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3BFB80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D04404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723E71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765801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BF02D0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7FB44BF"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D8934DF" w14:textId="77777777" w:rsidR="00652CE4" w:rsidRPr="00652CE4" w:rsidRDefault="00652CE4" w:rsidP="00982DE4">
            <w:pPr>
              <w:pStyle w:val="CDITable-RowCentre"/>
            </w:pPr>
            <w:r w:rsidRPr="00652CE4">
              <w:t>3</w:t>
            </w:r>
          </w:p>
        </w:tc>
        <w:tc>
          <w:tcPr>
            <w:tcW w:w="907" w:type="dxa"/>
            <w:vMerge/>
            <w:tcBorders>
              <w:bottom w:val="single" w:sz="6" w:space="0" w:color="1E4496" w:themeColor="text2"/>
            </w:tcBorders>
            <w:tcMar>
              <w:top w:w="57" w:type="dxa"/>
              <w:bottom w:w="57" w:type="dxa"/>
            </w:tcMar>
          </w:tcPr>
          <w:p w14:paraId="03BE0E8E" w14:textId="77777777" w:rsidR="00652CE4" w:rsidRPr="00652CE4" w:rsidRDefault="00652CE4" w:rsidP="00652CE4"/>
        </w:tc>
      </w:tr>
      <w:tr w:rsidR="00652CE4" w:rsidRPr="00652CE4" w14:paraId="6B6A70AF"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3466626B"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6DA60B0" w14:textId="77777777" w:rsidR="00652CE4" w:rsidRPr="00652CE4" w:rsidRDefault="00652CE4" w:rsidP="00982DE4">
            <w:pPr>
              <w:pStyle w:val="CDITable-RowLeft"/>
            </w:pPr>
            <w:r w:rsidRPr="00652CE4">
              <w:t>Cambodia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2BC142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45E22A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A64AF5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3A6B54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D85527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EBA5C41"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E71F12C"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43DEA5E"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654F9A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4F97B6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1FF865E" w14:textId="77777777" w:rsidR="00652CE4" w:rsidRPr="00652CE4" w:rsidRDefault="00652CE4" w:rsidP="00982DE4">
            <w:pPr>
              <w:pStyle w:val="CDITable-RowCentre"/>
            </w:pPr>
            <w:r w:rsidRPr="00652CE4">
              <w:t>1</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2D2923A" w14:textId="77777777" w:rsidR="00652CE4" w:rsidRPr="00652CE4" w:rsidRDefault="00652CE4" w:rsidP="00982DE4">
            <w:pPr>
              <w:pStyle w:val="CDITable-RowCentre"/>
            </w:pPr>
            <w:r w:rsidRPr="00652CE4">
              <w:t>4</w:t>
            </w:r>
          </w:p>
        </w:tc>
        <w:tc>
          <w:tcPr>
            <w:tcW w:w="907" w:type="dxa"/>
            <w:vMerge/>
            <w:tcBorders>
              <w:bottom w:val="single" w:sz="6" w:space="0" w:color="1E4496" w:themeColor="text2"/>
            </w:tcBorders>
            <w:tcMar>
              <w:top w:w="57" w:type="dxa"/>
              <w:bottom w:w="57" w:type="dxa"/>
            </w:tcMar>
          </w:tcPr>
          <w:p w14:paraId="534078E3" w14:textId="77777777" w:rsidR="00652CE4" w:rsidRPr="00652CE4" w:rsidRDefault="00652CE4" w:rsidP="00652CE4"/>
        </w:tc>
      </w:tr>
      <w:tr w:rsidR="00652CE4" w:rsidRPr="00652CE4" w14:paraId="3BC8ADBA"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6D71C9B4"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1540064" w14:textId="77777777" w:rsidR="00652CE4" w:rsidRPr="00652CE4" w:rsidRDefault="00652CE4" w:rsidP="00982DE4">
            <w:pPr>
              <w:pStyle w:val="CDITable-RowLeft"/>
            </w:pPr>
            <w:r w:rsidRPr="00652CE4">
              <w:t>Korea, Republic of (South)</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E9FDBDC"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5C2777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06DE353"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2B6D1DA"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A9D64D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332ABB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9F1EE5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15119D5"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F58E0E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FB83C82"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9F60B30"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F18009C"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57" w:type="dxa"/>
              <w:bottom w:w="57" w:type="dxa"/>
            </w:tcMar>
          </w:tcPr>
          <w:p w14:paraId="36DC4826" w14:textId="77777777" w:rsidR="00652CE4" w:rsidRPr="00652CE4" w:rsidRDefault="00652CE4" w:rsidP="00652CE4"/>
        </w:tc>
      </w:tr>
      <w:tr w:rsidR="00652CE4" w:rsidRPr="00652CE4" w14:paraId="31E7978A"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1CBD7CD5"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C6ABD10" w14:textId="77777777" w:rsidR="00652CE4" w:rsidRPr="00652CE4" w:rsidRDefault="00652CE4" w:rsidP="00982DE4">
            <w:pPr>
              <w:pStyle w:val="CDITable-RowLeft"/>
            </w:pPr>
            <w:r w:rsidRPr="00652CE4">
              <w:t>Samoa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5E3E5CF"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2F3E54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1AECB2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9B4572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680780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9890D2A" w14:textId="77777777" w:rsidR="00652CE4" w:rsidRPr="00652CE4" w:rsidRDefault="00652CE4" w:rsidP="00982DE4">
            <w:pPr>
              <w:pStyle w:val="CDITable-RowCentre"/>
            </w:pPr>
            <w:r w:rsidRPr="00652CE4">
              <w:t>11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29CAEAB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89A2106"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BF1E12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956BC2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F7D0619"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A5FD66E" w14:textId="77777777" w:rsidR="00652CE4" w:rsidRPr="00652CE4" w:rsidRDefault="00652CE4" w:rsidP="00982DE4">
            <w:pPr>
              <w:pStyle w:val="CDITable-RowCentre"/>
            </w:pPr>
            <w:r w:rsidRPr="00652CE4">
              <w:t>11</w:t>
            </w:r>
          </w:p>
        </w:tc>
        <w:tc>
          <w:tcPr>
            <w:tcW w:w="907" w:type="dxa"/>
            <w:vMerge/>
            <w:tcBorders>
              <w:bottom w:val="single" w:sz="6" w:space="0" w:color="1E4496" w:themeColor="text2"/>
            </w:tcBorders>
            <w:tcMar>
              <w:top w:w="57" w:type="dxa"/>
              <w:bottom w:w="57" w:type="dxa"/>
            </w:tcMar>
          </w:tcPr>
          <w:p w14:paraId="29B222A3" w14:textId="77777777" w:rsidR="00652CE4" w:rsidRPr="00652CE4" w:rsidRDefault="00652CE4" w:rsidP="00982DE4">
            <w:pPr>
              <w:pStyle w:val="CDITable-RowCentre"/>
            </w:pPr>
          </w:p>
        </w:tc>
      </w:tr>
      <w:tr w:rsidR="00652CE4" w:rsidRPr="00652CE4" w14:paraId="7DAEF167" w14:textId="77777777" w:rsidTr="00520680">
        <w:trPr>
          <w:trHeight w:val="60"/>
        </w:trPr>
        <w:tc>
          <w:tcPr>
            <w:tcW w:w="1814" w:type="dxa"/>
            <w:vMerge/>
            <w:tcBorders>
              <w:bottom w:val="single" w:sz="6" w:space="0" w:color="1E4496" w:themeColor="text2"/>
            </w:tcBorders>
            <w:shd w:val="clear" w:color="auto" w:fill="DCF4FC" w:themeFill="background2" w:themeFillTint="33"/>
            <w:tcMar>
              <w:top w:w="57" w:type="dxa"/>
              <w:bottom w:w="57" w:type="dxa"/>
            </w:tcMar>
          </w:tcPr>
          <w:p w14:paraId="1CAD582F" w14:textId="77777777" w:rsidR="00652CE4" w:rsidRPr="00652CE4" w:rsidRDefault="00652CE4" w:rsidP="00652CE4"/>
        </w:tc>
        <w:tc>
          <w:tcPr>
            <w:tcW w:w="2608"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11CCEC1" w14:textId="77777777" w:rsidR="00652CE4" w:rsidRPr="00652CE4" w:rsidRDefault="00652CE4" w:rsidP="00982DE4">
            <w:pPr>
              <w:pStyle w:val="CDITable-RowLeft"/>
            </w:pPr>
            <w:r w:rsidRPr="00652CE4">
              <w:t>Tonga</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934872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3F309544"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45DB25D9"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0347CF00"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4DCEC51"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A62DDE8" w14:textId="77777777" w:rsidR="00652CE4" w:rsidRPr="00652CE4" w:rsidRDefault="00652CE4" w:rsidP="00982DE4">
            <w:pPr>
              <w:pStyle w:val="CDITable-RowCentre"/>
            </w:pPr>
            <w:r w:rsidRPr="00652CE4">
              <w:t>1</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DE7EF3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5D0D3F7"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17609368"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6F03CD1A" w14:textId="77777777" w:rsidR="00652CE4" w:rsidRPr="00652CE4" w:rsidRDefault="00652CE4" w:rsidP="00982DE4">
            <w:pPr>
              <w:pStyle w:val="CDITable-RowCentre"/>
            </w:pPr>
            <w:r w:rsidRPr="00652CE4">
              <w:t>0</w:t>
            </w:r>
          </w:p>
        </w:tc>
        <w:tc>
          <w:tcPr>
            <w:tcW w:w="73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7FE053DB" w14:textId="77777777" w:rsidR="00652CE4" w:rsidRPr="00652CE4" w:rsidRDefault="00652CE4" w:rsidP="00982DE4">
            <w:pPr>
              <w:pStyle w:val="CDITable-RowCentre"/>
            </w:pPr>
            <w:r w:rsidRPr="00652CE4">
              <w:t>0</w:t>
            </w:r>
          </w:p>
        </w:tc>
        <w:tc>
          <w:tcPr>
            <w:tcW w:w="907" w:type="dxa"/>
            <w:tcBorders>
              <w:top w:val="single" w:sz="6" w:space="0" w:color="1E4496" w:themeColor="text2"/>
              <w:bottom w:val="single" w:sz="6" w:space="0" w:color="1E4496" w:themeColor="text2"/>
            </w:tcBorders>
            <w:tcMar>
              <w:top w:w="57" w:type="dxa"/>
              <w:left w:w="113" w:type="dxa"/>
              <w:bottom w:w="57" w:type="dxa"/>
              <w:right w:w="113" w:type="dxa"/>
            </w:tcMar>
            <w:vAlign w:val="center"/>
          </w:tcPr>
          <w:p w14:paraId="5BFDEAAC" w14:textId="77777777" w:rsidR="00652CE4" w:rsidRPr="00652CE4" w:rsidRDefault="00652CE4" w:rsidP="00982DE4">
            <w:pPr>
              <w:pStyle w:val="CDITable-RowCentre"/>
            </w:pPr>
            <w:r w:rsidRPr="00652CE4">
              <w:t>1</w:t>
            </w:r>
          </w:p>
        </w:tc>
        <w:tc>
          <w:tcPr>
            <w:tcW w:w="907" w:type="dxa"/>
            <w:vMerge/>
            <w:tcBorders>
              <w:bottom w:val="single" w:sz="6" w:space="0" w:color="1E4496" w:themeColor="text2"/>
            </w:tcBorders>
            <w:tcMar>
              <w:top w:w="57" w:type="dxa"/>
              <w:bottom w:w="57" w:type="dxa"/>
            </w:tcMar>
          </w:tcPr>
          <w:p w14:paraId="3720BAE7" w14:textId="77777777" w:rsidR="00652CE4" w:rsidRPr="00652CE4" w:rsidRDefault="00652CE4" w:rsidP="00982DE4">
            <w:pPr>
              <w:pStyle w:val="CDITable-RowCentre"/>
            </w:pPr>
          </w:p>
        </w:tc>
      </w:tr>
      <w:tr w:rsidR="00652CE4" w:rsidRPr="00652CE4" w14:paraId="6C889BDC" w14:textId="77777777" w:rsidTr="00520680">
        <w:trPr>
          <w:trHeight w:val="60"/>
        </w:trPr>
        <w:tc>
          <w:tcPr>
            <w:tcW w:w="1814" w:type="dxa"/>
            <w:tcBorders>
              <w:top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B6FF32E" w14:textId="77777777" w:rsidR="00652CE4" w:rsidRPr="00982DE4" w:rsidRDefault="00652CE4" w:rsidP="00982DE4">
            <w:pPr>
              <w:pStyle w:val="CDITable-RowLeft"/>
              <w:rPr>
                <w:b/>
                <w:bCs/>
              </w:rPr>
            </w:pPr>
            <w:r w:rsidRPr="00982DE4">
              <w:rPr>
                <w:b/>
                <w:bCs/>
              </w:rPr>
              <w:lastRenderedPageBreak/>
              <w:t>Unknown</w:t>
            </w:r>
          </w:p>
        </w:tc>
        <w:tc>
          <w:tcPr>
            <w:tcW w:w="2608" w:type="dxa"/>
            <w:tcBorders>
              <w:top w:val="single" w:sz="6" w:space="0" w:color="1E4496" w:themeColor="text2"/>
            </w:tcBorders>
            <w:tcMar>
              <w:top w:w="113" w:type="dxa"/>
              <w:left w:w="113" w:type="dxa"/>
              <w:bottom w:w="113" w:type="dxa"/>
              <w:right w:w="113" w:type="dxa"/>
            </w:tcMar>
            <w:vAlign w:val="center"/>
          </w:tcPr>
          <w:p w14:paraId="50D101CE" w14:textId="77777777" w:rsidR="00652CE4" w:rsidRPr="00652CE4" w:rsidRDefault="00652CE4" w:rsidP="00982DE4">
            <w:pPr>
              <w:pStyle w:val="CDITable-RowLeft"/>
            </w:pPr>
            <w:r w:rsidRPr="00652CE4">
              <w:t>Overseas acquired: country unknown</w:t>
            </w:r>
          </w:p>
        </w:tc>
        <w:tc>
          <w:tcPr>
            <w:tcW w:w="737" w:type="dxa"/>
            <w:tcBorders>
              <w:top w:val="single" w:sz="6" w:space="0" w:color="1E4496" w:themeColor="text2"/>
            </w:tcBorders>
            <w:tcMar>
              <w:top w:w="113" w:type="dxa"/>
              <w:left w:w="113" w:type="dxa"/>
              <w:bottom w:w="113" w:type="dxa"/>
              <w:right w:w="113" w:type="dxa"/>
            </w:tcMar>
            <w:vAlign w:val="center"/>
          </w:tcPr>
          <w:p w14:paraId="7D3F0A5B" w14:textId="77777777" w:rsidR="00652CE4" w:rsidRPr="00652CE4" w:rsidRDefault="00652CE4" w:rsidP="00982DE4">
            <w:pPr>
              <w:pStyle w:val="CDITable-RowCentre"/>
            </w:pPr>
            <w:r w:rsidRPr="00652CE4">
              <w:t>1</w:t>
            </w:r>
          </w:p>
        </w:tc>
        <w:tc>
          <w:tcPr>
            <w:tcW w:w="737" w:type="dxa"/>
            <w:tcBorders>
              <w:top w:val="single" w:sz="6" w:space="0" w:color="1E4496" w:themeColor="text2"/>
            </w:tcBorders>
            <w:tcMar>
              <w:top w:w="113" w:type="dxa"/>
              <w:left w:w="113" w:type="dxa"/>
              <w:bottom w:w="113" w:type="dxa"/>
              <w:right w:w="113" w:type="dxa"/>
            </w:tcMar>
            <w:vAlign w:val="center"/>
          </w:tcPr>
          <w:p w14:paraId="767D530B" w14:textId="77777777" w:rsidR="00652CE4" w:rsidRPr="00652CE4" w:rsidRDefault="00652CE4" w:rsidP="00982DE4">
            <w:pPr>
              <w:pStyle w:val="CDITable-RowCentre"/>
            </w:pPr>
            <w:r w:rsidRPr="00652CE4">
              <w:t>0</w:t>
            </w:r>
          </w:p>
        </w:tc>
        <w:tc>
          <w:tcPr>
            <w:tcW w:w="737" w:type="dxa"/>
            <w:tcBorders>
              <w:top w:val="single" w:sz="6" w:space="0" w:color="1E4496" w:themeColor="text2"/>
            </w:tcBorders>
            <w:tcMar>
              <w:top w:w="113" w:type="dxa"/>
              <w:left w:w="113" w:type="dxa"/>
              <w:bottom w:w="113" w:type="dxa"/>
              <w:right w:w="113" w:type="dxa"/>
            </w:tcMar>
            <w:vAlign w:val="center"/>
          </w:tcPr>
          <w:p w14:paraId="40E7D54A" w14:textId="77777777" w:rsidR="00652CE4" w:rsidRPr="00652CE4" w:rsidRDefault="00652CE4" w:rsidP="00982DE4">
            <w:pPr>
              <w:pStyle w:val="CDITable-RowCentre"/>
            </w:pPr>
            <w:r w:rsidRPr="00652CE4">
              <w:t>2</w:t>
            </w:r>
          </w:p>
        </w:tc>
        <w:tc>
          <w:tcPr>
            <w:tcW w:w="737" w:type="dxa"/>
            <w:tcBorders>
              <w:top w:val="single" w:sz="6" w:space="0" w:color="1E4496" w:themeColor="text2"/>
            </w:tcBorders>
            <w:tcMar>
              <w:top w:w="113" w:type="dxa"/>
              <w:left w:w="113" w:type="dxa"/>
              <w:bottom w:w="113" w:type="dxa"/>
              <w:right w:w="113" w:type="dxa"/>
            </w:tcMar>
            <w:vAlign w:val="center"/>
          </w:tcPr>
          <w:p w14:paraId="18EE614F" w14:textId="77777777" w:rsidR="00652CE4" w:rsidRPr="00652CE4" w:rsidRDefault="00652CE4" w:rsidP="00982DE4">
            <w:pPr>
              <w:pStyle w:val="CDITable-RowCentre"/>
            </w:pPr>
            <w:r w:rsidRPr="00652CE4">
              <w:t>0</w:t>
            </w:r>
          </w:p>
        </w:tc>
        <w:tc>
          <w:tcPr>
            <w:tcW w:w="737" w:type="dxa"/>
            <w:tcBorders>
              <w:top w:val="single" w:sz="6" w:space="0" w:color="1E4496" w:themeColor="text2"/>
            </w:tcBorders>
            <w:tcMar>
              <w:top w:w="113" w:type="dxa"/>
              <w:left w:w="113" w:type="dxa"/>
              <w:bottom w:w="113" w:type="dxa"/>
              <w:right w:w="113" w:type="dxa"/>
            </w:tcMar>
            <w:vAlign w:val="center"/>
          </w:tcPr>
          <w:p w14:paraId="0C17DCFC" w14:textId="77777777" w:rsidR="00652CE4" w:rsidRPr="00652CE4" w:rsidRDefault="00652CE4" w:rsidP="00982DE4">
            <w:pPr>
              <w:pStyle w:val="CDITable-RowCentre"/>
            </w:pPr>
            <w:r w:rsidRPr="00652CE4">
              <w:t>1</w:t>
            </w:r>
          </w:p>
        </w:tc>
        <w:tc>
          <w:tcPr>
            <w:tcW w:w="737" w:type="dxa"/>
            <w:tcBorders>
              <w:top w:val="single" w:sz="6" w:space="0" w:color="1E4496" w:themeColor="text2"/>
            </w:tcBorders>
            <w:tcMar>
              <w:top w:w="113" w:type="dxa"/>
              <w:left w:w="113" w:type="dxa"/>
              <w:bottom w:w="113" w:type="dxa"/>
              <w:right w:w="113" w:type="dxa"/>
            </w:tcMar>
            <w:vAlign w:val="center"/>
          </w:tcPr>
          <w:p w14:paraId="0A855564" w14:textId="77777777" w:rsidR="00652CE4" w:rsidRPr="00652CE4" w:rsidRDefault="00652CE4" w:rsidP="00982DE4">
            <w:pPr>
              <w:pStyle w:val="CDITable-RowCentre"/>
            </w:pPr>
            <w:r w:rsidRPr="00652CE4">
              <w:t>5</w:t>
            </w:r>
          </w:p>
        </w:tc>
        <w:tc>
          <w:tcPr>
            <w:tcW w:w="737" w:type="dxa"/>
            <w:tcBorders>
              <w:top w:val="single" w:sz="6" w:space="0" w:color="1E4496" w:themeColor="text2"/>
            </w:tcBorders>
            <w:tcMar>
              <w:top w:w="113" w:type="dxa"/>
              <w:left w:w="113" w:type="dxa"/>
              <w:bottom w:w="113" w:type="dxa"/>
              <w:right w:w="113" w:type="dxa"/>
            </w:tcMar>
            <w:vAlign w:val="center"/>
          </w:tcPr>
          <w:p w14:paraId="38298664" w14:textId="77777777" w:rsidR="00652CE4" w:rsidRPr="00652CE4" w:rsidRDefault="00652CE4" w:rsidP="00982DE4">
            <w:pPr>
              <w:pStyle w:val="CDITable-RowCentre"/>
            </w:pPr>
            <w:r w:rsidRPr="00652CE4">
              <w:t>0</w:t>
            </w:r>
          </w:p>
        </w:tc>
        <w:tc>
          <w:tcPr>
            <w:tcW w:w="737" w:type="dxa"/>
            <w:tcBorders>
              <w:top w:val="single" w:sz="6" w:space="0" w:color="1E4496" w:themeColor="text2"/>
            </w:tcBorders>
            <w:tcMar>
              <w:top w:w="113" w:type="dxa"/>
              <w:left w:w="113" w:type="dxa"/>
              <w:bottom w:w="113" w:type="dxa"/>
              <w:right w:w="113" w:type="dxa"/>
            </w:tcMar>
            <w:vAlign w:val="center"/>
          </w:tcPr>
          <w:p w14:paraId="2C15727C" w14:textId="77777777" w:rsidR="00652CE4" w:rsidRPr="00652CE4" w:rsidRDefault="00652CE4" w:rsidP="00982DE4">
            <w:pPr>
              <w:pStyle w:val="CDITable-RowCentre"/>
            </w:pPr>
            <w:r w:rsidRPr="00652CE4">
              <w:t>0</w:t>
            </w:r>
          </w:p>
        </w:tc>
        <w:tc>
          <w:tcPr>
            <w:tcW w:w="737" w:type="dxa"/>
            <w:tcBorders>
              <w:top w:val="single" w:sz="6" w:space="0" w:color="1E4496" w:themeColor="text2"/>
            </w:tcBorders>
            <w:tcMar>
              <w:top w:w="113" w:type="dxa"/>
              <w:left w:w="113" w:type="dxa"/>
              <w:bottom w:w="113" w:type="dxa"/>
              <w:right w:w="113" w:type="dxa"/>
            </w:tcMar>
            <w:vAlign w:val="center"/>
          </w:tcPr>
          <w:p w14:paraId="4DD5D5D0" w14:textId="77777777" w:rsidR="00652CE4" w:rsidRPr="00652CE4" w:rsidRDefault="00652CE4" w:rsidP="00982DE4">
            <w:pPr>
              <w:pStyle w:val="CDITable-RowCentre"/>
            </w:pPr>
            <w:r w:rsidRPr="00652CE4">
              <w:t>0</w:t>
            </w:r>
          </w:p>
        </w:tc>
        <w:tc>
          <w:tcPr>
            <w:tcW w:w="737" w:type="dxa"/>
            <w:tcBorders>
              <w:top w:val="single" w:sz="6" w:space="0" w:color="1E4496" w:themeColor="text2"/>
            </w:tcBorders>
            <w:tcMar>
              <w:top w:w="113" w:type="dxa"/>
              <w:left w:w="113" w:type="dxa"/>
              <w:bottom w:w="113" w:type="dxa"/>
              <w:right w:w="113" w:type="dxa"/>
            </w:tcMar>
            <w:vAlign w:val="center"/>
          </w:tcPr>
          <w:p w14:paraId="1F787371" w14:textId="77777777" w:rsidR="00652CE4" w:rsidRPr="00652CE4" w:rsidRDefault="00652CE4" w:rsidP="00982DE4">
            <w:pPr>
              <w:pStyle w:val="CDITable-RowCentre"/>
            </w:pPr>
            <w:r w:rsidRPr="00652CE4">
              <w:t>0</w:t>
            </w:r>
          </w:p>
        </w:tc>
        <w:tc>
          <w:tcPr>
            <w:tcW w:w="737" w:type="dxa"/>
            <w:tcBorders>
              <w:top w:val="single" w:sz="6" w:space="0" w:color="1E4496" w:themeColor="text2"/>
            </w:tcBorders>
            <w:tcMar>
              <w:top w:w="113" w:type="dxa"/>
              <w:left w:w="113" w:type="dxa"/>
              <w:bottom w:w="113" w:type="dxa"/>
              <w:right w:w="113" w:type="dxa"/>
            </w:tcMar>
            <w:vAlign w:val="center"/>
          </w:tcPr>
          <w:p w14:paraId="6AF17896" w14:textId="77777777" w:rsidR="00652CE4" w:rsidRPr="00652CE4" w:rsidRDefault="00652CE4" w:rsidP="00982DE4">
            <w:pPr>
              <w:pStyle w:val="CDITable-RowCentre"/>
            </w:pPr>
            <w:r w:rsidRPr="00652CE4">
              <w:t>0</w:t>
            </w:r>
          </w:p>
        </w:tc>
        <w:tc>
          <w:tcPr>
            <w:tcW w:w="907" w:type="dxa"/>
            <w:tcBorders>
              <w:top w:val="single" w:sz="6" w:space="0" w:color="1E4496" w:themeColor="text2"/>
            </w:tcBorders>
            <w:tcMar>
              <w:top w:w="113" w:type="dxa"/>
              <w:left w:w="113" w:type="dxa"/>
              <w:bottom w:w="113" w:type="dxa"/>
              <w:right w:w="113" w:type="dxa"/>
            </w:tcMar>
            <w:vAlign w:val="center"/>
          </w:tcPr>
          <w:p w14:paraId="4CABF7B8" w14:textId="77777777" w:rsidR="00652CE4" w:rsidRPr="00652CE4" w:rsidRDefault="00652CE4" w:rsidP="00982DE4">
            <w:pPr>
              <w:pStyle w:val="CDITable-RowCentre"/>
            </w:pPr>
            <w:r w:rsidRPr="00652CE4">
              <w:t>9</w:t>
            </w:r>
          </w:p>
        </w:tc>
        <w:tc>
          <w:tcPr>
            <w:tcW w:w="907" w:type="dxa"/>
            <w:tcBorders>
              <w:top w:val="single" w:sz="6" w:space="0" w:color="1E4496" w:themeColor="text2"/>
            </w:tcBorders>
            <w:tcMar>
              <w:top w:w="113" w:type="dxa"/>
              <w:left w:w="113" w:type="dxa"/>
              <w:bottom w:w="113" w:type="dxa"/>
              <w:right w:w="113" w:type="dxa"/>
            </w:tcMar>
            <w:vAlign w:val="center"/>
          </w:tcPr>
          <w:p w14:paraId="7C4B36F7" w14:textId="77777777" w:rsidR="00652CE4" w:rsidRPr="00652CE4" w:rsidRDefault="00652CE4" w:rsidP="00982DE4">
            <w:pPr>
              <w:pStyle w:val="CDITable-RowCentre"/>
            </w:pPr>
            <w:r w:rsidRPr="00652CE4">
              <w:t>9</w:t>
            </w:r>
          </w:p>
        </w:tc>
      </w:tr>
      <w:tr w:rsidR="00652CE4" w:rsidRPr="00652CE4" w14:paraId="40831F45" w14:textId="77777777" w:rsidTr="00982DE4">
        <w:trPr>
          <w:trHeight w:val="60"/>
        </w:trPr>
        <w:tc>
          <w:tcPr>
            <w:tcW w:w="181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FD04A1F" w14:textId="77777777" w:rsidR="00652CE4" w:rsidRPr="00652CE4" w:rsidRDefault="00652CE4" w:rsidP="00982DE4">
            <w:pPr>
              <w:pStyle w:val="CDITable-TotalRowLeft"/>
            </w:pPr>
            <w:r w:rsidRPr="00652CE4">
              <w:t>Total</w:t>
            </w:r>
          </w:p>
        </w:tc>
        <w:tc>
          <w:tcPr>
            <w:tcW w:w="260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4B86334" w14:textId="77777777" w:rsidR="00652CE4" w:rsidRPr="00652CE4" w:rsidRDefault="00652CE4" w:rsidP="00982DE4">
            <w:pPr>
              <w:pStyle w:val="CDITable-TotalRowLeft"/>
            </w:pPr>
            <w:r w:rsidRPr="00652CE4">
              <w:t>—</w:t>
            </w:r>
            <w:r w:rsidRPr="00982DE4">
              <w:rPr>
                <w:vertAlign w:val="superscript"/>
              </w:rPr>
              <w:t>a</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0C2707F" w14:textId="77777777" w:rsidR="00652CE4" w:rsidRPr="00652CE4" w:rsidRDefault="00652CE4" w:rsidP="00982DE4">
            <w:pPr>
              <w:pStyle w:val="CDITable-TotalRowCentre"/>
            </w:pPr>
            <w:r w:rsidRPr="00652CE4">
              <w:t>140</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E62913A" w14:textId="77777777" w:rsidR="00652CE4" w:rsidRPr="00652CE4" w:rsidRDefault="00652CE4" w:rsidP="00982DE4">
            <w:pPr>
              <w:pStyle w:val="CDITable-TotalRowCentre"/>
            </w:pPr>
            <w:r w:rsidRPr="00652CE4">
              <w:t>35</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66A36CA" w14:textId="77777777" w:rsidR="00652CE4" w:rsidRPr="00652CE4" w:rsidRDefault="00652CE4" w:rsidP="00982DE4">
            <w:pPr>
              <w:pStyle w:val="CDITable-TotalRowCentre"/>
            </w:pPr>
            <w:r w:rsidRPr="00652CE4">
              <w:t>33</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3C49943" w14:textId="77777777" w:rsidR="00652CE4" w:rsidRPr="00652CE4" w:rsidRDefault="00652CE4" w:rsidP="00982DE4">
            <w:pPr>
              <w:pStyle w:val="CDITable-TotalRowCentre"/>
            </w:pPr>
            <w:r w:rsidRPr="00652CE4">
              <w:t>39</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8384375" w14:textId="77777777" w:rsidR="00652CE4" w:rsidRPr="00652CE4" w:rsidRDefault="00652CE4" w:rsidP="00982DE4">
            <w:pPr>
              <w:pStyle w:val="CDITable-TotalRowCentre"/>
            </w:pPr>
            <w:r w:rsidRPr="00652CE4">
              <w:t>56</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180A81D" w14:textId="77777777" w:rsidR="00652CE4" w:rsidRPr="00652CE4" w:rsidRDefault="00652CE4" w:rsidP="00982DE4">
            <w:pPr>
              <w:pStyle w:val="CDITable-TotalRowCentre"/>
            </w:pPr>
            <w:r w:rsidRPr="00652CE4">
              <w:t>111</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FBE1464" w14:textId="77777777" w:rsidR="00652CE4" w:rsidRPr="00652CE4" w:rsidRDefault="00652CE4" w:rsidP="00982DE4">
            <w:pPr>
              <w:pStyle w:val="CDITable-TotalRowCentre"/>
            </w:pPr>
            <w:r w:rsidRPr="00652CE4">
              <w:t>12</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A20E81E" w14:textId="77777777" w:rsidR="00652CE4" w:rsidRPr="00652CE4" w:rsidRDefault="00652CE4" w:rsidP="00982DE4">
            <w:pPr>
              <w:pStyle w:val="CDITable-TotalRowCentre"/>
            </w:pPr>
            <w:r w:rsidRPr="00652CE4">
              <w:t>0</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B758BAF" w14:textId="77777777" w:rsidR="00652CE4" w:rsidRPr="00652CE4" w:rsidRDefault="00652CE4" w:rsidP="00982DE4">
            <w:pPr>
              <w:pStyle w:val="CDITable-TotalRowCentre"/>
            </w:pPr>
            <w:r w:rsidRPr="00652CE4">
              <w:t>7</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77C88AC" w14:textId="77777777" w:rsidR="00652CE4" w:rsidRPr="00652CE4" w:rsidRDefault="00652CE4" w:rsidP="00982DE4">
            <w:pPr>
              <w:pStyle w:val="CDITable-TotalRowCentre"/>
            </w:pPr>
            <w:r w:rsidRPr="00652CE4">
              <w:t>20</w:t>
            </w:r>
          </w:p>
        </w:tc>
        <w:tc>
          <w:tcPr>
            <w:tcW w:w="73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F940EFE" w14:textId="77777777" w:rsidR="00652CE4" w:rsidRPr="00652CE4" w:rsidRDefault="00652CE4" w:rsidP="00982DE4">
            <w:pPr>
              <w:pStyle w:val="CDITable-TotalRowCentre"/>
            </w:pPr>
            <w:r w:rsidRPr="00652CE4">
              <w:t>40</w:t>
            </w:r>
          </w:p>
        </w:tc>
        <w:tc>
          <w:tcPr>
            <w:tcW w:w="90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E0FFE50" w14:textId="77777777" w:rsidR="00652CE4" w:rsidRPr="00652CE4" w:rsidRDefault="00652CE4" w:rsidP="00982DE4">
            <w:pPr>
              <w:pStyle w:val="CDITable-TotalRowCentre"/>
            </w:pPr>
            <w:r w:rsidRPr="00652CE4">
              <w:t>493</w:t>
            </w:r>
          </w:p>
        </w:tc>
        <w:tc>
          <w:tcPr>
            <w:tcW w:w="90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69C2D4F" w14:textId="77777777" w:rsidR="00652CE4" w:rsidRPr="00652CE4" w:rsidRDefault="00652CE4" w:rsidP="00982DE4">
            <w:pPr>
              <w:pStyle w:val="CDITable-TotalRowCentre"/>
            </w:pPr>
            <w:r w:rsidRPr="00652CE4">
              <w:t>493</w:t>
            </w:r>
          </w:p>
        </w:tc>
      </w:tr>
    </w:tbl>
    <w:p w14:paraId="6E921C45" w14:textId="5E59B982" w:rsidR="00652CE4" w:rsidRDefault="00652CE4" w:rsidP="00652CE4">
      <w:pPr>
        <w:pStyle w:val="CDITable-FirstFootnote"/>
        <w:rPr>
          <w:lang w:val="en-GB"/>
        </w:rPr>
      </w:pPr>
      <w:r w:rsidRPr="00652CE4">
        <w:rPr>
          <w:lang w:val="en-GB"/>
        </w:rPr>
        <w:t>a</w:t>
      </w:r>
      <w:r w:rsidRPr="00652CE4">
        <w:rPr>
          <w:lang w:val="en-GB"/>
        </w:rPr>
        <w:tab/>
        <w:t>Total overseas acquired minus overseas acquired country unknown.</w:t>
      </w:r>
    </w:p>
    <w:p w14:paraId="42AB5069" w14:textId="77777777" w:rsidR="00652CE4" w:rsidRDefault="00652CE4" w:rsidP="00AC46DC">
      <w:pPr>
        <w:rPr>
          <w:lang w:val="en-GB"/>
        </w:rPr>
        <w:sectPr w:rsidR="00652CE4" w:rsidSect="00652CE4">
          <w:footnotePr>
            <w:numFmt w:val="lowerRoman"/>
          </w:footnotePr>
          <w:pgSz w:w="16840" w:h="11907" w:orient="landscape" w:code="9"/>
          <w:pgMar w:top="1134" w:right="1134" w:bottom="1134" w:left="1134" w:header="709" w:footer="567" w:gutter="0"/>
          <w:cols w:space="708"/>
          <w:docGrid w:linePitch="360"/>
        </w:sectPr>
      </w:pPr>
    </w:p>
    <w:p w14:paraId="4E12B62B" w14:textId="68A7A0F3" w:rsidR="00652CE4" w:rsidRDefault="00C47712" w:rsidP="00C47712">
      <w:pPr>
        <w:pStyle w:val="Heading3-nospacebefore"/>
      </w:pPr>
      <w:r>
        <w:lastRenderedPageBreak/>
        <w:t>Clusters</w:t>
      </w:r>
    </w:p>
    <w:p w14:paraId="1146BA83" w14:textId="77777777" w:rsidR="00C47712" w:rsidRPr="00C47712" w:rsidRDefault="00C47712" w:rsidP="00C47712">
      <w:pPr>
        <w:rPr>
          <w:lang w:val="en-GB"/>
        </w:rPr>
      </w:pPr>
      <w:r w:rsidRPr="00C47712">
        <w:rPr>
          <w:lang w:val="en-GB"/>
        </w:rPr>
        <w:t xml:space="preserve">Clusters are identified in the NNDSS when more than one case is assigned a unique outbreak reference ID by the state or territory of notification. All cases sharing the outbreak reference ID are considered part of the cluster. </w:t>
      </w:r>
    </w:p>
    <w:p w14:paraId="616DE3FE" w14:textId="77777777" w:rsidR="00C47712" w:rsidRPr="00C47712" w:rsidRDefault="00C47712" w:rsidP="00C47712">
      <w:pPr>
        <w:rPr>
          <w:lang w:val="en-GB"/>
        </w:rPr>
      </w:pPr>
      <w:r w:rsidRPr="00C47712">
        <w:rPr>
          <w:lang w:val="en-GB"/>
        </w:rPr>
        <w:t xml:space="preserve">Of the total case clusters reported to the NNDSS in 2014–2024, forty-four clusters (93.6%) had an overseas source country (i.e., at least one case linked in the cluster by NNDSS outbreak reference ID had a country of acquisition that was not Australia). Clusters without an identified overseas source country (i.e. all cases in the cluster had a place of acquisition country of Australia in the NNDSS) did not exceed 4 linked cases (Table 7). </w:t>
      </w:r>
    </w:p>
    <w:p w14:paraId="745B897E" w14:textId="6DCC679F" w:rsidR="005C3E25" w:rsidRDefault="00C47712" w:rsidP="005C3E25">
      <w:pPr>
        <w:rPr>
          <w:lang w:val="en-GB"/>
        </w:rPr>
      </w:pPr>
      <w:r w:rsidRPr="00C47712">
        <w:rPr>
          <w:lang w:val="en-GB"/>
        </w:rPr>
        <w:t>The largest cluster occurred in 2019 in New South Wales (n = 74) and lasted nine months. The most common genotypes of clusters (where genotype information was available for at least one case in the cluster) were B3 and D8 (Table 7).</w:t>
      </w:r>
      <w:r w:rsidR="005C3E25">
        <w:rPr>
          <w:lang w:val="en-GB"/>
        </w:rPr>
        <w:br w:type="page"/>
      </w:r>
    </w:p>
    <w:p w14:paraId="1624F375" w14:textId="77777777" w:rsidR="00C47712" w:rsidRPr="00C47712" w:rsidRDefault="00C47712" w:rsidP="00C47712">
      <w:pPr>
        <w:pStyle w:val="CDITable-Title"/>
        <w:rPr>
          <w:lang w:val="en-GB"/>
        </w:rPr>
      </w:pPr>
      <w:r w:rsidRPr="00C47712">
        <w:rPr>
          <w:lang w:val="en-GB"/>
        </w:rPr>
        <w:lastRenderedPageBreak/>
        <w:t xml:space="preserve">Table 7: Measles </w:t>
      </w:r>
      <w:proofErr w:type="spellStart"/>
      <w:proofErr w:type="gramStart"/>
      <w:r w:rsidRPr="00C47712">
        <w:rPr>
          <w:lang w:val="en-GB"/>
        </w:rPr>
        <w:t>clusters,</w:t>
      </w:r>
      <w:r w:rsidRPr="00C47712">
        <w:rPr>
          <w:vertAlign w:val="superscript"/>
          <w:lang w:val="en-GB"/>
        </w:rPr>
        <w:t>a</w:t>
      </w:r>
      <w:proofErr w:type="gramEnd"/>
      <w:r w:rsidRPr="00C47712">
        <w:rPr>
          <w:vertAlign w:val="superscript"/>
          <w:lang w:val="en-GB"/>
        </w:rPr>
        <w:t>,b</w:t>
      </w:r>
      <w:proofErr w:type="spellEnd"/>
      <w:r w:rsidRPr="00C47712">
        <w:rPr>
          <w:lang w:val="en-GB"/>
        </w:rPr>
        <w:t xml:space="preserve"> Australia, 2014–2024</w:t>
      </w:r>
    </w:p>
    <w:tbl>
      <w:tblPr>
        <w:tblW w:w="0" w:type="auto"/>
        <w:tblLayout w:type="fixed"/>
        <w:tblCellMar>
          <w:left w:w="0" w:type="dxa"/>
          <w:right w:w="0" w:type="dxa"/>
        </w:tblCellMar>
        <w:tblLook w:val="0000" w:firstRow="0" w:lastRow="0" w:firstColumn="0" w:lastColumn="0" w:noHBand="0" w:noVBand="0"/>
        <w:tblCaption w:val="Table 7: Measles clusters,a,b Australia, 2014–2024"/>
        <w:tblDescription w:val="Table 7: Presents information on measles cases notified to the National Notifiable Disease Surveillance System (NNDSS) linked in a cluster by the outbreak reference field, including the state or territory of the cluster, the number of linked cases, first onset date, last onset date, the source country and the genotype."/>
      </w:tblPr>
      <w:tblGrid>
        <w:gridCol w:w="907"/>
        <w:gridCol w:w="1361"/>
        <w:gridCol w:w="1077"/>
        <w:gridCol w:w="1417"/>
        <w:gridCol w:w="1418"/>
        <w:gridCol w:w="2267"/>
        <w:gridCol w:w="1191"/>
      </w:tblGrid>
      <w:tr w:rsidR="00ED23BB" w:rsidRPr="00ED23BB" w14:paraId="52A0E82C" w14:textId="77777777" w:rsidTr="005C3E25">
        <w:trPr>
          <w:trHeight w:val="60"/>
          <w:tblHeader/>
        </w:trPr>
        <w:tc>
          <w:tcPr>
            <w:tcW w:w="907" w:type="dxa"/>
            <w:shd w:val="clear" w:color="auto" w:fill="1E4496" w:themeFill="text2"/>
            <w:tcMar>
              <w:top w:w="113" w:type="dxa"/>
              <w:left w:w="113" w:type="dxa"/>
              <w:bottom w:w="113" w:type="dxa"/>
              <w:right w:w="113" w:type="dxa"/>
            </w:tcMar>
            <w:vAlign w:val="bottom"/>
          </w:tcPr>
          <w:p w14:paraId="0B589E85" w14:textId="77777777" w:rsidR="00ED23BB" w:rsidRPr="00ED23BB" w:rsidRDefault="00ED23BB" w:rsidP="00ED23BB">
            <w:pPr>
              <w:pStyle w:val="CDITable-HeaderRowLeft"/>
            </w:pPr>
            <w:r w:rsidRPr="00ED23BB">
              <w:t>Year</w:t>
            </w:r>
          </w:p>
        </w:tc>
        <w:tc>
          <w:tcPr>
            <w:tcW w:w="1361" w:type="dxa"/>
            <w:shd w:val="clear" w:color="auto" w:fill="1E4496" w:themeFill="text2"/>
            <w:tcMar>
              <w:top w:w="113" w:type="dxa"/>
              <w:left w:w="113" w:type="dxa"/>
              <w:bottom w:w="113" w:type="dxa"/>
              <w:right w:w="113" w:type="dxa"/>
            </w:tcMar>
            <w:vAlign w:val="bottom"/>
          </w:tcPr>
          <w:p w14:paraId="61C61DAB" w14:textId="77777777" w:rsidR="00ED23BB" w:rsidRPr="00ED23BB" w:rsidRDefault="00ED23BB" w:rsidP="00ED23BB">
            <w:pPr>
              <w:pStyle w:val="CDITable-HeaderRowLeft"/>
            </w:pPr>
            <w:proofErr w:type="spellStart"/>
            <w:r w:rsidRPr="00ED23BB">
              <w:t>Jurisdiction</w:t>
            </w:r>
            <w:r w:rsidRPr="005C3E25">
              <w:rPr>
                <w:vertAlign w:val="superscript"/>
              </w:rPr>
              <w:t>c</w:t>
            </w:r>
            <w:proofErr w:type="spellEnd"/>
          </w:p>
        </w:tc>
        <w:tc>
          <w:tcPr>
            <w:tcW w:w="1077" w:type="dxa"/>
            <w:shd w:val="clear" w:color="auto" w:fill="1E4496" w:themeFill="text2"/>
            <w:tcMar>
              <w:top w:w="113" w:type="dxa"/>
              <w:left w:w="113" w:type="dxa"/>
              <w:bottom w:w="113" w:type="dxa"/>
              <w:right w:w="113" w:type="dxa"/>
            </w:tcMar>
            <w:vAlign w:val="bottom"/>
          </w:tcPr>
          <w:p w14:paraId="086D22A9" w14:textId="77777777" w:rsidR="00ED23BB" w:rsidRPr="00ED23BB" w:rsidRDefault="00ED23BB" w:rsidP="00ED23BB">
            <w:pPr>
              <w:pStyle w:val="CDITable-HeaderRowCentre"/>
            </w:pPr>
            <w:r w:rsidRPr="00ED23BB">
              <w:t xml:space="preserve">Number of linked </w:t>
            </w:r>
            <w:proofErr w:type="spellStart"/>
            <w:r w:rsidRPr="00ED23BB">
              <w:t>cases</w:t>
            </w:r>
            <w:r w:rsidRPr="005C3E25">
              <w:rPr>
                <w:vertAlign w:val="superscript"/>
              </w:rPr>
              <w:t>d</w:t>
            </w:r>
            <w:proofErr w:type="spellEnd"/>
          </w:p>
        </w:tc>
        <w:tc>
          <w:tcPr>
            <w:tcW w:w="1417" w:type="dxa"/>
            <w:shd w:val="clear" w:color="auto" w:fill="1E4496" w:themeFill="text2"/>
            <w:tcMar>
              <w:top w:w="113" w:type="dxa"/>
              <w:left w:w="113" w:type="dxa"/>
              <w:bottom w:w="113" w:type="dxa"/>
              <w:right w:w="113" w:type="dxa"/>
            </w:tcMar>
            <w:vAlign w:val="bottom"/>
          </w:tcPr>
          <w:p w14:paraId="5DD75255" w14:textId="14BAF186" w:rsidR="00ED23BB" w:rsidRPr="00ED23BB" w:rsidRDefault="00ED23BB" w:rsidP="00ED23BB">
            <w:pPr>
              <w:pStyle w:val="CDITable-HeaderRowCentre"/>
            </w:pPr>
            <w:r w:rsidRPr="00ED23BB">
              <w:t>First onset</w:t>
            </w:r>
            <w:r w:rsidR="003C768B">
              <w:t> </w:t>
            </w:r>
            <w:r w:rsidRPr="00ED23BB">
              <w:t>date</w:t>
            </w:r>
          </w:p>
        </w:tc>
        <w:tc>
          <w:tcPr>
            <w:tcW w:w="1418" w:type="dxa"/>
            <w:shd w:val="clear" w:color="auto" w:fill="1E4496" w:themeFill="text2"/>
            <w:tcMar>
              <w:top w:w="113" w:type="dxa"/>
              <w:left w:w="113" w:type="dxa"/>
              <w:bottom w:w="113" w:type="dxa"/>
              <w:right w:w="113" w:type="dxa"/>
            </w:tcMar>
            <w:vAlign w:val="bottom"/>
          </w:tcPr>
          <w:p w14:paraId="287E75C6" w14:textId="6FD534E1" w:rsidR="00ED23BB" w:rsidRPr="00ED23BB" w:rsidRDefault="00ED23BB" w:rsidP="00ED23BB">
            <w:pPr>
              <w:pStyle w:val="CDITable-HeaderRowCentre"/>
            </w:pPr>
            <w:r w:rsidRPr="00ED23BB">
              <w:t>Last onset</w:t>
            </w:r>
            <w:r w:rsidR="003C768B">
              <w:t> </w:t>
            </w:r>
            <w:r w:rsidRPr="00ED23BB">
              <w:t>date</w:t>
            </w:r>
          </w:p>
        </w:tc>
        <w:tc>
          <w:tcPr>
            <w:tcW w:w="2267" w:type="dxa"/>
            <w:shd w:val="clear" w:color="auto" w:fill="1E4496" w:themeFill="text2"/>
            <w:tcMar>
              <w:top w:w="113" w:type="dxa"/>
              <w:left w:w="113" w:type="dxa"/>
              <w:bottom w:w="113" w:type="dxa"/>
              <w:right w:w="113" w:type="dxa"/>
            </w:tcMar>
            <w:vAlign w:val="bottom"/>
          </w:tcPr>
          <w:p w14:paraId="1679002E" w14:textId="77777777" w:rsidR="00ED23BB" w:rsidRPr="00ED23BB" w:rsidRDefault="00ED23BB" w:rsidP="00ED23BB">
            <w:pPr>
              <w:pStyle w:val="CDITable-HeaderRowLeft"/>
            </w:pPr>
            <w:r w:rsidRPr="00ED23BB">
              <w:t>Source country</w:t>
            </w:r>
          </w:p>
        </w:tc>
        <w:tc>
          <w:tcPr>
            <w:tcW w:w="1191" w:type="dxa"/>
            <w:shd w:val="clear" w:color="auto" w:fill="1E4496" w:themeFill="text2"/>
            <w:tcMar>
              <w:top w:w="113" w:type="dxa"/>
              <w:left w:w="113" w:type="dxa"/>
              <w:bottom w:w="113" w:type="dxa"/>
              <w:right w:w="113" w:type="dxa"/>
            </w:tcMar>
            <w:vAlign w:val="bottom"/>
          </w:tcPr>
          <w:p w14:paraId="3B08909F" w14:textId="77777777" w:rsidR="00ED23BB" w:rsidRPr="00ED23BB" w:rsidRDefault="00ED23BB" w:rsidP="00ED23BB">
            <w:pPr>
              <w:pStyle w:val="CDITable-HeaderRowCentre"/>
            </w:pPr>
            <w:proofErr w:type="spellStart"/>
            <w:r w:rsidRPr="00ED23BB">
              <w:t>Genotype</w:t>
            </w:r>
            <w:r w:rsidRPr="003C768B">
              <w:rPr>
                <w:vertAlign w:val="superscript"/>
              </w:rPr>
              <w:t>e</w:t>
            </w:r>
            <w:proofErr w:type="spellEnd"/>
          </w:p>
        </w:tc>
      </w:tr>
      <w:tr w:rsidR="00ED23BB" w:rsidRPr="00ED23BB" w14:paraId="46E7BE61" w14:textId="77777777" w:rsidTr="00520680">
        <w:trPr>
          <w:trHeight w:val="60"/>
        </w:trPr>
        <w:tc>
          <w:tcPr>
            <w:tcW w:w="907" w:type="dxa"/>
            <w:vMerge w:val="restart"/>
            <w:tcBorders>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01F7B39C" w14:textId="77777777" w:rsidR="00ED23BB" w:rsidRPr="00520680" w:rsidRDefault="00ED23BB" w:rsidP="005C3E25">
            <w:pPr>
              <w:pStyle w:val="CDITable-RowLeft"/>
              <w:rPr>
                <w:b/>
                <w:bCs/>
              </w:rPr>
            </w:pPr>
            <w:r w:rsidRPr="00520680">
              <w:rPr>
                <w:b/>
                <w:bCs/>
              </w:rPr>
              <w:t>2014</w:t>
            </w:r>
          </w:p>
        </w:tc>
        <w:tc>
          <w:tcPr>
            <w:tcW w:w="1361" w:type="dxa"/>
            <w:tcBorders>
              <w:bottom w:val="single" w:sz="6" w:space="0" w:color="1E4496" w:themeColor="text2"/>
            </w:tcBorders>
            <w:tcMar>
              <w:top w:w="105" w:type="dxa"/>
              <w:left w:w="113" w:type="dxa"/>
              <w:bottom w:w="105" w:type="dxa"/>
              <w:right w:w="113" w:type="dxa"/>
            </w:tcMar>
            <w:vAlign w:val="center"/>
          </w:tcPr>
          <w:p w14:paraId="16B21010" w14:textId="77777777" w:rsidR="00ED23BB" w:rsidRPr="00ED23BB" w:rsidRDefault="00ED23BB" w:rsidP="005C3E25">
            <w:pPr>
              <w:pStyle w:val="CDITable-RowLeft"/>
            </w:pPr>
            <w:r w:rsidRPr="00ED23BB">
              <w:t>SA</w:t>
            </w:r>
          </w:p>
        </w:tc>
        <w:tc>
          <w:tcPr>
            <w:tcW w:w="1077" w:type="dxa"/>
            <w:tcBorders>
              <w:bottom w:val="single" w:sz="6" w:space="0" w:color="1E4496" w:themeColor="text2"/>
            </w:tcBorders>
            <w:tcMar>
              <w:top w:w="105" w:type="dxa"/>
              <w:left w:w="113" w:type="dxa"/>
              <w:bottom w:w="105" w:type="dxa"/>
              <w:right w:w="113" w:type="dxa"/>
            </w:tcMar>
            <w:vAlign w:val="center"/>
          </w:tcPr>
          <w:p w14:paraId="481EE59E" w14:textId="77777777" w:rsidR="00ED23BB" w:rsidRPr="00ED23BB" w:rsidRDefault="00ED23BB" w:rsidP="005C3E25">
            <w:pPr>
              <w:pStyle w:val="CDITable-RowCentre"/>
            </w:pPr>
            <w:r w:rsidRPr="00ED23BB">
              <w:t>11</w:t>
            </w:r>
          </w:p>
        </w:tc>
        <w:tc>
          <w:tcPr>
            <w:tcW w:w="1417" w:type="dxa"/>
            <w:tcBorders>
              <w:bottom w:val="single" w:sz="6" w:space="0" w:color="1E4496" w:themeColor="text2"/>
            </w:tcBorders>
            <w:tcMar>
              <w:top w:w="105" w:type="dxa"/>
              <w:left w:w="113" w:type="dxa"/>
              <w:bottom w:w="105" w:type="dxa"/>
              <w:right w:w="113" w:type="dxa"/>
            </w:tcMar>
            <w:vAlign w:val="center"/>
          </w:tcPr>
          <w:p w14:paraId="645BCAE5" w14:textId="77777777" w:rsidR="00ED23BB" w:rsidRPr="00ED23BB" w:rsidRDefault="00ED23BB" w:rsidP="005C3E25">
            <w:pPr>
              <w:pStyle w:val="CDITable-RowCentre"/>
            </w:pPr>
            <w:r w:rsidRPr="00ED23BB">
              <w:t>2014-01-01</w:t>
            </w:r>
          </w:p>
        </w:tc>
        <w:tc>
          <w:tcPr>
            <w:tcW w:w="1418" w:type="dxa"/>
            <w:tcBorders>
              <w:bottom w:val="single" w:sz="6" w:space="0" w:color="1E4496" w:themeColor="text2"/>
            </w:tcBorders>
            <w:tcMar>
              <w:top w:w="105" w:type="dxa"/>
              <w:left w:w="113" w:type="dxa"/>
              <w:bottom w:w="105" w:type="dxa"/>
              <w:right w:w="113" w:type="dxa"/>
            </w:tcMar>
            <w:vAlign w:val="center"/>
          </w:tcPr>
          <w:p w14:paraId="30838DA2" w14:textId="77777777" w:rsidR="00ED23BB" w:rsidRPr="00ED23BB" w:rsidRDefault="00ED23BB" w:rsidP="005C3E25">
            <w:pPr>
              <w:pStyle w:val="CDITable-RowCentre"/>
            </w:pPr>
            <w:r w:rsidRPr="00ED23BB">
              <w:t>2014-06-04</w:t>
            </w:r>
          </w:p>
        </w:tc>
        <w:tc>
          <w:tcPr>
            <w:tcW w:w="2267" w:type="dxa"/>
            <w:tcBorders>
              <w:bottom w:val="single" w:sz="6" w:space="0" w:color="1E4496" w:themeColor="text2"/>
            </w:tcBorders>
            <w:tcMar>
              <w:top w:w="105" w:type="dxa"/>
              <w:left w:w="113" w:type="dxa"/>
              <w:bottom w:w="105" w:type="dxa"/>
              <w:right w:w="113" w:type="dxa"/>
            </w:tcMar>
            <w:vAlign w:val="center"/>
          </w:tcPr>
          <w:p w14:paraId="41DD3C8B" w14:textId="77777777" w:rsidR="00ED23BB" w:rsidRPr="00ED23BB" w:rsidRDefault="00ED23BB" w:rsidP="005C3E25">
            <w:pPr>
              <w:pStyle w:val="CDITable-RowLeft"/>
            </w:pPr>
            <w:r w:rsidRPr="00ED23BB">
              <w:t>Philippines</w:t>
            </w:r>
          </w:p>
        </w:tc>
        <w:tc>
          <w:tcPr>
            <w:tcW w:w="1191" w:type="dxa"/>
            <w:tcBorders>
              <w:bottom w:val="single" w:sz="6" w:space="0" w:color="1E4496" w:themeColor="text2"/>
            </w:tcBorders>
            <w:tcMar>
              <w:top w:w="105" w:type="dxa"/>
              <w:left w:w="113" w:type="dxa"/>
              <w:bottom w:w="105" w:type="dxa"/>
              <w:right w:w="113" w:type="dxa"/>
            </w:tcMar>
            <w:vAlign w:val="center"/>
          </w:tcPr>
          <w:p w14:paraId="5F687F47" w14:textId="77777777" w:rsidR="00ED23BB" w:rsidRPr="00ED23BB" w:rsidRDefault="00ED23BB" w:rsidP="005C3E25">
            <w:pPr>
              <w:pStyle w:val="CDITable-RowCentre"/>
            </w:pPr>
            <w:r w:rsidRPr="00ED23BB">
              <w:t>B3</w:t>
            </w:r>
          </w:p>
        </w:tc>
      </w:tr>
      <w:tr w:rsidR="00ED23BB" w:rsidRPr="00ED23BB" w14:paraId="33A1D80C"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437F652E"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9597CAB"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9104F43" w14:textId="77777777" w:rsidR="00ED23BB" w:rsidRPr="00ED23BB" w:rsidRDefault="00ED23BB" w:rsidP="005C3E25">
            <w:pPr>
              <w:pStyle w:val="CDITable-RowCentre"/>
            </w:pPr>
            <w:r w:rsidRPr="00ED23BB">
              <w:t>56</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1BD9E73" w14:textId="77777777" w:rsidR="00ED23BB" w:rsidRPr="00ED23BB" w:rsidRDefault="00ED23BB" w:rsidP="005C3E25">
            <w:pPr>
              <w:pStyle w:val="CDITable-RowCentre"/>
            </w:pPr>
            <w:r w:rsidRPr="00ED23BB">
              <w:t>2014-01-01</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27464D7" w14:textId="77777777" w:rsidR="00ED23BB" w:rsidRPr="00ED23BB" w:rsidRDefault="00ED23BB" w:rsidP="005C3E25">
            <w:pPr>
              <w:pStyle w:val="CDITable-RowCentre"/>
            </w:pPr>
            <w:r w:rsidRPr="00ED23BB">
              <w:t>2014-12-29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64D5563" w14:textId="77777777" w:rsidR="00ED23BB" w:rsidRPr="00ED23BB" w:rsidRDefault="00ED23BB" w:rsidP="005C3E25">
            <w:pPr>
              <w:pStyle w:val="CDITable-RowLeft"/>
            </w:pPr>
            <w:r w:rsidRPr="00ED23BB">
              <w:t>Vietnam, Germany</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FD1832B" w14:textId="77777777" w:rsidR="00ED23BB" w:rsidRPr="00ED23BB" w:rsidRDefault="00ED23BB" w:rsidP="005C3E25">
            <w:pPr>
              <w:pStyle w:val="CDITable-RowCentre"/>
            </w:pPr>
            <w:r w:rsidRPr="00ED23BB">
              <w:t>B3</w:t>
            </w:r>
          </w:p>
        </w:tc>
      </w:tr>
      <w:tr w:rsidR="00ED23BB" w:rsidRPr="00ED23BB" w14:paraId="4882FABD"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2EA0C83"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7EEFAB8"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6154BB9" w14:textId="77777777" w:rsidR="00ED23BB" w:rsidRPr="00ED23BB" w:rsidRDefault="00ED23BB" w:rsidP="005C3E25">
            <w:pPr>
              <w:pStyle w:val="CDITable-RowCentre"/>
            </w:pPr>
            <w:r w:rsidRPr="00ED23BB">
              <w:t>43</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A06BABE" w14:textId="77777777" w:rsidR="00ED23BB" w:rsidRPr="00ED23BB" w:rsidRDefault="00ED23BB" w:rsidP="005C3E25">
            <w:pPr>
              <w:pStyle w:val="CDITable-RowCentre"/>
            </w:pPr>
            <w:r w:rsidRPr="00ED23BB">
              <w:t>2014-01-03</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F36F041" w14:textId="77777777" w:rsidR="00ED23BB" w:rsidRPr="00ED23BB" w:rsidRDefault="00ED23BB" w:rsidP="005C3E25">
            <w:pPr>
              <w:pStyle w:val="CDITable-RowCentre"/>
            </w:pPr>
            <w:r w:rsidRPr="00ED23BB">
              <w:t>2014-12-19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9ABB04D"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A9746C6" w14:textId="77777777" w:rsidR="00ED23BB" w:rsidRPr="00ED23BB" w:rsidRDefault="00ED23BB" w:rsidP="005C3E25">
            <w:pPr>
              <w:pStyle w:val="CDITable-RowCentre"/>
            </w:pPr>
            <w:r w:rsidRPr="00ED23BB">
              <w:t>D9</w:t>
            </w:r>
          </w:p>
        </w:tc>
      </w:tr>
      <w:tr w:rsidR="00ED23BB" w:rsidRPr="00ED23BB" w14:paraId="7A50C697"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3D9F236"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B2DDB62"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946094E" w14:textId="77777777" w:rsidR="00ED23BB" w:rsidRPr="00ED23BB" w:rsidRDefault="00ED23BB" w:rsidP="005C3E25">
            <w:pPr>
              <w:pStyle w:val="CDITable-RowCentre"/>
            </w:pPr>
            <w:r w:rsidRPr="00ED23BB">
              <w:t>64</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EDFD2D9" w14:textId="77777777" w:rsidR="00ED23BB" w:rsidRPr="00ED23BB" w:rsidRDefault="00ED23BB" w:rsidP="005C3E25">
            <w:pPr>
              <w:pStyle w:val="CDITable-RowCentre"/>
            </w:pPr>
            <w:r w:rsidRPr="00ED23BB">
              <w:t>2014-01-06</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BA89CAF" w14:textId="77777777" w:rsidR="00ED23BB" w:rsidRPr="00ED23BB" w:rsidRDefault="00ED23BB" w:rsidP="005C3E25">
            <w:pPr>
              <w:pStyle w:val="CDITable-RowCentre"/>
            </w:pPr>
            <w:r w:rsidRPr="00ED23BB">
              <w:t>2014-08-19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E8FB4D8"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A19C96A" w14:textId="77777777" w:rsidR="00ED23BB" w:rsidRPr="00ED23BB" w:rsidRDefault="00ED23BB" w:rsidP="005C3E25">
            <w:pPr>
              <w:pStyle w:val="CDITable-RowCentre"/>
            </w:pPr>
            <w:r w:rsidRPr="00ED23BB">
              <w:t>D8</w:t>
            </w:r>
          </w:p>
        </w:tc>
      </w:tr>
      <w:tr w:rsidR="00ED23BB" w:rsidRPr="00ED23BB" w14:paraId="264F4B3F"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07DF7BF4"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3A3051A" w14:textId="77777777" w:rsidR="00ED23BB" w:rsidRPr="00ED23BB" w:rsidRDefault="00ED23BB" w:rsidP="005C3E25">
            <w:pPr>
              <w:pStyle w:val="CDITable-RowLeft"/>
            </w:pPr>
            <w:r w:rsidRPr="00ED23BB">
              <w:t>NT</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0077888" w14:textId="77777777" w:rsidR="00ED23BB" w:rsidRPr="00ED23BB" w:rsidRDefault="00ED23BB" w:rsidP="005C3E25">
            <w:pPr>
              <w:pStyle w:val="CDITable-RowCentre"/>
            </w:pPr>
            <w:r w:rsidRPr="00ED23BB">
              <w:t>38</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9A7DB2F" w14:textId="77777777" w:rsidR="00ED23BB" w:rsidRPr="00ED23BB" w:rsidRDefault="00ED23BB" w:rsidP="005C3E25">
            <w:pPr>
              <w:pStyle w:val="CDITable-RowCentre"/>
            </w:pPr>
            <w:r w:rsidRPr="00ED23BB">
              <w:t>2014-01-12</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7909BDA" w14:textId="77777777" w:rsidR="00ED23BB" w:rsidRPr="00ED23BB" w:rsidRDefault="00ED23BB" w:rsidP="005C3E25">
            <w:pPr>
              <w:pStyle w:val="CDITable-RowCentre"/>
            </w:pPr>
            <w:r w:rsidRPr="00ED23BB">
              <w:t>2014-12-28</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1B7C4C0" w14:textId="77777777" w:rsidR="00ED23BB" w:rsidRPr="00ED23BB" w:rsidRDefault="00ED23BB" w:rsidP="005C3E25">
            <w:pPr>
              <w:pStyle w:val="CDITable-RowLeft"/>
            </w:pPr>
            <w:r w:rsidRPr="00ED23BB">
              <w:t>Singapore</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203C953" w14:textId="77777777" w:rsidR="00ED23BB" w:rsidRPr="00ED23BB" w:rsidRDefault="00ED23BB" w:rsidP="005C3E25">
            <w:pPr>
              <w:pStyle w:val="CDITable-RowCentre"/>
            </w:pPr>
            <w:r w:rsidRPr="00ED23BB">
              <w:t>B3</w:t>
            </w:r>
          </w:p>
        </w:tc>
      </w:tr>
      <w:tr w:rsidR="00ED23BB" w:rsidRPr="00ED23BB" w14:paraId="66BAE046"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4B067E69"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32C69C5"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9E28C6C" w14:textId="77777777" w:rsidR="00ED23BB" w:rsidRPr="00ED23BB" w:rsidRDefault="00ED23BB" w:rsidP="005C3E25">
            <w:pPr>
              <w:pStyle w:val="CDITable-RowCentre"/>
            </w:pPr>
            <w:r w:rsidRPr="00ED23BB">
              <w:t>72</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331ED9E" w14:textId="77777777" w:rsidR="00ED23BB" w:rsidRPr="00ED23BB" w:rsidRDefault="00ED23BB" w:rsidP="005C3E25">
            <w:pPr>
              <w:pStyle w:val="CDITable-RowCentre"/>
            </w:pPr>
            <w:r w:rsidRPr="00ED23BB">
              <w:t>2014-01-13</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D758CD5" w14:textId="77777777" w:rsidR="00ED23BB" w:rsidRPr="00ED23BB" w:rsidRDefault="00ED23BB" w:rsidP="005C3E25">
            <w:pPr>
              <w:pStyle w:val="CDITable-RowCentre"/>
            </w:pPr>
            <w:r w:rsidRPr="00ED23BB">
              <w:t>2014-12-29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1A89754"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BC24415" w14:textId="77777777" w:rsidR="00ED23BB" w:rsidRPr="00ED23BB" w:rsidRDefault="00ED23BB" w:rsidP="005C3E25">
            <w:pPr>
              <w:pStyle w:val="CDITable-RowCentre"/>
            </w:pPr>
            <w:r w:rsidRPr="00ED23BB">
              <w:t>B3</w:t>
            </w:r>
          </w:p>
        </w:tc>
      </w:tr>
      <w:tr w:rsidR="00ED23BB" w:rsidRPr="00ED23BB" w14:paraId="31AB5AEB"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2A3AC701"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BF14895" w14:textId="77777777" w:rsidR="00ED23BB" w:rsidRPr="00ED23BB" w:rsidRDefault="00ED23BB" w:rsidP="005C3E25">
            <w:pPr>
              <w:pStyle w:val="CDITable-RowLeft"/>
            </w:pPr>
            <w:r w:rsidRPr="00ED23BB">
              <w:t>Tas.</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27A4016" w14:textId="77777777" w:rsidR="00ED23BB" w:rsidRPr="00ED23BB" w:rsidRDefault="00ED23BB" w:rsidP="005C3E25">
            <w:pPr>
              <w:pStyle w:val="CDITable-RowCentre"/>
            </w:pPr>
            <w:r w:rsidRPr="00ED23BB">
              <w:t>5</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6F98288" w14:textId="77777777" w:rsidR="00ED23BB" w:rsidRPr="00ED23BB" w:rsidRDefault="00ED23BB" w:rsidP="005C3E25">
            <w:pPr>
              <w:pStyle w:val="CDITable-RowCentre"/>
            </w:pPr>
            <w:r w:rsidRPr="00ED23BB">
              <w:t>2014-07-06</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D115C85" w14:textId="77777777" w:rsidR="00ED23BB" w:rsidRPr="00ED23BB" w:rsidRDefault="00ED23BB" w:rsidP="005C3E25">
            <w:pPr>
              <w:pStyle w:val="CDITable-RowCentre"/>
            </w:pPr>
            <w:r w:rsidRPr="00ED23BB">
              <w:t>2014-07-28</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E172E3D" w14:textId="77777777" w:rsidR="00ED23BB" w:rsidRPr="00ED23BB" w:rsidRDefault="00ED23BB" w:rsidP="005C3E25">
            <w:pPr>
              <w:pStyle w:val="CDITable-RowLeft"/>
            </w:pPr>
            <w:r w:rsidRPr="00ED23BB">
              <w:t>Singapore, Taiwan</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A559E6C" w14:textId="77777777" w:rsidR="00ED23BB" w:rsidRPr="00ED23BB" w:rsidRDefault="00ED23BB" w:rsidP="005C3E25">
            <w:pPr>
              <w:pStyle w:val="CDITable-RowCentre"/>
            </w:pPr>
            <w:r w:rsidRPr="00ED23BB">
              <w:t>D8</w:t>
            </w:r>
          </w:p>
        </w:tc>
      </w:tr>
      <w:tr w:rsidR="00ED23BB" w:rsidRPr="00ED23BB" w14:paraId="21912FC3"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15CBC05E"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49F8534" w14:textId="77777777" w:rsidR="00ED23BB" w:rsidRPr="00ED23BB" w:rsidRDefault="00ED23BB" w:rsidP="005C3E25">
            <w:pPr>
              <w:pStyle w:val="CDITable-RowLeft"/>
            </w:pPr>
            <w:r w:rsidRPr="00ED23BB">
              <w:t>ACT</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6C5F86E" w14:textId="77777777" w:rsidR="00ED23BB" w:rsidRPr="00ED23BB" w:rsidRDefault="00ED23BB" w:rsidP="005C3E25">
            <w:pPr>
              <w:pStyle w:val="CDITable-RowCentre"/>
            </w:pPr>
            <w:r w:rsidRPr="00ED23BB">
              <w:t>4</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3D853F3" w14:textId="77777777" w:rsidR="00ED23BB" w:rsidRPr="00ED23BB" w:rsidRDefault="00ED23BB" w:rsidP="005C3E25">
            <w:pPr>
              <w:pStyle w:val="CDITable-RowCentre"/>
            </w:pPr>
            <w:r w:rsidRPr="00ED23BB">
              <w:t>2014-07-18</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D196FC2" w14:textId="77777777" w:rsidR="00ED23BB" w:rsidRPr="00ED23BB" w:rsidRDefault="00ED23BB" w:rsidP="005C3E25">
            <w:pPr>
              <w:pStyle w:val="CDITable-RowCentre"/>
            </w:pPr>
            <w:r w:rsidRPr="00ED23BB">
              <w:t>2014-07-25</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3E1678D" w14:textId="77777777" w:rsidR="00ED23BB" w:rsidRPr="00ED23BB" w:rsidRDefault="00ED23BB" w:rsidP="005C3E25">
            <w:pPr>
              <w:pStyle w:val="CDITable-RowLeft"/>
            </w:pPr>
            <w:r w:rsidRPr="00ED23BB">
              <w:t xml:space="preserve">Imported, index case </w:t>
            </w:r>
            <w:proofErr w:type="spellStart"/>
            <w:r w:rsidRPr="00ED23BB">
              <w:t>unknown</w:t>
            </w:r>
            <w:r w:rsidRPr="005C3E25">
              <w:rPr>
                <w:vertAlign w:val="superscript"/>
              </w:rPr>
              <w:t>f</w:t>
            </w:r>
            <w:proofErr w:type="spellEnd"/>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94E72A7" w14:textId="77777777" w:rsidR="00ED23BB" w:rsidRPr="00ED23BB" w:rsidRDefault="00ED23BB" w:rsidP="005C3E25">
            <w:pPr>
              <w:pStyle w:val="CDITable-RowCentre"/>
            </w:pPr>
            <w:r w:rsidRPr="00ED23BB">
              <w:t>B3</w:t>
            </w:r>
          </w:p>
        </w:tc>
      </w:tr>
      <w:tr w:rsidR="00ED23BB" w:rsidRPr="00ED23BB" w14:paraId="3B344440"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59E1FD11" w14:textId="77777777" w:rsidR="00ED23BB" w:rsidRPr="00520680" w:rsidRDefault="00ED23BB" w:rsidP="005C3E25">
            <w:pPr>
              <w:pStyle w:val="CDITable-RowLeft"/>
              <w:rPr>
                <w:b/>
                <w:bCs/>
              </w:rPr>
            </w:pPr>
            <w:r w:rsidRPr="00520680">
              <w:rPr>
                <w:b/>
                <w:bCs/>
              </w:rPr>
              <w:t>2015</w:t>
            </w: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DB65BFA"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7F367C0" w14:textId="77777777" w:rsidR="00ED23BB" w:rsidRPr="00ED23BB" w:rsidRDefault="00ED23BB" w:rsidP="005C3E25">
            <w:pPr>
              <w:pStyle w:val="CDITable-RowCentre"/>
            </w:pPr>
            <w:r w:rsidRPr="00ED23BB">
              <w:t>21</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FE01A18" w14:textId="77777777" w:rsidR="00ED23BB" w:rsidRPr="00ED23BB" w:rsidRDefault="00ED23BB" w:rsidP="005C3E25">
            <w:pPr>
              <w:pStyle w:val="CDITable-RowCentre"/>
            </w:pPr>
            <w:r w:rsidRPr="00ED23BB">
              <w:t>2015-01-04</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35619C2" w14:textId="77777777" w:rsidR="00ED23BB" w:rsidRPr="00ED23BB" w:rsidRDefault="00ED23BB" w:rsidP="005C3E25">
            <w:pPr>
              <w:pStyle w:val="CDITable-RowCentre"/>
            </w:pPr>
            <w:r w:rsidRPr="00ED23BB">
              <w:t>2015-09-13</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926F7E0" w14:textId="77777777" w:rsidR="00ED23BB" w:rsidRPr="00ED23BB" w:rsidRDefault="00ED23BB" w:rsidP="005C3E25">
            <w:pPr>
              <w:pStyle w:val="CDITable-RowLeft"/>
            </w:pPr>
            <w:r w:rsidRPr="00ED23BB">
              <w:t>Papua New Guinea</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7002264" w14:textId="77777777" w:rsidR="00ED23BB" w:rsidRPr="00ED23BB" w:rsidRDefault="00ED23BB" w:rsidP="005C3E25">
            <w:pPr>
              <w:pStyle w:val="CDITable-RowCentre"/>
            </w:pPr>
            <w:r w:rsidRPr="00ED23BB">
              <w:t>H1</w:t>
            </w:r>
          </w:p>
        </w:tc>
      </w:tr>
      <w:tr w:rsidR="00ED23BB" w:rsidRPr="00ED23BB" w14:paraId="2B06F94E"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5F2B10A2"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229F856"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F28BAC7" w14:textId="77777777" w:rsidR="00ED23BB" w:rsidRPr="00ED23BB" w:rsidRDefault="00ED23BB" w:rsidP="005C3E25">
            <w:pPr>
              <w:pStyle w:val="CDITable-RowCentre"/>
            </w:pPr>
            <w:r w:rsidRPr="00ED23BB">
              <w:t>21</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89265B3" w14:textId="77777777" w:rsidR="00ED23BB" w:rsidRPr="00ED23BB" w:rsidRDefault="00ED23BB" w:rsidP="005C3E25">
            <w:pPr>
              <w:pStyle w:val="CDITable-RowCentre"/>
            </w:pPr>
            <w:r w:rsidRPr="00ED23BB">
              <w:t>2015-01-08</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3542BD0" w14:textId="77777777" w:rsidR="00ED23BB" w:rsidRPr="00ED23BB" w:rsidRDefault="00ED23BB" w:rsidP="005C3E25">
            <w:pPr>
              <w:pStyle w:val="CDITable-RowCentre"/>
            </w:pPr>
            <w:r w:rsidRPr="00ED23BB">
              <w:t>2015-09-09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F21B5B5" w14:textId="77777777" w:rsidR="00ED23BB" w:rsidRPr="00ED23BB" w:rsidRDefault="00ED23BB" w:rsidP="005C3E25">
            <w:pPr>
              <w:pStyle w:val="CDITable-RowLeft"/>
            </w:pPr>
            <w:r w:rsidRPr="00ED23BB">
              <w:t>Indonesia</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B44D75D" w14:textId="77777777" w:rsidR="00ED23BB" w:rsidRPr="00ED23BB" w:rsidRDefault="00ED23BB" w:rsidP="005C3E25">
            <w:pPr>
              <w:pStyle w:val="CDITable-RowCentre"/>
            </w:pPr>
            <w:r w:rsidRPr="00ED23BB">
              <w:t>D8</w:t>
            </w:r>
          </w:p>
        </w:tc>
      </w:tr>
      <w:tr w:rsidR="00ED23BB" w:rsidRPr="00ED23BB" w14:paraId="6E0F4D3F"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4596FC1A"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C525852"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E132AB1" w14:textId="77777777" w:rsidR="00ED23BB" w:rsidRPr="00ED23BB" w:rsidRDefault="00ED23BB" w:rsidP="005C3E25">
            <w:pPr>
              <w:pStyle w:val="CDITable-RowCentre"/>
            </w:pPr>
            <w:r w:rsidRPr="00ED23BB">
              <w:t>8</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059872B" w14:textId="77777777" w:rsidR="00ED23BB" w:rsidRPr="00ED23BB" w:rsidRDefault="00ED23BB" w:rsidP="005C3E25">
            <w:pPr>
              <w:pStyle w:val="CDITable-RowCentre"/>
            </w:pPr>
            <w:r w:rsidRPr="00ED23BB">
              <w:t>2015-01-12</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5A33F4E" w14:textId="77777777" w:rsidR="00ED23BB" w:rsidRPr="00ED23BB" w:rsidRDefault="00ED23BB" w:rsidP="005C3E25">
            <w:pPr>
              <w:pStyle w:val="CDITable-RowCentre"/>
            </w:pPr>
            <w:r w:rsidRPr="00ED23BB">
              <w:t>2015-12-17</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2C0867F" w14:textId="77777777" w:rsidR="00ED23BB" w:rsidRPr="00ED23BB" w:rsidRDefault="00ED23BB" w:rsidP="005C3E25">
            <w:pPr>
              <w:pStyle w:val="CDITable-RowLeft"/>
            </w:pPr>
            <w:r w:rsidRPr="00ED23BB">
              <w:t>Switzerland</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EF4BD4E" w14:textId="77777777" w:rsidR="00ED23BB" w:rsidRPr="00ED23BB" w:rsidRDefault="00ED23BB" w:rsidP="005C3E25">
            <w:pPr>
              <w:pStyle w:val="CDITable-RowCentre"/>
            </w:pPr>
            <w:r w:rsidRPr="00ED23BB">
              <w:t>D8</w:t>
            </w:r>
          </w:p>
        </w:tc>
      </w:tr>
      <w:tr w:rsidR="00ED23BB" w:rsidRPr="00ED23BB" w14:paraId="58207C6A"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5C136A03"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FD6E64E"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24E29C9"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BA5C9C8" w14:textId="77777777" w:rsidR="00ED23BB" w:rsidRPr="00ED23BB" w:rsidRDefault="00ED23BB" w:rsidP="005C3E25">
            <w:pPr>
              <w:pStyle w:val="CDITable-RowCentre"/>
            </w:pPr>
            <w:r w:rsidRPr="00ED23BB">
              <w:t>2015-01-13</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23AB542" w14:textId="77777777" w:rsidR="00ED23BB" w:rsidRPr="00ED23BB" w:rsidRDefault="00ED23BB" w:rsidP="005C3E25">
            <w:pPr>
              <w:pStyle w:val="CDITable-RowCentre"/>
            </w:pPr>
            <w:r w:rsidRPr="00ED23BB">
              <w:t>2015-02-09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1484FE8" w14:textId="77777777" w:rsidR="00ED23BB" w:rsidRPr="00ED23BB" w:rsidRDefault="00ED23BB" w:rsidP="005C3E25">
            <w:pPr>
              <w:pStyle w:val="CDITable-RowLeft"/>
            </w:pPr>
            <w:r w:rsidRPr="00ED23BB">
              <w:t>India</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E2E7A8D" w14:textId="77777777" w:rsidR="00ED23BB" w:rsidRPr="00ED23BB" w:rsidRDefault="00ED23BB" w:rsidP="005C3E25">
            <w:pPr>
              <w:pStyle w:val="CDITable-RowCentre"/>
            </w:pPr>
            <w:r w:rsidRPr="00ED23BB">
              <w:t>D8</w:t>
            </w:r>
          </w:p>
        </w:tc>
      </w:tr>
      <w:tr w:rsidR="00ED23BB" w:rsidRPr="00ED23BB" w14:paraId="5DC515D1"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7151DED3" w14:textId="77777777" w:rsidR="00ED23BB" w:rsidRPr="00520680" w:rsidRDefault="00ED23BB" w:rsidP="00ED23BB">
            <w:pPr>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CDE2934" w14:textId="77777777" w:rsidR="00ED23BB" w:rsidRPr="00ED23BB" w:rsidRDefault="00ED23BB" w:rsidP="005C3E25">
            <w:pPr>
              <w:pStyle w:val="CDITable-RowLeft"/>
            </w:pPr>
            <w:r w:rsidRPr="00ED23BB">
              <w:t>SA</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1DFA71B"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C1A69FD" w14:textId="77777777" w:rsidR="00ED23BB" w:rsidRPr="00ED23BB" w:rsidRDefault="00ED23BB" w:rsidP="005C3E25">
            <w:pPr>
              <w:pStyle w:val="CDITable-RowCentre"/>
            </w:pPr>
            <w:r w:rsidRPr="00ED23BB">
              <w:t>2015-12-03</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C60C4B6" w14:textId="77777777" w:rsidR="00ED23BB" w:rsidRPr="00ED23BB" w:rsidRDefault="00ED23BB" w:rsidP="005C3E25">
            <w:pPr>
              <w:pStyle w:val="CDITable-RowCentre"/>
            </w:pPr>
            <w:r w:rsidRPr="00ED23BB">
              <w:t>2015-12-14</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7673DA0" w14:textId="77777777" w:rsidR="00ED23BB" w:rsidRPr="00ED23BB" w:rsidRDefault="00ED23BB" w:rsidP="005C3E25">
            <w:pPr>
              <w:pStyle w:val="CDITable-RowLeft"/>
            </w:pPr>
            <w:r w:rsidRPr="00ED23BB">
              <w:t>Indonesia</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EB41636" w14:textId="77777777" w:rsidR="00ED23BB" w:rsidRPr="00ED23BB" w:rsidRDefault="00ED23BB" w:rsidP="005C3E25">
            <w:pPr>
              <w:pStyle w:val="CDITable-RowCentre"/>
            </w:pPr>
            <w:r w:rsidRPr="00ED23BB">
              <w:t>D8</w:t>
            </w:r>
          </w:p>
        </w:tc>
      </w:tr>
      <w:tr w:rsidR="00ED23BB" w:rsidRPr="00ED23BB" w14:paraId="1144E04F"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6CE2EB09" w14:textId="77777777" w:rsidR="00ED23BB" w:rsidRPr="00520680" w:rsidRDefault="00ED23BB" w:rsidP="005C3E25">
            <w:pPr>
              <w:pStyle w:val="CDITable-RowLeft"/>
              <w:rPr>
                <w:b/>
                <w:bCs/>
              </w:rPr>
            </w:pPr>
            <w:r w:rsidRPr="00520680">
              <w:rPr>
                <w:b/>
                <w:bCs/>
              </w:rPr>
              <w:t>2016</w:t>
            </w: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85F98A0"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66F22BD" w14:textId="77777777" w:rsidR="00ED23BB" w:rsidRPr="00ED23BB" w:rsidRDefault="00ED23BB" w:rsidP="005C3E25">
            <w:pPr>
              <w:pStyle w:val="CDITable-RowCentre"/>
            </w:pPr>
            <w:r w:rsidRPr="00ED23BB">
              <w:t>34</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094AD16" w14:textId="77777777" w:rsidR="00ED23BB" w:rsidRPr="00ED23BB" w:rsidRDefault="00ED23BB" w:rsidP="005C3E25">
            <w:pPr>
              <w:pStyle w:val="CDITable-RowCentre"/>
            </w:pPr>
            <w:r w:rsidRPr="00ED23BB">
              <w:t>2016-01-29</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2C10B91" w14:textId="77777777" w:rsidR="00ED23BB" w:rsidRPr="00ED23BB" w:rsidRDefault="00ED23BB" w:rsidP="005C3E25">
            <w:pPr>
              <w:pStyle w:val="CDITable-RowCentre"/>
            </w:pPr>
            <w:r w:rsidRPr="00ED23BB">
              <w:t>2016-12-29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2E5AD10" w14:textId="77777777" w:rsidR="00ED23BB" w:rsidRPr="00ED23BB" w:rsidRDefault="00ED23BB" w:rsidP="005C3E25">
            <w:pPr>
              <w:pStyle w:val="CDITable-RowLeft"/>
            </w:pPr>
            <w:r w:rsidRPr="00ED23BB">
              <w:t>Malaysia</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02D3486" w14:textId="77777777" w:rsidR="00ED23BB" w:rsidRPr="00ED23BB" w:rsidRDefault="00ED23BB" w:rsidP="005C3E25">
            <w:pPr>
              <w:pStyle w:val="CDITable-RowCentre"/>
            </w:pPr>
            <w:r w:rsidRPr="00ED23BB">
              <w:t>D8</w:t>
            </w:r>
          </w:p>
        </w:tc>
      </w:tr>
      <w:tr w:rsidR="00ED23BB" w:rsidRPr="00ED23BB" w14:paraId="750539CA"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1A5DF245"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124040E"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DBC4F65" w14:textId="77777777" w:rsidR="00ED23BB" w:rsidRPr="00ED23BB" w:rsidRDefault="00ED23BB" w:rsidP="005C3E25">
            <w:pPr>
              <w:pStyle w:val="CDITable-RowCentre"/>
            </w:pPr>
            <w:r w:rsidRPr="00ED23BB">
              <w:t>15</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C3ECC61" w14:textId="77777777" w:rsidR="00ED23BB" w:rsidRPr="00ED23BB" w:rsidRDefault="00ED23BB" w:rsidP="005C3E25">
            <w:pPr>
              <w:pStyle w:val="CDITable-RowCentre"/>
            </w:pPr>
            <w:r w:rsidRPr="00ED23BB">
              <w:t>2016-02-24</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0337449" w14:textId="77777777" w:rsidR="00ED23BB" w:rsidRPr="00ED23BB" w:rsidRDefault="00ED23BB" w:rsidP="005C3E25">
            <w:pPr>
              <w:pStyle w:val="CDITable-RowCentre"/>
            </w:pPr>
            <w:r w:rsidRPr="00ED23BB">
              <w:t>2016-12-30</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101068F" w14:textId="77777777" w:rsidR="00ED23BB" w:rsidRPr="00ED23BB" w:rsidRDefault="00ED23BB" w:rsidP="005C3E25">
            <w:pPr>
              <w:pStyle w:val="CDITable-RowLeft"/>
            </w:pPr>
            <w:r w:rsidRPr="00ED23BB">
              <w:t>Pakistan</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F658751" w14:textId="77777777" w:rsidR="00ED23BB" w:rsidRPr="00ED23BB" w:rsidRDefault="00ED23BB" w:rsidP="005C3E25">
            <w:pPr>
              <w:pStyle w:val="CDITable-RowCentre"/>
            </w:pPr>
            <w:r w:rsidRPr="00ED23BB">
              <w:t>D8</w:t>
            </w:r>
          </w:p>
        </w:tc>
      </w:tr>
      <w:tr w:rsidR="00ED23BB" w:rsidRPr="00ED23BB" w14:paraId="43C46FDC"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486F4E3"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86DA812"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1D57AD5"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5D5EB03" w14:textId="77777777" w:rsidR="00ED23BB" w:rsidRPr="00ED23BB" w:rsidRDefault="00ED23BB" w:rsidP="005C3E25">
            <w:pPr>
              <w:pStyle w:val="CDITable-RowCentre"/>
            </w:pPr>
            <w:r w:rsidRPr="00ED23BB">
              <w:t>2016-03-27</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AA59D52" w14:textId="77777777" w:rsidR="00ED23BB" w:rsidRPr="00ED23BB" w:rsidRDefault="00ED23BB" w:rsidP="005C3E25">
            <w:pPr>
              <w:pStyle w:val="CDITable-RowCentre"/>
            </w:pPr>
            <w:r w:rsidRPr="00ED23BB">
              <w:t>2016-04-10</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E911459" w14:textId="77777777" w:rsidR="00ED23BB" w:rsidRPr="00ED23BB" w:rsidRDefault="00ED23BB" w:rsidP="005C3E25">
            <w:pPr>
              <w:pStyle w:val="CDITable-RowLeft"/>
            </w:pPr>
            <w:r w:rsidRPr="00ED23BB">
              <w:t xml:space="preserve">Imported, index case </w:t>
            </w:r>
            <w:proofErr w:type="spellStart"/>
            <w:r w:rsidRPr="00ED23BB">
              <w:t>unknown</w:t>
            </w:r>
            <w:r w:rsidRPr="005C3E25">
              <w:rPr>
                <w:vertAlign w:val="superscript"/>
              </w:rPr>
              <w:t>f</w:t>
            </w:r>
            <w:proofErr w:type="spellEnd"/>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EC69810" w14:textId="77777777" w:rsidR="00ED23BB" w:rsidRPr="00ED23BB" w:rsidRDefault="00ED23BB" w:rsidP="005C3E25">
            <w:pPr>
              <w:pStyle w:val="CDITable-RowCentre"/>
            </w:pPr>
            <w:r w:rsidRPr="00ED23BB">
              <w:t>D8</w:t>
            </w:r>
          </w:p>
        </w:tc>
      </w:tr>
      <w:tr w:rsidR="00ED23BB" w:rsidRPr="00ED23BB" w14:paraId="3DE0917A"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20420CA"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36AC55D" w14:textId="77777777" w:rsidR="00ED23BB" w:rsidRPr="00ED23BB" w:rsidRDefault="00ED23BB" w:rsidP="005C3E25">
            <w:pPr>
              <w:pStyle w:val="CDITable-RowLeft"/>
            </w:pPr>
            <w:r w:rsidRPr="00ED23BB">
              <w:t>Tas.</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22274C6"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EE6B0AA" w14:textId="77777777" w:rsidR="00ED23BB" w:rsidRPr="00ED23BB" w:rsidRDefault="00ED23BB" w:rsidP="005C3E25">
            <w:pPr>
              <w:pStyle w:val="CDITable-RowCentre"/>
            </w:pPr>
            <w:r w:rsidRPr="00ED23BB">
              <w:t>2016-04-29</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3143057" w14:textId="77777777" w:rsidR="00ED23BB" w:rsidRPr="00ED23BB" w:rsidRDefault="00ED23BB" w:rsidP="005C3E25">
            <w:pPr>
              <w:pStyle w:val="CDITable-RowCentre"/>
            </w:pPr>
            <w:r w:rsidRPr="00ED23BB">
              <w:t>2016-05-12</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88F577E" w14:textId="77777777" w:rsidR="00ED23BB" w:rsidRPr="00ED23BB" w:rsidRDefault="00ED23BB" w:rsidP="005C3E25">
            <w:pPr>
              <w:pStyle w:val="CDITable-RowLeft"/>
            </w:pPr>
            <w:r w:rsidRPr="00ED23BB">
              <w:t>Nepal</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E1C471B" w14:textId="77777777" w:rsidR="00ED23BB" w:rsidRPr="00ED23BB" w:rsidRDefault="00ED23BB" w:rsidP="005C3E25">
            <w:pPr>
              <w:pStyle w:val="CDITable-RowCentre"/>
            </w:pPr>
            <w:r w:rsidRPr="00ED23BB">
              <w:t>D8</w:t>
            </w:r>
          </w:p>
        </w:tc>
      </w:tr>
      <w:tr w:rsidR="00ED23BB" w:rsidRPr="00ED23BB" w14:paraId="228CC3D6"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B39D7C6"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517BAB2" w14:textId="77777777" w:rsidR="00ED23BB" w:rsidRPr="00ED23BB" w:rsidRDefault="00ED23BB" w:rsidP="005C3E25">
            <w:pPr>
              <w:pStyle w:val="CDITable-RowLeft"/>
            </w:pPr>
            <w:r w:rsidRPr="00ED23BB">
              <w:t>SA</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A620A92" w14:textId="77777777" w:rsidR="00ED23BB" w:rsidRPr="00ED23BB" w:rsidRDefault="00ED23BB" w:rsidP="005C3E25">
            <w:pPr>
              <w:pStyle w:val="CDITable-RowCentre"/>
            </w:pPr>
            <w:r w:rsidRPr="00ED23BB">
              <w:t>8</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E3C3697" w14:textId="77777777" w:rsidR="00ED23BB" w:rsidRPr="00ED23BB" w:rsidRDefault="00ED23BB" w:rsidP="005C3E25">
            <w:pPr>
              <w:pStyle w:val="CDITable-RowCentre"/>
            </w:pPr>
            <w:r w:rsidRPr="00ED23BB">
              <w:t>2016-05-18</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707177F" w14:textId="77777777" w:rsidR="00ED23BB" w:rsidRPr="00ED23BB" w:rsidRDefault="00ED23BB" w:rsidP="005C3E25">
            <w:pPr>
              <w:pStyle w:val="CDITable-RowCentre"/>
            </w:pPr>
            <w:r w:rsidRPr="00ED23BB">
              <w:t>2016-09-22</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61D3867" w14:textId="77777777" w:rsidR="00ED23BB" w:rsidRPr="00ED23BB" w:rsidRDefault="00ED23BB" w:rsidP="005C3E25">
            <w:pPr>
              <w:pStyle w:val="CDITable-RowLeft"/>
            </w:pPr>
            <w:r w:rsidRPr="00ED23BB">
              <w:t>Thailand</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A09BC62" w14:textId="77777777" w:rsidR="00ED23BB" w:rsidRPr="00ED23BB" w:rsidRDefault="00ED23BB" w:rsidP="005C3E25">
            <w:pPr>
              <w:pStyle w:val="CDITable-RowCentre"/>
            </w:pPr>
            <w:r w:rsidRPr="00ED23BB">
              <w:t>D8</w:t>
            </w:r>
          </w:p>
        </w:tc>
      </w:tr>
      <w:tr w:rsidR="00ED23BB" w:rsidRPr="00ED23BB" w14:paraId="02B66614"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0D41A01E"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9A85B4B"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AC30F28" w14:textId="77777777" w:rsidR="00ED23BB" w:rsidRPr="00ED23BB" w:rsidRDefault="00ED23BB" w:rsidP="005C3E25">
            <w:pPr>
              <w:pStyle w:val="CDITable-RowCentre"/>
            </w:pPr>
            <w:r w:rsidRPr="00ED23BB">
              <w:t>11</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829533C" w14:textId="77777777" w:rsidR="00ED23BB" w:rsidRPr="00ED23BB" w:rsidRDefault="00ED23BB" w:rsidP="005C3E25">
            <w:pPr>
              <w:pStyle w:val="CDITable-RowCentre"/>
            </w:pPr>
            <w:r w:rsidRPr="00ED23BB">
              <w:t>2016-07-02</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46B1F9B" w14:textId="77777777" w:rsidR="00ED23BB" w:rsidRPr="00ED23BB" w:rsidRDefault="00ED23BB" w:rsidP="005C3E25">
            <w:pPr>
              <w:pStyle w:val="CDITable-RowCentre"/>
            </w:pPr>
            <w:r w:rsidRPr="00ED23BB">
              <w:t>2016-12-28</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CA84BFB" w14:textId="77777777" w:rsidR="00ED23BB" w:rsidRPr="00ED23BB" w:rsidRDefault="00ED23BB" w:rsidP="005C3E25">
            <w:pPr>
              <w:pStyle w:val="CDITable-RowLeft"/>
            </w:pPr>
            <w:r w:rsidRPr="00ED23BB">
              <w:t xml:space="preserve">South-East Asia, </w:t>
            </w:r>
            <w:proofErr w:type="spellStart"/>
            <w:r w:rsidRPr="00ED23BB">
              <w:t>nfd</w:t>
            </w:r>
            <w:r w:rsidRPr="005C3E25">
              <w:rPr>
                <w:vertAlign w:val="superscript"/>
              </w:rPr>
              <w:t>g</w:t>
            </w:r>
            <w:proofErr w:type="spellEnd"/>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F77D1C0" w14:textId="77777777" w:rsidR="00ED23BB" w:rsidRPr="00ED23BB" w:rsidRDefault="00ED23BB" w:rsidP="005C3E25">
            <w:pPr>
              <w:pStyle w:val="CDITable-RowCentre"/>
            </w:pPr>
            <w:r w:rsidRPr="00ED23BB">
              <w:t>D8</w:t>
            </w:r>
          </w:p>
        </w:tc>
      </w:tr>
      <w:tr w:rsidR="00ED23BB" w:rsidRPr="00ED23BB" w14:paraId="3B146FA8"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05" w:type="dxa"/>
              <w:left w:w="113" w:type="dxa"/>
              <w:bottom w:w="105" w:type="dxa"/>
              <w:right w:w="113" w:type="dxa"/>
            </w:tcMar>
            <w:vAlign w:val="center"/>
          </w:tcPr>
          <w:p w14:paraId="2A76D101" w14:textId="77777777" w:rsidR="00ED23BB" w:rsidRPr="00520680" w:rsidRDefault="00ED23BB" w:rsidP="005C3E25">
            <w:pPr>
              <w:pStyle w:val="CDITable-RowLeft"/>
              <w:rPr>
                <w:b/>
                <w:bCs/>
              </w:rPr>
            </w:pPr>
            <w:r w:rsidRPr="00520680">
              <w:rPr>
                <w:b/>
                <w:bCs/>
              </w:rPr>
              <w:t>2017</w:t>
            </w: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B3CCEA3"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6D00154" w14:textId="77777777" w:rsidR="00ED23BB" w:rsidRPr="00ED23BB" w:rsidRDefault="00ED23BB" w:rsidP="005C3E25">
            <w:pPr>
              <w:pStyle w:val="CDITable-RowCentre"/>
            </w:pPr>
            <w:r w:rsidRPr="00ED23BB">
              <w:t>17</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4CFE39D" w14:textId="77777777" w:rsidR="00ED23BB" w:rsidRPr="00ED23BB" w:rsidRDefault="00ED23BB" w:rsidP="005C3E25">
            <w:pPr>
              <w:pStyle w:val="CDITable-RowCentre"/>
            </w:pPr>
            <w:r w:rsidRPr="00ED23BB">
              <w:t>2017-01-06</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65BA752" w14:textId="77777777" w:rsidR="00ED23BB" w:rsidRPr="00ED23BB" w:rsidRDefault="00ED23BB" w:rsidP="005C3E25">
            <w:pPr>
              <w:pStyle w:val="CDITable-RowCentre"/>
            </w:pPr>
            <w:r w:rsidRPr="00ED23BB">
              <w:t>2017-08-19</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52ED1D9" w14:textId="77777777" w:rsidR="00ED23BB" w:rsidRPr="00ED23BB" w:rsidRDefault="00ED23BB" w:rsidP="005C3E25">
            <w:pPr>
              <w:pStyle w:val="CDITable-RowLeft"/>
            </w:pPr>
            <w:r w:rsidRPr="00ED23BB">
              <w:t>Italy</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035629A" w14:textId="77777777" w:rsidR="00ED23BB" w:rsidRPr="00ED23BB" w:rsidRDefault="00ED23BB" w:rsidP="005C3E25">
            <w:pPr>
              <w:pStyle w:val="CDITable-RowCentre"/>
            </w:pPr>
            <w:r w:rsidRPr="00ED23BB">
              <w:t>D8</w:t>
            </w:r>
          </w:p>
        </w:tc>
      </w:tr>
      <w:tr w:rsidR="00ED23BB" w:rsidRPr="00ED23BB" w14:paraId="4F8DB6EF"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1A0C6556"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8985DE5"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857093C" w14:textId="77777777" w:rsidR="00ED23BB" w:rsidRPr="00ED23BB" w:rsidRDefault="00ED23BB" w:rsidP="005C3E25">
            <w:pPr>
              <w:pStyle w:val="CDITable-RowCentre"/>
            </w:pPr>
            <w:r w:rsidRPr="00ED23BB">
              <w:t>18</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E0A23FA" w14:textId="77777777" w:rsidR="00ED23BB" w:rsidRPr="00ED23BB" w:rsidRDefault="00ED23BB" w:rsidP="005C3E25">
            <w:pPr>
              <w:pStyle w:val="CDITable-RowCentre"/>
            </w:pPr>
            <w:r w:rsidRPr="00ED23BB">
              <w:t>2017-01-08</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6131E36" w14:textId="77777777" w:rsidR="00ED23BB" w:rsidRPr="00ED23BB" w:rsidRDefault="00ED23BB" w:rsidP="005C3E25">
            <w:pPr>
              <w:pStyle w:val="CDITable-RowCentre"/>
            </w:pPr>
            <w:r w:rsidRPr="00ED23BB">
              <w:t>2017-12-01</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67AE925" w14:textId="77777777" w:rsidR="00ED23BB" w:rsidRPr="00ED23BB" w:rsidRDefault="00ED23BB" w:rsidP="005C3E25">
            <w:pPr>
              <w:pStyle w:val="CDITable-RowLeft"/>
            </w:pPr>
            <w:r w:rsidRPr="00ED23BB">
              <w:t xml:space="preserve">South-East Asia, </w:t>
            </w:r>
            <w:proofErr w:type="spellStart"/>
            <w:r w:rsidRPr="00ED23BB">
              <w:t>nfd</w:t>
            </w:r>
            <w:r w:rsidRPr="005C3E25">
              <w:rPr>
                <w:vertAlign w:val="superscript"/>
              </w:rPr>
              <w:t>g</w:t>
            </w:r>
            <w:proofErr w:type="spellEnd"/>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44ED6A8" w14:textId="77777777" w:rsidR="00ED23BB" w:rsidRPr="00ED23BB" w:rsidRDefault="00ED23BB" w:rsidP="005C3E25">
            <w:pPr>
              <w:pStyle w:val="CDITable-RowCentre"/>
            </w:pPr>
            <w:r w:rsidRPr="00ED23BB">
              <w:t>D8</w:t>
            </w:r>
          </w:p>
        </w:tc>
      </w:tr>
      <w:tr w:rsidR="00ED23BB" w:rsidRPr="00ED23BB" w14:paraId="56A4167A"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0AAFC8BE"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4B4D34E"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81B063D" w14:textId="77777777" w:rsidR="00ED23BB" w:rsidRPr="00ED23BB" w:rsidRDefault="00ED23BB" w:rsidP="005C3E25">
            <w:pPr>
              <w:pStyle w:val="CDITable-RowCentre"/>
            </w:pPr>
            <w:r w:rsidRPr="00ED23BB">
              <w:t>8</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3FCB4720" w14:textId="77777777" w:rsidR="00ED23BB" w:rsidRPr="00ED23BB" w:rsidRDefault="00ED23BB" w:rsidP="005C3E25">
            <w:pPr>
              <w:pStyle w:val="CDITable-RowCentre"/>
            </w:pPr>
            <w:r w:rsidRPr="00ED23BB">
              <w:t>2017-02-25</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4745EEE" w14:textId="77777777" w:rsidR="00ED23BB" w:rsidRPr="00ED23BB" w:rsidRDefault="00ED23BB" w:rsidP="005C3E25">
            <w:pPr>
              <w:pStyle w:val="CDITable-RowCentre"/>
            </w:pPr>
            <w:r w:rsidRPr="00ED23BB">
              <w:t>2017-04-13</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F6AB52A" w14:textId="77777777" w:rsidR="00ED23BB" w:rsidRPr="00ED23BB" w:rsidRDefault="00ED23BB" w:rsidP="005C3E25">
            <w:pPr>
              <w:pStyle w:val="CDITable-RowLeft"/>
            </w:pPr>
            <w:r w:rsidRPr="00ED23BB">
              <w:t>Japan</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BB4EAE5" w14:textId="77777777" w:rsidR="00ED23BB" w:rsidRPr="00ED23BB" w:rsidRDefault="00ED23BB" w:rsidP="005C3E25">
            <w:pPr>
              <w:pStyle w:val="CDITable-RowCentre"/>
            </w:pPr>
            <w:r w:rsidRPr="00ED23BB">
              <w:t>D8</w:t>
            </w:r>
          </w:p>
        </w:tc>
      </w:tr>
      <w:tr w:rsidR="00ED23BB" w:rsidRPr="00ED23BB" w14:paraId="6BD7A54F"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FFF2481"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A284F11"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676E0FB9" w14:textId="77777777" w:rsidR="00ED23BB" w:rsidRPr="00ED23BB" w:rsidRDefault="00ED23BB" w:rsidP="005C3E25">
            <w:pPr>
              <w:pStyle w:val="CDITable-RowCentre"/>
            </w:pPr>
            <w:r w:rsidRPr="00ED23BB">
              <w:t>23</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45E102A" w14:textId="77777777" w:rsidR="00ED23BB" w:rsidRPr="00ED23BB" w:rsidRDefault="00ED23BB" w:rsidP="005C3E25">
            <w:pPr>
              <w:pStyle w:val="CDITable-RowCentre"/>
            </w:pPr>
            <w:r w:rsidRPr="00ED23BB">
              <w:t>2017-03-02</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79EDA93" w14:textId="77777777" w:rsidR="00ED23BB" w:rsidRPr="00ED23BB" w:rsidRDefault="00ED23BB" w:rsidP="005C3E25">
            <w:pPr>
              <w:pStyle w:val="CDITable-RowCentre"/>
            </w:pPr>
            <w:r w:rsidRPr="00ED23BB">
              <w:t>2017-10-11</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433FF8A" w14:textId="77777777" w:rsidR="00ED23BB" w:rsidRPr="00ED23BB" w:rsidRDefault="00ED23BB" w:rsidP="005C3E25">
            <w:pPr>
              <w:pStyle w:val="CDITable-RowLeft"/>
            </w:pPr>
            <w:r w:rsidRPr="00ED23BB">
              <w:t>Thailand</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29DF0536" w14:textId="77777777" w:rsidR="00ED23BB" w:rsidRPr="00ED23BB" w:rsidRDefault="00ED23BB" w:rsidP="005C3E25">
            <w:pPr>
              <w:pStyle w:val="CDITable-RowCentre"/>
            </w:pPr>
            <w:r w:rsidRPr="00ED23BB">
              <w:t>D8</w:t>
            </w:r>
          </w:p>
        </w:tc>
      </w:tr>
      <w:tr w:rsidR="00ED23BB" w:rsidRPr="00ED23BB" w14:paraId="086758CF"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4AEDA67C"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1A18B459" w14:textId="77777777" w:rsidR="00ED23BB" w:rsidRPr="00ED23BB" w:rsidRDefault="00ED23BB" w:rsidP="005C3E25">
            <w:pPr>
              <w:pStyle w:val="CDITable-RowLeft"/>
            </w:pPr>
            <w:r w:rsidRPr="00ED23BB">
              <w:t>NT</w:t>
            </w:r>
          </w:p>
        </w:tc>
        <w:tc>
          <w:tcPr>
            <w:tcW w:w="107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0CB70E1" w14:textId="77777777" w:rsidR="00ED23BB" w:rsidRPr="00ED23BB" w:rsidRDefault="00ED23BB" w:rsidP="005C3E25">
            <w:pPr>
              <w:pStyle w:val="CDITable-RowCentre"/>
            </w:pPr>
            <w:r w:rsidRPr="00ED23BB">
              <w:t>2</w:t>
            </w:r>
          </w:p>
        </w:tc>
        <w:tc>
          <w:tcPr>
            <w:tcW w:w="141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57B64A91" w14:textId="77777777" w:rsidR="00ED23BB" w:rsidRPr="00ED23BB" w:rsidRDefault="00ED23BB" w:rsidP="005C3E25">
            <w:pPr>
              <w:pStyle w:val="CDITable-RowCentre"/>
            </w:pPr>
            <w:r w:rsidRPr="00ED23BB">
              <w:t>2017-03-21</w:t>
            </w:r>
          </w:p>
        </w:tc>
        <w:tc>
          <w:tcPr>
            <w:tcW w:w="1418"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07578CEC" w14:textId="77777777" w:rsidR="00ED23BB" w:rsidRPr="00ED23BB" w:rsidRDefault="00ED23BB" w:rsidP="005C3E25">
            <w:pPr>
              <w:pStyle w:val="CDITable-RowCentre"/>
            </w:pPr>
            <w:r w:rsidRPr="00ED23BB">
              <w:t>2017-03-22</w:t>
            </w:r>
          </w:p>
        </w:tc>
        <w:tc>
          <w:tcPr>
            <w:tcW w:w="2267"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44C5F0F5" w14:textId="77777777" w:rsidR="00ED23BB" w:rsidRPr="00ED23BB" w:rsidRDefault="00ED23BB" w:rsidP="005C3E25">
            <w:pPr>
              <w:pStyle w:val="CDITable-RowLeft"/>
            </w:pPr>
            <w:r w:rsidRPr="00ED23BB">
              <w:t>Indonesia</w:t>
            </w:r>
          </w:p>
        </w:tc>
        <w:tc>
          <w:tcPr>
            <w:tcW w:w="1191" w:type="dxa"/>
            <w:tcBorders>
              <w:top w:val="single" w:sz="6" w:space="0" w:color="1E4496" w:themeColor="text2"/>
              <w:bottom w:val="single" w:sz="6" w:space="0" w:color="1E4496" w:themeColor="text2"/>
            </w:tcBorders>
            <w:tcMar>
              <w:top w:w="105" w:type="dxa"/>
              <w:left w:w="113" w:type="dxa"/>
              <w:bottom w:w="105" w:type="dxa"/>
              <w:right w:w="113" w:type="dxa"/>
            </w:tcMar>
            <w:vAlign w:val="center"/>
          </w:tcPr>
          <w:p w14:paraId="78B9BBD2" w14:textId="77777777" w:rsidR="00ED23BB" w:rsidRPr="00ED23BB" w:rsidRDefault="00ED23BB" w:rsidP="005C3E25">
            <w:pPr>
              <w:pStyle w:val="CDITable-RowCentre"/>
            </w:pPr>
            <w:r w:rsidRPr="00ED23BB">
              <w:t>D8</w:t>
            </w:r>
          </w:p>
        </w:tc>
      </w:tr>
      <w:tr w:rsidR="00ED23BB" w:rsidRPr="00ED23BB" w14:paraId="67EF6D07"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FC6B7DD" w14:textId="77777777" w:rsidR="00ED23BB" w:rsidRPr="00520680" w:rsidRDefault="00ED23BB" w:rsidP="005C3E25">
            <w:pPr>
              <w:pStyle w:val="CDITable-RowLeft"/>
              <w:rPr>
                <w:b/>
                <w:bCs/>
              </w:rPr>
            </w:pPr>
            <w:r w:rsidRPr="00520680">
              <w:rPr>
                <w:b/>
                <w:bCs/>
              </w:rPr>
              <w:t>2018</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88A21C"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BFB35B" w14:textId="77777777" w:rsidR="00ED23BB" w:rsidRPr="00ED23BB" w:rsidRDefault="00ED23BB" w:rsidP="005C3E25">
            <w:pPr>
              <w:pStyle w:val="CDITable-RowCentre"/>
            </w:pPr>
            <w:r w:rsidRPr="00ED23BB">
              <w:t>38</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50AA31" w14:textId="77777777" w:rsidR="00ED23BB" w:rsidRPr="00ED23BB" w:rsidRDefault="00ED23BB" w:rsidP="005C3E25">
            <w:pPr>
              <w:pStyle w:val="CDITable-RowCentre"/>
            </w:pPr>
            <w:r w:rsidRPr="00ED23BB">
              <w:t>2018-01-02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9DBE24" w14:textId="77777777" w:rsidR="00ED23BB" w:rsidRPr="00ED23BB" w:rsidRDefault="00ED23BB" w:rsidP="005C3E25">
            <w:pPr>
              <w:pStyle w:val="CDITable-RowCentre"/>
            </w:pPr>
            <w:r w:rsidRPr="00ED23BB">
              <w:t>2018-12-31</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944897"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B196B4" w14:textId="77777777" w:rsidR="00ED23BB" w:rsidRPr="00ED23BB" w:rsidRDefault="00ED23BB" w:rsidP="005C3E25">
            <w:pPr>
              <w:pStyle w:val="CDITable-RowCentre"/>
            </w:pPr>
            <w:r w:rsidRPr="00ED23BB">
              <w:t>D8</w:t>
            </w:r>
          </w:p>
        </w:tc>
      </w:tr>
      <w:tr w:rsidR="00ED23BB" w:rsidRPr="00ED23BB" w14:paraId="7F5A11D4"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7368646" w14:textId="77777777" w:rsidR="00ED23BB" w:rsidRPr="00ED23BB" w:rsidRDefault="00ED23BB" w:rsidP="005C3E25">
            <w:pPr>
              <w:pStyle w:val="CDITable-RowLeft"/>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CA1860"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15F8C3" w14:textId="77777777" w:rsidR="00ED23BB" w:rsidRPr="00ED23BB" w:rsidRDefault="00ED23BB" w:rsidP="005C3E25">
            <w:pPr>
              <w:pStyle w:val="CDITable-RowCentre"/>
            </w:pPr>
            <w:r w:rsidRPr="00ED23BB">
              <w:t>14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F51B2B" w14:textId="77777777" w:rsidR="00ED23BB" w:rsidRPr="00ED23BB" w:rsidRDefault="00ED23BB" w:rsidP="005C3E25">
            <w:pPr>
              <w:pStyle w:val="CDITable-RowCentre"/>
            </w:pPr>
            <w:r w:rsidRPr="00ED23BB">
              <w:t>2018-02-26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2021A8" w14:textId="77777777" w:rsidR="00ED23BB" w:rsidRPr="00ED23BB" w:rsidRDefault="00ED23BB" w:rsidP="005C3E25">
            <w:pPr>
              <w:pStyle w:val="CDITable-RowCentre"/>
            </w:pPr>
            <w:r w:rsidRPr="00ED23BB">
              <w:t>2018-12-31</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B7E61F"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042708" w14:textId="77777777" w:rsidR="00ED23BB" w:rsidRPr="00ED23BB" w:rsidRDefault="00ED23BB" w:rsidP="005C3E25">
            <w:pPr>
              <w:pStyle w:val="CDITable-RowCentre"/>
            </w:pPr>
            <w:r w:rsidRPr="00ED23BB">
              <w:t>D8</w:t>
            </w:r>
          </w:p>
        </w:tc>
      </w:tr>
      <w:tr w:rsidR="00ED23BB" w:rsidRPr="00ED23BB" w14:paraId="7F99C5D7"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3D6AED7F" w14:textId="77777777" w:rsidR="00ED23BB" w:rsidRPr="00ED23BB" w:rsidRDefault="00ED23BB" w:rsidP="005C3E25">
            <w:pPr>
              <w:pStyle w:val="CDITable-RowLeft"/>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26082A"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1403BB" w14:textId="77777777" w:rsidR="00ED23BB" w:rsidRPr="00ED23BB" w:rsidRDefault="00ED23BB" w:rsidP="005C3E25">
            <w:pPr>
              <w:pStyle w:val="CDITable-RowCentre"/>
            </w:pPr>
            <w:r w:rsidRPr="00ED23BB">
              <w:t>17</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DFF9EC" w14:textId="77777777" w:rsidR="00ED23BB" w:rsidRPr="00ED23BB" w:rsidRDefault="00ED23BB" w:rsidP="005C3E25">
            <w:pPr>
              <w:pStyle w:val="CDITable-RowCentre"/>
            </w:pPr>
            <w:r w:rsidRPr="00ED23BB">
              <w:t>2018-03-03</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83962B" w14:textId="77777777" w:rsidR="00ED23BB" w:rsidRPr="00ED23BB" w:rsidRDefault="00ED23BB" w:rsidP="005C3E25">
            <w:pPr>
              <w:pStyle w:val="CDITable-RowCentre"/>
            </w:pPr>
            <w:r w:rsidRPr="00ED23BB">
              <w:t>2018-12-24</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24DBBE" w14:textId="77777777" w:rsidR="00ED23BB" w:rsidRPr="00ED23BB" w:rsidRDefault="00ED23BB" w:rsidP="005C3E25">
            <w:pPr>
              <w:pStyle w:val="CDITable-RowLeft"/>
            </w:pPr>
            <w:r w:rsidRPr="00ED23BB">
              <w:t>Thailand</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0EE5FC" w14:textId="77777777" w:rsidR="00ED23BB" w:rsidRPr="00ED23BB" w:rsidRDefault="00ED23BB" w:rsidP="005C3E25">
            <w:pPr>
              <w:pStyle w:val="CDITable-RowCentre"/>
            </w:pPr>
            <w:r w:rsidRPr="00ED23BB">
              <w:t>B3</w:t>
            </w:r>
          </w:p>
        </w:tc>
      </w:tr>
      <w:tr w:rsidR="00ED23BB" w:rsidRPr="00ED23BB" w14:paraId="59AEFFD8"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4947CC61" w14:textId="77777777" w:rsidR="00ED23BB" w:rsidRPr="00ED23BB" w:rsidRDefault="00ED23BB" w:rsidP="005C3E25">
            <w:pPr>
              <w:pStyle w:val="CDITable-RowLeft"/>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788811"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08E46B" w14:textId="77777777" w:rsidR="00ED23BB" w:rsidRPr="00ED23BB" w:rsidRDefault="00ED23BB" w:rsidP="005C3E25">
            <w:pPr>
              <w:pStyle w:val="CDITable-RowCentre"/>
            </w:pPr>
            <w:r w:rsidRPr="00ED23BB">
              <w:t>8</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2FBA76" w14:textId="77777777" w:rsidR="00ED23BB" w:rsidRPr="00ED23BB" w:rsidRDefault="00ED23BB" w:rsidP="005C3E25">
            <w:pPr>
              <w:pStyle w:val="CDITable-RowCentre"/>
            </w:pPr>
            <w:r w:rsidRPr="00ED23BB">
              <w:t>2018-08-02</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10EF53" w14:textId="77777777" w:rsidR="00ED23BB" w:rsidRPr="00ED23BB" w:rsidRDefault="00ED23BB" w:rsidP="005C3E25">
            <w:pPr>
              <w:pStyle w:val="CDITable-RowCentre"/>
            </w:pPr>
            <w:r w:rsidRPr="00ED23BB">
              <w:t>2018-12-25</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BA0E4E" w14:textId="77777777" w:rsidR="00ED23BB" w:rsidRPr="00ED23BB" w:rsidRDefault="00ED23BB" w:rsidP="005C3E25">
            <w:pPr>
              <w:pStyle w:val="CDITable-RowLeft"/>
            </w:pPr>
            <w:r w:rsidRPr="00ED23BB">
              <w:t>Thailand</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C3B2CB" w14:textId="77777777" w:rsidR="00ED23BB" w:rsidRPr="00ED23BB" w:rsidRDefault="00ED23BB" w:rsidP="005C3E25">
            <w:pPr>
              <w:pStyle w:val="CDITable-RowCentre"/>
            </w:pPr>
            <w:r w:rsidRPr="00ED23BB">
              <w:t>Unknown</w:t>
            </w:r>
          </w:p>
        </w:tc>
      </w:tr>
      <w:tr w:rsidR="00ED23BB" w:rsidRPr="00ED23BB" w14:paraId="0B1ACBE5"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999E31A" w14:textId="77777777" w:rsidR="00ED23BB" w:rsidRPr="00520680" w:rsidRDefault="00ED23BB" w:rsidP="005C3E25">
            <w:pPr>
              <w:pStyle w:val="CDITable-RowLeft"/>
              <w:keepNext/>
              <w:rPr>
                <w:b/>
                <w:bCs/>
              </w:rPr>
            </w:pPr>
            <w:r w:rsidRPr="00520680">
              <w:rPr>
                <w:b/>
                <w:bCs/>
              </w:rPr>
              <w:lastRenderedPageBreak/>
              <w:t>2019</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AA29ED"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171589" w14:textId="77777777" w:rsidR="00ED23BB" w:rsidRPr="00ED23BB" w:rsidRDefault="00ED23BB" w:rsidP="005C3E25">
            <w:pPr>
              <w:pStyle w:val="CDITable-RowCentre"/>
            </w:pPr>
            <w:r w:rsidRPr="00ED23BB">
              <w:t>74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A1D13C" w14:textId="77777777" w:rsidR="00ED23BB" w:rsidRPr="00ED23BB" w:rsidRDefault="00ED23BB" w:rsidP="005C3E25">
            <w:pPr>
              <w:pStyle w:val="CDITable-RowCentre"/>
            </w:pPr>
            <w:r w:rsidRPr="00ED23BB">
              <w:t>2019-01-04</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E4A192" w14:textId="77777777" w:rsidR="00ED23BB" w:rsidRPr="00ED23BB" w:rsidRDefault="00ED23BB" w:rsidP="005C3E25">
            <w:pPr>
              <w:pStyle w:val="CDITable-RowCentre"/>
            </w:pPr>
            <w:r w:rsidRPr="00ED23BB">
              <w:t>2019-12-29</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172F69"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82B307" w14:textId="77777777" w:rsidR="00ED23BB" w:rsidRPr="00ED23BB" w:rsidRDefault="00ED23BB" w:rsidP="005C3E25">
            <w:pPr>
              <w:pStyle w:val="CDITable-RowCentre"/>
            </w:pPr>
            <w:r w:rsidRPr="00ED23BB">
              <w:t>D8</w:t>
            </w:r>
          </w:p>
        </w:tc>
      </w:tr>
      <w:tr w:rsidR="00ED23BB" w:rsidRPr="00ED23BB" w14:paraId="7ED94BA3"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1E0CB416"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6563B1" w14:textId="77777777" w:rsidR="00ED23BB" w:rsidRPr="00ED23BB" w:rsidRDefault="00ED23BB" w:rsidP="005C3E25">
            <w:pPr>
              <w:pStyle w:val="CDITable-RowLeft"/>
            </w:pPr>
            <w:r w:rsidRPr="00ED23BB">
              <w:t>SA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AE63E1"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3A7BC5" w14:textId="77777777" w:rsidR="00ED23BB" w:rsidRPr="00ED23BB" w:rsidRDefault="00ED23BB" w:rsidP="005C3E25">
            <w:pPr>
              <w:pStyle w:val="CDITable-RowCentre"/>
            </w:pPr>
            <w:r w:rsidRPr="00ED23BB">
              <w:t>2019-01-05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AADD8E" w14:textId="77777777" w:rsidR="00ED23BB" w:rsidRPr="00ED23BB" w:rsidRDefault="00ED23BB" w:rsidP="005C3E25">
            <w:pPr>
              <w:pStyle w:val="CDITable-RowCentre"/>
            </w:pPr>
            <w:r w:rsidRPr="00ED23BB">
              <w:t>2019-04-16</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0251C7" w14:textId="77777777" w:rsidR="00ED23BB" w:rsidRPr="00ED23BB" w:rsidRDefault="00ED23BB" w:rsidP="005C3E25">
            <w:pPr>
              <w:pStyle w:val="CDITable-RowLeft"/>
            </w:pPr>
            <w:r w:rsidRPr="00ED23BB">
              <w:t>Myanmar</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07FF48" w14:textId="77777777" w:rsidR="00ED23BB" w:rsidRPr="00ED23BB" w:rsidRDefault="00ED23BB" w:rsidP="005C3E25">
            <w:pPr>
              <w:pStyle w:val="CDITable-RowCentre"/>
            </w:pPr>
            <w:r w:rsidRPr="00ED23BB">
              <w:t>Unknown</w:t>
            </w:r>
          </w:p>
        </w:tc>
      </w:tr>
      <w:tr w:rsidR="00ED23BB" w:rsidRPr="00ED23BB" w14:paraId="2EA70DFE"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7137AE4A" w14:textId="77777777" w:rsidR="00ED23BB" w:rsidRPr="00520680" w:rsidRDefault="00ED23BB" w:rsidP="00ED23BB">
            <w:pPr>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263350"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8B433A" w14:textId="77777777" w:rsidR="00ED23BB" w:rsidRPr="00ED23BB" w:rsidRDefault="00ED23BB" w:rsidP="005C3E25">
            <w:pPr>
              <w:pStyle w:val="CDITable-RowCentre"/>
            </w:pPr>
            <w:r w:rsidRPr="00ED23BB">
              <w:t>30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9EE6A1" w14:textId="77777777" w:rsidR="00ED23BB" w:rsidRPr="00ED23BB" w:rsidRDefault="00ED23BB" w:rsidP="005C3E25">
            <w:pPr>
              <w:pStyle w:val="CDITable-RowCentre"/>
            </w:pPr>
            <w:r w:rsidRPr="00ED23BB">
              <w:t>2019-01-06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029F8E" w14:textId="77777777" w:rsidR="00ED23BB" w:rsidRPr="00ED23BB" w:rsidRDefault="00ED23BB" w:rsidP="005C3E25">
            <w:pPr>
              <w:pStyle w:val="CDITable-RowCentre"/>
            </w:pPr>
            <w:r w:rsidRPr="00ED23BB">
              <w:t>2019-12-28</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AFE82D" w14:textId="77777777" w:rsidR="00ED23BB" w:rsidRPr="00ED23BB" w:rsidRDefault="00ED23BB" w:rsidP="005C3E25">
            <w:pPr>
              <w:pStyle w:val="CDITable-RowLeft"/>
            </w:pPr>
            <w:r w:rsidRPr="00ED23BB">
              <w:t>United Arab Emirates</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6AB4CE" w14:textId="77777777" w:rsidR="00ED23BB" w:rsidRPr="00ED23BB" w:rsidRDefault="00ED23BB" w:rsidP="005C3E25">
            <w:pPr>
              <w:pStyle w:val="CDITable-RowCentre"/>
            </w:pPr>
            <w:r w:rsidRPr="00ED23BB">
              <w:t>D8</w:t>
            </w:r>
          </w:p>
        </w:tc>
      </w:tr>
      <w:tr w:rsidR="00ED23BB" w:rsidRPr="00ED23BB" w14:paraId="095AD4DB"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59D083DE" w14:textId="77777777" w:rsidR="00ED23BB" w:rsidRPr="00520680" w:rsidRDefault="00ED23BB" w:rsidP="00ED23BB">
            <w:pPr>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5FB723"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018B3E" w14:textId="77777777" w:rsidR="00ED23BB" w:rsidRPr="00ED23BB" w:rsidRDefault="00ED23BB" w:rsidP="005C3E25">
            <w:pPr>
              <w:pStyle w:val="CDITable-RowCentre"/>
            </w:pPr>
            <w:r w:rsidRPr="00ED23BB">
              <w:t>52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476E9E" w14:textId="77777777" w:rsidR="00ED23BB" w:rsidRPr="00ED23BB" w:rsidRDefault="00ED23BB" w:rsidP="005C3E25">
            <w:pPr>
              <w:pStyle w:val="CDITable-RowCentre"/>
            </w:pPr>
            <w:r w:rsidRPr="00ED23BB">
              <w:t>2019-01-09</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6B5381" w14:textId="77777777" w:rsidR="00ED23BB" w:rsidRPr="00ED23BB" w:rsidRDefault="00ED23BB" w:rsidP="005C3E25">
            <w:pPr>
              <w:pStyle w:val="CDITable-RowCentre"/>
            </w:pPr>
            <w:r w:rsidRPr="00ED23BB">
              <w:t>2019-10-17</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6F46DF"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FE85AB" w14:textId="77777777" w:rsidR="00ED23BB" w:rsidRPr="00ED23BB" w:rsidRDefault="00ED23BB" w:rsidP="005C3E25">
            <w:pPr>
              <w:pStyle w:val="CDITable-RowCentre"/>
            </w:pPr>
            <w:r w:rsidRPr="00ED23BB">
              <w:t>Unknown</w:t>
            </w:r>
          </w:p>
        </w:tc>
      </w:tr>
      <w:tr w:rsidR="00ED23BB" w:rsidRPr="00ED23BB" w14:paraId="1D36B95C"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7CA47FF7" w14:textId="77777777" w:rsidR="00ED23BB" w:rsidRPr="00520680" w:rsidRDefault="00ED23BB" w:rsidP="00ED23BB">
            <w:pPr>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CE1F97"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9EBD3E" w14:textId="77777777" w:rsidR="00ED23BB" w:rsidRPr="00ED23BB" w:rsidRDefault="00ED23BB" w:rsidP="005C3E25">
            <w:pPr>
              <w:pStyle w:val="CDITable-RowCentre"/>
            </w:pPr>
            <w:r w:rsidRPr="00ED23BB">
              <w:t>37</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CEE81D" w14:textId="77777777" w:rsidR="00ED23BB" w:rsidRPr="00ED23BB" w:rsidRDefault="00ED23BB" w:rsidP="005C3E25">
            <w:pPr>
              <w:pStyle w:val="CDITable-RowCentre"/>
            </w:pPr>
            <w:r w:rsidRPr="00ED23BB">
              <w:t>2019-01-10</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AB6C49" w14:textId="77777777" w:rsidR="00ED23BB" w:rsidRPr="00ED23BB" w:rsidRDefault="00ED23BB" w:rsidP="005C3E25">
            <w:pPr>
              <w:pStyle w:val="CDITable-RowCentre"/>
            </w:pPr>
            <w:r w:rsidRPr="00ED23BB">
              <w:t>2019-12-31</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661EDC" w14:textId="77777777" w:rsidR="00ED23BB" w:rsidRPr="00ED23BB" w:rsidRDefault="00ED23BB" w:rsidP="005C3E25">
            <w:pPr>
              <w:pStyle w:val="CDITable-RowLeft"/>
            </w:pPr>
            <w:r w:rsidRPr="00ED23BB">
              <w:t>Thailand</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BABECE" w14:textId="77777777" w:rsidR="00ED23BB" w:rsidRPr="00ED23BB" w:rsidRDefault="00ED23BB" w:rsidP="005C3E25">
            <w:pPr>
              <w:pStyle w:val="CDITable-RowCentre"/>
            </w:pPr>
            <w:r w:rsidRPr="00ED23BB">
              <w:t>B3</w:t>
            </w:r>
          </w:p>
        </w:tc>
      </w:tr>
      <w:tr w:rsidR="00ED23BB" w:rsidRPr="00ED23BB" w14:paraId="79BBEB93"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5771ADB3" w14:textId="77777777" w:rsidR="00ED23BB" w:rsidRPr="00520680" w:rsidRDefault="00ED23BB" w:rsidP="00ED23BB">
            <w:pPr>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219D78" w14:textId="77777777" w:rsidR="00ED23BB" w:rsidRPr="00ED23BB" w:rsidRDefault="00ED23BB" w:rsidP="005C3E25">
            <w:pPr>
              <w:pStyle w:val="CDITable-RowLeft"/>
            </w:pPr>
            <w:r w:rsidRPr="00ED23BB">
              <w:t>NT</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A2DE96" w14:textId="77777777" w:rsidR="00ED23BB" w:rsidRPr="00ED23BB" w:rsidRDefault="00ED23BB" w:rsidP="005C3E25">
            <w:pPr>
              <w:pStyle w:val="CDITable-RowCentre"/>
            </w:pPr>
            <w:r w:rsidRPr="00ED23BB">
              <w:t>31</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41D9BE" w14:textId="77777777" w:rsidR="00ED23BB" w:rsidRPr="00ED23BB" w:rsidRDefault="00ED23BB" w:rsidP="005C3E25">
            <w:pPr>
              <w:pStyle w:val="CDITable-RowCentre"/>
            </w:pPr>
            <w:r w:rsidRPr="00ED23BB">
              <w:t>2019-02-06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4AF8D0" w14:textId="77777777" w:rsidR="00ED23BB" w:rsidRPr="00ED23BB" w:rsidRDefault="00ED23BB" w:rsidP="005C3E25">
            <w:pPr>
              <w:pStyle w:val="CDITable-RowCentre"/>
            </w:pPr>
            <w:r w:rsidRPr="00ED23BB">
              <w:t>2019-12-16</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37EC2C"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6C3F0E" w14:textId="77777777" w:rsidR="00ED23BB" w:rsidRPr="00ED23BB" w:rsidRDefault="00ED23BB" w:rsidP="005C3E25">
            <w:pPr>
              <w:pStyle w:val="CDITable-RowCentre"/>
            </w:pPr>
            <w:r w:rsidRPr="00ED23BB">
              <w:t>D8</w:t>
            </w:r>
          </w:p>
        </w:tc>
      </w:tr>
      <w:tr w:rsidR="00ED23BB" w:rsidRPr="00ED23BB" w14:paraId="08057235"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9497165" w14:textId="77777777" w:rsidR="00ED23BB" w:rsidRPr="00520680" w:rsidRDefault="00ED23BB" w:rsidP="005C3E25">
            <w:pPr>
              <w:pStyle w:val="CDITable-RowLeft"/>
              <w:rPr>
                <w:b/>
                <w:bCs/>
              </w:rPr>
            </w:pPr>
            <w:r w:rsidRPr="00520680">
              <w:rPr>
                <w:b/>
                <w:bCs/>
              </w:rPr>
              <w:t>2020</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90076F"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79FBB4" w14:textId="77777777" w:rsidR="00ED23BB" w:rsidRPr="00ED23BB" w:rsidRDefault="00ED23BB" w:rsidP="005C3E25">
            <w:pPr>
              <w:pStyle w:val="CDITable-RowCentre"/>
            </w:pPr>
            <w:r w:rsidRPr="00ED23BB">
              <w:t>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B9DBB7" w14:textId="77777777" w:rsidR="00ED23BB" w:rsidRPr="00ED23BB" w:rsidRDefault="00ED23BB" w:rsidP="005C3E25">
            <w:pPr>
              <w:pStyle w:val="CDITable-RowCentre"/>
            </w:pPr>
            <w:r w:rsidRPr="00ED23BB">
              <w:t>2020-01-03</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2EE594" w14:textId="77777777" w:rsidR="00ED23BB" w:rsidRPr="00ED23BB" w:rsidRDefault="00ED23BB" w:rsidP="005C3E25">
            <w:pPr>
              <w:pStyle w:val="CDITable-RowCentre"/>
            </w:pPr>
            <w:r w:rsidRPr="00ED23BB">
              <w:t>2020-01-28</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2A4066"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F55688" w14:textId="77777777" w:rsidR="00ED23BB" w:rsidRPr="00ED23BB" w:rsidRDefault="00ED23BB" w:rsidP="005C3E25">
            <w:pPr>
              <w:pStyle w:val="CDITable-RowCentre"/>
            </w:pPr>
            <w:r w:rsidRPr="00ED23BB">
              <w:t>D8</w:t>
            </w:r>
          </w:p>
        </w:tc>
      </w:tr>
      <w:tr w:rsidR="00ED23BB" w:rsidRPr="00ED23BB" w14:paraId="70E01C40"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53FB03B7" w14:textId="77777777" w:rsidR="00ED23BB" w:rsidRPr="00520680" w:rsidRDefault="00ED23BB" w:rsidP="00ED23BB">
            <w:pPr>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CA609D"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E95EC5" w14:textId="77777777" w:rsidR="00ED23BB" w:rsidRPr="00ED23BB" w:rsidRDefault="00ED23BB" w:rsidP="005C3E25">
            <w:pPr>
              <w:pStyle w:val="CDITable-RowCentre"/>
            </w:pPr>
            <w:r w:rsidRPr="00ED23BB">
              <w:t>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E58F73" w14:textId="77777777" w:rsidR="00ED23BB" w:rsidRPr="00ED23BB" w:rsidRDefault="00ED23BB" w:rsidP="005C3E25">
            <w:pPr>
              <w:pStyle w:val="CDITable-RowCentre"/>
            </w:pPr>
            <w:r w:rsidRPr="00ED23BB">
              <w:t>2020-01-06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BCE733" w14:textId="77777777" w:rsidR="00ED23BB" w:rsidRPr="00ED23BB" w:rsidRDefault="00ED23BB" w:rsidP="005C3E25">
            <w:pPr>
              <w:pStyle w:val="CDITable-RowCentre"/>
            </w:pPr>
            <w:r w:rsidRPr="00ED23BB">
              <w:t>2020-02-01</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FE60BF" w14:textId="77777777" w:rsidR="00ED23BB" w:rsidRPr="00ED23BB" w:rsidRDefault="00ED23BB" w:rsidP="005C3E25">
            <w:pPr>
              <w:pStyle w:val="CDITable-RowLeft"/>
            </w:pPr>
            <w:r w:rsidRPr="00ED23BB">
              <w:t xml:space="preserve">Imported, index case </w:t>
            </w:r>
            <w:proofErr w:type="spellStart"/>
            <w:r w:rsidRPr="00ED23BB">
              <w:t>unknown</w:t>
            </w:r>
            <w:r w:rsidRPr="005C3E25">
              <w:rPr>
                <w:vertAlign w:val="superscript"/>
              </w:rPr>
              <w:t>f</w:t>
            </w:r>
            <w:proofErr w:type="spellEnd"/>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D27BB1" w14:textId="77777777" w:rsidR="00ED23BB" w:rsidRPr="00ED23BB" w:rsidRDefault="00ED23BB" w:rsidP="005C3E25">
            <w:pPr>
              <w:pStyle w:val="CDITable-RowCentre"/>
            </w:pPr>
            <w:r w:rsidRPr="00ED23BB">
              <w:t>D8</w:t>
            </w:r>
          </w:p>
        </w:tc>
      </w:tr>
      <w:tr w:rsidR="00ED23BB" w:rsidRPr="00ED23BB" w14:paraId="78457D58"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0A8B31E" w14:textId="77777777" w:rsidR="00ED23BB" w:rsidRPr="00520680" w:rsidRDefault="00ED23BB" w:rsidP="00ED23BB">
            <w:pPr>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EC6715"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B5AAA" w14:textId="77777777" w:rsidR="00ED23BB" w:rsidRPr="00ED23BB" w:rsidRDefault="00ED23BB" w:rsidP="005C3E25">
            <w:pPr>
              <w:pStyle w:val="CDITable-RowCentre"/>
            </w:pPr>
            <w:r w:rsidRPr="00ED23BB">
              <w:t>5</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11CA8E" w14:textId="77777777" w:rsidR="00ED23BB" w:rsidRPr="00ED23BB" w:rsidRDefault="00ED23BB" w:rsidP="005C3E25">
            <w:pPr>
              <w:pStyle w:val="CDITable-RowCentre"/>
            </w:pPr>
            <w:r w:rsidRPr="00ED23BB">
              <w:t>2020-01-06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94762A" w14:textId="77777777" w:rsidR="00ED23BB" w:rsidRPr="00ED23BB" w:rsidRDefault="00ED23BB" w:rsidP="005C3E25">
            <w:pPr>
              <w:pStyle w:val="CDITable-RowCentre"/>
            </w:pPr>
            <w:r w:rsidRPr="00ED23BB">
              <w:t>2020-01-23</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860C29" w14:textId="77777777" w:rsidR="00ED23BB" w:rsidRPr="00ED23BB" w:rsidRDefault="00ED23BB" w:rsidP="005C3E25">
            <w:pPr>
              <w:pStyle w:val="CDITable-RowLeft"/>
            </w:pPr>
            <w:r w:rsidRPr="00ED23BB">
              <w:t>Singapore</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8D781B" w14:textId="77777777" w:rsidR="00ED23BB" w:rsidRPr="00ED23BB" w:rsidRDefault="00ED23BB" w:rsidP="005C3E25">
            <w:pPr>
              <w:pStyle w:val="CDITable-RowCentre"/>
            </w:pPr>
            <w:r w:rsidRPr="00ED23BB">
              <w:t>Unknown</w:t>
            </w:r>
          </w:p>
        </w:tc>
      </w:tr>
      <w:tr w:rsidR="00ED23BB" w:rsidRPr="00ED23BB" w14:paraId="112EC2F2" w14:textId="77777777" w:rsidTr="00520680">
        <w:trPr>
          <w:trHeight w:val="60"/>
        </w:trPr>
        <w:tc>
          <w:tcPr>
            <w:tcW w:w="907"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CE69B7F" w14:textId="77777777" w:rsidR="00ED23BB" w:rsidRPr="00520680" w:rsidRDefault="00ED23BB" w:rsidP="005C3E25">
            <w:pPr>
              <w:pStyle w:val="CDITable-RowLeft"/>
              <w:rPr>
                <w:b/>
                <w:bCs/>
              </w:rPr>
            </w:pPr>
            <w:r w:rsidRPr="00520680">
              <w:rPr>
                <w:b/>
                <w:bCs/>
              </w:rPr>
              <w:t>2021</w:t>
            </w:r>
            <w:r w:rsidRPr="00520680">
              <w:rPr>
                <w:b/>
                <w:bCs/>
                <w:vertAlign w:val="superscript"/>
              </w:rPr>
              <w:t>h</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E81ACC" w14:textId="77777777" w:rsidR="00ED23BB" w:rsidRPr="00ED23BB" w:rsidRDefault="00ED23BB" w:rsidP="005C3E25">
            <w:pPr>
              <w:pStyle w:val="CDITable-RowLeft"/>
            </w:pPr>
            <w:r w:rsidRPr="00ED23BB">
              <w:t>—</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58DEC6" w14:textId="77777777" w:rsidR="00ED23BB" w:rsidRPr="00ED23BB" w:rsidRDefault="00ED23BB" w:rsidP="005C3E25">
            <w:pPr>
              <w:pStyle w:val="CDITable-RowCentre"/>
            </w:pPr>
            <w:r w:rsidRPr="00ED23BB">
              <w:t>0</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672387" w14:textId="77777777" w:rsidR="00ED23BB" w:rsidRPr="00ED23BB" w:rsidRDefault="00ED23BB" w:rsidP="005C3E25">
            <w:pPr>
              <w:pStyle w:val="CDITable-RowCentre"/>
            </w:pPr>
            <w:r w:rsidRPr="00ED23BB">
              <w:t>—</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CAC477" w14:textId="77777777" w:rsidR="00ED23BB" w:rsidRPr="00ED23BB" w:rsidRDefault="00ED23BB" w:rsidP="005C3E25">
            <w:pPr>
              <w:pStyle w:val="CDITable-RowCentre"/>
            </w:pPr>
            <w:r w:rsidRPr="00ED23BB">
              <w:t>—</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DFDB94" w14:textId="77777777" w:rsidR="00ED23BB" w:rsidRPr="00ED23BB" w:rsidRDefault="00ED23BB" w:rsidP="005C3E25">
            <w:pPr>
              <w:pStyle w:val="CDITable-RowLeft"/>
            </w:pPr>
            <w:r w:rsidRPr="00ED23BB">
              <w:t>—</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F78824" w14:textId="77777777" w:rsidR="00ED23BB" w:rsidRPr="00ED23BB" w:rsidRDefault="00ED23BB" w:rsidP="005C3E25">
            <w:pPr>
              <w:pStyle w:val="CDITable-RowCentre"/>
            </w:pPr>
            <w:r w:rsidRPr="00ED23BB">
              <w:t>—</w:t>
            </w:r>
          </w:p>
        </w:tc>
      </w:tr>
      <w:tr w:rsidR="00ED23BB" w:rsidRPr="00ED23BB" w14:paraId="70E8DCDC" w14:textId="77777777" w:rsidTr="00520680">
        <w:trPr>
          <w:trHeight w:val="60"/>
        </w:trPr>
        <w:tc>
          <w:tcPr>
            <w:tcW w:w="907"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9F966C0" w14:textId="77777777" w:rsidR="00ED23BB" w:rsidRPr="00520680" w:rsidRDefault="00ED23BB" w:rsidP="005C3E25">
            <w:pPr>
              <w:pStyle w:val="CDITable-RowLeft"/>
              <w:rPr>
                <w:b/>
                <w:bCs/>
              </w:rPr>
            </w:pPr>
            <w:r w:rsidRPr="00520680">
              <w:rPr>
                <w:b/>
                <w:bCs/>
              </w:rPr>
              <w:t>2022</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E7AD5C"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F2ABEA"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BA15D5" w14:textId="77777777" w:rsidR="00ED23BB" w:rsidRPr="00ED23BB" w:rsidRDefault="00ED23BB" w:rsidP="005C3E25">
            <w:pPr>
              <w:pStyle w:val="CDITable-RowCentre"/>
            </w:pPr>
            <w:r w:rsidRPr="00ED23BB">
              <w:t>2022-11-04</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E486E2" w14:textId="77777777" w:rsidR="00ED23BB" w:rsidRPr="00ED23BB" w:rsidRDefault="00ED23BB" w:rsidP="005C3E25">
            <w:pPr>
              <w:pStyle w:val="CDITable-RowCentre"/>
            </w:pPr>
            <w:r w:rsidRPr="00ED23BB">
              <w:t>2022-11-15</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178BB4" w14:textId="77777777" w:rsidR="00ED23BB" w:rsidRPr="00ED23BB" w:rsidRDefault="00ED23BB" w:rsidP="005C3E25">
            <w:pPr>
              <w:pStyle w:val="CDITable-RowLeft"/>
            </w:pPr>
            <w:r w:rsidRPr="00ED23BB">
              <w:t>Saudi Arabia, Malaysia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575F1E" w14:textId="77777777" w:rsidR="00ED23BB" w:rsidRPr="00ED23BB" w:rsidRDefault="00ED23BB" w:rsidP="005C3E25">
            <w:pPr>
              <w:pStyle w:val="CDITable-RowCentre"/>
            </w:pPr>
            <w:r w:rsidRPr="00ED23BB">
              <w:t>D8</w:t>
            </w:r>
          </w:p>
        </w:tc>
      </w:tr>
      <w:tr w:rsidR="00ED23BB" w:rsidRPr="00ED23BB" w14:paraId="72638A2E"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06DD165" w14:textId="77777777" w:rsidR="00ED23BB" w:rsidRPr="00520680" w:rsidRDefault="00ED23BB" w:rsidP="005C3E25">
            <w:pPr>
              <w:pStyle w:val="CDITable-RowLeft"/>
              <w:rPr>
                <w:b/>
                <w:bCs/>
              </w:rPr>
            </w:pPr>
            <w:r w:rsidRPr="00520680">
              <w:rPr>
                <w:b/>
                <w:bCs/>
              </w:rPr>
              <w:t>2023</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06D1B5"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A7C135"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ABC76D" w14:textId="77777777" w:rsidR="00ED23BB" w:rsidRPr="00ED23BB" w:rsidRDefault="00ED23BB" w:rsidP="005C3E25">
            <w:pPr>
              <w:pStyle w:val="CDITable-RowCentre"/>
            </w:pPr>
            <w:r w:rsidRPr="00ED23BB">
              <w:t>2023-03-16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0E7869" w14:textId="77777777" w:rsidR="00ED23BB" w:rsidRPr="00ED23BB" w:rsidRDefault="00ED23BB" w:rsidP="005C3E25">
            <w:pPr>
              <w:pStyle w:val="CDITable-RowCentre"/>
            </w:pPr>
            <w:r w:rsidRPr="00ED23BB">
              <w:t>2023-04-04</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2E4FD9" w14:textId="77777777" w:rsidR="00ED23BB" w:rsidRPr="00ED23BB" w:rsidRDefault="00ED23BB" w:rsidP="005C3E25">
            <w:pPr>
              <w:pStyle w:val="CDITable-RowLeft"/>
            </w:pPr>
            <w:r w:rsidRPr="00ED23BB">
              <w:t>Pakistan</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BA33D7" w14:textId="77777777" w:rsidR="00ED23BB" w:rsidRPr="00ED23BB" w:rsidRDefault="00ED23BB" w:rsidP="005C3E25">
            <w:pPr>
              <w:pStyle w:val="CDITable-RowCentre"/>
            </w:pPr>
            <w:r w:rsidRPr="00ED23BB">
              <w:t>B3</w:t>
            </w:r>
          </w:p>
        </w:tc>
      </w:tr>
      <w:tr w:rsidR="00ED23BB" w:rsidRPr="00ED23BB" w14:paraId="65DA5182"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FB9070F"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50D07F" w14:textId="77777777" w:rsidR="00ED23BB" w:rsidRPr="00ED23BB" w:rsidRDefault="00ED23BB" w:rsidP="005C3E25">
            <w:pPr>
              <w:pStyle w:val="CDITable-RowLeft"/>
            </w:pPr>
            <w:r w:rsidRPr="00ED23BB">
              <w:t>SA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5B7054" w14:textId="77777777" w:rsidR="00ED23BB" w:rsidRPr="00ED23BB" w:rsidRDefault="00ED23BB" w:rsidP="005C3E25">
            <w:pPr>
              <w:pStyle w:val="CDITable-RowCentre"/>
            </w:pPr>
            <w:r w:rsidRPr="00ED23BB">
              <w:t>3</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F11857" w14:textId="77777777" w:rsidR="00ED23BB" w:rsidRPr="00ED23BB" w:rsidRDefault="00ED23BB" w:rsidP="005C3E25">
            <w:pPr>
              <w:pStyle w:val="CDITable-RowCentre"/>
            </w:pPr>
            <w:r w:rsidRPr="00ED23BB">
              <w:t>2023-03-19</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3F8292" w14:textId="77777777" w:rsidR="00ED23BB" w:rsidRPr="00ED23BB" w:rsidRDefault="00ED23BB" w:rsidP="005C3E25">
            <w:pPr>
              <w:pStyle w:val="CDITable-RowCentre"/>
            </w:pPr>
            <w:r w:rsidRPr="00ED23BB">
              <w:t>2023-04-03</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80E105" w14:textId="77777777" w:rsidR="00ED23BB" w:rsidRPr="00ED23BB" w:rsidRDefault="00ED23BB" w:rsidP="005C3E25">
            <w:pPr>
              <w:pStyle w:val="CDITable-RowLeft"/>
            </w:pPr>
            <w:r w:rsidRPr="00ED23BB">
              <w:t>Indonesia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456FAF" w14:textId="77777777" w:rsidR="00ED23BB" w:rsidRPr="00ED23BB" w:rsidRDefault="00ED23BB" w:rsidP="005C3E25">
            <w:pPr>
              <w:pStyle w:val="CDITable-RowCentre"/>
            </w:pPr>
            <w:r w:rsidRPr="00ED23BB">
              <w:t>D8</w:t>
            </w:r>
          </w:p>
        </w:tc>
      </w:tr>
      <w:tr w:rsidR="00ED23BB" w:rsidRPr="00ED23BB" w14:paraId="266A2B7F"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0375C644"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43D09B"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A6A319" w14:textId="77777777" w:rsidR="00ED23BB" w:rsidRPr="00ED23BB" w:rsidRDefault="00ED23BB" w:rsidP="005C3E25">
            <w:pPr>
              <w:pStyle w:val="CDITable-RowCentre"/>
            </w:pPr>
            <w:r w:rsidRPr="00ED23BB">
              <w:t>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CBD949" w14:textId="77777777" w:rsidR="00ED23BB" w:rsidRPr="00ED23BB" w:rsidRDefault="00ED23BB" w:rsidP="005C3E25">
            <w:pPr>
              <w:pStyle w:val="CDITable-RowCentre"/>
            </w:pPr>
            <w:r w:rsidRPr="00ED23BB">
              <w:t>2023-07-13</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5BB23E" w14:textId="77777777" w:rsidR="00ED23BB" w:rsidRPr="00ED23BB" w:rsidRDefault="00ED23BB" w:rsidP="005C3E25">
            <w:pPr>
              <w:pStyle w:val="CDITable-RowCentre"/>
            </w:pPr>
            <w:r w:rsidRPr="00ED23BB">
              <w:t>2023-09-24</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D1BD82" w14:textId="77777777" w:rsidR="00ED23BB" w:rsidRPr="00ED23BB" w:rsidRDefault="00ED23BB" w:rsidP="005C3E25">
            <w:pPr>
              <w:pStyle w:val="CDITable-RowLeft"/>
            </w:pPr>
            <w:r w:rsidRPr="00ED23BB">
              <w:t>United Kingdom, Channel Islands and Isle of Man</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5FD48D" w14:textId="77777777" w:rsidR="00ED23BB" w:rsidRPr="00ED23BB" w:rsidRDefault="00ED23BB" w:rsidP="005C3E25">
            <w:pPr>
              <w:pStyle w:val="CDITable-RowCentre"/>
            </w:pPr>
            <w:r w:rsidRPr="00ED23BB">
              <w:t>D8</w:t>
            </w:r>
          </w:p>
        </w:tc>
      </w:tr>
      <w:tr w:rsidR="00ED23BB" w:rsidRPr="00ED23BB" w14:paraId="11A9FB9A"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52136DCB" w14:textId="77777777" w:rsidR="00ED23BB" w:rsidRPr="00520680" w:rsidRDefault="00ED23BB" w:rsidP="005C3E25">
            <w:pPr>
              <w:pStyle w:val="CDITable-RowLeft"/>
              <w:rPr>
                <w:b/>
                <w:bCs/>
              </w:rPr>
            </w:pP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67E999"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797F28" w14:textId="77777777" w:rsidR="00ED23BB" w:rsidRPr="00ED23BB" w:rsidRDefault="00ED23BB" w:rsidP="005C3E25">
            <w:pPr>
              <w:pStyle w:val="CDITable-RowCentre"/>
            </w:pPr>
            <w:r w:rsidRPr="00ED23BB">
              <w:t>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0FDC93" w14:textId="77777777" w:rsidR="00ED23BB" w:rsidRPr="00ED23BB" w:rsidRDefault="00ED23BB" w:rsidP="005C3E25">
            <w:pPr>
              <w:pStyle w:val="CDITable-RowCentre"/>
            </w:pPr>
            <w:r w:rsidRPr="00ED23BB">
              <w:t>2023-09-19</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8DD256" w14:textId="77777777" w:rsidR="00ED23BB" w:rsidRPr="00ED23BB" w:rsidRDefault="00ED23BB" w:rsidP="005C3E25">
            <w:pPr>
              <w:pStyle w:val="CDITable-RowCentre"/>
            </w:pPr>
            <w:r w:rsidRPr="00ED23BB">
              <w:t>2023-09-30</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CB0C66" w14:textId="77777777" w:rsidR="00ED23BB" w:rsidRPr="00ED23BB" w:rsidRDefault="00ED23BB" w:rsidP="005C3E25">
            <w:pPr>
              <w:pStyle w:val="CDITable-RowLeft"/>
            </w:pPr>
            <w:r w:rsidRPr="00ED23BB">
              <w:t>Indonesia</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A7991F" w14:textId="77777777" w:rsidR="00ED23BB" w:rsidRPr="00ED23BB" w:rsidRDefault="00ED23BB" w:rsidP="005C3E25">
            <w:pPr>
              <w:pStyle w:val="CDITable-RowCentre"/>
            </w:pPr>
            <w:r w:rsidRPr="00ED23BB">
              <w:t>D8</w:t>
            </w:r>
          </w:p>
        </w:tc>
      </w:tr>
      <w:tr w:rsidR="00ED23BB" w:rsidRPr="00ED23BB" w14:paraId="12CA4930" w14:textId="77777777" w:rsidTr="00520680">
        <w:trPr>
          <w:trHeight w:val="60"/>
        </w:trPr>
        <w:tc>
          <w:tcPr>
            <w:tcW w:w="907"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1260568" w14:textId="77777777" w:rsidR="00ED23BB" w:rsidRPr="00520680" w:rsidRDefault="00ED23BB" w:rsidP="005C3E25">
            <w:pPr>
              <w:pStyle w:val="CDITable-RowLeft"/>
              <w:rPr>
                <w:b/>
                <w:bCs/>
              </w:rPr>
            </w:pPr>
            <w:r w:rsidRPr="00520680">
              <w:rPr>
                <w:b/>
                <w:bCs/>
              </w:rPr>
              <w:t>2024</w:t>
            </w:r>
          </w:p>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AA450A" w14:textId="77777777" w:rsidR="00ED23BB" w:rsidRPr="00ED23BB" w:rsidRDefault="00ED23BB" w:rsidP="005C3E25">
            <w:pPr>
              <w:pStyle w:val="CDITable-RowLeft"/>
            </w:pPr>
            <w:r w:rsidRPr="00ED23BB">
              <w:t>Vic.</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277DCE" w14:textId="77777777" w:rsidR="00ED23BB" w:rsidRPr="00ED23BB" w:rsidRDefault="00ED23BB" w:rsidP="005C3E25">
            <w:pPr>
              <w:pStyle w:val="CDITable-RowCentre"/>
            </w:pPr>
            <w:r w:rsidRPr="00ED23BB">
              <w:t>7</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121444" w14:textId="77777777" w:rsidR="00ED23BB" w:rsidRPr="00ED23BB" w:rsidRDefault="00ED23BB" w:rsidP="005C3E25">
            <w:pPr>
              <w:pStyle w:val="CDITable-RowCentre"/>
            </w:pPr>
            <w:r w:rsidRPr="00ED23BB">
              <w:t>2024-01-16</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A032AB" w14:textId="77777777" w:rsidR="00ED23BB" w:rsidRPr="00ED23BB" w:rsidRDefault="00ED23BB" w:rsidP="005C3E25">
            <w:pPr>
              <w:pStyle w:val="CDITable-RowCentre"/>
            </w:pPr>
            <w:r w:rsidRPr="00ED23BB">
              <w:t>2024-12-27</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C4AC49"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120EB0" w14:textId="77777777" w:rsidR="00ED23BB" w:rsidRPr="00ED23BB" w:rsidRDefault="00ED23BB" w:rsidP="005C3E25">
            <w:pPr>
              <w:pStyle w:val="CDITable-RowCentre"/>
            </w:pPr>
            <w:r w:rsidRPr="00ED23BB">
              <w:t>D8</w:t>
            </w:r>
          </w:p>
        </w:tc>
      </w:tr>
      <w:tr w:rsidR="00ED23BB" w:rsidRPr="00ED23BB" w14:paraId="36DDF4A5"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75666258" w14:textId="77777777" w:rsidR="00ED23BB" w:rsidRPr="00ED23BB" w:rsidRDefault="00ED23BB" w:rsidP="00ED23BB"/>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D7B4BD" w14:textId="77777777" w:rsidR="00ED23BB" w:rsidRPr="00ED23BB" w:rsidRDefault="00ED23BB" w:rsidP="005C3E25">
            <w:pPr>
              <w:pStyle w:val="CDITable-RowLeft"/>
            </w:pPr>
            <w:r w:rsidRPr="00ED23BB">
              <w:t>Qld</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3DB0B8" w14:textId="77777777" w:rsidR="00ED23BB" w:rsidRPr="00ED23BB" w:rsidRDefault="00ED23BB" w:rsidP="005C3E25">
            <w:pPr>
              <w:pStyle w:val="CDITable-RowCentre"/>
            </w:pPr>
            <w:r w:rsidRPr="00ED23BB">
              <w:t>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B158A4" w14:textId="77777777" w:rsidR="00ED23BB" w:rsidRPr="00ED23BB" w:rsidRDefault="00ED23BB" w:rsidP="005C3E25">
            <w:pPr>
              <w:pStyle w:val="CDITable-RowCentre"/>
            </w:pPr>
            <w:r w:rsidRPr="00ED23BB">
              <w:t>2024-02-05</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A23E3B" w14:textId="77777777" w:rsidR="00ED23BB" w:rsidRPr="00ED23BB" w:rsidRDefault="00ED23BB" w:rsidP="005C3E25">
            <w:pPr>
              <w:pStyle w:val="CDITable-RowCentre"/>
            </w:pPr>
            <w:r w:rsidRPr="00ED23BB">
              <w:t>2024-02-18</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3A2F2F" w14:textId="77777777" w:rsidR="00ED23BB" w:rsidRPr="00ED23BB" w:rsidRDefault="00ED23BB" w:rsidP="005C3E25">
            <w:pPr>
              <w:pStyle w:val="CDITable-RowLeft"/>
            </w:pPr>
            <w:r w:rsidRPr="00ED23BB">
              <w:t>Thailand</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30D811" w14:textId="77777777" w:rsidR="00ED23BB" w:rsidRPr="00ED23BB" w:rsidRDefault="00ED23BB" w:rsidP="005C3E25">
            <w:pPr>
              <w:pStyle w:val="CDITable-RowCentre"/>
            </w:pPr>
            <w:r w:rsidRPr="00ED23BB">
              <w:t>Unknown</w:t>
            </w:r>
          </w:p>
        </w:tc>
      </w:tr>
      <w:tr w:rsidR="00ED23BB" w:rsidRPr="00ED23BB" w14:paraId="54481ECA"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7BFF2A11" w14:textId="77777777" w:rsidR="00ED23BB" w:rsidRPr="00ED23BB" w:rsidRDefault="00ED23BB" w:rsidP="00ED23BB"/>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FDBD00" w14:textId="77777777" w:rsidR="00ED23BB" w:rsidRPr="00ED23BB" w:rsidRDefault="00ED23BB" w:rsidP="005C3E25">
            <w:pPr>
              <w:pStyle w:val="CDITable-RowLeft"/>
            </w:pPr>
            <w:r w:rsidRPr="00ED23BB">
              <w:t>NSW</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484EFD" w14:textId="77777777" w:rsidR="00ED23BB" w:rsidRPr="00ED23BB" w:rsidRDefault="00ED23BB" w:rsidP="005C3E25">
            <w:pPr>
              <w:pStyle w:val="CDITable-RowCentre"/>
            </w:pPr>
            <w:r w:rsidRPr="00ED23BB">
              <w:t>11</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0B1D46" w14:textId="77777777" w:rsidR="00ED23BB" w:rsidRPr="00ED23BB" w:rsidRDefault="00ED23BB" w:rsidP="005C3E25">
            <w:pPr>
              <w:pStyle w:val="CDITable-RowCentre"/>
            </w:pPr>
            <w:r w:rsidRPr="00ED23BB">
              <w:t>2024-02-08</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6EC658" w14:textId="77777777" w:rsidR="00ED23BB" w:rsidRPr="00ED23BB" w:rsidRDefault="00ED23BB" w:rsidP="005C3E25">
            <w:pPr>
              <w:pStyle w:val="CDITable-RowCentre"/>
            </w:pPr>
            <w:r w:rsidRPr="00ED23BB">
              <w:t>2024-12-12</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BBF57D" w14:textId="77777777" w:rsidR="00ED23BB" w:rsidRPr="00ED23BB" w:rsidRDefault="00ED23BB" w:rsidP="005C3E25">
            <w:pPr>
              <w:pStyle w:val="CDITable-RowLeft"/>
            </w:pPr>
            <w:r w:rsidRPr="00ED23BB">
              <w:t>Vietnam</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C575E2" w14:textId="77777777" w:rsidR="00ED23BB" w:rsidRPr="00ED23BB" w:rsidRDefault="00ED23BB" w:rsidP="005C3E25">
            <w:pPr>
              <w:pStyle w:val="CDITable-RowCentre"/>
            </w:pPr>
            <w:r w:rsidRPr="00ED23BB">
              <w:t>D8</w:t>
            </w:r>
          </w:p>
        </w:tc>
      </w:tr>
      <w:tr w:rsidR="00ED23BB" w:rsidRPr="00ED23BB" w14:paraId="23A5A4A0"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6DD2145B" w14:textId="77777777" w:rsidR="00ED23BB" w:rsidRPr="00ED23BB" w:rsidRDefault="00ED23BB" w:rsidP="00ED23BB"/>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63D342" w14:textId="77777777" w:rsidR="00ED23BB" w:rsidRPr="00ED23BB" w:rsidRDefault="00ED23BB" w:rsidP="005C3E25">
            <w:pPr>
              <w:pStyle w:val="CDITable-RowLeft"/>
            </w:pPr>
            <w:r w:rsidRPr="00ED23BB">
              <w:t>WA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AC498B" w14:textId="77777777" w:rsidR="00ED23BB" w:rsidRPr="00ED23BB" w:rsidRDefault="00ED23BB" w:rsidP="005C3E25">
            <w:pPr>
              <w:pStyle w:val="CDITable-RowCentre"/>
            </w:pPr>
            <w:r w:rsidRPr="00ED23BB">
              <w:t>2</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8E26AD" w14:textId="77777777" w:rsidR="00ED23BB" w:rsidRPr="00ED23BB" w:rsidRDefault="00ED23BB" w:rsidP="005C3E25">
            <w:pPr>
              <w:pStyle w:val="CDITable-RowCentre"/>
            </w:pPr>
            <w:r w:rsidRPr="00ED23BB">
              <w:t>2024-03-01</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6E71C6" w14:textId="77777777" w:rsidR="00ED23BB" w:rsidRPr="00ED23BB" w:rsidRDefault="00ED23BB" w:rsidP="005C3E25">
            <w:pPr>
              <w:pStyle w:val="CDITable-RowCentre"/>
            </w:pPr>
            <w:r w:rsidRPr="00ED23BB">
              <w:t>2024-03-16</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0F71DF" w14:textId="77777777" w:rsidR="00ED23BB" w:rsidRPr="00ED23BB" w:rsidRDefault="00ED23BB" w:rsidP="005C3E25">
            <w:pPr>
              <w:pStyle w:val="CDITable-RowLeft"/>
            </w:pPr>
            <w:r w:rsidRPr="00ED23BB">
              <w:t>Pakistan</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907A03" w14:textId="77777777" w:rsidR="00ED23BB" w:rsidRPr="00ED23BB" w:rsidRDefault="00ED23BB" w:rsidP="005C3E25">
            <w:pPr>
              <w:pStyle w:val="CDITable-RowCentre"/>
            </w:pPr>
            <w:r w:rsidRPr="00ED23BB">
              <w:t>B3</w:t>
            </w:r>
          </w:p>
        </w:tc>
      </w:tr>
      <w:tr w:rsidR="00ED23BB" w:rsidRPr="00ED23BB" w14:paraId="422E7477" w14:textId="77777777" w:rsidTr="00520680">
        <w:trPr>
          <w:trHeight w:val="60"/>
        </w:trPr>
        <w:tc>
          <w:tcPr>
            <w:tcW w:w="907" w:type="dxa"/>
            <w:vMerge/>
            <w:tcBorders>
              <w:bottom w:val="single" w:sz="6" w:space="0" w:color="1E4496" w:themeColor="text2"/>
            </w:tcBorders>
            <w:shd w:val="clear" w:color="auto" w:fill="DCF4FC" w:themeFill="background2" w:themeFillTint="33"/>
          </w:tcPr>
          <w:p w14:paraId="24A9584E" w14:textId="77777777" w:rsidR="00ED23BB" w:rsidRPr="00ED23BB" w:rsidRDefault="00ED23BB" w:rsidP="00ED23BB"/>
        </w:tc>
        <w:tc>
          <w:tcPr>
            <w:tcW w:w="136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AD7B6F" w14:textId="77777777" w:rsidR="00ED23BB" w:rsidRPr="00ED23BB" w:rsidRDefault="00ED23BB" w:rsidP="005C3E25">
            <w:pPr>
              <w:pStyle w:val="CDITable-RowLeft"/>
            </w:pPr>
            <w:r w:rsidRPr="00ED23BB">
              <w:t>SA</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6515AA" w14:textId="77777777" w:rsidR="00ED23BB" w:rsidRPr="00ED23BB" w:rsidRDefault="00ED23BB" w:rsidP="005C3E25">
            <w:pPr>
              <w:pStyle w:val="CDITable-RowCentre"/>
            </w:pPr>
            <w:r w:rsidRPr="00ED23BB">
              <w:t>4</w:t>
            </w:r>
          </w:p>
        </w:tc>
        <w:tc>
          <w:tcPr>
            <w:tcW w:w="141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FCC10B" w14:textId="77777777" w:rsidR="00ED23BB" w:rsidRPr="00ED23BB" w:rsidRDefault="00ED23BB" w:rsidP="005C3E25">
            <w:pPr>
              <w:pStyle w:val="CDITable-RowCentre"/>
            </w:pPr>
            <w:r w:rsidRPr="00ED23BB">
              <w:t>2024-03-17</w:t>
            </w:r>
          </w:p>
        </w:tc>
        <w:tc>
          <w:tcPr>
            <w:tcW w:w="141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86BC3A" w14:textId="77777777" w:rsidR="00ED23BB" w:rsidRPr="00ED23BB" w:rsidRDefault="00ED23BB" w:rsidP="005C3E25">
            <w:pPr>
              <w:pStyle w:val="CDITable-RowCentre"/>
            </w:pPr>
            <w:r w:rsidRPr="00ED23BB">
              <w:t>2024-04-08</w:t>
            </w:r>
          </w:p>
        </w:tc>
        <w:tc>
          <w:tcPr>
            <w:tcW w:w="226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EFF95F" w14:textId="77777777" w:rsidR="00ED23BB" w:rsidRPr="00ED23BB" w:rsidRDefault="00ED23BB" w:rsidP="005C3E25">
            <w:pPr>
              <w:pStyle w:val="CDITable-RowLeft"/>
            </w:pPr>
            <w:r w:rsidRPr="00ED23BB">
              <w:t>England</w:t>
            </w:r>
          </w:p>
        </w:tc>
        <w:tc>
          <w:tcPr>
            <w:tcW w:w="119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3EBEE7" w14:textId="77777777" w:rsidR="00ED23BB" w:rsidRPr="00ED23BB" w:rsidRDefault="00ED23BB" w:rsidP="005C3E25">
            <w:pPr>
              <w:pStyle w:val="CDITable-RowCentre"/>
            </w:pPr>
            <w:r w:rsidRPr="00ED23BB">
              <w:t>B3</w:t>
            </w:r>
          </w:p>
        </w:tc>
      </w:tr>
    </w:tbl>
    <w:p w14:paraId="46004CBD" w14:textId="77777777" w:rsidR="00ED23BB" w:rsidRPr="00ED23BB" w:rsidRDefault="00ED23BB" w:rsidP="005C3E25">
      <w:pPr>
        <w:pStyle w:val="CDITable-FirstFootnote"/>
        <w:rPr>
          <w:lang w:val="en-GB"/>
        </w:rPr>
      </w:pPr>
      <w:r w:rsidRPr="00ED23BB">
        <w:rPr>
          <w:lang w:val="en-GB"/>
        </w:rPr>
        <w:t>a</w:t>
      </w:r>
      <w:r w:rsidRPr="00ED23BB">
        <w:rPr>
          <w:lang w:val="en-GB"/>
        </w:rPr>
        <w:tab/>
        <w:t>Clusters are defined as per outbreak reference IDs entered by reporting states and territories to the NNDSS.</w:t>
      </w:r>
    </w:p>
    <w:p w14:paraId="148CBE89" w14:textId="77777777" w:rsidR="00ED23BB" w:rsidRPr="00ED23BB" w:rsidRDefault="00ED23BB" w:rsidP="00ED23BB">
      <w:pPr>
        <w:pStyle w:val="CDITable-Footnote"/>
        <w:rPr>
          <w:lang w:val="en-GB"/>
        </w:rPr>
      </w:pPr>
      <w:r w:rsidRPr="00ED23BB">
        <w:rPr>
          <w:lang w:val="en-GB"/>
        </w:rPr>
        <w:t>b</w:t>
      </w:r>
      <w:r w:rsidRPr="00ED23BB">
        <w:rPr>
          <w:lang w:val="en-GB"/>
        </w:rPr>
        <w:tab/>
        <w:t>Excludes clusters with less than 2 linked cases.</w:t>
      </w:r>
    </w:p>
    <w:p w14:paraId="7676595F" w14:textId="77777777" w:rsidR="00ED23BB" w:rsidRPr="00ED23BB" w:rsidRDefault="00ED23BB" w:rsidP="00ED23BB">
      <w:pPr>
        <w:pStyle w:val="CDITable-Footnote"/>
        <w:rPr>
          <w:lang w:val="en-GB"/>
        </w:rPr>
      </w:pPr>
      <w:r w:rsidRPr="00ED23BB">
        <w:rPr>
          <w:lang w:val="en-GB"/>
        </w:rPr>
        <w:t>c</w:t>
      </w:r>
      <w:r w:rsidRPr="00ED23BB">
        <w:rPr>
          <w:lang w:val="en-GB"/>
        </w:rPr>
        <w:tab/>
        <w:t>ACT: Australian Capital Territory; NSW: New South Wales; NT: Northern Territory; Qld: Queensland; SA: South Australia; Tas.: Tasmania; Vic.: Victoria; WA: Western Australia.</w:t>
      </w:r>
    </w:p>
    <w:p w14:paraId="354F75EB" w14:textId="77777777" w:rsidR="00ED23BB" w:rsidRPr="00ED23BB" w:rsidRDefault="00ED23BB" w:rsidP="00ED23BB">
      <w:pPr>
        <w:pStyle w:val="CDITable-Footnote"/>
        <w:rPr>
          <w:lang w:val="en-GB"/>
        </w:rPr>
      </w:pPr>
      <w:r w:rsidRPr="00ED23BB">
        <w:rPr>
          <w:lang w:val="en-GB"/>
        </w:rPr>
        <w:t>d</w:t>
      </w:r>
      <w:r w:rsidRPr="00ED23BB">
        <w:rPr>
          <w:lang w:val="en-GB"/>
        </w:rPr>
        <w:tab/>
        <w:t xml:space="preserve">Number of linked cases includes 1 source case per cluster. </w:t>
      </w:r>
    </w:p>
    <w:p w14:paraId="446B7B22" w14:textId="77777777" w:rsidR="00ED23BB" w:rsidRPr="00ED23BB" w:rsidRDefault="00ED23BB" w:rsidP="00ED23BB">
      <w:pPr>
        <w:pStyle w:val="CDITable-Footnote"/>
        <w:rPr>
          <w:lang w:val="en-GB"/>
        </w:rPr>
      </w:pPr>
      <w:r w:rsidRPr="00ED23BB">
        <w:rPr>
          <w:lang w:val="en-GB"/>
        </w:rPr>
        <w:t>e</w:t>
      </w:r>
      <w:r w:rsidRPr="00ED23BB">
        <w:rPr>
          <w:lang w:val="en-GB"/>
        </w:rPr>
        <w:tab/>
        <w:t xml:space="preserve">Genotype is based on the most common genotype associated with the cluster, which may not be complete for every case linked by a given outbreak reference number. </w:t>
      </w:r>
    </w:p>
    <w:p w14:paraId="6A5F9B1E" w14:textId="77777777" w:rsidR="00ED23BB" w:rsidRPr="00ED23BB" w:rsidRDefault="00ED23BB" w:rsidP="00ED23BB">
      <w:pPr>
        <w:pStyle w:val="CDITable-Footnote"/>
        <w:rPr>
          <w:lang w:val="en-GB"/>
        </w:rPr>
      </w:pPr>
      <w:r w:rsidRPr="00ED23BB">
        <w:rPr>
          <w:lang w:val="en-GB"/>
        </w:rPr>
        <w:t>f</w:t>
      </w:r>
      <w:r w:rsidRPr="00ED23BB">
        <w:rPr>
          <w:lang w:val="en-GB"/>
        </w:rPr>
        <w:tab/>
        <w:t>All cases within cluster have a country of acquisition of Australia in the NNDSS, though this does not represent endemic virus transmission in country.</w:t>
      </w:r>
    </w:p>
    <w:p w14:paraId="70CED0F2" w14:textId="77777777" w:rsidR="00ED23BB" w:rsidRPr="00ED23BB" w:rsidRDefault="00ED23BB" w:rsidP="00ED23BB">
      <w:pPr>
        <w:pStyle w:val="CDITable-Footnote"/>
        <w:rPr>
          <w:lang w:val="en-GB"/>
        </w:rPr>
      </w:pPr>
      <w:r w:rsidRPr="00ED23BB">
        <w:rPr>
          <w:lang w:val="en-GB"/>
        </w:rPr>
        <w:t>g</w:t>
      </w:r>
      <w:r w:rsidRPr="00ED23BB">
        <w:rPr>
          <w:lang w:val="en-GB"/>
        </w:rPr>
        <w:tab/>
      </w:r>
      <w:proofErr w:type="spellStart"/>
      <w:r w:rsidRPr="00ED23BB">
        <w:rPr>
          <w:lang w:val="en-GB"/>
        </w:rPr>
        <w:t>nfd</w:t>
      </w:r>
      <w:proofErr w:type="spellEnd"/>
      <w:r w:rsidRPr="00ED23BB">
        <w:rPr>
          <w:lang w:val="en-GB"/>
        </w:rPr>
        <w:t>: not further differentiated.</w:t>
      </w:r>
    </w:p>
    <w:p w14:paraId="4932C834" w14:textId="77777777" w:rsidR="00ED23BB" w:rsidRPr="00ED23BB" w:rsidRDefault="00ED23BB" w:rsidP="00ED23BB">
      <w:pPr>
        <w:pStyle w:val="CDITable-Footnote"/>
        <w:rPr>
          <w:lang w:val="en-GB"/>
        </w:rPr>
      </w:pPr>
      <w:r w:rsidRPr="00ED23BB">
        <w:rPr>
          <w:lang w:val="en-GB"/>
        </w:rPr>
        <w:t>h</w:t>
      </w:r>
      <w:r w:rsidRPr="00ED23BB">
        <w:rPr>
          <w:lang w:val="en-GB"/>
        </w:rPr>
        <w:tab/>
        <w:t xml:space="preserve">No measles cases were notified in 2021. </w:t>
      </w:r>
    </w:p>
    <w:p w14:paraId="64CA5C5B" w14:textId="7EC9FF96" w:rsidR="006E0B0E" w:rsidRDefault="008017B6" w:rsidP="008017B6">
      <w:pPr>
        <w:pStyle w:val="Heading1"/>
      </w:pPr>
      <w:bookmarkStart w:id="31" w:name="_Toc224572832"/>
      <w:bookmarkStart w:id="32" w:name="_Toc195519590"/>
      <w:bookmarkStart w:id="33" w:name="_Toc195522359"/>
      <w:r>
        <w:lastRenderedPageBreak/>
        <w:t>Discussion</w:t>
      </w:r>
      <w:r w:rsidR="003C768B">
        <w:t xml:space="preserve"> and conclusion</w:t>
      </w:r>
      <w:bookmarkEnd w:id="31"/>
    </w:p>
    <w:p w14:paraId="79B88E3E" w14:textId="77777777" w:rsidR="003C768B" w:rsidRPr="003C768B" w:rsidRDefault="003C768B" w:rsidP="003C768B">
      <w:pPr>
        <w:rPr>
          <w:lang w:val="en-GB"/>
        </w:rPr>
      </w:pPr>
      <w:r w:rsidRPr="003C768B">
        <w:rPr>
          <w:lang w:val="en-GB"/>
        </w:rPr>
        <w:t xml:space="preserve">Over the reporting period 1 January 2014 – 31 December 2024, measles cases in Australia: </w:t>
      </w:r>
    </w:p>
    <w:p w14:paraId="3835E6CC" w14:textId="77777777" w:rsidR="003C768B" w:rsidRPr="003C768B" w:rsidRDefault="003C768B" w:rsidP="003C768B">
      <w:pPr>
        <w:pStyle w:val="CDIBullets"/>
        <w:rPr>
          <w:lang w:val="en-GB"/>
        </w:rPr>
      </w:pPr>
      <w:r w:rsidRPr="003C768B">
        <w:rPr>
          <w:lang w:val="en-GB"/>
        </w:rPr>
        <w:t xml:space="preserve">were </w:t>
      </w:r>
      <w:proofErr w:type="gramStart"/>
      <w:r w:rsidRPr="003C768B">
        <w:rPr>
          <w:lang w:val="en-GB"/>
        </w:rPr>
        <w:t>most commonly notified</w:t>
      </w:r>
      <w:proofErr w:type="gramEnd"/>
      <w:r w:rsidRPr="003C768B">
        <w:rPr>
          <w:lang w:val="en-GB"/>
        </w:rPr>
        <w:t xml:space="preserve"> among people aged 20–49 </w:t>
      </w:r>
      <w:proofErr w:type="gramStart"/>
      <w:r w:rsidRPr="003C768B">
        <w:rPr>
          <w:lang w:val="en-GB"/>
        </w:rPr>
        <w:t>years;</w:t>
      </w:r>
      <w:proofErr w:type="gramEnd"/>
      <w:r w:rsidRPr="003C768B">
        <w:rPr>
          <w:lang w:val="en-GB"/>
        </w:rPr>
        <w:t xml:space="preserve"> </w:t>
      </w:r>
    </w:p>
    <w:p w14:paraId="06E3E6C5" w14:textId="77777777" w:rsidR="003C768B" w:rsidRPr="003C768B" w:rsidRDefault="003C768B" w:rsidP="003C768B">
      <w:pPr>
        <w:pStyle w:val="CDIBullets"/>
        <w:rPr>
          <w:lang w:val="en-GB"/>
        </w:rPr>
      </w:pPr>
      <w:r w:rsidRPr="003C768B">
        <w:rPr>
          <w:lang w:val="en-GB"/>
        </w:rPr>
        <w:t xml:space="preserve">when acquired overseas, were </w:t>
      </w:r>
      <w:proofErr w:type="gramStart"/>
      <w:r w:rsidRPr="003C768B">
        <w:rPr>
          <w:lang w:val="en-GB"/>
        </w:rPr>
        <w:t>most commonly imported</w:t>
      </w:r>
      <w:proofErr w:type="gramEnd"/>
      <w:r w:rsidRPr="003C768B">
        <w:rPr>
          <w:lang w:val="en-GB"/>
        </w:rPr>
        <w:t xml:space="preserve"> from popular tourist destination countries in the Western Pacific and </w:t>
      </w:r>
      <w:proofErr w:type="gramStart"/>
      <w:r w:rsidRPr="003C768B">
        <w:rPr>
          <w:lang w:val="en-GB"/>
        </w:rPr>
        <w:t>South East</w:t>
      </w:r>
      <w:proofErr w:type="gramEnd"/>
      <w:r w:rsidRPr="003C768B">
        <w:rPr>
          <w:lang w:val="en-GB"/>
        </w:rPr>
        <w:t xml:space="preserve"> Asian </w:t>
      </w:r>
      <w:proofErr w:type="gramStart"/>
      <w:r w:rsidRPr="003C768B">
        <w:rPr>
          <w:lang w:val="en-GB"/>
        </w:rPr>
        <w:t>regions;</w:t>
      </w:r>
      <w:proofErr w:type="gramEnd"/>
    </w:p>
    <w:p w14:paraId="7018D20E" w14:textId="77777777" w:rsidR="003C768B" w:rsidRPr="003C768B" w:rsidRDefault="003C768B" w:rsidP="003C768B">
      <w:pPr>
        <w:pStyle w:val="CDIBullets"/>
        <w:rPr>
          <w:lang w:val="en-GB"/>
        </w:rPr>
      </w:pPr>
      <w:r w:rsidRPr="003C768B">
        <w:rPr>
          <w:lang w:val="en-GB"/>
        </w:rPr>
        <w:t xml:space="preserve">were </w:t>
      </w:r>
      <w:proofErr w:type="gramStart"/>
      <w:r w:rsidRPr="003C768B">
        <w:rPr>
          <w:lang w:val="en-GB"/>
        </w:rPr>
        <w:t>most commonly notified</w:t>
      </w:r>
      <w:proofErr w:type="gramEnd"/>
      <w:r w:rsidRPr="003C768B">
        <w:rPr>
          <w:lang w:val="en-GB"/>
        </w:rPr>
        <w:t xml:space="preserve"> among people who were unvaccinated or whose vaccination status was unknown (72%); and</w:t>
      </w:r>
    </w:p>
    <w:p w14:paraId="033F4FA9" w14:textId="77777777" w:rsidR="003C768B" w:rsidRPr="003C768B" w:rsidRDefault="003C768B" w:rsidP="003C768B">
      <w:pPr>
        <w:pStyle w:val="CDIBullets"/>
        <w:rPr>
          <w:lang w:val="en-GB"/>
        </w:rPr>
      </w:pPr>
      <w:r w:rsidRPr="003C768B">
        <w:rPr>
          <w:lang w:val="en-GB"/>
        </w:rPr>
        <w:t xml:space="preserve">were </w:t>
      </w:r>
      <w:proofErr w:type="gramStart"/>
      <w:r w:rsidRPr="003C768B">
        <w:rPr>
          <w:lang w:val="en-GB"/>
        </w:rPr>
        <w:t>most commonly notified</w:t>
      </w:r>
      <w:proofErr w:type="gramEnd"/>
      <w:r w:rsidRPr="003C768B">
        <w:rPr>
          <w:lang w:val="en-GB"/>
        </w:rPr>
        <w:t xml:space="preserve"> in months coinciding with Australian school holidays.</w:t>
      </w:r>
    </w:p>
    <w:p w14:paraId="2EDFC184" w14:textId="77777777" w:rsidR="003C768B" w:rsidRPr="003C768B" w:rsidRDefault="003C768B" w:rsidP="003C768B">
      <w:pPr>
        <w:rPr>
          <w:lang w:val="en-GB"/>
        </w:rPr>
      </w:pPr>
      <w:r w:rsidRPr="003C768B">
        <w:rPr>
          <w:lang w:val="en-GB"/>
        </w:rPr>
        <w:t xml:space="preserve">The age distribution of cases is in stark contrast to that of endemic countries, where most cases, with attendant morbidity and mortality, are among children under 5 years of age. </w:t>
      </w:r>
    </w:p>
    <w:p w14:paraId="590FA47E" w14:textId="63DAD895" w:rsidR="003C768B" w:rsidRPr="003C768B" w:rsidRDefault="003C768B" w:rsidP="003C768B">
      <w:pPr>
        <w:rPr>
          <w:lang w:val="en-GB"/>
        </w:rPr>
      </w:pPr>
      <w:r w:rsidRPr="003C768B">
        <w:rPr>
          <w:lang w:val="en-GB"/>
        </w:rPr>
        <w:t>The findings of this report indicate that the greatest contributors to measles notifications in Australia in 2014 to 2024 were young adults who were either unvaccinated or were unaware of their vaccination status and who likely imported their infection to Australia when they returned from seasonal overseas travel. These importations pose a threat to vulnerable populations such as immunocompromised people, pregnant people, and children who are too young to receive the MMR vaccine. In Australia, two-dose vaccination coverage of the measles-containing vaccine at 2</w:t>
      </w:r>
      <w:r>
        <w:rPr>
          <w:lang w:val="en-GB"/>
        </w:rPr>
        <w:t> </w:t>
      </w:r>
      <w:r w:rsidRPr="003C768B">
        <w:rPr>
          <w:lang w:val="en-GB"/>
        </w:rPr>
        <w:t xml:space="preserve">years has declined since the COVID-19 pandemic from 94.0% in 2020 to 91.4% in 2024, further increasing the risk to young children from imported cases as coverage drops below levels required for herd immunity. </w:t>
      </w:r>
    </w:p>
    <w:p w14:paraId="482667D0" w14:textId="77777777" w:rsidR="003C768B" w:rsidRPr="003C768B" w:rsidRDefault="003C768B" w:rsidP="003C768B">
      <w:pPr>
        <w:rPr>
          <w:lang w:val="en-GB"/>
        </w:rPr>
      </w:pPr>
      <w:r w:rsidRPr="003C768B">
        <w:rPr>
          <w:lang w:val="en-GB"/>
        </w:rPr>
        <w:t>High routine vaccination coverage, heightened vigilance by clinicians, appropriate testing and rapidly responding to suspected cases is essential for the early detection and management of cases and ongoing prevention of outbreaks in Australia. Named strain analysis capability also remains critical, as there have been only two genotypes detected globally since 2021 (B3 and D8).</w:t>
      </w:r>
      <w:r w:rsidRPr="003C768B">
        <w:rPr>
          <w:vertAlign w:val="superscript"/>
          <w:lang w:val="en-GB"/>
        </w:rPr>
        <w:t>4,6</w:t>
      </w:r>
      <w:r w:rsidRPr="003C768B">
        <w:rPr>
          <w:lang w:val="en-GB"/>
        </w:rPr>
        <w:t xml:space="preserve"> The results of this report reflect this reduction in genotype diversity. Tracking named strains within these remaining genotypes allows public health authorities to identify specific transmission chains, detect importation events, and verify elimination status at both regional and global levels. </w:t>
      </w:r>
    </w:p>
    <w:p w14:paraId="046981F0" w14:textId="77777777" w:rsidR="003C768B" w:rsidRPr="003C768B" w:rsidRDefault="003C768B" w:rsidP="003C768B">
      <w:pPr>
        <w:rPr>
          <w:lang w:val="en-GB"/>
        </w:rPr>
      </w:pPr>
      <w:r w:rsidRPr="003C768B">
        <w:rPr>
          <w:lang w:val="en-GB"/>
        </w:rPr>
        <w:t xml:space="preserve">Young adults who may have missed catch-up vaccines in childhood, or who are unaware of their vaccination status before travel, should be targeted by public health messaging and encouraged to seek vaccination prior to leaving Australia, particularly when visiting countries with current measles outbreaks. Every effort should also be made to increase MMR vaccine coverage at 2 years back to 95%. </w:t>
      </w:r>
    </w:p>
    <w:p w14:paraId="4CD834DE" w14:textId="77777777" w:rsidR="00F216F0" w:rsidRDefault="00F216F0" w:rsidP="00F216F0">
      <w:pPr>
        <w:pStyle w:val="Heading1"/>
      </w:pPr>
      <w:bookmarkStart w:id="34" w:name="_Toc195530510"/>
      <w:bookmarkStart w:id="35" w:name="_Toc224572833"/>
      <w:bookmarkStart w:id="36" w:name="_Toc195530508"/>
      <w:bookmarkEnd w:id="32"/>
      <w:bookmarkEnd w:id="33"/>
      <w:r>
        <w:lastRenderedPageBreak/>
        <w:t>Acknowledgments</w:t>
      </w:r>
      <w:bookmarkEnd w:id="34"/>
      <w:bookmarkEnd w:id="35"/>
    </w:p>
    <w:p w14:paraId="5190DA24" w14:textId="509C528B" w:rsidR="003C768B" w:rsidRPr="003C768B" w:rsidRDefault="003C768B" w:rsidP="003C768B">
      <w:pPr>
        <w:rPr>
          <w:lang w:val="en-GB"/>
        </w:rPr>
      </w:pPr>
      <w:r w:rsidRPr="003C768B">
        <w:rPr>
          <w:lang w:val="en-GB"/>
        </w:rPr>
        <w:t>We wish to acknowledge the state and territory health departments through the Communicable Diseases Network Australia for their provision and endorsement of data to the National Notifiable Diseases Surveillance System, and the public health officer</w:t>
      </w:r>
      <w:r w:rsidR="00121567">
        <w:rPr>
          <w:lang w:val="en-GB"/>
        </w:rPr>
        <w:t>s</w:t>
      </w:r>
      <w:r w:rsidRPr="003C768B">
        <w:rPr>
          <w:lang w:val="en-GB"/>
        </w:rPr>
        <w:t xml:space="preserve"> in states and territories responsible for the primary collection of the data used.</w:t>
      </w:r>
    </w:p>
    <w:p w14:paraId="129BF10B" w14:textId="77777777" w:rsidR="008A0736" w:rsidRDefault="008A0736" w:rsidP="008A0736">
      <w:pPr>
        <w:pStyle w:val="Heading1"/>
      </w:pPr>
      <w:bookmarkStart w:id="37" w:name="_Toc224572834"/>
      <w:r>
        <w:lastRenderedPageBreak/>
        <w:t>Author details</w:t>
      </w:r>
      <w:bookmarkEnd w:id="36"/>
      <w:bookmarkEnd w:id="37"/>
    </w:p>
    <w:p w14:paraId="66648FFB" w14:textId="77777777" w:rsidR="003C768B" w:rsidRPr="003C768B" w:rsidRDefault="003C768B" w:rsidP="003C768B">
      <w:pPr>
        <w:rPr>
          <w:lang w:val="en-GB"/>
        </w:rPr>
      </w:pPr>
      <w:r w:rsidRPr="003C768B">
        <w:rPr>
          <w:lang w:val="en-GB"/>
        </w:rPr>
        <w:t>Ms Lizzie Gorrell,</w:t>
      </w:r>
      <w:r w:rsidRPr="003C768B">
        <w:rPr>
          <w:vertAlign w:val="superscript"/>
          <w:lang w:val="en-GB"/>
        </w:rPr>
        <w:t>1</w:t>
      </w:r>
    </w:p>
    <w:p w14:paraId="3AF477CF" w14:textId="77777777" w:rsidR="003C768B" w:rsidRPr="003C768B" w:rsidRDefault="003C768B" w:rsidP="003C768B">
      <w:pPr>
        <w:rPr>
          <w:lang w:val="en-GB"/>
        </w:rPr>
      </w:pPr>
      <w:r w:rsidRPr="003C768B">
        <w:rPr>
          <w:lang w:val="en-GB"/>
        </w:rPr>
        <w:t>Dr Benjamin G Polkinghorne,</w:t>
      </w:r>
      <w:r w:rsidRPr="003C768B">
        <w:rPr>
          <w:vertAlign w:val="superscript"/>
          <w:lang w:val="en-GB"/>
        </w:rPr>
        <w:t>1,2</w:t>
      </w:r>
    </w:p>
    <w:p w14:paraId="4FA5220E" w14:textId="77777777" w:rsidR="003C768B" w:rsidRPr="003C768B" w:rsidRDefault="003C768B" w:rsidP="003C768B">
      <w:pPr>
        <w:rPr>
          <w:lang w:val="en-GB"/>
        </w:rPr>
      </w:pPr>
      <w:r w:rsidRPr="003C768B">
        <w:rPr>
          <w:lang w:val="en-GB"/>
        </w:rPr>
        <w:t>Prof. David N Durrheim</w:t>
      </w:r>
      <w:r w:rsidRPr="003C768B">
        <w:rPr>
          <w:vertAlign w:val="superscript"/>
          <w:lang w:val="en-GB"/>
        </w:rPr>
        <w:t>3,4,5</w:t>
      </w:r>
    </w:p>
    <w:p w14:paraId="0D185578" w14:textId="77777777" w:rsidR="003C768B" w:rsidRPr="003C768B" w:rsidRDefault="003C768B" w:rsidP="00F366B5">
      <w:pPr>
        <w:pStyle w:val="CDINumberedList1L1"/>
        <w:ind w:left="397" w:hanging="397"/>
        <w:rPr>
          <w:lang w:val="en-GB"/>
        </w:rPr>
      </w:pPr>
      <w:r w:rsidRPr="003C768B">
        <w:rPr>
          <w:lang w:val="en-GB"/>
        </w:rPr>
        <w:t>Australian Centre for Disease Control, Canberra, Australian Capital Territory, Australia</w:t>
      </w:r>
    </w:p>
    <w:p w14:paraId="7993A306" w14:textId="77777777" w:rsidR="003C768B" w:rsidRPr="003C768B" w:rsidRDefault="003C768B" w:rsidP="00F366B5">
      <w:pPr>
        <w:pStyle w:val="CDINumberedList1L1"/>
        <w:ind w:left="397" w:hanging="397"/>
        <w:rPr>
          <w:lang w:val="en-GB"/>
        </w:rPr>
      </w:pPr>
      <w:r w:rsidRPr="003C768B">
        <w:rPr>
          <w:lang w:val="en-GB"/>
        </w:rPr>
        <w:t>Australian National University, Canberra, Australian Capital Territory, Australia</w:t>
      </w:r>
    </w:p>
    <w:p w14:paraId="2FE2137E" w14:textId="77777777" w:rsidR="003C768B" w:rsidRPr="003C768B" w:rsidRDefault="003C768B" w:rsidP="00F366B5">
      <w:pPr>
        <w:pStyle w:val="CDINumberedList1L1"/>
        <w:ind w:left="397" w:hanging="397"/>
        <w:rPr>
          <w:lang w:val="en-GB"/>
        </w:rPr>
      </w:pPr>
      <w:r w:rsidRPr="003C768B">
        <w:rPr>
          <w:lang w:val="en-GB"/>
        </w:rPr>
        <w:t>University of Newcastle, Callaghan New South Wales, Australia</w:t>
      </w:r>
    </w:p>
    <w:p w14:paraId="0F129B6C" w14:textId="77777777" w:rsidR="003C768B" w:rsidRPr="003C768B" w:rsidRDefault="003C768B" w:rsidP="00F366B5">
      <w:pPr>
        <w:pStyle w:val="CDINumberedList1L1"/>
        <w:ind w:left="397" w:hanging="397"/>
        <w:rPr>
          <w:lang w:val="en-GB"/>
        </w:rPr>
      </w:pPr>
      <w:r w:rsidRPr="003C768B">
        <w:rPr>
          <w:lang w:val="en-GB"/>
        </w:rPr>
        <w:t>Hunter New England Health, Newcastle, New South Wales, Australia</w:t>
      </w:r>
    </w:p>
    <w:p w14:paraId="57E13F1F" w14:textId="77777777" w:rsidR="003C768B" w:rsidRPr="003C768B" w:rsidRDefault="003C768B" w:rsidP="00F366B5">
      <w:pPr>
        <w:pStyle w:val="CDINumberedList1L1"/>
        <w:ind w:left="397" w:hanging="397"/>
        <w:rPr>
          <w:lang w:val="en-GB"/>
        </w:rPr>
      </w:pPr>
      <w:r w:rsidRPr="003C768B">
        <w:rPr>
          <w:lang w:val="en-GB"/>
        </w:rPr>
        <w:t>James Cook University, Townsville, Queensland, Australia</w:t>
      </w:r>
    </w:p>
    <w:p w14:paraId="1E66D06E" w14:textId="77777777" w:rsidR="00423436" w:rsidRDefault="00423436" w:rsidP="00423436">
      <w:pPr>
        <w:pStyle w:val="CDICorrespondingauthor"/>
      </w:pPr>
      <w:r>
        <w:t>Corresponding author</w:t>
      </w:r>
    </w:p>
    <w:p w14:paraId="3A6EC52B" w14:textId="77777777" w:rsidR="003C768B" w:rsidRPr="003C768B" w:rsidRDefault="003C768B" w:rsidP="003C768B">
      <w:pPr>
        <w:rPr>
          <w:lang w:val="en-GB"/>
        </w:rPr>
      </w:pPr>
      <w:r w:rsidRPr="003C768B">
        <w:rPr>
          <w:lang w:val="en-GB"/>
        </w:rPr>
        <w:t xml:space="preserve">Ms Lizzie Gorrell </w:t>
      </w:r>
    </w:p>
    <w:p w14:paraId="468ED544" w14:textId="77777777" w:rsidR="003C768B" w:rsidRPr="003C768B" w:rsidRDefault="003C768B" w:rsidP="003C768B">
      <w:pPr>
        <w:rPr>
          <w:lang w:val="en-GB"/>
        </w:rPr>
      </w:pPr>
      <w:r w:rsidRPr="003C768B">
        <w:rPr>
          <w:lang w:val="en-GB"/>
        </w:rPr>
        <w:t>Australian Centre for Disease Control, GPO Box 798, Canberra ACT 2601, Australia</w:t>
      </w:r>
    </w:p>
    <w:p w14:paraId="6956DA55" w14:textId="79D9AE7F" w:rsidR="008A0736" w:rsidRDefault="003C768B" w:rsidP="00423436">
      <w:r w:rsidRPr="003C768B">
        <w:rPr>
          <w:lang w:val="en-GB"/>
        </w:rPr>
        <w:t xml:space="preserve">Email: </w:t>
      </w:r>
      <w:hyperlink r:id="rId28" w:history="1">
        <w:r w:rsidRPr="003C768B">
          <w:rPr>
            <w:rStyle w:val="Hyperlink"/>
            <w:lang w:val="en-GB"/>
          </w:rPr>
          <w:t>Lizzie.Gorrell@cdc.gov.au</w:t>
        </w:r>
      </w:hyperlink>
      <w:r>
        <w:t xml:space="preserve"> </w:t>
      </w:r>
    </w:p>
    <w:p w14:paraId="4402EEEE" w14:textId="77777777" w:rsidR="008A0736" w:rsidRDefault="008A0736" w:rsidP="00122ADA">
      <w:pPr>
        <w:pStyle w:val="Heading1"/>
      </w:pPr>
      <w:bookmarkStart w:id="38" w:name="_Toc195530511"/>
      <w:bookmarkStart w:id="39" w:name="_Toc224572835"/>
      <w:r>
        <w:lastRenderedPageBreak/>
        <w:t>References</w:t>
      </w:r>
      <w:bookmarkEnd w:id="38"/>
      <w:bookmarkEnd w:id="39"/>
    </w:p>
    <w:p w14:paraId="21BB4351" w14:textId="4ED96E0E" w:rsidR="00F366B5" w:rsidRPr="00F366B5" w:rsidRDefault="00F366B5" w:rsidP="00F366B5">
      <w:pPr>
        <w:pStyle w:val="CDINumberedList1L1"/>
        <w:numPr>
          <w:ilvl w:val="0"/>
          <w:numId w:val="11"/>
        </w:numPr>
        <w:ind w:left="397" w:hanging="397"/>
        <w:rPr>
          <w:lang w:val="en-GB"/>
        </w:rPr>
      </w:pPr>
      <w:r w:rsidRPr="00F366B5">
        <w:rPr>
          <w:lang w:val="en-GB"/>
        </w:rPr>
        <w:t xml:space="preserve">Strebel PM, Orenstein WA. Measles. </w:t>
      </w:r>
      <w:r w:rsidRPr="00F366B5">
        <w:rPr>
          <w:i/>
          <w:iCs/>
          <w:lang w:val="en-GB"/>
        </w:rPr>
        <w:t>N Engl J Med</w:t>
      </w:r>
      <w:r w:rsidRPr="00F366B5">
        <w:rPr>
          <w:lang w:val="en-GB"/>
        </w:rPr>
        <w:t>. 2019;381(4):349–57. doi: </w:t>
      </w:r>
      <w:hyperlink r:id="rId29" w:history="1">
        <w:r w:rsidRPr="00F366B5">
          <w:rPr>
            <w:rStyle w:val="Hyperlink"/>
            <w:lang w:val="en-GB"/>
          </w:rPr>
          <w:t>https://doi.org/10.1056/NEJMcp1905181</w:t>
        </w:r>
      </w:hyperlink>
      <w:r w:rsidRPr="00F366B5">
        <w:rPr>
          <w:lang w:val="en-GB"/>
        </w:rPr>
        <w:t>.</w:t>
      </w:r>
    </w:p>
    <w:p w14:paraId="2812364C" w14:textId="08B17F5D" w:rsidR="00F366B5" w:rsidRPr="00F366B5" w:rsidRDefault="00F366B5" w:rsidP="00F366B5">
      <w:pPr>
        <w:pStyle w:val="CDINumberedList1L1"/>
        <w:ind w:left="397" w:hanging="397"/>
        <w:rPr>
          <w:lang w:val="en-GB"/>
        </w:rPr>
      </w:pPr>
      <w:r w:rsidRPr="00F366B5">
        <w:rPr>
          <w:lang w:val="en-GB"/>
        </w:rPr>
        <w:t>World Health Organization (WHO). Fact sheets: Measles. [Internet.] Geneva: WHO; 14</w:t>
      </w:r>
      <w:r>
        <w:rPr>
          <w:lang w:val="en-GB"/>
        </w:rPr>
        <w:t> </w:t>
      </w:r>
      <w:r w:rsidRPr="00F366B5">
        <w:rPr>
          <w:lang w:val="en-GB"/>
        </w:rPr>
        <w:t xml:space="preserve">November 2024. [Accessed on 4 October 2025.] Available from: </w:t>
      </w:r>
      <w:hyperlink r:id="rId30" w:history="1">
        <w:r w:rsidRPr="00F366B5">
          <w:rPr>
            <w:rStyle w:val="Hyperlink"/>
            <w:lang w:val="en-GB"/>
          </w:rPr>
          <w:t>https://www.who.int/news-room/fact-sheets/detail/measles</w:t>
        </w:r>
      </w:hyperlink>
      <w:r w:rsidRPr="00F366B5">
        <w:rPr>
          <w:lang w:val="en-GB"/>
        </w:rPr>
        <w:t xml:space="preserve">. </w:t>
      </w:r>
    </w:p>
    <w:p w14:paraId="5DB9BA1B" w14:textId="6AAE4F77" w:rsidR="00F366B5" w:rsidRPr="00F366B5" w:rsidRDefault="00F366B5" w:rsidP="00F366B5">
      <w:pPr>
        <w:pStyle w:val="CDINumberedList1L1"/>
        <w:ind w:left="397" w:hanging="397"/>
        <w:rPr>
          <w:lang w:val="en-GB"/>
        </w:rPr>
      </w:pPr>
      <w:r w:rsidRPr="00F366B5">
        <w:rPr>
          <w:lang w:val="en-GB"/>
        </w:rPr>
        <w:t xml:space="preserve">Patel MK, Goodson JL, Alexander JP, Kretsinger K, Sodha SV, </w:t>
      </w:r>
      <w:proofErr w:type="spellStart"/>
      <w:r w:rsidRPr="00F366B5">
        <w:rPr>
          <w:lang w:val="en-GB"/>
        </w:rPr>
        <w:t>Steulet</w:t>
      </w:r>
      <w:proofErr w:type="spellEnd"/>
      <w:r w:rsidRPr="00F366B5">
        <w:rPr>
          <w:lang w:val="en-GB"/>
        </w:rPr>
        <w:t xml:space="preserve"> C et al. Progress toward regional measles elimination – worldwide, 2000–2019. </w:t>
      </w:r>
      <w:r w:rsidRPr="00F366B5">
        <w:rPr>
          <w:i/>
          <w:iCs/>
          <w:lang w:val="en-GB"/>
        </w:rPr>
        <w:t xml:space="preserve">MMWR </w:t>
      </w:r>
      <w:proofErr w:type="spellStart"/>
      <w:r w:rsidRPr="00F366B5">
        <w:rPr>
          <w:i/>
          <w:iCs/>
          <w:lang w:val="en-GB"/>
        </w:rPr>
        <w:t>Morb</w:t>
      </w:r>
      <w:proofErr w:type="spellEnd"/>
      <w:r w:rsidRPr="00F366B5">
        <w:rPr>
          <w:i/>
          <w:iCs/>
          <w:lang w:val="en-GB"/>
        </w:rPr>
        <w:t xml:space="preserve"> Mortal </w:t>
      </w:r>
      <w:proofErr w:type="spellStart"/>
      <w:r w:rsidRPr="00F366B5">
        <w:rPr>
          <w:i/>
          <w:iCs/>
          <w:lang w:val="en-GB"/>
        </w:rPr>
        <w:t>Wkly</w:t>
      </w:r>
      <w:proofErr w:type="spellEnd"/>
      <w:r w:rsidRPr="00F366B5">
        <w:rPr>
          <w:i/>
          <w:iCs/>
          <w:lang w:val="en-GB"/>
        </w:rPr>
        <w:t xml:space="preserve"> Rep</w:t>
      </w:r>
      <w:r w:rsidRPr="00F366B5">
        <w:rPr>
          <w:lang w:val="en-GB"/>
        </w:rPr>
        <w:t xml:space="preserve">. 2020;69(45):1700–5. doi: </w:t>
      </w:r>
      <w:hyperlink r:id="rId31" w:history="1">
        <w:r w:rsidRPr="00F366B5">
          <w:rPr>
            <w:rStyle w:val="Hyperlink"/>
            <w:lang w:val="en-GB"/>
          </w:rPr>
          <w:t>https://doi.org/10.15585/mmwr.mm6945a6</w:t>
        </w:r>
      </w:hyperlink>
      <w:r w:rsidRPr="00F366B5">
        <w:rPr>
          <w:lang w:val="en-GB"/>
        </w:rPr>
        <w:t>.</w:t>
      </w:r>
    </w:p>
    <w:p w14:paraId="39257600" w14:textId="3FBB0261" w:rsidR="00F366B5" w:rsidRPr="00F366B5" w:rsidRDefault="00F366B5" w:rsidP="00F366B5">
      <w:pPr>
        <w:pStyle w:val="CDINumberedList1L1"/>
        <w:ind w:left="397" w:hanging="397"/>
        <w:rPr>
          <w:lang w:val="en-GB"/>
        </w:rPr>
      </w:pPr>
      <w:proofErr w:type="spellStart"/>
      <w:r w:rsidRPr="00F366B5">
        <w:rPr>
          <w:lang w:val="en-GB"/>
        </w:rPr>
        <w:t>Bankamp</w:t>
      </w:r>
      <w:proofErr w:type="spellEnd"/>
      <w:r w:rsidRPr="00F366B5">
        <w:rPr>
          <w:lang w:val="en-GB"/>
        </w:rPr>
        <w:t xml:space="preserve"> B, Kim G, Hart D, Beck A, Mamou MB, Penedos A et al. Global update on measles molecular epidemiology. </w:t>
      </w:r>
      <w:r w:rsidRPr="00F366B5">
        <w:rPr>
          <w:i/>
          <w:iCs/>
          <w:lang w:val="en-GB"/>
        </w:rPr>
        <w:t>Vaccines (Basel)</w:t>
      </w:r>
      <w:r w:rsidRPr="00F366B5">
        <w:rPr>
          <w:lang w:val="en-GB"/>
        </w:rPr>
        <w:t>. 2024;12(7):810. doi:</w:t>
      </w:r>
      <w:r>
        <w:rPr>
          <w:lang w:val="en-GB"/>
        </w:rPr>
        <w:t> </w:t>
      </w:r>
      <w:hyperlink r:id="rId32" w:history="1">
        <w:r w:rsidRPr="00F366B5">
          <w:rPr>
            <w:rStyle w:val="Hyperlink"/>
            <w:lang w:val="en-GB"/>
          </w:rPr>
          <w:t>https://doi.org/10.33960/vaccines12070810</w:t>
        </w:r>
      </w:hyperlink>
      <w:r w:rsidRPr="00F366B5">
        <w:rPr>
          <w:lang w:val="en-GB"/>
        </w:rPr>
        <w:t>.</w:t>
      </w:r>
    </w:p>
    <w:p w14:paraId="6D2CAFD2" w14:textId="40820F41" w:rsidR="00F366B5" w:rsidRPr="00F366B5" w:rsidRDefault="00F366B5" w:rsidP="00F366B5">
      <w:pPr>
        <w:pStyle w:val="CDINumberedList1L1"/>
        <w:ind w:left="397" w:hanging="397"/>
        <w:rPr>
          <w:lang w:val="en-GB"/>
        </w:rPr>
      </w:pPr>
      <w:r w:rsidRPr="00F366B5">
        <w:rPr>
          <w:lang w:val="en-GB"/>
        </w:rPr>
        <w:t xml:space="preserve">WHO. Measles reported cases and incidence. [Webpage.] Geneva: WHO; 2026. [Accessed on 12 January 2026.] Available from: </w:t>
      </w:r>
      <w:hyperlink r:id="rId33" w:history="1">
        <w:r w:rsidRPr="00F366B5">
          <w:rPr>
            <w:rStyle w:val="Hyperlink"/>
            <w:lang w:val="en-GB"/>
          </w:rPr>
          <w:t>https://immunizationdata.who.int/global/wiise-detail-page/measles-reported-cases-and-incidence</w:t>
        </w:r>
      </w:hyperlink>
      <w:r w:rsidRPr="00F366B5">
        <w:rPr>
          <w:lang w:val="en-GB"/>
        </w:rPr>
        <w:t xml:space="preserve">. </w:t>
      </w:r>
    </w:p>
    <w:p w14:paraId="6661F29D" w14:textId="5B3CDB50" w:rsidR="00F366B5" w:rsidRPr="00F366B5" w:rsidRDefault="00F366B5" w:rsidP="00F366B5">
      <w:pPr>
        <w:pStyle w:val="CDINumberedList1L1"/>
        <w:ind w:left="397" w:hanging="397"/>
        <w:rPr>
          <w:lang w:val="en-GB"/>
        </w:rPr>
      </w:pPr>
      <w:r w:rsidRPr="00F366B5">
        <w:rPr>
          <w:lang w:val="en-GB"/>
        </w:rPr>
        <w:t xml:space="preserve">Rota PA, Evans R, Ben Mamou MC, Ray-Benito G, Sangal L, </w:t>
      </w:r>
      <w:proofErr w:type="spellStart"/>
      <w:r w:rsidRPr="00F366B5">
        <w:rPr>
          <w:lang w:val="en-GB"/>
        </w:rPr>
        <w:t>Dosseh</w:t>
      </w:r>
      <w:proofErr w:type="spellEnd"/>
      <w:r w:rsidRPr="00F366B5">
        <w:rPr>
          <w:lang w:val="en-GB"/>
        </w:rPr>
        <w:t xml:space="preserve"> A et al. The Global Measles and Rubella Laboratory Network </w:t>
      </w:r>
      <w:proofErr w:type="gramStart"/>
      <w:r w:rsidRPr="00F366B5">
        <w:rPr>
          <w:lang w:val="en-GB"/>
        </w:rPr>
        <w:t>supports</w:t>
      </w:r>
      <w:proofErr w:type="gramEnd"/>
      <w:r w:rsidRPr="00F366B5">
        <w:rPr>
          <w:lang w:val="en-GB"/>
        </w:rPr>
        <w:t xml:space="preserve"> high-quality surveillance. </w:t>
      </w:r>
      <w:r w:rsidRPr="00F366B5">
        <w:rPr>
          <w:i/>
          <w:iCs/>
          <w:lang w:val="en-GB"/>
        </w:rPr>
        <w:t>Vaccines (Basel)</w:t>
      </w:r>
      <w:r w:rsidRPr="00F366B5">
        <w:rPr>
          <w:lang w:val="en-GB"/>
        </w:rPr>
        <w:t xml:space="preserve">. 2024;12(8):946. doi: </w:t>
      </w:r>
      <w:hyperlink r:id="rId34" w:history="1">
        <w:r w:rsidRPr="00F366B5">
          <w:rPr>
            <w:rStyle w:val="Hyperlink"/>
            <w:lang w:val="en-GB"/>
          </w:rPr>
          <w:t>https://doi.org/10.3390/vaccines12080946</w:t>
        </w:r>
      </w:hyperlink>
      <w:r w:rsidRPr="00F366B5">
        <w:rPr>
          <w:lang w:val="en-GB"/>
        </w:rPr>
        <w:t>.</w:t>
      </w:r>
    </w:p>
    <w:p w14:paraId="56A55D75" w14:textId="0C05F796" w:rsidR="00F366B5" w:rsidRPr="00F366B5" w:rsidRDefault="00F366B5" w:rsidP="00F366B5">
      <w:pPr>
        <w:pStyle w:val="CDINumberedList1L1"/>
        <w:ind w:left="397" w:hanging="397"/>
        <w:rPr>
          <w:lang w:val="en-GB"/>
        </w:rPr>
      </w:pPr>
      <w:r w:rsidRPr="00F366B5">
        <w:rPr>
          <w:lang w:val="en-GB"/>
        </w:rPr>
        <w:t xml:space="preserve">WHO. Measles deaths down 88% since 2000, but cases surge. [Media release.] Geneva: WHO; 28 November 2025. [Accessed on 12 January 2025.] Available from: </w:t>
      </w:r>
      <w:hyperlink r:id="rId35" w:history="1">
        <w:r w:rsidRPr="00F366B5">
          <w:rPr>
            <w:rStyle w:val="Hyperlink"/>
            <w:lang w:val="en-GB"/>
          </w:rPr>
          <w:t>https://www.who.int/news/item/28-11-2025-measles-deaths-down-88--since-2000--but-cases-surge</w:t>
        </w:r>
      </w:hyperlink>
      <w:r w:rsidRPr="00F366B5">
        <w:rPr>
          <w:lang w:val="en-GB"/>
        </w:rPr>
        <w:t xml:space="preserve">. </w:t>
      </w:r>
    </w:p>
    <w:p w14:paraId="20FF24FA" w14:textId="1D5658A5" w:rsidR="00F366B5" w:rsidRPr="00F366B5" w:rsidRDefault="00F366B5" w:rsidP="00F366B5">
      <w:pPr>
        <w:pStyle w:val="CDINumberedList1L1"/>
        <w:ind w:left="397" w:hanging="397"/>
        <w:rPr>
          <w:lang w:val="en-GB"/>
        </w:rPr>
      </w:pPr>
      <w:r w:rsidRPr="00F366B5">
        <w:rPr>
          <w:lang w:val="en-GB"/>
        </w:rPr>
        <w:t xml:space="preserve">WHO. Measles cases surge worldwide, infecting 10.3 million people in 2023. [Media release.] Geneva: WHO; 14 November 2024. [Accessed on 5 November 2025.] Available from: </w:t>
      </w:r>
      <w:hyperlink r:id="rId36" w:history="1">
        <w:r w:rsidRPr="00F366B5">
          <w:rPr>
            <w:rStyle w:val="Hyperlink"/>
            <w:lang w:val="en-GB"/>
          </w:rPr>
          <w:t>https://www.who.int/news/item/14-11-2024-measles-cases-surge-worldwide--infecting-10.3-million-people-in-2023</w:t>
        </w:r>
      </w:hyperlink>
      <w:r w:rsidRPr="00F366B5">
        <w:rPr>
          <w:lang w:val="en-GB"/>
        </w:rPr>
        <w:t>.</w:t>
      </w:r>
    </w:p>
    <w:p w14:paraId="773A4BA1" w14:textId="0558FD44" w:rsidR="00F366B5" w:rsidRPr="00F366B5" w:rsidRDefault="00F366B5" w:rsidP="00F366B5">
      <w:pPr>
        <w:pStyle w:val="CDINumberedList1L1"/>
        <w:ind w:left="397" w:hanging="397"/>
        <w:rPr>
          <w:lang w:val="en-GB"/>
        </w:rPr>
      </w:pPr>
      <w:r w:rsidRPr="00F366B5">
        <w:rPr>
          <w:lang w:val="en-GB"/>
        </w:rPr>
        <w:t xml:space="preserve">Durrheim DN. Measles eradication—retreating is not an option. </w:t>
      </w:r>
      <w:r w:rsidRPr="00F366B5">
        <w:rPr>
          <w:i/>
          <w:iCs/>
          <w:lang w:val="en-GB"/>
        </w:rPr>
        <w:t>Lancet Infect Dis</w:t>
      </w:r>
      <w:r w:rsidRPr="00F366B5">
        <w:rPr>
          <w:lang w:val="en-GB"/>
        </w:rPr>
        <w:t>. 2020;20(6</w:t>
      </w:r>
      <w:proofErr w:type="gramStart"/>
      <w:r w:rsidRPr="00F366B5">
        <w:rPr>
          <w:lang w:val="en-GB"/>
        </w:rPr>
        <w:t>):e</w:t>
      </w:r>
      <w:proofErr w:type="gramEnd"/>
      <w:r w:rsidRPr="00F366B5">
        <w:rPr>
          <w:lang w:val="en-GB"/>
        </w:rPr>
        <w:t xml:space="preserve">138–41. doi: </w:t>
      </w:r>
      <w:hyperlink r:id="rId37" w:history="1">
        <w:r w:rsidRPr="00F366B5">
          <w:rPr>
            <w:rStyle w:val="Hyperlink"/>
            <w:lang w:val="en-GB"/>
          </w:rPr>
          <w:t>https://doi.org/10.1016/S1473-3099(20)30052-9</w:t>
        </w:r>
      </w:hyperlink>
      <w:r w:rsidRPr="00F366B5">
        <w:rPr>
          <w:lang w:val="en-GB"/>
        </w:rPr>
        <w:t>.</w:t>
      </w:r>
    </w:p>
    <w:p w14:paraId="12746444" w14:textId="1FF884C7" w:rsidR="00F366B5" w:rsidRPr="00F366B5" w:rsidRDefault="00F366B5" w:rsidP="00F366B5">
      <w:pPr>
        <w:pStyle w:val="CDINumberedList1L1"/>
        <w:ind w:left="397" w:hanging="397"/>
        <w:rPr>
          <w:lang w:val="en-GB"/>
        </w:rPr>
      </w:pPr>
      <w:r w:rsidRPr="00F366B5">
        <w:rPr>
          <w:lang w:val="en-GB"/>
        </w:rPr>
        <w:t xml:space="preserve">WHO. </w:t>
      </w:r>
      <w:r w:rsidRPr="00F366B5">
        <w:rPr>
          <w:i/>
          <w:iCs/>
          <w:lang w:val="en-GB"/>
        </w:rPr>
        <w:t>Measles and rubella strategic framework: 2021–2030</w:t>
      </w:r>
      <w:r w:rsidRPr="00F366B5">
        <w:rPr>
          <w:lang w:val="en-GB"/>
        </w:rPr>
        <w:t xml:space="preserve">. Geneva: WHO; 8 November 2020. [Accessed on 5 November 2025.] Available from: </w:t>
      </w:r>
      <w:hyperlink r:id="rId38" w:history="1">
        <w:r w:rsidRPr="00F366B5">
          <w:rPr>
            <w:rStyle w:val="Hyperlink"/>
            <w:lang w:val="en-GB"/>
          </w:rPr>
          <w:t>https://www.who.int/publications/i/item/measles-and-rubella-strategic-framework-2021-2030</w:t>
        </w:r>
      </w:hyperlink>
      <w:r w:rsidRPr="00F366B5">
        <w:rPr>
          <w:lang w:val="en-GB"/>
        </w:rPr>
        <w:t>.</w:t>
      </w:r>
    </w:p>
    <w:p w14:paraId="16373316" w14:textId="288C931F" w:rsidR="00F366B5" w:rsidRPr="00F366B5" w:rsidRDefault="00F366B5" w:rsidP="00F366B5">
      <w:pPr>
        <w:pStyle w:val="CDINumberedList1L1"/>
        <w:ind w:left="397" w:hanging="397"/>
        <w:rPr>
          <w:lang w:val="en-GB"/>
        </w:rPr>
      </w:pPr>
      <w:r w:rsidRPr="00F366B5">
        <w:rPr>
          <w:lang w:val="en-GB"/>
        </w:rPr>
        <w:t xml:space="preserve">Australian Government Department of Health, Disability and Ageing. 2024 PHN Childhood immunisation coverage data. [Webpage.] Canberra; Australian Government Department of Health, Disability and Ageing; 31 December 2024. [Accessed on 5 November 2025.] Available from: </w:t>
      </w:r>
      <w:hyperlink r:id="rId39" w:history="1">
        <w:r w:rsidRPr="00F366B5">
          <w:rPr>
            <w:rStyle w:val="Hyperlink"/>
            <w:lang w:val="en-GB"/>
          </w:rPr>
          <w:t>https://www.health.gov.au/resources/publications/2024-phn-childhood-immunisation-coverage-data</w:t>
        </w:r>
      </w:hyperlink>
      <w:r w:rsidRPr="00F366B5">
        <w:rPr>
          <w:lang w:val="en-GB"/>
        </w:rPr>
        <w:t>.</w:t>
      </w:r>
    </w:p>
    <w:p w14:paraId="5EAF972D" w14:textId="3C165628" w:rsidR="00F366B5" w:rsidRPr="00F366B5" w:rsidRDefault="00F366B5" w:rsidP="00F366B5">
      <w:pPr>
        <w:pStyle w:val="CDINumberedList1L1"/>
        <w:ind w:left="397" w:hanging="397"/>
        <w:rPr>
          <w:lang w:val="en-GB"/>
        </w:rPr>
      </w:pPr>
      <w:r w:rsidRPr="00F366B5">
        <w:rPr>
          <w:lang w:val="en-GB"/>
        </w:rPr>
        <w:t xml:space="preserve">Hull B, Hendry A, Macartney K, Beard F. </w:t>
      </w:r>
      <w:r w:rsidRPr="00F366B5">
        <w:rPr>
          <w:i/>
          <w:iCs/>
          <w:lang w:val="en-GB"/>
        </w:rPr>
        <w:t>Annual Immunisation Coverage Report 2024</w:t>
      </w:r>
      <w:r w:rsidRPr="00F366B5">
        <w:rPr>
          <w:lang w:val="en-GB"/>
        </w:rPr>
        <w:t xml:space="preserve">. Sydney: Sydney Children’s Hospitals Network, National Centre for Immunisation Research and Surveillance; 27 October 2025. [Accessed on 14 January 2026.] Available from: </w:t>
      </w:r>
      <w:hyperlink r:id="rId40" w:history="1">
        <w:r w:rsidRPr="00F366B5">
          <w:rPr>
            <w:rStyle w:val="Hyperlink"/>
            <w:lang w:val="en-GB"/>
          </w:rPr>
          <w:t>https://ncirs.org.au/sites/default/files/2025-10/Annual%20Immunisation%20Coverage%20Report%202024.pdf</w:t>
        </w:r>
      </w:hyperlink>
      <w:r w:rsidRPr="00F366B5">
        <w:rPr>
          <w:lang w:val="en-GB"/>
        </w:rPr>
        <w:t xml:space="preserve">. </w:t>
      </w:r>
    </w:p>
    <w:p w14:paraId="11477E6E" w14:textId="1C1F50FC" w:rsidR="00F366B5" w:rsidRPr="00F366B5" w:rsidRDefault="00F366B5" w:rsidP="00F366B5">
      <w:pPr>
        <w:pStyle w:val="CDINumberedList1L1"/>
        <w:ind w:left="397" w:hanging="397"/>
        <w:rPr>
          <w:lang w:val="en-GB"/>
        </w:rPr>
      </w:pPr>
      <w:r w:rsidRPr="00F366B5">
        <w:rPr>
          <w:lang w:val="en-GB"/>
        </w:rPr>
        <w:lastRenderedPageBreak/>
        <w:t xml:space="preserve">Hull B, Hendry A, Dey A, Brotherton J, Macartney K, Beard F. Annual immunisation coverage report 2021. </w:t>
      </w:r>
      <w:r w:rsidRPr="00F366B5">
        <w:rPr>
          <w:i/>
          <w:iCs/>
          <w:lang w:val="en-GB"/>
        </w:rPr>
        <w:t>Commun Dis Intell (2018)</w:t>
      </w:r>
      <w:r w:rsidRPr="00F366B5">
        <w:rPr>
          <w:lang w:val="en-GB"/>
        </w:rPr>
        <w:t xml:space="preserve">. 2022;46. doi: </w:t>
      </w:r>
      <w:hyperlink r:id="rId41" w:history="1">
        <w:r w:rsidRPr="0034637C">
          <w:rPr>
            <w:rStyle w:val="Hyperlink"/>
            <w:lang w:val="en-GB"/>
          </w:rPr>
          <w:t>https://doi.org/10.33321/cdi.2023.47.47</w:t>
        </w:r>
      </w:hyperlink>
      <w:r w:rsidRPr="00F366B5">
        <w:rPr>
          <w:lang w:val="en-GB"/>
        </w:rPr>
        <w:t>.</w:t>
      </w:r>
    </w:p>
    <w:p w14:paraId="7EC9F6B5" w14:textId="46594A33" w:rsidR="00F366B5" w:rsidRPr="00F366B5" w:rsidRDefault="00F366B5" w:rsidP="00F366B5">
      <w:pPr>
        <w:pStyle w:val="CDINumberedList1L1"/>
        <w:ind w:left="397" w:hanging="397"/>
        <w:rPr>
          <w:lang w:val="en-GB"/>
        </w:rPr>
      </w:pPr>
      <w:r w:rsidRPr="00F366B5">
        <w:rPr>
          <w:lang w:val="en-GB"/>
        </w:rPr>
        <w:t xml:space="preserve">Australian Government Department of Health, Disability and Ageing. Measles – surveillance case definition. [Webpage.] Canberra; Australian Government Department of Health, Disability and Ageing; 12 March 2004. [Accessed on 5 November 2025.] Available from: </w:t>
      </w:r>
      <w:hyperlink r:id="rId42" w:history="1">
        <w:r w:rsidRPr="00F366B5">
          <w:rPr>
            <w:rStyle w:val="Hyperlink"/>
            <w:lang w:val="en-GB"/>
          </w:rPr>
          <w:t>https://www.health.gov.au/resources/publications/measles-surveillance-case-definition</w:t>
        </w:r>
      </w:hyperlink>
      <w:r w:rsidRPr="00F366B5">
        <w:rPr>
          <w:lang w:val="en-GB"/>
        </w:rPr>
        <w:t xml:space="preserve">. </w:t>
      </w:r>
    </w:p>
    <w:p w14:paraId="250A792A" w14:textId="66258751" w:rsidR="00F366B5" w:rsidRPr="00F366B5" w:rsidRDefault="00F366B5" w:rsidP="00F366B5">
      <w:pPr>
        <w:pStyle w:val="CDINumberedList1L1"/>
        <w:ind w:left="397" w:hanging="397"/>
        <w:rPr>
          <w:lang w:val="en-GB"/>
        </w:rPr>
      </w:pPr>
      <w:r w:rsidRPr="00F366B5">
        <w:rPr>
          <w:lang w:val="en-GB"/>
        </w:rPr>
        <w:t xml:space="preserve">Tourism Australia. Australian school holidays. [Internet.] Sydney: Department of Foreign Affairs and Trade, Tourism Australia; 2025. [Accessed on 5 November 2025.] Available from: </w:t>
      </w:r>
      <w:hyperlink r:id="rId43" w:history="1">
        <w:r w:rsidRPr="00F366B5">
          <w:rPr>
            <w:rStyle w:val="Hyperlink"/>
            <w:lang w:val="en-GB"/>
          </w:rPr>
          <w:t>https://www.australia.com/en/facts-and-planning/when-to-go/australian-school-holidays.html</w:t>
        </w:r>
      </w:hyperlink>
      <w:r w:rsidRPr="00F366B5">
        <w:rPr>
          <w:lang w:val="en-GB"/>
        </w:rPr>
        <w:t xml:space="preserve">. </w:t>
      </w:r>
    </w:p>
    <w:p w14:paraId="1DD6FA08" w14:textId="4C45348C" w:rsidR="00F366B5" w:rsidRPr="00F366B5" w:rsidRDefault="00F366B5" w:rsidP="00F366B5">
      <w:pPr>
        <w:pStyle w:val="CDINumberedList1L1"/>
        <w:ind w:left="397" w:hanging="397"/>
        <w:rPr>
          <w:lang w:val="en-GB"/>
        </w:rPr>
      </w:pPr>
      <w:r w:rsidRPr="00F366B5">
        <w:rPr>
          <w:lang w:val="en-GB"/>
        </w:rPr>
        <w:t xml:space="preserve">Australian Bureau of Statistics. Overseas arrivals and departures, Australia – 2024–25 financial year. [Webpage.] Canberra: Australian Bureau of Statistics; 14 August 2025. [Accessed on 5 November 2025.] Available from: </w:t>
      </w:r>
      <w:hyperlink r:id="rId44" w:history="1">
        <w:r w:rsidRPr="00F366B5">
          <w:rPr>
            <w:rStyle w:val="Hyperlink"/>
            <w:lang w:val="en-GB"/>
          </w:rPr>
          <w:t>https://www.abs.gov.au/articles/overseas-arrivals-and-departures-australia-2024-25-financial-year</w:t>
        </w:r>
      </w:hyperlink>
      <w:r w:rsidRPr="00F366B5">
        <w:rPr>
          <w:lang w:val="en-GB"/>
        </w:rPr>
        <w:t xml:space="preserve">. </w:t>
      </w:r>
    </w:p>
    <w:p w14:paraId="5B42BA1B" w14:textId="4231AC6B" w:rsidR="00F366B5" w:rsidRPr="00F366B5" w:rsidRDefault="00F366B5" w:rsidP="00F366B5">
      <w:pPr>
        <w:pStyle w:val="CDINumberedList1L1"/>
        <w:ind w:left="397" w:hanging="397"/>
        <w:rPr>
          <w:lang w:val="en-GB"/>
        </w:rPr>
      </w:pPr>
      <w:r w:rsidRPr="00F366B5">
        <w:rPr>
          <w:lang w:val="en-GB"/>
        </w:rPr>
        <w:t xml:space="preserve">Australian Government Department of Health, Disability and Ageing. Australian Immunisation Handbook – Measles. [Webpage.] Canberra: Australian Government Department of Health, Disability and Ageing; 24 October 2025. [Accessed on 5 November 2025.] Available from: </w:t>
      </w:r>
      <w:hyperlink r:id="rId45" w:history="1">
        <w:r w:rsidRPr="00F366B5">
          <w:rPr>
            <w:rStyle w:val="Hyperlink"/>
            <w:lang w:val="en-GB"/>
          </w:rPr>
          <w:t>https://immunisationhandbook.health.gov.au/contents/vaccine-preventable-diseases/measles</w:t>
        </w:r>
      </w:hyperlink>
      <w:r w:rsidRPr="00F366B5">
        <w:rPr>
          <w:lang w:val="en-GB"/>
        </w:rPr>
        <w:t>.</w:t>
      </w:r>
    </w:p>
    <w:p w14:paraId="29EA764D" w14:textId="4FCF4B03" w:rsidR="00F366B5" w:rsidRPr="00F366B5" w:rsidRDefault="00F366B5" w:rsidP="00F366B5">
      <w:pPr>
        <w:pStyle w:val="CDINumberedList1L1"/>
        <w:ind w:left="397" w:hanging="397"/>
        <w:rPr>
          <w:lang w:val="en-GB"/>
        </w:rPr>
      </w:pPr>
      <w:r w:rsidRPr="00F366B5">
        <w:rPr>
          <w:lang w:val="en-GB"/>
        </w:rPr>
        <w:t>Australian Bureau of Statistics. Most popular countries for Aussie travellers in 2019. [Webpage.] Canberra: Australian Bureau of Statistics; 18 February 2020. [Accessed on 5</w:t>
      </w:r>
      <w:r>
        <w:rPr>
          <w:lang w:val="en-GB"/>
        </w:rPr>
        <w:t> </w:t>
      </w:r>
      <w:r w:rsidRPr="00F366B5">
        <w:rPr>
          <w:lang w:val="en-GB"/>
        </w:rPr>
        <w:t xml:space="preserve">November 2025.] Available from: </w:t>
      </w:r>
      <w:hyperlink r:id="rId46" w:history="1">
        <w:r w:rsidRPr="00F366B5">
          <w:rPr>
            <w:rStyle w:val="Hyperlink"/>
            <w:lang w:val="en-GB"/>
          </w:rPr>
          <w:t>https://www.abs.gov.au/articles/most-popular-countries-aussie-travellers-2019</w:t>
        </w:r>
      </w:hyperlink>
      <w:r w:rsidRPr="00F366B5">
        <w:rPr>
          <w:lang w:val="en-GB"/>
        </w:rPr>
        <w:t>.</w:t>
      </w:r>
    </w:p>
    <w:p w14:paraId="2CC9431B" w14:textId="570853A0" w:rsidR="004973B4" w:rsidRPr="0058264F" w:rsidRDefault="00F366B5" w:rsidP="00F366B5">
      <w:pPr>
        <w:pStyle w:val="CDINumberedList1L1"/>
        <w:ind w:left="397" w:hanging="397"/>
      </w:pPr>
      <w:r w:rsidRPr="00F366B5">
        <w:rPr>
          <w:lang w:val="en-GB"/>
        </w:rPr>
        <w:t xml:space="preserve">Australian Bureau of Statistics. Overseas Arrivals and Departures, Australia. Reference period: August 2025. [Webpage.] Canberra: Australian Bureau of Statistics; 14 October 2025. [Accessed on 5 November 2025.] Available from: </w:t>
      </w:r>
      <w:hyperlink r:id="rId47" w:history="1">
        <w:r w:rsidRPr="0034637C">
          <w:rPr>
            <w:rStyle w:val="Hyperlink"/>
            <w:lang w:val="en-GB"/>
          </w:rPr>
          <w:t>https://www.abs.gov.au/statistics/industry/tourism-and-transport/overseas-arrivals-and-departures-australia/aug-2025</w:t>
        </w:r>
      </w:hyperlink>
      <w:r w:rsidRPr="00F366B5">
        <w:rPr>
          <w:lang w:val="en-GB"/>
        </w:rPr>
        <w:t>.</w:t>
      </w:r>
    </w:p>
    <w:sectPr w:rsidR="004973B4"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4E36" w14:textId="77777777" w:rsidR="00C977B8" w:rsidRDefault="00C977B8" w:rsidP="00E54DBA">
      <w:r>
        <w:separator/>
      </w:r>
    </w:p>
    <w:p w14:paraId="18014A3B" w14:textId="77777777" w:rsidR="00C977B8" w:rsidRDefault="00C977B8"/>
    <w:p w14:paraId="04898065" w14:textId="77777777" w:rsidR="00C977B8" w:rsidRDefault="00C977B8" w:rsidP="008714B0"/>
  </w:endnote>
  <w:endnote w:type="continuationSeparator" w:id="0">
    <w:p w14:paraId="297DA064" w14:textId="77777777" w:rsidR="00C977B8" w:rsidRDefault="00C977B8" w:rsidP="00E54DBA">
      <w:r>
        <w:continuationSeparator/>
      </w:r>
    </w:p>
    <w:p w14:paraId="537ED8DF" w14:textId="77777777" w:rsidR="00C977B8" w:rsidRDefault="00C977B8"/>
    <w:p w14:paraId="4452B3DC" w14:textId="77777777" w:rsidR="00C977B8" w:rsidRDefault="00C977B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8700"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9A05513" wp14:editId="16ECA055">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DA05E1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05513"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DA05E1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9C1C9" w14:textId="5988B677"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C977B8">
        <w:t>2026</w:t>
      </w:r>
    </w:fldSimple>
    <w:r w:rsidR="009B78A9">
      <w:t>;</w:t>
    </w:r>
    <w:fldSimple w:instr=" DOCPROPERTY  Vol  \* MERGEFORMAT ">
      <w:r w:rsidR="00C977B8">
        <w:t>50</w:t>
      </w:r>
    </w:fldSimple>
    <w:r w:rsidR="00385655" w:rsidRPr="001D0612">
      <w:t xml:space="preserve"> </w:t>
    </w:r>
    <w:r w:rsidR="00385655" w:rsidRPr="00B85B74">
      <w:t>•</w:t>
    </w:r>
    <w:r w:rsidR="00385655">
      <w:t xml:space="preserve"> </w:t>
    </w:r>
    <w:fldSimple w:instr=" DOCPROPERTY  DOI  \* MERGEFORMAT ">
      <w:r w:rsidR="00A816CB">
        <w:t>doi.org/10.33321/cdi.2026.50.016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A816CB">
        <w:t>24.03.2026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99F3"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622D9A44" wp14:editId="0A840503">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44E420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D9A44"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144E420D"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5D3D" w14:textId="77777777" w:rsidR="00C977B8" w:rsidRPr="00B91FB5" w:rsidRDefault="00C977B8" w:rsidP="00B91FB5">
      <w:pPr>
        <w:spacing w:line="240" w:lineRule="auto"/>
        <w:rPr>
          <w:sz w:val="18"/>
          <w:szCs w:val="18"/>
        </w:rPr>
      </w:pPr>
      <w:r w:rsidRPr="00B91FB5">
        <w:rPr>
          <w:sz w:val="18"/>
          <w:szCs w:val="18"/>
        </w:rPr>
        <w:separator/>
      </w:r>
    </w:p>
  </w:footnote>
  <w:footnote w:type="continuationSeparator" w:id="0">
    <w:p w14:paraId="7C3FDA57" w14:textId="77777777" w:rsidR="00C977B8" w:rsidRDefault="00C977B8" w:rsidP="00E54DBA">
      <w:r>
        <w:continuationSeparator/>
      </w:r>
    </w:p>
  </w:footnote>
  <w:footnote w:type="continuationNotice" w:id="1">
    <w:p w14:paraId="295BC254" w14:textId="77777777" w:rsidR="00C977B8" w:rsidRPr="00224EFF" w:rsidRDefault="00C977B8" w:rsidP="00224EFF"/>
  </w:footnote>
  <w:footnote w:id="2">
    <w:p w14:paraId="14084874" w14:textId="56BEFCC6" w:rsidR="00A816CB" w:rsidRDefault="00A816CB" w:rsidP="00A816CB">
      <w:pPr>
        <w:pStyle w:val="FootnoteText"/>
      </w:pPr>
      <w:r w:rsidRPr="00A816CB">
        <w:footnoteRef/>
      </w:r>
      <w:r>
        <w:tab/>
        <w:t xml:space="preserve">Diagnosis date is a derived field in the NNDSS. It will be the true onset date if known; </w:t>
      </w:r>
      <w:proofErr w:type="gramStart"/>
      <w:r>
        <w:t>otherwise</w:t>
      </w:r>
      <w:proofErr w:type="gramEnd"/>
      <w:r>
        <w:t xml:space="preserve"> it will be earliest of the specimen date, the notification date or the notification received date.</w:t>
      </w:r>
    </w:p>
  </w:footnote>
  <w:footnote w:id="3">
    <w:p w14:paraId="1F543697" w14:textId="676A97E5" w:rsidR="00652CE4" w:rsidRDefault="00652CE4" w:rsidP="00652CE4">
      <w:pPr>
        <w:pStyle w:val="FootnoteText"/>
      </w:pPr>
      <w:r w:rsidRPr="00652CE4">
        <w:footnoteRef/>
      </w:r>
      <w:r>
        <w:tab/>
        <w:t>Import-related cases are locally acquired infections occurring from transmission by a case who acquired their infection overseas, or from another import-related case, as supported by epidemiological and/or virological evidence.</w:t>
      </w:r>
    </w:p>
  </w:footnote>
  <w:footnote w:id="4">
    <w:p w14:paraId="45327ABE" w14:textId="7F5209EC" w:rsidR="00652CE4" w:rsidRDefault="00652CE4" w:rsidP="00652CE4">
      <w:pPr>
        <w:pStyle w:val="FootnoteText"/>
      </w:pPr>
      <w:r w:rsidRPr="00652CE4">
        <w:footnoteRef/>
      </w:r>
      <w:r>
        <w:tab/>
        <w:t>Indonesia became part of the WPR in May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2329"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07AA204A" wp14:editId="24A56F0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74E293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A204A"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474E293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3E66"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F585"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0ECF9C0C" wp14:editId="4DA2308E">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C1E1E4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CF9C0C"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1C1E1E4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C9CC304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480540915">
    <w:abstractNumId w:val="1"/>
    <w:lvlOverride w:ilvl="0">
      <w:startOverride w:val="1"/>
    </w:lvlOverride>
  </w:num>
  <w:num w:numId="11" w16cid:durableId="42592375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B8"/>
    <w:rsid w:val="00000B5B"/>
    <w:rsid w:val="00001611"/>
    <w:rsid w:val="00002B8D"/>
    <w:rsid w:val="00007205"/>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1567"/>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13A3"/>
    <w:rsid w:val="00316727"/>
    <w:rsid w:val="00316CCD"/>
    <w:rsid w:val="003230B3"/>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1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68B"/>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068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3E25"/>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2CE4"/>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2DE4"/>
    <w:rsid w:val="0098426C"/>
    <w:rsid w:val="00984AAF"/>
    <w:rsid w:val="00985521"/>
    <w:rsid w:val="00987E68"/>
    <w:rsid w:val="00991B09"/>
    <w:rsid w:val="0099319C"/>
    <w:rsid w:val="00993CB2"/>
    <w:rsid w:val="0099796D"/>
    <w:rsid w:val="009A0251"/>
    <w:rsid w:val="009A218B"/>
    <w:rsid w:val="009A5166"/>
    <w:rsid w:val="009A5CBB"/>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16CB"/>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400"/>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5AB"/>
    <w:rsid w:val="00BB589B"/>
    <w:rsid w:val="00BB6F53"/>
    <w:rsid w:val="00BC053B"/>
    <w:rsid w:val="00BC086C"/>
    <w:rsid w:val="00BC0BD3"/>
    <w:rsid w:val="00BC1AFB"/>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12"/>
    <w:rsid w:val="00C47780"/>
    <w:rsid w:val="00C47C8C"/>
    <w:rsid w:val="00C47CC2"/>
    <w:rsid w:val="00C507D8"/>
    <w:rsid w:val="00C51B10"/>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77B8"/>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541"/>
    <w:rsid w:val="00D47D22"/>
    <w:rsid w:val="00D50346"/>
    <w:rsid w:val="00D50368"/>
    <w:rsid w:val="00D51865"/>
    <w:rsid w:val="00D51D0C"/>
    <w:rsid w:val="00D52ECE"/>
    <w:rsid w:val="00D54734"/>
    <w:rsid w:val="00D55D13"/>
    <w:rsid w:val="00D56C54"/>
    <w:rsid w:val="00D6364B"/>
    <w:rsid w:val="00D63E60"/>
    <w:rsid w:val="00D6407A"/>
    <w:rsid w:val="00D64512"/>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BBF"/>
    <w:rsid w:val="00EB5E0B"/>
    <w:rsid w:val="00EB7247"/>
    <w:rsid w:val="00EB7C2A"/>
    <w:rsid w:val="00EC05A3"/>
    <w:rsid w:val="00EC2171"/>
    <w:rsid w:val="00ED14CC"/>
    <w:rsid w:val="00ED23BB"/>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6B5"/>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5C0D"/>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50CFD"/>
  <w15:docId w15:val="{2B757BF2-FFE8-4872-A012-95B509FF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68B"/>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A816CB"/>
    <w:pPr>
      <w:spacing w:before="400"/>
    </w:pPr>
    <w:rPr>
      <w:rFonts w:asciiTheme="majorHAnsi" w:hAnsiTheme="majorHAnsi" w:cs="Arial"/>
      <w:b/>
      <w:bCs/>
      <w:sz w:val="56"/>
      <w:szCs w:val="54"/>
    </w:rPr>
  </w:style>
  <w:style w:type="character" w:customStyle="1" w:styleId="TitleChar">
    <w:name w:val="Title Char"/>
    <w:basedOn w:val="DefaultParagraphFont"/>
    <w:link w:val="Title"/>
    <w:uiPriority w:val="10"/>
    <w:rsid w:val="00A816CB"/>
    <w:rPr>
      <w:rFonts w:asciiTheme="majorHAnsi" w:hAnsiTheme="majorHAnsi" w:cs="Arial"/>
      <w:b/>
      <w:bCs/>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Italic">
    <w:name w:val="Italic"/>
    <w:uiPriority w:val="99"/>
    <w:rsid w:val="003C768B"/>
    <w:rPr>
      <w:i/>
      <w:iCs/>
    </w:rPr>
  </w:style>
  <w:style w:type="character" w:customStyle="1" w:styleId="Bold">
    <w:name w:val="Bold"/>
    <w:uiPriority w:val="99"/>
    <w:rsid w:val="00D64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image" Target="media/image4.jpg"/><Relationship Id="rId39" Type="http://schemas.openxmlformats.org/officeDocument/2006/relationships/hyperlink" Target="https://www.health.gov.au/resources/publications/2024-phn-childhood-immunisation-coverage-data" TargetMode="External"/><Relationship Id="rId21" Type="http://schemas.openxmlformats.org/officeDocument/2006/relationships/footer" Target="footer1.xml"/><Relationship Id="rId34" Type="http://schemas.openxmlformats.org/officeDocument/2006/relationships/hyperlink" Target="https://doi.org/10.3390/vaccines12080946" TargetMode="External"/><Relationship Id="rId42" Type="http://schemas.openxmlformats.org/officeDocument/2006/relationships/hyperlink" Target="https://www.health.gov.au/resources/publications/measles-surveillance-case-definition" TargetMode="External"/><Relationship Id="rId47" Type="http://schemas.openxmlformats.org/officeDocument/2006/relationships/hyperlink" Target="https://www.abs.gov.au/statistics/industry/tourism-and-transport/overseas-arrivals-and-departures-australia/aug-2025"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doi.org/10.1056/NEJMcp1905181" TargetMode="External"/><Relationship Id="rId11" Type="http://schemas.openxmlformats.org/officeDocument/2006/relationships/hyperlink" Target="https://creativecommons.org/licenses/by-nc-nd/4.0/legalcode" TargetMode="External"/><Relationship Id="rId24" Type="http://schemas.openxmlformats.org/officeDocument/2006/relationships/footer" Target="footer3.xml"/><Relationship Id="rId32" Type="http://schemas.openxmlformats.org/officeDocument/2006/relationships/hyperlink" Target="https://doi.org/10.33960/vaccines12070810" TargetMode="External"/><Relationship Id="rId37" Type="http://schemas.openxmlformats.org/officeDocument/2006/relationships/hyperlink" Target="https://doi.org/10.1016/S1473-3099(20)30052-9" TargetMode="External"/><Relationship Id="rId40" Type="http://schemas.openxmlformats.org/officeDocument/2006/relationships/hyperlink" Target="https://ncirs.org.au/sites/default/files/2025-10/Annual%20Immunisation%20Coverage%20Report%202024.pdf" TargetMode="External"/><Relationship Id="rId45" Type="http://schemas.openxmlformats.org/officeDocument/2006/relationships/hyperlink" Target="https://immunisationhandbook.health.gov.au/contents/vaccine-preventable-diseases/measles" TargetMode="Externa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header" Target="header3.xml"/><Relationship Id="rId28" Type="http://schemas.openxmlformats.org/officeDocument/2006/relationships/hyperlink" Target="mailto:Lizzie.Gorrell%40cdc.gov.au?subject=" TargetMode="External"/><Relationship Id="rId36" Type="http://schemas.openxmlformats.org/officeDocument/2006/relationships/hyperlink" Target="https://www.who.int/news/item/14-11-2024-measles-cases-surge-worldwide--infecting-10.3-million-people-in-2023" TargetMode="External"/><Relationship Id="rId49" Type="http://schemas.openxmlformats.org/officeDocument/2006/relationships/theme" Target="theme/theme1.xml"/><Relationship Id="rId10" Type="http://schemas.openxmlformats.org/officeDocument/2006/relationships/hyperlink" Target="https://www.cdc.gov.au/cdi" TargetMode="External"/><Relationship Id="rId19" Type="http://schemas.openxmlformats.org/officeDocument/2006/relationships/header" Target="header1.xml"/><Relationship Id="rId31" Type="http://schemas.openxmlformats.org/officeDocument/2006/relationships/hyperlink" Target="https://doi.org/10.15585/mmwr.mm6945a6" TargetMode="External"/><Relationship Id="rId44" Type="http://schemas.openxmlformats.org/officeDocument/2006/relationships/hyperlink" Target="https://www.abs.gov.au/articles/overseas-arrivals-and-departures-australia-2024-25-financial-yea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footer" Target="footer2.xml"/><Relationship Id="rId27" Type="http://schemas.openxmlformats.org/officeDocument/2006/relationships/image" Target="media/image5.jpg"/><Relationship Id="rId30" Type="http://schemas.openxmlformats.org/officeDocument/2006/relationships/hyperlink" Target="https://www.who.int/news-room/fact-sheets/detail/measles" TargetMode="External"/><Relationship Id="rId35" Type="http://schemas.openxmlformats.org/officeDocument/2006/relationships/hyperlink" Target="https://www.who.int/news/item/28-11-2025-measles-deaths-down-88--since-2000--but-cases-surge" TargetMode="External"/><Relationship Id="rId43" Type="http://schemas.openxmlformats.org/officeDocument/2006/relationships/hyperlink" Target="https://www.australia.com/en/facts-and-planning/when-to-go/australian-school-holidays.html"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image" Target="media/image3.jpg"/><Relationship Id="rId33" Type="http://schemas.openxmlformats.org/officeDocument/2006/relationships/hyperlink" Target="https://immunizationdata.who.int/global/wiise-detail-page/measles-reported-cases-and-incidence" TargetMode="External"/><Relationship Id="rId38" Type="http://schemas.openxmlformats.org/officeDocument/2006/relationships/hyperlink" Target="https://www.who.int/publications/i/item/measles-and-rubella-strategic-framework-2021-2030" TargetMode="External"/><Relationship Id="rId46" Type="http://schemas.openxmlformats.org/officeDocument/2006/relationships/hyperlink" Target="https://www.abs.gov.au/articles/most-popular-countries-aussie-travellers-2019" TargetMode="External"/><Relationship Id="rId20" Type="http://schemas.openxmlformats.org/officeDocument/2006/relationships/header" Target="header2.xml"/><Relationship Id="rId41" Type="http://schemas.openxmlformats.org/officeDocument/2006/relationships/hyperlink" Target="https://doi.org/10.33321/cdi.2023.47.47"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125</TotalTime>
  <Pages>26</Pages>
  <Words>6198</Words>
  <Characters>35063</Characters>
  <Application>Microsoft Office Word</Application>
  <DocSecurity>0</DocSecurity>
  <Lines>2921</Lines>
  <Paragraphs>2578</Paragraphs>
  <ScaleCrop>false</ScaleCrop>
  <HeadingPairs>
    <vt:vector size="2" baseType="variant">
      <vt:variant>
        <vt:lpstr>Title</vt:lpstr>
      </vt:variant>
      <vt:variant>
        <vt:i4>1</vt:i4>
      </vt:variant>
    </vt:vector>
  </HeadingPairs>
  <TitlesOfParts>
    <vt:vector size="1" baseType="lpstr">
      <vt:lpstr>Communicable Diseases Intelligence - Measles epidemiology in Australia: 2014 to 2024</vt:lpstr>
    </vt:vector>
  </TitlesOfParts>
  <Company/>
  <LinksUpToDate>false</LinksUpToDate>
  <CharactersWithSpaces>38683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Measles epidemiology in Australia: 2014 to 2024</dc:title>
  <dc:subject>Australia has maintained endemic measles elimination since verification was first achieved in 2014. To support sustained elimination, and strengthen national preparedness, we conducted a ten-year review of measles epidemiology from 1January 2014 to 31 December 2024. Measles notifications to the National Notifiable Disease Surveillance System were analysed by sex, age, seasonality, state/territory, country of acquisition, vaccination status, genotype, and cluster characteristics.</dc:subject>
  <dc:creator>Lizzie Gorrell; Benjamin G Polkinghorne; David N Durrheim</dc:creator>
  <cp:keywords>Measles; measles epidemiology; measles elimination; vaccine preventable disease; measles surveillance; measles importation; vaccination; immunisation</cp:keywords>
  <dc:description>© 2026 Commonwealth of Australia as represented by the Australian Centre for Disease Control. This publication is licenced under a CC BY-NC-ND licence.</dc:description>
  <cp:revision>6</cp:revision>
  <cp:lastPrinted>2024-03-07T01:06:00Z</cp:lastPrinted>
  <dcterms:created xsi:type="dcterms:W3CDTF">2026-03-16T06:09:00Z</dcterms:created>
  <dcterms:modified xsi:type="dcterms:W3CDTF">2026-03-17T05:11:00Z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24.03.2026</vt:lpwstr>
  </property>
  <property fmtid="{D5CDD505-2E9C-101B-9397-08002B2CF9AE}" pid="5" name="DOI">
    <vt:lpwstr>doi.org/10.33321/cdi.2026.50.016</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