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2E78" w:rsidRDefault="00E52E78" w:rsidP="00346DF0">
      <w:pPr>
        <w:pStyle w:val="Title"/>
        <w:rPr>
          <w:sz w:val="24"/>
          <w:szCs w:val="24"/>
        </w:rPr>
      </w:pPr>
      <w:r>
        <w:t xml:space="preserve">COVID-19 Australia: Epidemiology Report 40 </w:t>
      </w:r>
    </w:p>
    <w:p w:rsidR="00E52E78" w:rsidRDefault="00E52E78" w:rsidP="00824E08">
      <w:pPr>
        <w:pStyle w:val="Subtitle"/>
        <w:spacing w:after="200"/>
        <w:rPr>
          <w:rFonts w:eastAsia="Times New Roman"/>
        </w:rPr>
      </w:pPr>
      <w:r>
        <w:rPr>
          <w:rFonts w:eastAsia="Times New Roman"/>
        </w:rPr>
        <w:t xml:space="preserve">Reporting period ending 25 April 2021 </w:t>
      </w:r>
    </w:p>
    <w:p w:rsidR="00E52E78" w:rsidRDefault="00E52E78" w:rsidP="00824E08">
      <w:pPr>
        <w:spacing w:after="100"/>
      </w:pPr>
      <w:r>
        <w:t xml:space="preserve">COVID-19 National Incident Room Surveillance Team </w:t>
      </w:r>
    </w:p>
    <w:p w:rsidR="00E52E78" w:rsidRPr="00346DF0" w:rsidRDefault="00E52E78" w:rsidP="00824E08">
      <w:pPr>
        <w:pStyle w:val="Heading1"/>
        <w:spacing w:before="240"/>
      </w:pPr>
      <w:r w:rsidRPr="00346DF0">
        <w:t>Summary</w:t>
      </w:r>
    </w:p>
    <w:p w:rsidR="00346DF0" w:rsidRDefault="00346DF0">
      <w:pPr>
        <w:pStyle w:val="NormalWeb"/>
      </w:pPr>
      <w:r>
        <w:rPr>
          <w:noProof/>
        </w:rPr>
        <mc:AlternateContent>
          <mc:Choice Requires="wps">
            <w:drawing>
              <wp:inline distT="0" distB="0" distL="0" distR="0">
                <wp:extent cx="6625742" cy="1404620"/>
                <wp:effectExtent l="0" t="0" r="22860" b="1333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742" cy="1404620"/>
                        </a:xfrm>
                        <a:prstGeom prst="rect">
                          <a:avLst/>
                        </a:prstGeom>
                        <a:solidFill>
                          <a:srgbClr val="FFC000">
                            <a:alpha val="5098"/>
                          </a:srgbClr>
                        </a:solidFill>
                        <a:ln w="3175">
                          <a:solidFill>
                            <a:srgbClr val="FFC000">
                              <a:alpha val="50196"/>
                            </a:srgbClr>
                          </a:solidFill>
                          <a:miter lim="800000"/>
                          <a:headEnd/>
                          <a:tailEnd/>
                        </a:ln>
                      </wps:spPr>
                      <wps:txbx>
                        <w:txbxContent>
                          <w:p w:rsidR="00EE1F6B" w:rsidRPr="007F1C10" w:rsidRDefault="00EE1F6B" w:rsidP="007F1C10">
                            <w:pPr>
                              <w:pStyle w:val="Heading2"/>
                            </w:pPr>
                            <w:r w:rsidRPr="007F1C10">
                              <w:rPr>
                                <w:rStyle w:val="Strong"/>
                                <w:b/>
                                <w:bCs/>
                              </w:rPr>
                              <w:t xml:space="preserve">Two-week reporting period: </w:t>
                            </w:r>
                          </w:p>
                          <w:p w:rsidR="00EE1F6B" w:rsidRPr="002550E6" w:rsidRDefault="00EE1F6B" w:rsidP="00346DF0">
                            <w:pPr>
                              <w:rPr>
                                <w:sz w:val="20"/>
                              </w:rPr>
                            </w:pPr>
                            <w:r w:rsidRPr="002550E6">
                              <w:rPr>
                                <w:rStyle w:val="Strong"/>
                                <w:sz w:val="20"/>
                              </w:rPr>
                              <w:t>Trends</w:t>
                            </w:r>
                            <w:r w:rsidRPr="002550E6">
                              <w:rPr>
                                <w:sz w:val="20"/>
                              </w:rPr>
                              <w:t xml:space="preserve"> – The number of </w:t>
                            </w:r>
                            <w:r w:rsidR="003E34FA" w:rsidRPr="003E34FA">
                              <w:rPr>
                                <w:sz w:val="20"/>
                              </w:rPr>
                              <w:t>coronavirus disease 2019 (COVID-19)</w:t>
                            </w:r>
                            <w:r w:rsidRPr="002550E6">
                              <w:rPr>
                                <w:sz w:val="20"/>
                              </w:rPr>
                              <w:t xml:space="preserve"> cases reported in Australia remains relatively low, although new case numbers did increase more than twofold in this two-week reporting period compared to the previous two weeks. The daily average number of cases for this reporting period was seventeen, compared to an average of eight cases per day in the previous fortnight. There were 243 cases of COVID-19 and one new death this fortnight, bringing the cumulative case count to 29,550 with 910 deaths. </w:t>
                            </w:r>
                          </w:p>
                          <w:p w:rsidR="00EE1F6B" w:rsidRPr="002550E6" w:rsidRDefault="00EE1F6B" w:rsidP="00346DF0">
                            <w:pPr>
                              <w:rPr>
                                <w:sz w:val="20"/>
                              </w:rPr>
                            </w:pPr>
                            <w:r w:rsidRPr="002550E6">
                              <w:rPr>
                                <w:rStyle w:val="Strong"/>
                                <w:sz w:val="20"/>
                              </w:rPr>
                              <w:t xml:space="preserve">Local cases </w:t>
                            </w:r>
                            <w:r w:rsidRPr="002550E6">
                              <w:rPr>
                                <w:sz w:val="20"/>
                              </w:rPr>
                              <w:t>– There were seven locally-acquired cases reported in Australia this fortnight, three each from New South Wales and Western Australia and one from Victoria. Two further cases remained under investigation at the end of this reporting</w:t>
                            </w:r>
                            <w:r>
                              <w:rPr>
                                <w:sz w:val="20"/>
                              </w:rPr>
                              <w:t> </w:t>
                            </w:r>
                            <w:r w:rsidRPr="002550E6">
                              <w:rPr>
                                <w:sz w:val="20"/>
                              </w:rPr>
                              <w:t xml:space="preserve">period. </w:t>
                            </w:r>
                          </w:p>
                          <w:p w:rsidR="00EE1F6B" w:rsidRPr="002550E6" w:rsidRDefault="00EE1F6B" w:rsidP="00346DF0">
                            <w:pPr>
                              <w:rPr>
                                <w:sz w:val="20"/>
                              </w:rPr>
                            </w:pPr>
                            <w:r w:rsidRPr="002550E6">
                              <w:rPr>
                                <w:rStyle w:val="Strong"/>
                                <w:sz w:val="20"/>
                              </w:rPr>
                              <w:t xml:space="preserve">Overseas cases </w:t>
                            </w:r>
                            <w:r w:rsidRPr="002550E6">
                              <w:rPr>
                                <w:sz w:val="20"/>
                              </w:rPr>
                              <w:t xml:space="preserve">– There were 234 overseas-acquired cases this reporting period. Of these, 33% (78/234) were reported from New South Wales and 22% (52/234) from the Northern Territory. </w:t>
                            </w:r>
                          </w:p>
                          <w:p w:rsidR="00EE1F6B" w:rsidRPr="002550E6" w:rsidRDefault="00EE1F6B" w:rsidP="00346DF0">
                            <w:pPr>
                              <w:rPr>
                                <w:sz w:val="20"/>
                              </w:rPr>
                            </w:pPr>
                            <w:r w:rsidRPr="002550E6">
                              <w:rPr>
                                <w:rStyle w:val="Strong"/>
                                <w:sz w:val="20"/>
                              </w:rPr>
                              <w:t xml:space="preserve">Vaccinations </w:t>
                            </w:r>
                            <w:r w:rsidRPr="002550E6">
                              <w:rPr>
                                <w:sz w:val="20"/>
                              </w:rPr>
                              <w:t>–</w:t>
                            </w:r>
                            <w:r w:rsidR="003E34FA">
                              <w:rPr>
                                <w:sz w:val="20"/>
                              </w:rPr>
                              <w:t xml:space="preserve"> </w:t>
                            </w:r>
                            <w:r w:rsidRPr="002550E6">
                              <w:rPr>
                                <w:sz w:val="20"/>
                              </w:rPr>
                              <w:t xml:space="preserve">As at 27 April 2021, there have been 2,018,554 doses of COVID-19 vaccine administered in Australia. </w:t>
                            </w:r>
                          </w:p>
                          <w:p w:rsidR="00EE1F6B" w:rsidRPr="007F1C10" w:rsidRDefault="00EE1F6B" w:rsidP="007F1C10">
                            <w:pPr>
                              <w:pStyle w:val="Heading2"/>
                            </w:pPr>
                            <w:r w:rsidRPr="007F1C10">
                              <w:rPr>
                                <w:rStyle w:val="Strong"/>
                                <w:b/>
                                <w:bCs/>
                              </w:rPr>
                              <w:t xml:space="preserve">Four-week reporting period: </w:t>
                            </w:r>
                          </w:p>
                          <w:p w:rsidR="00EE1F6B" w:rsidRPr="002550E6" w:rsidRDefault="00EE1F6B" w:rsidP="003C120C">
                            <w:pPr>
                              <w:rPr>
                                <w:sz w:val="20"/>
                              </w:rPr>
                            </w:pPr>
                            <w:r w:rsidRPr="002550E6">
                              <w:rPr>
                                <w:rStyle w:val="Strong"/>
                                <w:sz w:val="20"/>
                              </w:rPr>
                              <w:t>Virology</w:t>
                            </w:r>
                            <w:r w:rsidRPr="002550E6">
                              <w:rPr>
                                <w:sz w:val="20"/>
                              </w:rPr>
                              <w:t xml:space="preserve"> – Nationally, SARS-CoV-2 strains from 59% of COVID-19 cases have been sequenced during the pandemic. During 2021, there has been an increase in the number of cases infected with SARS-CoV-2 variants of concern (VOC) in Australia. </w:t>
                            </w:r>
                            <w:proofErr w:type="spellStart"/>
                            <w:r w:rsidRPr="002550E6">
                              <w:rPr>
                                <w:sz w:val="20"/>
                              </w:rPr>
                              <w:t>AusTrakka</w:t>
                            </w:r>
                            <w:proofErr w:type="spellEnd"/>
                            <w:r w:rsidRPr="002550E6">
                              <w:rPr>
                                <w:sz w:val="20"/>
                              </w:rPr>
                              <w:t xml:space="preserve"> is actively monitoring and reporting on these variants and has so far identified 340 samples of B.1.1.7 (also known as VOC-202012/01 or 20I/501Y.V1); 63 samples of B.1.351 (aka VOC-202012/02 or 20H/501Y.V2); and five samples of P.1 (aka VOC-202101/02 or 20J/501Y.V3) in Australia. </w:t>
                            </w:r>
                          </w:p>
                          <w:p w:rsidR="00EE1F6B" w:rsidRPr="002550E6" w:rsidRDefault="00EE1F6B" w:rsidP="003C120C">
                            <w:pPr>
                              <w:rPr>
                                <w:sz w:val="20"/>
                              </w:rPr>
                            </w:pPr>
                            <w:r w:rsidRPr="002550E6">
                              <w:rPr>
                                <w:rStyle w:val="Strong"/>
                                <w:sz w:val="20"/>
                              </w:rPr>
                              <w:t xml:space="preserve">Testing </w:t>
                            </w:r>
                            <w:r w:rsidRPr="002550E6">
                              <w:rPr>
                                <w:sz w:val="20"/>
                              </w:rPr>
                              <w:t xml:space="preserve">– Testing rates were slightly lower than in the previous fortnight (15.0 versus 19.6 per 100,000 population). The cumulative positivity rate remains low at 0.02%. </w:t>
                            </w:r>
                          </w:p>
                          <w:p w:rsidR="00EE1F6B" w:rsidRPr="002550E6" w:rsidRDefault="00EE1F6B" w:rsidP="003C120C">
                            <w:pPr>
                              <w:rPr>
                                <w:sz w:val="20"/>
                              </w:rPr>
                            </w:pPr>
                            <w:r w:rsidRPr="002550E6">
                              <w:rPr>
                                <w:rStyle w:val="Strong"/>
                                <w:sz w:val="20"/>
                              </w:rPr>
                              <w:t>Severity</w:t>
                            </w:r>
                            <w:r w:rsidRPr="002550E6">
                              <w:rPr>
                                <w:sz w:val="20"/>
                              </w:rPr>
                              <w:t xml:space="preserve"> – Of all cases since the beginning of the pandemic, an estimated 12% have been admitted to hospital. According to sentinel surveillance data, 19% of hospitalised patients were admitted to an intensive care unit. Australia’s case fatality rate has remained stable at 3.1%. One COVID-19 related death occurred in the past four weeks. </w:t>
                            </w:r>
                          </w:p>
                          <w:p w:rsidR="00EE1F6B" w:rsidRPr="002550E6" w:rsidRDefault="00EE1F6B" w:rsidP="003C120C">
                            <w:pPr>
                              <w:rPr>
                                <w:sz w:val="20"/>
                              </w:rPr>
                            </w:pPr>
                            <w:r w:rsidRPr="002550E6">
                              <w:rPr>
                                <w:rStyle w:val="Strong"/>
                                <w:sz w:val="20"/>
                              </w:rPr>
                              <w:t>Public health measures</w:t>
                            </w:r>
                            <w:r w:rsidRPr="002550E6">
                              <w:rPr>
                                <w:sz w:val="20"/>
                              </w:rPr>
                              <w:t xml:space="preserve"> – Extra restrictions were put in place in Queensland and Perth during this reporting period, to minimise the risk associated with locally-acquired cases in each location. </w:t>
                            </w:r>
                          </w:p>
                          <w:p w:rsidR="00EE1F6B" w:rsidRPr="002550E6" w:rsidRDefault="00EE1F6B" w:rsidP="003C120C">
                            <w:pPr>
                              <w:rPr>
                                <w:sz w:val="20"/>
                              </w:rPr>
                            </w:pPr>
                            <w:r w:rsidRPr="002550E6">
                              <w:rPr>
                                <w:rStyle w:val="Strong"/>
                                <w:sz w:val="20"/>
                              </w:rPr>
                              <w:t>International situation</w:t>
                            </w:r>
                            <w:r w:rsidRPr="002550E6">
                              <w:rPr>
                                <w:sz w:val="20"/>
                              </w:rPr>
                              <w:t xml:space="preserve"> – Cumulative global COVID-19 cases and deaths now exceed 146 million and 3.1 million respectively. India reported over six million cases in this four-week reporting period. In Australia’s near region, Lao PDR and Thailand both experienced the largest increase in infection rates in this reporting period compared to the previous reporting period.</w:t>
                            </w:r>
                          </w:p>
                        </w:txbxContent>
                      </wps:txbx>
                      <wps:bodyPr rot="0" vert="horz" wrap="square" lIns="91440" tIns="45720" rIns="91440" bIns="45720" anchor="t" anchorCtr="0">
                        <a:sp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521.7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" fillcolor="#ffc000" strokecolor="#ffc000" strokeweight=".25pt">
                <v:fill opacity="3341f"/>
                <v:stroke opacity="32896f"/>
                <v:textbox style="mso-fit-shape-to-text:t">
                  <w:txbxContent>
                    <w:p w:rsidR="00EE1F6B" w:rsidRPr="007F1C10" w:rsidRDefault="00EE1F6B" w:rsidP="007F1C10">
                      <w:pPr>
                        <w:pStyle w:val="Heading2"/>
                      </w:pPr>
                      <w:r w:rsidRPr="007F1C10">
                        <w:rPr>
                          <w:rStyle w:val="Strong"/>
                          <w:b/>
                          <w:bCs/>
                        </w:rPr>
                        <w:t xml:space="preserve">Two-week reporting period: </w:t>
                      </w:r>
                    </w:p>
                    <w:p w:rsidR="00EE1F6B" w:rsidRPr="002550E6" w:rsidRDefault="00EE1F6B" w:rsidP="00346DF0">
                      <w:pPr>
                        <w:rPr>
                          <w:sz w:val="20"/>
                        </w:rPr>
                      </w:pPr>
                      <w:r w:rsidRPr="002550E6">
                        <w:rPr>
                          <w:rStyle w:val="Strong"/>
                          <w:sz w:val="20"/>
                        </w:rPr>
                        <w:t>Trends</w:t>
                      </w:r>
                      <w:r w:rsidRPr="002550E6">
                        <w:rPr>
                          <w:sz w:val="20"/>
                        </w:rPr>
                        <w:t xml:space="preserve"> – The number of </w:t>
                      </w:r>
                      <w:r w:rsidR="003E34FA" w:rsidRPr="003E34FA">
                        <w:rPr>
                          <w:sz w:val="20"/>
                        </w:rPr>
                        <w:t>coronavirus disease 2019 (COVID-19)</w:t>
                      </w:r>
                      <w:r w:rsidRPr="002550E6">
                        <w:rPr>
                          <w:sz w:val="20"/>
                        </w:rPr>
                        <w:t xml:space="preserve"> cases reported in Australia remains relatively low, although new case numbers did increase more than twofold in this two-week reporting period compared to the previous two weeks. The daily average number of cases for this reporting period was seventeen, compared to an average of eight cases per day in the previous fortnight. There were 243 cases of COVID-19 and one new death this fortnight, bringing the cumulative case count to 29,550 with 910 deaths. </w:t>
                      </w:r>
                    </w:p>
                    <w:p w:rsidR="00EE1F6B" w:rsidRPr="002550E6" w:rsidRDefault="00EE1F6B" w:rsidP="00346DF0">
                      <w:pPr>
                        <w:rPr>
                          <w:sz w:val="20"/>
                        </w:rPr>
                      </w:pPr>
                      <w:r w:rsidRPr="002550E6">
                        <w:rPr>
                          <w:rStyle w:val="Strong"/>
                          <w:sz w:val="20"/>
                        </w:rPr>
                        <w:t xml:space="preserve">Local cases </w:t>
                      </w:r>
                      <w:r w:rsidRPr="002550E6">
                        <w:rPr>
                          <w:sz w:val="20"/>
                        </w:rPr>
                        <w:t>– There were seven locally-acquired cases reported in Australia this fortnight, three each from New South Wales and Western Australia and one from Victoria. Two further cases remained under investigation at the end of this reporting</w:t>
                      </w:r>
                      <w:r>
                        <w:rPr>
                          <w:sz w:val="20"/>
                        </w:rPr>
                        <w:t> </w:t>
                      </w:r>
                      <w:r w:rsidRPr="002550E6">
                        <w:rPr>
                          <w:sz w:val="20"/>
                        </w:rPr>
                        <w:t xml:space="preserve">period. </w:t>
                      </w:r>
                    </w:p>
                    <w:p w:rsidR="00EE1F6B" w:rsidRPr="002550E6" w:rsidRDefault="00EE1F6B" w:rsidP="00346DF0">
                      <w:pPr>
                        <w:rPr>
                          <w:sz w:val="20"/>
                        </w:rPr>
                      </w:pPr>
                      <w:r w:rsidRPr="002550E6">
                        <w:rPr>
                          <w:rStyle w:val="Strong"/>
                          <w:sz w:val="20"/>
                        </w:rPr>
                        <w:t xml:space="preserve">Overseas cases </w:t>
                      </w:r>
                      <w:r w:rsidRPr="002550E6">
                        <w:rPr>
                          <w:sz w:val="20"/>
                        </w:rPr>
                        <w:t xml:space="preserve">– There were 234 overseas-acquired cases this reporting period. Of these, 33% (78/234) were reported from New South Wales and 22% (52/234) from the Northern Territory. </w:t>
                      </w:r>
                    </w:p>
                    <w:p w:rsidR="00EE1F6B" w:rsidRPr="002550E6" w:rsidRDefault="00EE1F6B" w:rsidP="00346DF0">
                      <w:pPr>
                        <w:rPr>
                          <w:sz w:val="20"/>
                        </w:rPr>
                      </w:pPr>
                      <w:r w:rsidRPr="002550E6">
                        <w:rPr>
                          <w:rStyle w:val="Strong"/>
                          <w:sz w:val="20"/>
                        </w:rPr>
                        <w:t xml:space="preserve">Vaccinations </w:t>
                      </w:r>
                      <w:r w:rsidRPr="002550E6">
                        <w:rPr>
                          <w:sz w:val="20"/>
                        </w:rPr>
                        <w:t>–</w:t>
                      </w:r>
                      <w:r w:rsidR="003E34FA">
                        <w:rPr>
                          <w:sz w:val="20"/>
                        </w:rPr>
                        <w:t xml:space="preserve"> </w:t>
                      </w:r>
                      <w:r w:rsidRPr="002550E6">
                        <w:rPr>
                          <w:sz w:val="20"/>
                        </w:rPr>
                        <w:t xml:space="preserve">As at 27 April 2021, there have been 2,018,554 doses of COVID-19 vaccine administered in Australia. </w:t>
                      </w:r>
                    </w:p>
                    <w:p w:rsidR="00EE1F6B" w:rsidRPr="007F1C10" w:rsidRDefault="00EE1F6B" w:rsidP="007F1C10">
                      <w:pPr>
                        <w:pStyle w:val="Heading2"/>
                      </w:pPr>
                      <w:r w:rsidRPr="007F1C10">
                        <w:rPr>
                          <w:rStyle w:val="Strong"/>
                          <w:b/>
                          <w:bCs/>
                        </w:rPr>
                        <w:t xml:space="preserve">Four-week reporting period: </w:t>
                      </w:r>
                    </w:p>
                    <w:p w:rsidR="00EE1F6B" w:rsidRPr="002550E6" w:rsidRDefault="00EE1F6B" w:rsidP="003C120C">
                      <w:pPr>
                        <w:rPr>
                          <w:sz w:val="20"/>
                        </w:rPr>
                      </w:pPr>
                      <w:r w:rsidRPr="002550E6">
                        <w:rPr>
                          <w:rStyle w:val="Strong"/>
                          <w:sz w:val="20"/>
                        </w:rPr>
                        <w:t>Virology</w:t>
                      </w:r>
                      <w:r w:rsidRPr="002550E6">
                        <w:rPr>
                          <w:sz w:val="20"/>
                        </w:rPr>
                        <w:t xml:space="preserve"> – Nationally, SARS-CoV-2 strains from 59% of COVID-19 cases have been sequenced during the pandemic. During 2021, there has been an increase in the number of cases infected with SARS-CoV-2 variants of concern (VOC) in Australia. AusTrakka is actively monitoring and reporting on these variants and has so far identified 340 samples of B.1.1.7 (also known as VOC-202012/01 or 20I/501Y.V1); 63 samples of B.1.351 (aka VOC-202012/02 or 20H/501Y.V2); and five samples of P.1 (aka VOC-202101/02 or 20J/501Y.V3) in Australia. </w:t>
                      </w:r>
                    </w:p>
                    <w:p w:rsidR="00EE1F6B" w:rsidRPr="002550E6" w:rsidRDefault="00EE1F6B" w:rsidP="003C120C">
                      <w:pPr>
                        <w:rPr>
                          <w:sz w:val="20"/>
                        </w:rPr>
                      </w:pPr>
                      <w:r w:rsidRPr="002550E6">
                        <w:rPr>
                          <w:rStyle w:val="Strong"/>
                          <w:sz w:val="20"/>
                        </w:rPr>
                        <w:t xml:space="preserve">Testing </w:t>
                      </w:r>
                      <w:r w:rsidRPr="002550E6">
                        <w:rPr>
                          <w:sz w:val="20"/>
                        </w:rPr>
                        <w:t xml:space="preserve">– Testing rates were slightly lower than in the previous fortnight (15.0 versus 19.6 per 100,000 population). The cumulative positivity rate remains low at 0.02%. </w:t>
                      </w:r>
                    </w:p>
                    <w:p w:rsidR="00EE1F6B" w:rsidRPr="002550E6" w:rsidRDefault="00EE1F6B" w:rsidP="003C120C">
                      <w:pPr>
                        <w:rPr>
                          <w:sz w:val="20"/>
                        </w:rPr>
                      </w:pPr>
                      <w:r w:rsidRPr="002550E6">
                        <w:rPr>
                          <w:rStyle w:val="Strong"/>
                          <w:sz w:val="20"/>
                        </w:rPr>
                        <w:t>Severity</w:t>
                      </w:r>
                      <w:r w:rsidRPr="002550E6">
                        <w:rPr>
                          <w:sz w:val="20"/>
                        </w:rPr>
                        <w:t xml:space="preserve"> – Of all cases since the beginning of the pandemic, an estimated 12% have been admitted to hospital. According to sentinel surveillance data, 19% of hospitalised patients were admitted to an intensive care unit. Australia’s case fatality rate has remained stable at 3.1%. One COVID-19 related death occurred in the past four weeks. </w:t>
                      </w:r>
                    </w:p>
                    <w:p w:rsidR="00EE1F6B" w:rsidRPr="002550E6" w:rsidRDefault="00EE1F6B" w:rsidP="003C120C">
                      <w:pPr>
                        <w:rPr>
                          <w:sz w:val="20"/>
                        </w:rPr>
                      </w:pPr>
                      <w:r w:rsidRPr="002550E6">
                        <w:rPr>
                          <w:rStyle w:val="Strong"/>
                          <w:sz w:val="20"/>
                        </w:rPr>
                        <w:t>Public health measures</w:t>
                      </w:r>
                      <w:r w:rsidRPr="002550E6">
                        <w:rPr>
                          <w:sz w:val="20"/>
                        </w:rPr>
                        <w:t xml:space="preserve"> – Extra restrictions were put in place in Queensland and Perth during this reporting period, to minimise the risk associated with locally-acquired cases in each location. </w:t>
                      </w:r>
                    </w:p>
                    <w:p w:rsidR="00EE1F6B" w:rsidRPr="002550E6" w:rsidRDefault="00EE1F6B" w:rsidP="003C120C">
                      <w:pPr>
                        <w:rPr>
                          <w:sz w:val="20"/>
                        </w:rPr>
                      </w:pPr>
                      <w:r w:rsidRPr="002550E6">
                        <w:rPr>
                          <w:rStyle w:val="Strong"/>
                          <w:sz w:val="20"/>
                        </w:rPr>
                        <w:t>International situation</w:t>
                      </w:r>
                      <w:r w:rsidRPr="002550E6">
                        <w:rPr>
                          <w:sz w:val="20"/>
                        </w:rPr>
                        <w:t xml:space="preserve"> – Cumulative global COVID-19 cases and deaths now exceed 146 million and 3.1 million respectively. India reported over six million cases in this four-week reporting period. In Australia’s near region, Lao PDR and Thailand both experienced the largest increase in infection rates in this reporting period compared to the previous reporting period.</w:t>
                      </w:r>
                    </w:p>
                  </w:txbxContent>
                </v:textbox>
                <w10:anchorlock/>
              </v:shape>
            </w:pict>
          </mc:Fallback>
        </mc:AlternateContent>
      </w:r>
    </w:p>
    <w:p w:rsidR="00E52E78" w:rsidRDefault="00E52E78" w:rsidP="002550E6">
      <w:r>
        <w:t>This reporting period covers the last two weeks (12–25 April 2021), with data for this period compared to that from the previous two-week reporting period (29 March – 11 April 2021).</w:t>
      </w:r>
      <w:r>
        <w:rPr>
          <w:vertAlign w:val="superscript"/>
        </w:rPr>
        <w:t>1</w:t>
      </w:r>
      <w:r>
        <w:t xml:space="preserve"> As Australia continues to experience low </w:t>
      </w:r>
      <w:proofErr w:type="gramStart"/>
      <w:r>
        <w:t>numbers</w:t>
      </w:r>
      <w:proofErr w:type="gramEnd"/>
      <w:r>
        <w:t xml:space="preserve"> of </w:t>
      </w:r>
      <w:r w:rsidR="003E34FA" w:rsidRPr="003E34FA">
        <w:t>coronavirus disease 2019 (COVID-19)</w:t>
      </w:r>
      <w:r>
        <w:t xml:space="preserve"> cases, this report has transitioned to a brief update on case numbers each fortnight and a more detailed analysis every four weeks. The focus of this report is now on the epidemiological situation in Australia since the beginning of this year, 2021. Readers are encouraged to consult prior reports for information on the epidemiology of cases in Australia in 2020. Included in this</w:t>
      </w:r>
      <w:bookmarkStart w:id="0" w:name="_GoBack"/>
      <w:bookmarkEnd w:id="0"/>
      <w:r>
        <w:t xml:space="preserve"> report with a reporting </w:t>
      </w:r>
      <w:r>
        <w:lastRenderedPageBreak/>
        <w:t xml:space="preserve">period of four weeks are sections on genomic surveillance and virology, acute respiratory illness, severity, testing, public health response measures, and the international situation. The reporting period for these topics covers 29 March – 25 April 2021. For comparability, the previous reporting period is the preceding four weeks (1–28 March 2021). </w:t>
      </w:r>
    </w:p>
    <w:p w:rsidR="00E52E78" w:rsidRPr="002550E6" w:rsidRDefault="00E52E78" w:rsidP="002550E6">
      <w:pPr>
        <w:rPr>
          <w:b/>
        </w:rPr>
      </w:pPr>
      <w:r w:rsidRPr="002550E6">
        <w:t>Keywords:</w:t>
      </w:r>
      <w:r w:rsidRPr="002550E6">
        <w:rPr>
          <w:rStyle w:val="Emphasis"/>
          <w:b w:val="0"/>
        </w:rPr>
        <w:t xml:space="preserve"> SARS-CoV-2; novel coronavirus; 2019-nCoV; coronavirus disease 2019; COVID-19; acute respiratory disease; epidemiology; Australia</w:t>
      </w:r>
    </w:p>
    <w:p w:rsidR="00E52E78" w:rsidRPr="00FE138D" w:rsidRDefault="0088263C" w:rsidP="00FE138D">
      <w:pPr>
        <w:pStyle w:val="Heading1"/>
      </w:pPr>
      <w:r>
        <w:rPr>
          <w:noProof/>
        </w:rPr>
        <mc:AlternateContent>
          <mc:Choice Requires="wps">
            <w:drawing>
              <wp:inline distT="0" distB="0" distL="0" distR="0">
                <wp:extent cx="6430060" cy="1404620"/>
                <wp:effectExtent l="0" t="0" r="27940" b="13335"/>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0060" cy="1404620"/>
                        </a:xfrm>
                        <a:prstGeom prst="rect">
                          <a:avLst/>
                        </a:prstGeom>
                        <a:solidFill>
                          <a:schemeClr val="bg1">
                            <a:lumMod val="95000"/>
                          </a:schemeClr>
                        </a:solidFill>
                        <a:ln w="3175">
                          <a:solidFill>
                            <a:schemeClr val="bg1">
                              <a:lumMod val="50000"/>
                            </a:schemeClr>
                          </a:solidFill>
                          <a:miter lim="800000"/>
                          <a:headEnd/>
                          <a:tailEnd/>
                        </a:ln>
                      </wps:spPr>
                      <wps:txbx>
                        <w:txbxContent>
                          <w:p w:rsidR="00EE1F6B" w:rsidRDefault="00EE1F6B" w:rsidP="00FF6E1B">
                            <w:pPr>
                              <w:pStyle w:val="Heading1"/>
                              <w:spacing w:before="240"/>
                            </w:pPr>
                            <w:r w:rsidRPr="0088263C">
                              <w:t>In focus: Comparing March 2020 to March 2021 in Australia</w:t>
                            </w:r>
                          </w:p>
                        </w:txbxContent>
                      </wps:txbx>
                      <wps:bodyPr rot="0" vert="horz" wrap="square" lIns="91440" tIns="45720" rIns="91440" bIns="45720" anchor="t" anchorCtr="0">
                        <a:spAutoFit/>
                      </wps:bodyPr>
                    </wps:wsp>
                  </a:graphicData>
                </a:graphic>
              </wp:inline>
            </w:drawing>
          </mc:Choice>
          <mc:Fallback>
            <w:pict>
              <v:shape id="_x0000_s1027" type="#_x0000_t202" style="width:506.3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" fillcolor="#f2f2f2 [3052]" strokecolor="#7f7f7f [1612]" strokeweight=".25pt">
                <v:textbox style="mso-fit-shape-to-text:t">
                  <w:txbxContent>
                    <w:p w:rsidR="00EE1F6B" w:rsidRDefault="00EE1F6B" w:rsidP="00FF6E1B">
                      <w:pPr>
                        <w:pStyle w:val="Heading1"/>
                        <w:spacing w:before="240"/>
                      </w:pPr>
                      <w:r w:rsidRPr="0088263C">
                        <w:t>In focus: Comparing March 2020 to March 2021 in Australia</w:t>
                      </w:r>
                    </w:p>
                  </w:txbxContent>
                </v:textbox>
                <w10:anchorlock/>
              </v:shape>
            </w:pict>
          </mc:Fallback>
        </mc:AlternateContent>
      </w:r>
      <w:r w:rsidR="00E52E78" w:rsidRPr="00FE138D">
        <w:t xml:space="preserve"> </w:t>
      </w:r>
    </w:p>
    <w:p w:rsidR="00E52E78" w:rsidRDefault="00E52E78" w:rsidP="00FE138D">
      <w:r>
        <w:t>It is now over one year since the WHO declared a global pandemic caused by the novel coronavirus SARS-CoV-2 on 11 March 2020.</w:t>
      </w:r>
      <w:r>
        <w:rPr>
          <w:vertAlign w:val="superscript"/>
        </w:rPr>
        <w:t>2</w:t>
      </w:r>
      <w:r>
        <w:t xml:space="preserve"> The outbreak and spread of COVID-19 infections has had a dramatic impact worldwide, but has affected some countries much more than others. In Australia, there were two main peaks of infection in March and July 2020, the first driven by international travellers returning to Australia and the second by an outbreak of community cases in the state of Victoria. Since this second outbreak, case numbers have remained low nationally. </w:t>
      </w:r>
    </w:p>
    <w:p w:rsidR="00E52E78" w:rsidRDefault="00E52E78" w:rsidP="00FE138D">
      <w:r>
        <w:t xml:space="preserve">This ‘In focus’ section compares the epidemiology of cases in Australia in March 2020 to that in March 2021, considering the differences in epidemiological curves, source of acquisition of cases, demographic profile of cases and public health actions taken in both periods. </w:t>
      </w:r>
    </w:p>
    <w:p w:rsidR="00E52E78" w:rsidRPr="00FE138D" w:rsidRDefault="00E52E78" w:rsidP="00FE138D">
      <w:pPr>
        <w:pStyle w:val="Heading2"/>
      </w:pPr>
      <w:r w:rsidRPr="00FE138D">
        <w:t xml:space="preserve">Epidemiological curves </w:t>
      </w:r>
    </w:p>
    <w:p w:rsidR="00E52E78" w:rsidRDefault="00E52E78" w:rsidP="00FE138D">
      <w:r>
        <w:t xml:space="preserve">In March 2020, more than twenty times as many new cases were diagnosed in Australia as in March 2021 (Figure 1). The total number of cases diagnosed during March 2021 was 284, compared to 5,984 in March 2020. </w:t>
      </w:r>
    </w:p>
    <w:p w:rsidR="00E52E78" w:rsidRPr="00FE138D" w:rsidRDefault="00E52E78" w:rsidP="00FE138D">
      <w:pPr>
        <w:pStyle w:val="Heading2"/>
      </w:pPr>
      <w:r w:rsidRPr="00FE138D">
        <w:t xml:space="preserve">Source of acquisition of cases </w:t>
      </w:r>
    </w:p>
    <w:p w:rsidR="008D1DDD" w:rsidRDefault="00E52E78" w:rsidP="00C94730">
      <w:r>
        <w:t xml:space="preserve">In March 2021 in Australia, 91% (258/284) of cases were overseas acquired, whereas in March 2020, 68% (4,066/5,984) of cases were acquired overseas. </w:t>
      </w:r>
    </w:p>
    <w:p w:rsidR="00A63851" w:rsidRPr="00FE138D" w:rsidRDefault="00A63851" w:rsidP="00A63851">
      <w:pPr>
        <w:pStyle w:val="Heading2"/>
      </w:pPr>
      <w:r w:rsidRPr="00FE138D">
        <w:t xml:space="preserve">Demographic profile of cases </w:t>
      </w:r>
    </w:p>
    <w:p w:rsidR="00A63851" w:rsidRDefault="00A63851" w:rsidP="00A63851">
      <w:r>
        <w:t xml:space="preserve">The median age of cases in March 2021 was 33 years old (range: 0 to 81). In comparison, the median age of cases in March 2020 was 47 years old (range: 0 to 97). In March 2021, there were more male than female cases (62% male versus 37% female, with 1% of cases with missing data for sex). In March 2020, however, cases were relatively evenly distributed between men and women (51% male versus 48% female, with 1% of cases with missing data for sex). </w:t>
      </w:r>
    </w:p>
    <w:p w:rsidR="004C31B3" w:rsidRDefault="004C31B3">
      <w:pPr>
        <w:rPr>
          <w:rStyle w:val="Strong"/>
          <w:bCs w:val="0"/>
        </w:rPr>
      </w:pPr>
      <w:r>
        <w:rPr>
          <w:rStyle w:val="Strong"/>
          <w:b w:val="0"/>
          <w:bCs w:val="0"/>
        </w:rPr>
        <w:br w:type="page"/>
      </w:r>
    </w:p>
    <w:p w:rsidR="004C31B3" w:rsidRPr="001D4505" w:rsidRDefault="004C31B3" w:rsidP="004C31B3">
      <w:pPr>
        <w:pStyle w:val="CDIFigures"/>
      </w:pPr>
      <w:r w:rsidRPr="001D4505">
        <w:rPr>
          <w:rStyle w:val="Strong"/>
          <w:b/>
          <w:bCs w:val="0"/>
        </w:rPr>
        <w:lastRenderedPageBreak/>
        <w:t>Figure 1: Comparison of COVID-19 notified cases in Australia by source of acquisition in March 2020 (left) and March 2021 (right</w:t>
      </w:r>
      <w:proofErr w:type="gramStart"/>
      <w:r w:rsidRPr="001D4505">
        <w:rPr>
          <w:rStyle w:val="Strong"/>
          <w:b/>
          <w:bCs w:val="0"/>
        </w:rPr>
        <w:t>)</w:t>
      </w:r>
      <w:r w:rsidRPr="001D4505">
        <w:rPr>
          <w:rStyle w:val="Strong"/>
          <w:b/>
          <w:bCs w:val="0"/>
          <w:vertAlign w:val="superscript"/>
        </w:rPr>
        <w:t>a</w:t>
      </w:r>
      <w:proofErr w:type="gramEnd"/>
    </w:p>
    <w:p w:rsidR="004C31B3" w:rsidRDefault="004C31B3" w:rsidP="004C31B3">
      <w:pPr>
        <w:pStyle w:val="NormalWeb"/>
        <w:rPr>
          <w:lang w:val="en-GB"/>
        </w:rPr>
      </w:pPr>
      <w:r>
        <w:rPr>
          <w:noProof/>
        </w:rPr>
        <w:drawing>
          <wp:inline distT="0" distB="0" distL="0" distR="0" wp14:anchorId="5CFCD021" wp14:editId="69C96E68">
            <wp:extent cx="6625742" cy="4683590"/>
            <wp:effectExtent l="0" t="0" r="3810" b="3175"/>
            <wp:docPr id="10" name="Picture 10" descr="Figure 1 shows two side-by-side bar charts of new COVID-19 case notifications in Australia, by date of illness diagnosis and source of acquisition, for March 2020 (left) and March 2021 (right). Overseas-acquired cases dominated both months, but it is apparent that many more cases were notified in March 2020 than in March 2021, with a peak of almost 370 new overseas-acquired cases each day occurring around 20 March 2020 while overseas-acquired cases in March 2021 were consistently below twenty per day. Notified cases for each week have consistently been dominated by those acquired overseas. Overlaid on the March 2020 overseas-acquired cases, there were also numerous locally-acquired cases notified, peaking at approximately 130 new locally-acquired cases on 23 March 2020; in contrast, very few locally-acquired cases were notified in March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shows two side-by-side bar charts of new COVID-19 case notifications in Australia, by date of illness diagnosis and source of acquisition, for March 2020 (left) and March 2021 (right). Overseas-acquired cases dominated both months, but it is apparent that many more cases were notified in March 2020 than in March 2021, with a peak of almost 370 new overseas-acquired cases each day occurring around 20 March 2020 while overseas-acquired cases in March 2021 were consistently below twenty per day. Notified cases for each week have consistently been dominated by those acquired overseas. Overlaid on the March 2020 overseas-acquired cases, there were also numerous locally-acquired cases notified, peaking at approximately 130 new locally-acquired cases on 23 March 2020; in contrast, very few locally-acquired cases were notified in March 202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38020" cy="4692269"/>
                    </a:xfrm>
                    <a:prstGeom prst="rect">
                      <a:avLst/>
                    </a:prstGeom>
                  </pic:spPr>
                </pic:pic>
              </a:graphicData>
            </a:graphic>
          </wp:inline>
        </w:drawing>
      </w:r>
    </w:p>
    <w:p w:rsidR="004C31B3" w:rsidRDefault="004C31B3" w:rsidP="004C31B3">
      <w:pPr>
        <w:pStyle w:val="CDIfootnotes"/>
        <w:rPr>
          <w:lang w:val="en-GB"/>
        </w:rPr>
      </w:pPr>
      <w:proofErr w:type="gramStart"/>
      <w:r>
        <w:rPr>
          <w:lang w:val="en-GB"/>
        </w:rPr>
        <w:t>a</w:t>
      </w:r>
      <w:proofErr w:type="gramEnd"/>
      <w:r>
        <w:rPr>
          <w:lang w:val="en-GB"/>
        </w:rPr>
        <w:tab/>
        <w:t>Source: NNDSS, extract from 29 April 2021, based on diagnosis date.</w:t>
      </w:r>
    </w:p>
    <w:p w:rsidR="00BD28D3" w:rsidRDefault="00BD28D3">
      <w:pPr>
        <w:rPr>
          <w:rStyle w:val="Strong"/>
          <w:bCs w:val="0"/>
        </w:rPr>
      </w:pPr>
    </w:p>
    <w:p w:rsidR="00E52E78" w:rsidRPr="00FE138D" w:rsidRDefault="00E52E78" w:rsidP="00FE138D">
      <w:pPr>
        <w:pStyle w:val="Heading2"/>
      </w:pPr>
      <w:r w:rsidRPr="00FE138D">
        <w:t xml:space="preserve">Major public health measures </w:t>
      </w:r>
    </w:p>
    <w:p w:rsidR="00E52E78" w:rsidRDefault="00E52E78" w:rsidP="00FE138D">
      <w:r>
        <w:t xml:space="preserve">Since the emergence of COVID-19, public health measures have been implemented in Australia to reduce the health impacts of the disease. Measures have been adjusted to align with emerging evidence and in response to Australia’s epidemiological situation. One year on, many public health measures introduced remain as the ‘new COVID-19 normal’, including physical distancing, </w:t>
      </w:r>
      <w:proofErr w:type="spellStart"/>
      <w:r>
        <w:t>COVIDsafe</w:t>
      </w:r>
      <w:proofErr w:type="spellEnd"/>
      <w:r>
        <w:t xml:space="preserve"> hand and respiratory hygiene, and registration systems to enable identification of contacts of cases. </w:t>
      </w:r>
    </w:p>
    <w:p w:rsidR="00E52E78" w:rsidRDefault="00E52E78" w:rsidP="00FE138D">
      <w:r>
        <w:t>Jurisdictions have decision-making authority in relation to public health measures and have implemented or eased restrictions at their own pace, depending on the local public health and epidemiological situation, in line with the ‘Framework for National Reopening’.</w:t>
      </w:r>
      <w:r>
        <w:rPr>
          <w:vertAlign w:val="superscript"/>
        </w:rPr>
        <w:t>3</w:t>
      </w:r>
      <w:r>
        <w:t xml:space="preserve"> </w:t>
      </w:r>
    </w:p>
    <w:p w:rsidR="00C9286B" w:rsidRPr="00EA1553" w:rsidRDefault="00E52E78">
      <w:pPr>
        <w:rPr>
          <w:rStyle w:val="Strong"/>
          <w:b w:val="0"/>
          <w:bCs w:val="0"/>
        </w:rPr>
      </w:pPr>
      <w:r>
        <w:t>Table 1 shows the major public health measures in March 2020 compared with March 2021. Easing of several measures has occurred with the attainment of low to no community transmission. Periods of higher-level restrictions have been implemented at times to control community transmission events, or in response to the changing international situation.</w:t>
      </w:r>
    </w:p>
    <w:p w:rsidR="00751D5E" w:rsidRPr="001D4505" w:rsidRDefault="00751D5E" w:rsidP="00751D5E">
      <w:pPr>
        <w:pStyle w:val="CDIFigures"/>
      </w:pPr>
      <w:r w:rsidRPr="001D4505">
        <w:rPr>
          <w:rStyle w:val="Strong"/>
          <w:b/>
          <w:bCs w:val="0"/>
        </w:rPr>
        <w:lastRenderedPageBreak/>
        <w:t>Table 1: Implementation of major public health measures, March 2020 compared with March 2021</w:t>
      </w:r>
    </w:p>
    <w:tbl>
      <w:tblPr>
        <w:tblStyle w:val="CDI-StandardTable"/>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CellMar>
          <w:top w:w="57" w:type="dxa"/>
          <w:left w:w="57" w:type="dxa"/>
          <w:bottom w:w="57" w:type="dxa"/>
          <w:right w:w="57" w:type="dxa"/>
        </w:tblCellMar>
        <w:tblLook w:val="04A0" w:firstRow="1" w:lastRow="0" w:firstColumn="1" w:lastColumn="0" w:noHBand="0" w:noVBand="1"/>
        <w:tblDescription w:val="Table 1 compares the major public health measures in operation during March 2020 with those in operation during March 2021. It can be seen that, while several restrictions and closures still apply – for example, 14-day supervised quarantine requirements remain in effect for those arriving from high-risk areas – there has also been a substantial easing of several measures, such as with regard to attendance limits at weddings, funerals and indoor or outdoor gatherings, and to travel across domestic borders.&#10;"/>
      </w:tblPr>
      <w:tblGrid>
        <w:gridCol w:w="3825"/>
        <w:gridCol w:w="3148"/>
        <w:gridCol w:w="3487"/>
      </w:tblGrid>
      <w:tr w:rsidR="00751D5E" w:rsidRPr="0097393C" w:rsidTr="00EA1553">
        <w:trPr>
          <w:cnfStyle w:val="100000000000" w:firstRow="1" w:lastRow="0" w:firstColumn="0" w:lastColumn="0" w:oddVBand="0" w:evenVBand="0" w:oddHBand="0" w:evenHBand="0" w:firstRowFirstColumn="0" w:firstRowLastColumn="0" w:lastRowFirstColumn="0" w:lastRowLastColumn="0"/>
          <w:tblHeader/>
        </w:trPr>
        <w:tc>
          <w:tcPr>
            <w:tcW w:w="3825" w:type="dxa"/>
            <w:hideMark/>
          </w:tcPr>
          <w:p w:rsidR="00751D5E" w:rsidRPr="0097393C" w:rsidRDefault="00751D5E" w:rsidP="0014557D">
            <w:pPr>
              <w:pStyle w:val="NormalWeb"/>
              <w:rPr>
                <w:color w:val="FFFFFF" w:themeColor="background1"/>
                <w:sz w:val="18"/>
                <w:szCs w:val="18"/>
              </w:rPr>
            </w:pPr>
            <w:r w:rsidRPr="0097393C">
              <w:rPr>
                <w:color w:val="FFFFFF" w:themeColor="background1"/>
                <w:sz w:val="18"/>
                <w:szCs w:val="18"/>
              </w:rPr>
              <w:t>Public health measures</w:t>
            </w:r>
          </w:p>
        </w:tc>
        <w:tc>
          <w:tcPr>
            <w:tcW w:w="3148" w:type="dxa"/>
            <w:hideMark/>
          </w:tcPr>
          <w:p w:rsidR="00751D5E" w:rsidRPr="0097393C" w:rsidRDefault="00751D5E" w:rsidP="00E04CC2">
            <w:pPr>
              <w:pStyle w:val="NormalWeb"/>
              <w:jc w:val="center"/>
              <w:rPr>
                <w:color w:val="FFFFFF" w:themeColor="background1"/>
                <w:sz w:val="18"/>
                <w:szCs w:val="18"/>
              </w:rPr>
            </w:pPr>
            <w:r w:rsidRPr="0097393C">
              <w:rPr>
                <w:color w:val="FFFFFF" w:themeColor="background1"/>
                <w:sz w:val="18"/>
                <w:szCs w:val="18"/>
              </w:rPr>
              <w:t>March 2020</w:t>
            </w:r>
          </w:p>
        </w:tc>
        <w:tc>
          <w:tcPr>
            <w:tcW w:w="3487" w:type="dxa"/>
            <w:hideMark/>
          </w:tcPr>
          <w:p w:rsidR="00751D5E" w:rsidRPr="0097393C" w:rsidRDefault="00751D5E" w:rsidP="00E04CC2">
            <w:pPr>
              <w:pStyle w:val="NormalWeb"/>
              <w:jc w:val="center"/>
              <w:rPr>
                <w:color w:val="FFFFFF" w:themeColor="background1"/>
                <w:sz w:val="18"/>
                <w:szCs w:val="18"/>
              </w:rPr>
            </w:pPr>
            <w:r w:rsidRPr="0097393C">
              <w:rPr>
                <w:color w:val="FFFFFF" w:themeColor="background1"/>
                <w:sz w:val="18"/>
                <w:szCs w:val="18"/>
              </w:rPr>
              <w:t>March 2021</w:t>
            </w:r>
          </w:p>
        </w:tc>
      </w:tr>
      <w:tr w:rsidR="00751D5E" w:rsidRPr="0097393C" w:rsidTr="00A63851">
        <w:tc>
          <w:tcPr>
            <w:tcW w:w="3825" w:type="dxa"/>
            <w:vAlign w:val="center"/>
            <w:hideMark/>
          </w:tcPr>
          <w:p w:rsidR="00751D5E" w:rsidRPr="0097393C" w:rsidRDefault="00751D5E" w:rsidP="00A63851">
            <w:pPr>
              <w:pStyle w:val="NormalWeb"/>
              <w:rPr>
                <w:sz w:val="18"/>
                <w:szCs w:val="18"/>
              </w:rPr>
            </w:pPr>
            <w:r w:rsidRPr="0097393C">
              <w:rPr>
                <w:sz w:val="18"/>
                <w:szCs w:val="18"/>
              </w:rPr>
              <w:t>International borders closed to all non-citizens and non-residents</w:t>
            </w:r>
            <w:r w:rsidR="00A63851">
              <w:rPr>
                <w:sz w:val="18"/>
                <w:szCs w:val="18"/>
              </w:rPr>
              <w:t>; passenger caps for incoming flights</w:t>
            </w:r>
            <w:r w:rsidRPr="0097393C">
              <w:rPr>
                <w:sz w:val="18"/>
                <w:szCs w:val="18"/>
                <w:vertAlign w:val="superscript"/>
              </w:rPr>
              <w:t>4,5</w:t>
            </w:r>
          </w:p>
        </w:tc>
        <w:tc>
          <w:tcPr>
            <w:tcW w:w="3148" w:type="dxa"/>
            <w:vAlign w:val="center"/>
            <w:hideMark/>
          </w:tcPr>
          <w:p w:rsidR="00751D5E" w:rsidRPr="0097393C" w:rsidRDefault="00751D5E" w:rsidP="00A63851">
            <w:pPr>
              <w:pStyle w:val="NormalWeb"/>
              <w:jc w:val="center"/>
              <w:rPr>
                <w:sz w:val="18"/>
                <w:szCs w:val="18"/>
              </w:rPr>
            </w:pPr>
            <w:r w:rsidRPr="0097393C">
              <w:rPr>
                <w:sz w:val="18"/>
                <w:szCs w:val="18"/>
              </w:rPr>
              <w:t>Yes</w:t>
            </w:r>
          </w:p>
        </w:tc>
        <w:tc>
          <w:tcPr>
            <w:tcW w:w="3487" w:type="dxa"/>
            <w:vAlign w:val="center"/>
            <w:hideMark/>
          </w:tcPr>
          <w:p w:rsidR="00751D5E" w:rsidRPr="0097393C" w:rsidRDefault="00751D5E" w:rsidP="00A63851">
            <w:pPr>
              <w:pStyle w:val="NormalWeb"/>
              <w:jc w:val="center"/>
              <w:rPr>
                <w:sz w:val="18"/>
                <w:szCs w:val="18"/>
              </w:rPr>
            </w:pPr>
            <w:r w:rsidRPr="0097393C">
              <w:rPr>
                <w:sz w:val="18"/>
                <w:szCs w:val="18"/>
              </w:rPr>
              <w:t>Yes</w:t>
            </w:r>
            <w:r w:rsidR="00AA05C3">
              <w:rPr>
                <w:sz w:val="18"/>
                <w:szCs w:val="18"/>
              </w:rPr>
              <w:br/>
            </w:r>
            <w:r w:rsidRPr="0097393C">
              <w:rPr>
                <w:sz w:val="18"/>
                <w:szCs w:val="18"/>
              </w:rPr>
              <w:t>Exception: New Zealand safe travel zone arrangement</w:t>
            </w:r>
          </w:p>
        </w:tc>
      </w:tr>
      <w:tr w:rsidR="00751D5E" w:rsidRPr="0097393C" w:rsidTr="00A63851">
        <w:trPr>
          <w:cnfStyle w:val="000000010000" w:firstRow="0" w:lastRow="0" w:firstColumn="0" w:lastColumn="0" w:oddVBand="0" w:evenVBand="0" w:oddHBand="0" w:evenHBand="1" w:firstRowFirstColumn="0" w:firstRowLastColumn="0" w:lastRowFirstColumn="0" w:lastRowLastColumn="0"/>
        </w:trPr>
        <w:tc>
          <w:tcPr>
            <w:tcW w:w="3825" w:type="dxa"/>
            <w:vAlign w:val="center"/>
            <w:hideMark/>
          </w:tcPr>
          <w:p w:rsidR="00751D5E" w:rsidRPr="0097393C" w:rsidRDefault="00751D5E" w:rsidP="00A63851">
            <w:pPr>
              <w:pStyle w:val="NormalWeb"/>
              <w:rPr>
                <w:sz w:val="18"/>
                <w:szCs w:val="18"/>
              </w:rPr>
            </w:pPr>
            <w:r w:rsidRPr="0097393C">
              <w:rPr>
                <w:sz w:val="18"/>
                <w:szCs w:val="18"/>
              </w:rPr>
              <w:t>Restrictions on international travel from Australia</w:t>
            </w:r>
            <w:r w:rsidRPr="0097393C">
              <w:rPr>
                <w:sz w:val="18"/>
                <w:szCs w:val="18"/>
                <w:vertAlign w:val="superscript"/>
              </w:rPr>
              <w:t>6</w:t>
            </w:r>
          </w:p>
        </w:tc>
        <w:tc>
          <w:tcPr>
            <w:tcW w:w="3148" w:type="dxa"/>
            <w:vAlign w:val="center"/>
            <w:hideMark/>
          </w:tcPr>
          <w:p w:rsidR="00751D5E" w:rsidRPr="0097393C" w:rsidRDefault="00751D5E" w:rsidP="00A63851">
            <w:pPr>
              <w:pStyle w:val="NormalWeb"/>
              <w:jc w:val="center"/>
              <w:rPr>
                <w:sz w:val="18"/>
                <w:szCs w:val="18"/>
              </w:rPr>
            </w:pPr>
            <w:r w:rsidRPr="0097393C">
              <w:rPr>
                <w:sz w:val="18"/>
                <w:szCs w:val="18"/>
              </w:rPr>
              <w:t>Yes</w:t>
            </w:r>
          </w:p>
        </w:tc>
        <w:tc>
          <w:tcPr>
            <w:tcW w:w="3487" w:type="dxa"/>
            <w:vAlign w:val="center"/>
            <w:hideMark/>
          </w:tcPr>
          <w:p w:rsidR="00751D5E" w:rsidRPr="0097393C" w:rsidRDefault="00751D5E" w:rsidP="00A63851">
            <w:pPr>
              <w:pStyle w:val="NormalWeb"/>
              <w:jc w:val="center"/>
              <w:rPr>
                <w:sz w:val="18"/>
                <w:szCs w:val="18"/>
              </w:rPr>
            </w:pPr>
            <w:r w:rsidRPr="0097393C">
              <w:rPr>
                <w:sz w:val="18"/>
                <w:szCs w:val="18"/>
              </w:rPr>
              <w:t>Yes</w:t>
            </w:r>
          </w:p>
        </w:tc>
      </w:tr>
      <w:tr w:rsidR="00751D5E" w:rsidRPr="0097393C" w:rsidTr="00A63851">
        <w:tc>
          <w:tcPr>
            <w:tcW w:w="3825" w:type="dxa"/>
            <w:vAlign w:val="center"/>
            <w:hideMark/>
          </w:tcPr>
          <w:p w:rsidR="00751D5E" w:rsidRPr="0097393C" w:rsidRDefault="00751D5E" w:rsidP="00A63851">
            <w:pPr>
              <w:pStyle w:val="NormalWeb"/>
              <w:rPr>
                <w:sz w:val="18"/>
                <w:szCs w:val="18"/>
              </w:rPr>
            </w:pPr>
            <w:r w:rsidRPr="0097393C">
              <w:rPr>
                <w:sz w:val="18"/>
                <w:szCs w:val="18"/>
              </w:rPr>
              <w:t>Domestic borders closed</w:t>
            </w:r>
            <w:r w:rsidRPr="0097393C">
              <w:rPr>
                <w:sz w:val="18"/>
                <w:szCs w:val="18"/>
                <w:vertAlign w:val="superscript"/>
              </w:rPr>
              <w:t>4,a</w:t>
            </w:r>
          </w:p>
        </w:tc>
        <w:tc>
          <w:tcPr>
            <w:tcW w:w="3148" w:type="dxa"/>
            <w:vAlign w:val="center"/>
            <w:hideMark/>
          </w:tcPr>
          <w:p w:rsidR="00751D5E" w:rsidRPr="0097393C" w:rsidRDefault="00751D5E" w:rsidP="00A63851">
            <w:pPr>
              <w:pStyle w:val="NormalWeb"/>
              <w:jc w:val="center"/>
              <w:rPr>
                <w:sz w:val="18"/>
                <w:szCs w:val="18"/>
              </w:rPr>
            </w:pPr>
            <w:r w:rsidRPr="0097393C">
              <w:rPr>
                <w:sz w:val="18"/>
                <w:szCs w:val="18"/>
              </w:rPr>
              <w:t>Yes</w:t>
            </w:r>
          </w:p>
        </w:tc>
        <w:tc>
          <w:tcPr>
            <w:tcW w:w="3487" w:type="dxa"/>
            <w:vAlign w:val="center"/>
            <w:hideMark/>
          </w:tcPr>
          <w:p w:rsidR="00751D5E" w:rsidRPr="0097393C" w:rsidRDefault="00751D5E" w:rsidP="00A63851">
            <w:pPr>
              <w:pStyle w:val="NormalWeb"/>
              <w:jc w:val="center"/>
              <w:rPr>
                <w:sz w:val="18"/>
                <w:szCs w:val="18"/>
              </w:rPr>
            </w:pPr>
            <w:r w:rsidRPr="0097393C">
              <w:rPr>
                <w:sz w:val="18"/>
                <w:szCs w:val="18"/>
              </w:rPr>
              <w:t>No</w:t>
            </w:r>
          </w:p>
        </w:tc>
      </w:tr>
      <w:tr w:rsidR="00751D5E" w:rsidRPr="0097393C" w:rsidTr="00A63851">
        <w:trPr>
          <w:cnfStyle w:val="000000010000" w:firstRow="0" w:lastRow="0" w:firstColumn="0" w:lastColumn="0" w:oddVBand="0" w:evenVBand="0" w:oddHBand="0" w:evenHBand="1" w:firstRowFirstColumn="0" w:firstRowLastColumn="0" w:lastRowFirstColumn="0" w:lastRowLastColumn="0"/>
        </w:trPr>
        <w:tc>
          <w:tcPr>
            <w:tcW w:w="3825" w:type="dxa"/>
            <w:vAlign w:val="center"/>
            <w:hideMark/>
          </w:tcPr>
          <w:p w:rsidR="00751D5E" w:rsidRPr="0097393C" w:rsidRDefault="00751D5E" w:rsidP="00A63851">
            <w:pPr>
              <w:pStyle w:val="NormalWeb"/>
              <w:rPr>
                <w:sz w:val="18"/>
                <w:szCs w:val="18"/>
              </w:rPr>
            </w:pPr>
            <w:r w:rsidRPr="0097393C">
              <w:rPr>
                <w:sz w:val="18"/>
                <w:szCs w:val="18"/>
              </w:rPr>
              <w:t>Travel into remote Indigenous communities restricted</w:t>
            </w:r>
            <w:r w:rsidRPr="0097393C">
              <w:rPr>
                <w:sz w:val="18"/>
                <w:szCs w:val="18"/>
                <w:vertAlign w:val="superscript"/>
              </w:rPr>
              <w:t>4</w:t>
            </w:r>
          </w:p>
        </w:tc>
        <w:tc>
          <w:tcPr>
            <w:tcW w:w="3148" w:type="dxa"/>
            <w:vAlign w:val="center"/>
            <w:hideMark/>
          </w:tcPr>
          <w:p w:rsidR="00751D5E" w:rsidRPr="0097393C" w:rsidRDefault="00751D5E" w:rsidP="00A63851">
            <w:pPr>
              <w:pStyle w:val="NormalWeb"/>
              <w:jc w:val="center"/>
              <w:rPr>
                <w:sz w:val="18"/>
                <w:szCs w:val="18"/>
              </w:rPr>
            </w:pPr>
            <w:r w:rsidRPr="0097393C">
              <w:rPr>
                <w:sz w:val="18"/>
                <w:szCs w:val="18"/>
              </w:rPr>
              <w:t>Yes</w:t>
            </w:r>
          </w:p>
        </w:tc>
        <w:tc>
          <w:tcPr>
            <w:tcW w:w="3487" w:type="dxa"/>
            <w:vAlign w:val="center"/>
            <w:hideMark/>
          </w:tcPr>
          <w:p w:rsidR="00751D5E" w:rsidRPr="0097393C" w:rsidRDefault="00751D5E" w:rsidP="00A63851">
            <w:pPr>
              <w:pStyle w:val="NormalWeb"/>
              <w:jc w:val="center"/>
              <w:rPr>
                <w:sz w:val="18"/>
                <w:szCs w:val="18"/>
              </w:rPr>
            </w:pPr>
            <w:r w:rsidRPr="0097393C">
              <w:rPr>
                <w:sz w:val="18"/>
                <w:szCs w:val="18"/>
              </w:rPr>
              <w:t>Yes</w:t>
            </w:r>
          </w:p>
        </w:tc>
      </w:tr>
      <w:tr w:rsidR="00751D5E" w:rsidRPr="0097393C" w:rsidTr="00A63851">
        <w:tc>
          <w:tcPr>
            <w:tcW w:w="3825" w:type="dxa"/>
            <w:vAlign w:val="center"/>
            <w:hideMark/>
          </w:tcPr>
          <w:p w:rsidR="00751D5E" w:rsidRPr="0097393C" w:rsidRDefault="00751D5E" w:rsidP="00A63851">
            <w:pPr>
              <w:pStyle w:val="NormalWeb"/>
              <w:rPr>
                <w:sz w:val="18"/>
                <w:szCs w:val="18"/>
              </w:rPr>
            </w:pPr>
            <w:r w:rsidRPr="0097393C">
              <w:rPr>
                <w:sz w:val="18"/>
                <w:szCs w:val="18"/>
              </w:rPr>
              <w:t>14 day supervised quarantine requirements for travel from high risk areas</w:t>
            </w:r>
            <w:r w:rsidRPr="0097393C">
              <w:rPr>
                <w:sz w:val="18"/>
                <w:szCs w:val="18"/>
                <w:vertAlign w:val="superscript"/>
              </w:rPr>
              <w:t>7,a</w:t>
            </w:r>
          </w:p>
        </w:tc>
        <w:tc>
          <w:tcPr>
            <w:tcW w:w="3148" w:type="dxa"/>
            <w:vAlign w:val="center"/>
            <w:hideMark/>
          </w:tcPr>
          <w:p w:rsidR="00751D5E" w:rsidRPr="0097393C" w:rsidRDefault="00751D5E" w:rsidP="00A63851">
            <w:pPr>
              <w:pStyle w:val="NormalWeb"/>
              <w:jc w:val="center"/>
              <w:rPr>
                <w:sz w:val="18"/>
                <w:szCs w:val="18"/>
              </w:rPr>
            </w:pPr>
            <w:r w:rsidRPr="0097393C">
              <w:rPr>
                <w:sz w:val="18"/>
                <w:szCs w:val="18"/>
              </w:rPr>
              <w:t>Yes</w:t>
            </w:r>
          </w:p>
        </w:tc>
        <w:tc>
          <w:tcPr>
            <w:tcW w:w="3487" w:type="dxa"/>
            <w:vAlign w:val="center"/>
            <w:hideMark/>
          </w:tcPr>
          <w:p w:rsidR="00751D5E" w:rsidRPr="0097393C" w:rsidRDefault="00751D5E" w:rsidP="00A63851">
            <w:pPr>
              <w:pStyle w:val="NormalWeb"/>
              <w:jc w:val="center"/>
              <w:rPr>
                <w:sz w:val="18"/>
                <w:szCs w:val="18"/>
              </w:rPr>
            </w:pPr>
            <w:r w:rsidRPr="0097393C">
              <w:rPr>
                <w:sz w:val="18"/>
                <w:szCs w:val="18"/>
              </w:rPr>
              <w:t>Yes</w:t>
            </w:r>
          </w:p>
        </w:tc>
      </w:tr>
      <w:tr w:rsidR="00751D5E" w:rsidRPr="0097393C" w:rsidTr="00A63851">
        <w:trPr>
          <w:cnfStyle w:val="000000010000" w:firstRow="0" w:lastRow="0" w:firstColumn="0" w:lastColumn="0" w:oddVBand="0" w:evenVBand="0" w:oddHBand="0" w:evenHBand="1" w:firstRowFirstColumn="0" w:firstRowLastColumn="0" w:lastRowFirstColumn="0" w:lastRowLastColumn="0"/>
        </w:trPr>
        <w:tc>
          <w:tcPr>
            <w:tcW w:w="3825" w:type="dxa"/>
            <w:vAlign w:val="center"/>
            <w:hideMark/>
          </w:tcPr>
          <w:p w:rsidR="00751D5E" w:rsidRPr="0097393C" w:rsidRDefault="00751D5E" w:rsidP="00A63851">
            <w:pPr>
              <w:pStyle w:val="NormalWeb"/>
              <w:spacing w:after="0" w:afterAutospacing="0"/>
              <w:rPr>
                <w:sz w:val="18"/>
                <w:szCs w:val="18"/>
              </w:rPr>
            </w:pPr>
            <w:r w:rsidRPr="0097393C">
              <w:rPr>
                <w:sz w:val="18"/>
                <w:szCs w:val="18"/>
              </w:rPr>
              <w:t>Requirement to stay at home, except for:</w:t>
            </w:r>
            <w:r w:rsidRPr="0097393C">
              <w:rPr>
                <w:sz w:val="18"/>
                <w:szCs w:val="18"/>
                <w:vertAlign w:val="superscript"/>
              </w:rPr>
              <w:t>8,a</w:t>
            </w:r>
          </w:p>
          <w:p w:rsidR="00751D5E" w:rsidRPr="0097393C" w:rsidRDefault="00751D5E" w:rsidP="00A63851">
            <w:pPr>
              <w:numPr>
                <w:ilvl w:val="0"/>
                <w:numId w:val="15"/>
              </w:numPr>
              <w:ind w:left="714" w:hanging="357"/>
              <w:rPr>
                <w:rFonts w:eastAsia="Times New Roman"/>
                <w:sz w:val="18"/>
                <w:szCs w:val="18"/>
              </w:rPr>
            </w:pPr>
            <w:r w:rsidRPr="0097393C">
              <w:rPr>
                <w:rFonts w:eastAsia="Times New Roman"/>
                <w:sz w:val="18"/>
                <w:szCs w:val="18"/>
              </w:rPr>
              <w:t>Buying essential supplies</w:t>
            </w:r>
          </w:p>
          <w:p w:rsidR="00751D5E" w:rsidRPr="0097393C" w:rsidRDefault="00751D5E" w:rsidP="00A63851">
            <w:pPr>
              <w:numPr>
                <w:ilvl w:val="0"/>
                <w:numId w:val="15"/>
              </w:numPr>
              <w:ind w:left="714" w:hanging="357"/>
              <w:rPr>
                <w:rFonts w:eastAsia="Times New Roman"/>
                <w:sz w:val="18"/>
                <w:szCs w:val="18"/>
              </w:rPr>
            </w:pPr>
            <w:r w:rsidRPr="0097393C">
              <w:rPr>
                <w:rFonts w:eastAsia="Times New Roman"/>
                <w:sz w:val="18"/>
                <w:szCs w:val="18"/>
              </w:rPr>
              <w:t>To work, if unable to work from home</w:t>
            </w:r>
          </w:p>
          <w:p w:rsidR="00751D5E" w:rsidRPr="0097393C" w:rsidRDefault="00751D5E" w:rsidP="00A63851">
            <w:pPr>
              <w:numPr>
                <w:ilvl w:val="0"/>
                <w:numId w:val="15"/>
              </w:numPr>
              <w:ind w:left="714" w:hanging="357"/>
              <w:rPr>
                <w:rFonts w:eastAsia="Times New Roman"/>
                <w:sz w:val="18"/>
                <w:szCs w:val="18"/>
              </w:rPr>
            </w:pPr>
            <w:r w:rsidRPr="0097393C">
              <w:rPr>
                <w:rFonts w:eastAsia="Times New Roman"/>
                <w:sz w:val="18"/>
                <w:szCs w:val="18"/>
              </w:rPr>
              <w:t>To exercise</w:t>
            </w:r>
          </w:p>
          <w:p w:rsidR="00751D5E" w:rsidRPr="0097393C" w:rsidRDefault="00751D5E" w:rsidP="00A63851">
            <w:pPr>
              <w:numPr>
                <w:ilvl w:val="0"/>
                <w:numId w:val="15"/>
              </w:numPr>
              <w:ind w:left="714" w:hanging="357"/>
              <w:rPr>
                <w:rFonts w:eastAsia="Times New Roman"/>
                <w:sz w:val="18"/>
                <w:szCs w:val="18"/>
              </w:rPr>
            </w:pPr>
            <w:r w:rsidRPr="0097393C">
              <w:rPr>
                <w:rFonts w:eastAsia="Times New Roman"/>
                <w:sz w:val="18"/>
                <w:szCs w:val="18"/>
              </w:rPr>
              <w:t>To attend personal medical appointments, or for compassionate reasons</w:t>
            </w:r>
          </w:p>
        </w:tc>
        <w:tc>
          <w:tcPr>
            <w:tcW w:w="3148" w:type="dxa"/>
            <w:vAlign w:val="center"/>
            <w:hideMark/>
          </w:tcPr>
          <w:p w:rsidR="00751D5E" w:rsidRPr="0097393C" w:rsidRDefault="00751D5E" w:rsidP="00A63851">
            <w:pPr>
              <w:pStyle w:val="NormalWeb"/>
              <w:jc w:val="center"/>
              <w:rPr>
                <w:sz w:val="18"/>
                <w:szCs w:val="18"/>
              </w:rPr>
            </w:pPr>
            <w:r w:rsidRPr="0097393C">
              <w:rPr>
                <w:sz w:val="18"/>
                <w:szCs w:val="18"/>
              </w:rPr>
              <w:t>Yes</w:t>
            </w:r>
          </w:p>
        </w:tc>
        <w:tc>
          <w:tcPr>
            <w:tcW w:w="3487" w:type="dxa"/>
            <w:vAlign w:val="center"/>
            <w:hideMark/>
          </w:tcPr>
          <w:p w:rsidR="00751D5E" w:rsidRPr="0097393C" w:rsidRDefault="00751D5E" w:rsidP="00A63851">
            <w:pPr>
              <w:pStyle w:val="NormalWeb"/>
              <w:jc w:val="center"/>
              <w:rPr>
                <w:sz w:val="18"/>
                <w:szCs w:val="18"/>
              </w:rPr>
            </w:pPr>
            <w:r w:rsidRPr="0097393C">
              <w:rPr>
                <w:sz w:val="18"/>
                <w:szCs w:val="18"/>
              </w:rPr>
              <w:t>No</w:t>
            </w:r>
          </w:p>
        </w:tc>
      </w:tr>
      <w:tr w:rsidR="00751D5E" w:rsidRPr="0097393C" w:rsidTr="00A63851">
        <w:tc>
          <w:tcPr>
            <w:tcW w:w="3825" w:type="dxa"/>
            <w:vAlign w:val="center"/>
            <w:hideMark/>
          </w:tcPr>
          <w:p w:rsidR="00751D5E" w:rsidRPr="0097393C" w:rsidRDefault="00751D5E" w:rsidP="00A63851">
            <w:pPr>
              <w:pStyle w:val="NormalWeb"/>
              <w:rPr>
                <w:sz w:val="18"/>
                <w:szCs w:val="18"/>
              </w:rPr>
            </w:pPr>
            <w:r w:rsidRPr="0097393C">
              <w:rPr>
                <w:sz w:val="18"/>
                <w:szCs w:val="18"/>
              </w:rPr>
              <w:t>Closure of non-essential businesses</w:t>
            </w:r>
            <w:r w:rsidRPr="0097393C">
              <w:rPr>
                <w:sz w:val="18"/>
                <w:szCs w:val="18"/>
                <w:vertAlign w:val="superscript"/>
              </w:rPr>
              <w:t>8,a</w:t>
            </w:r>
          </w:p>
        </w:tc>
        <w:tc>
          <w:tcPr>
            <w:tcW w:w="3148" w:type="dxa"/>
            <w:vAlign w:val="center"/>
            <w:hideMark/>
          </w:tcPr>
          <w:p w:rsidR="00751D5E" w:rsidRPr="0097393C" w:rsidRDefault="00751D5E" w:rsidP="00A63851">
            <w:pPr>
              <w:pStyle w:val="NormalWeb"/>
              <w:jc w:val="center"/>
              <w:rPr>
                <w:sz w:val="18"/>
                <w:szCs w:val="18"/>
              </w:rPr>
            </w:pPr>
            <w:r w:rsidRPr="0097393C">
              <w:rPr>
                <w:sz w:val="18"/>
                <w:szCs w:val="18"/>
              </w:rPr>
              <w:t>Yes</w:t>
            </w:r>
          </w:p>
        </w:tc>
        <w:tc>
          <w:tcPr>
            <w:tcW w:w="3487" w:type="dxa"/>
            <w:vAlign w:val="center"/>
            <w:hideMark/>
          </w:tcPr>
          <w:p w:rsidR="00751D5E" w:rsidRPr="0097393C" w:rsidRDefault="00751D5E" w:rsidP="00A63851">
            <w:pPr>
              <w:pStyle w:val="NormalWeb"/>
              <w:jc w:val="center"/>
              <w:rPr>
                <w:sz w:val="18"/>
                <w:szCs w:val="18"/>
              </w:rPr>
            </w:pPr>
            <w:r w:rsidRPr="0097393C">
              <w:rPr>
                <w:sz w:val="18"/>
                <w:szCs w:val="18"/>
              </w:rPr>
              <w:t>No</w:t>
            </w:r>
          </w:p>
        </w:tc>
      </w:tr>
      <w:tr w:rsidR="00751D5E" w:rsidRPr="0097393C" w:rsidTr="00A63851">
        <w:trPr>
          <w:cnfStyle w:val="000000010000" w:firstRow="0" w:lastRow="0" w:firstColumn="0" w:lastColumn="0" w:oddVBand="0" w:evenVBand="0" w:oddHBand="0" w:evenHBand="1" w:firstRowFirstColumn="0" w:firstRowLastColumn="0" w:lastRowFirstColumn="0" w:lastRowLastColumn="0"/>
        </w:trPr>
        <w:tc>
          <w:tcPr>
            <w:tcW w:w="3825" w:type="dxa"/>
            <w:vAlign w:val="center"/>
            <w:hideMark/>
          </w:tcPr>
          <w:p w:rsidR="00751D5E" w:rsidRPr="0097393C" w:rsidRDefault="00751D5E" w:rsidP="00A63851">
            <w:pPr>
              <w:pStyle w:val="NormalWeb"/>
              <w:rPr>
                <w:sz w:val="18"/>
                <w:szCs w:val="18"/>
              </w:rPr>
            </w:pPr>
            <w:r w:rsidRPr="0097393C">
              <w:rPr>
                <w:sz w:val="18"/>
                <w:szCs w:val="18"/>
              </w:rPr>
              <w:t>Changes to delivery of education</w:t>
            </w:r>
            <w:r w:rsidRPr="0097393C">
              <w:rPr>
                <w:sz w:val="18"/>
                <w:szCs w:val="18"/>
                <w:vertAlign w:val="superscript"/>
              </w:rPr>
              <w:t>7</w:t>
            </w:r>
          </w:p>
        </w:tc>
        <w:tc>
          <w:tcPr>
            <w:tcW w:w="3148" w:type="dxa"/>
            <w:vAlign w:val="center"/>
            <w:hideMark/>
          </w:tcPr>
          <w:p w:rsidR="00751D5E" w:rsidRPr="0097393C" w:rsidRDefault="00751D5E" w:rsidP="00A63851">
            <w:pPr>
              <w:pStyle w:val="NormalWeb"/>
              <w:jc w:val="center"/>
              <w:rPr>
                <w:sz w:val="18"/>
                <w:szCs w:val="18"/>
              </w:rPr>
            </w:pPr>
            <w:r w:rsidRPr="0097393C">
              <w:rPr>
                <w:sz w:val="18"/>
                <w:szCs w:val="18"/>
              </w:rPr>
              <w:t>Yes</w:t>
            </w:r>
            <w:r w:rsidR="00AA05C3">
              <w:rPr>
                <w:sz w:val="18"/>
                <w:szCs w:val="18"/>
              </w:rPr>
              <w:br/>
            </w:r>
            <w:r w:rsidRPr="0097393C">
              <w:rPr>
                <w:sz w:val="18"/>
                <w:szCs w:val="18"/>
              </w:rPr>
              <w:t>Encouraged to shift to online learning. Recommended only children of essential workers attend physically.</w:t>
            </w:r>
          </w:p>
        </w:tc>
        <w:tc>
          <w:tcPr>
            <w:tcW w:w="3487" w:type="dxa"/>
            <w:vAlign w:val="center"/>
            <w:hideMark/>
          </w:tcPr>
          <w:p w:rsidR="00751D5E" w:rsidRPr="0097393C" w:rsidRDefault="00751D5E" w:rsidP="00A63851">
            <w:pPr>
              <w:pStyle w:val="NormalWeb"/>
              <w:jc w:val="center"/>
              <w:rPr>
                <w:sz w:val="18"/>
                <w:szCs w:val="18"/>
              </w:rPr>
            </w:pPr>
            <w:r w:rsidRPr="0097393C">
              <w:rPr>
                <w:sz w:val="18"/>
                <w:szCs w:val="18"/>
              </w:rPr>
              <w:t>No</w:t>
            </w:r>
          </w:p>
        </w:tc>
      </w:tr>
      <w:tr w:rsidR="00751D5E" w:rsidRPr="0097393C" w:rsidTr="00A63851">
        <w:tc>
          <w:tcPr>
            <w:tcW w:w="3825" w:type="dxa"/>
            <w:vAlign w:val="center"/>
            <w:hideMark/>
          </w:tcPr>
          <w:p w:rsidR="00751D5E" w:rsidRPr="0097393C" w:rsidRDefault="00751D5E" w:rsidP="00A63851">
            <w:pPr>
              <w:pStyle w:val="NormalWeb"/>
              <w:rPr>
                <w:sz w:val="18"/>
                <w:szCs w:val="18"/>
              </w:rPr>
            </w:pPr>
            <w:r w:rsidRPr="0097393C">
              <w:rPr>
                <w:sz w:val="18"/>
                <w:szCs w:val="18"/>
              </w:rPr>
              <w:t>Restricted visitation to high risk settings</w:t>
            </w:r>
            <w:r w:rsidRPr="0097393C">
              <w:rPr>
                <w:sz w:val="18"/>
                <w:szCs w:val="18"/>
                <w:vertAlign w:val="superscript"/>
              </w:rPr>
              <w:t>4,a</w:t>
            </w:r>
          </w:p>
        </w:tc>
        <w:tc>
          <w:tcPr>
            <w:tcW w:w="3148" w:type="dxa"/>
            <w:vAlign w:val="center"/>
            <w:hideMark/>
          </w:tcPr>
          <w:p w:rsidR="00751D5E" w:rsidRPr="0097393C" w:rsidRDefault="00751D5E" w:rsidP="00A63851">
            <w:pPr>
              <w:pStyle w:val="NormalWeb"/>
              <w:jc w:val="center"/>
              <w:rPr>
                <w:sz w:val="18"/>
                <w:szCs w:val="18"/>
              </w:rPr>
            </w:pPr>
            <w:r w:rsidRPr="0097393C">
              <w:rPr>
                <w:sz w:val="18"/>
                <w:szCs w:val="18"/>
              </w:rPr>
              <w:t>Yes</w:t>
            </w:r>
            <w:r w:rsidR="00AA05C3">
              <w:rPr>
                <w:sz w:val="18"/>
                <w:szCs w:val="18"/>
              </w:rPr>
              <w:br/>
            </w:r>
            <w:r w:rsidRPr="0097393C">
              <w:rPr>
                <w:sz w:val="18"/>
                <w:szCs w:val="18"/>
              </w:rPr>
              <w:t>Subject to jurisdiction requirements</w:t>
            </w:r>
          </w:p>
        </w:tc>
        <w:tc>
          <w:tcPr>
            <w:tcW w:w="3487" w:type="dxa"/>
            <w:vAlign w:val="center"/>
            <w:hideMark/>
          </w:tcPr>
          <w:p w:rsidR="00751D5E" w:rsidRPr="0097393C" w:rsidRDefault="00751D5E" w:rsidP="00A63851">
            <w:pPr>
              <w:pStyle w:val="NormalWeb"/>
              <w:jc w:val="center"/>
              <w:rPr>
                <w:sz w:val="18"/>
                <w:szCs w:val="18"/>
              </w:rPr>
            </w:pPr>
            <w:r w:rsidRPr="0097393C">
              <w:rPr>
                <w:sz w:val="18"/>
                <w:szCs w:val="18"/>
              </w:rPr>
              <w:t>No</w:t>
            </w:r>
          </w:p>
        </w:tc>
      </w:tr>
      <w:tr w:rsidR="00751D5E" w:rsidRPr="0097393C" w:rsidTr="00A63851">
        <w:trPr>
          <w:cnfStyle w:val="000000010000" w:firstRow="0" w:lastRow="0" w:firstColumn="0" w:lastColumn="0" w:oddVBand="0" w:evenVBand="0" w:oddHBand="0" w:evenHBand="1" w:firstRowFirstColumn="0" w:firstRowLastColumn="0" w:lastRowFirstColumn="0" w:lastRowLastColumn="0"/>
        </w:trPr>
        <w:tc>
          <w:tcPr>
            <w:tcW w:w="3825" w:type="dxa"/>
            <w:vAlign w:val="center"/>
            <w:hideMark/>
          </w:tcPr>
          <w:p w:rsidR="00751D5E" w:rsidRPr="0097393C" w:rsidRDefault="00751D5E" w:rsidP="00A63851">
            <w:pPr>
              <w:pStyle w:val="NormalWeb"/>
              <w:rPr>
                <w:sz w:val="18"/>
                <w:szCs w:val="18"/>
              </w:rPr>
            </w:pPr>
            <w:r w:rsidRPr="0097393C">
              <w:rPr>
                <w:sz w:val="18"/>
                <w:szCs w:val="18"/>
              </w:rPr>
              <w:t>Indoor gathering restrictions</w:t>
            </w:r>
            <w:r w:rsidRPr="0097393C">
              <w:rPr>
                <w:sz w:val="18"/>
                <w:szCs w:val="18"/>
                <w:vertAlign w:val="superscript"/>
              </w:rPr>
              <w:t>8,a</w:t>
            </w:r>
          </w:p>
        </w:tc>
        <w:tc>
          <w:tcPr>
            <w:tcW w:w="3148" w:type="dxa"/>
            <w:vAlign w:val="center"/>
            <w:hideMark/>
          </w:tcPr>
          <w:p w:rsidR="00751D5E" w:rsidRPr="0097393C" w:rsidRDefault="00751D5E" w:rsidP="00A63851">
            <w:pPr>
              <w:pStyle w:val="NormalWeb"/>
              <w:jc w:val="center"/>
              <w:rPr>
                <w:sz w:val="18"/>
                <w:szCs w:val="18"/>
              </w:rPr>
            </w:pPr>
            <w:r w:rsidRPr="0097393C">
              <w:rPr>
                <w:sz w:val="18"/>
                <w:szCs w:val="18"/>
              </w:rPr>
              <w:t>Yes</w:t>
            </w:r>
            <w:r w:rsidR="00AA05C3">
              <w:rPr>
                <w:sz w:val="18"/>
                <w:szCs w:val="18"/>
              </w:rPr>
              <w:br/>
            </w:r>
            <w:r w:rsidRPr="0097393C">
              <w:rPr>
                <w:sz w:val="18"/>
                <w:szCs w:val="18"/>
              </w:rPr>
              <w:t>Restricted to 2 people</w:t>
            </w:r>
          </w:p>
        </w:tc>
        <w:tc>
          <w:tcPr>
            <w:tcW w:w="3487" w:type="dxa"/>
            <w:vAlign w:val="center"/>
            <w:hideMark/>
          </w:tcPr>
          <w:p w:rsidR="00751D5E" w:rsidRPr="0097393C" w:rsidRDefault="00751D5E" w:rsidP="00A63851">
            <w:pPr>
              <w:pStyle w:val="NormalWeb"/>
              <w:jc w:val="center"/>
              <w:rPr>
                <w:sz w:val="18"/>
                <w:szCs w:val="18"/>
              </w:rPr>
            </w:pPr>
            <w:r w:rsidRPr="0097393C">
              <w:rPr>
                <w:sz w:val="18"/>
                <w:szCs w:val="18"/>
              </w:rPr>
              <w:t>No</w:t>
            </w:r>
            <w:r w:rsidR="00AA05C3">
              <w:rPr>
                <w:sz w:val="18"/>
                <w:szCs w:val="18"/>
              </w:rPr>
              <w:br/>
            </w:r>
            <w:r w:rsidRPr="0097393C">
              <w:rPr>
                <w:sz w:val="18"/>
                <w:szCs w:val="18"/>
              </w:rPr>
              <w:t>Subject to jurisdiction discretion</w:t>
            </w:r>
          </w:p>
        </w:tc>
      </w:tr>
      <w:tr w:rsidR="00751D5E" w:rsidRPr="0097393C" w:rsidTr="00A63851">
        <w:tc>
          <w:tcPr>
            <w:tcW w:w="3825" w:type="dxa"/>
            <w:vAlign w:val="center"/>
            <w:hideMark/>
          </w:tcPr>
          <w:p w:rsidR="00751D5E" w:rsidRPr="0097393C" w:rsidRDefault="00751D5E" w:rsidP="00A63851">
            <w:pPr>
              <w:pStyle w:val="NormalWeb"/>
              <w:rPr>
                <w:sz w:val="18"/>
                <w:szCs w:val="18"/>
              </w:rPr>
            </w:pPr>
            <w:r w:rsidRPr="0097393C">
              <w:rPr>
                <w:sz w:val="18"/>
                <w:szCs w:val="18"/>
              </w:rPr>
              <w:t>Outdoor gathering restrictions</w:t>
            </w:r>
            <w:r w:rsidRPr="0097393C">
              <w:rPr>
                <w:sz w:val="18"/>
                <w:szCs w:val="18"/>
                <w:vertAlign w:val="superscript"/>
              </w:rPr>
              <w:t>8,a</w:t>
            </w:r>
          </w:p>
        </w:tc>
        <w:tc>
          <w:tcPr>
            <w:tcW w:w="3148" w:type="dxa"/>
            <w:vAlign w:val="center"/>
            <w:hideMark/>
          </w:tcPr>
          <w:p w:rsidR="00751D5E" w:rsidRPr="0097393C" w:rsidRDefault="00751D5E" w:rsidP="00A63851">
            <w:pPr>
              <w:pStyle w:val="NormalWeb"/>
              <w:jc w:val="center"/>
              <w:rPr>
                <w:sz w:val="18"/>
                <w:szCs w:val="18"/>
              </w:rPr>
            </w:pPr>
            <w:r w:rsidRPr="0097393C">
              <w:rPr>
                <w:sz w:val="18"/>
                <w:szCs w:val="18"/>
              </w:rPr>
              <w:t>Yes</w:t>
            </w:r>
            <w:r w:rsidR="00AA05C3">
              <w:rPr>
                <w:sz w:val="18"/>
                <w:szCs w:val="18"/>
              </w:rPr>
              <w:br/>
            </w:r>
            <w:r w:rsidRPr="0097393C">
              <w:rPr>
                <w:sz w:val="18"/>
                <w:szCs w:val="18"/>
              </w:rPr>
              <w:t>Restricted to 2 people</w:t>
            </w:r>
          </w:p>
        </w:tc>
        <w:tc>
          <w:tcPr>
            <w:tcW w:w="3487" w:type="dxa"/>
            <w:vAlign w:val="center"/>
            <w:hideMark/>
          </w:tcPr>
          <w:p w:rsidR="00751D5E" w:rsidRPr="0097393C" w:rsidRDefault="00751D5E" w:rsidP="00A63851">
            <w:pPr>
              <w:pStyle w:val="NormalWeb"/>
              <w:jc w:val="center"/>
              <w:rPr>
                <w:sz w:val="18"/>
                <w:szCs w:val="18"/>
              </w:rPr>
            </w:pPr>
            <w:r w:rsidRPr="0097393C">
              <w:rPr>
                <w:sz w:val="18"/>
                <w:szCs w:val="18"/>
              </w:rPr>
              <w:t>No</w:t>
            </w:r>
          </w:p>
        </w:tc>
      </w:tr>
      <w:tr w:rsidR="00751D5E" w:rsidRPr="0097393C" w:rsidTr="00A63851">
        <w:trPr>
          <w:cnfStyle w:val="000000010000" w:firstRow="0" w:lastRow="0" w:firstColumn="0" w:lastColumn="0" w:oddVBand="0" w:evenVBand="0" w:oddHBand="0" w:evenHBand="1" w:firstRowFirstColumn="0" w:firstRowLastColumn="0" w:lastRowFirstColumn="0" w:lastRowLastColumn="0"/>
        </w:trPr>
        <w:tc>
          <w:tcPr>
            <w:tcW w:w="3825" w:type="dxa"/>
            <w:vAlign w:val="center"/>
            <w:hideMark/>
          </w:tcPr>
          <w:p w:rsidR="00751D5E" w:rsidRPr="0097393C" w:rsidRDefault="00751D5E" w:rsidP="00A63851">
            <w:pPr>
              <w:pStyle w:val="NormalWeb"/>
              <w:rPr>
                <w:sz w:val="18"/>
                <w:szCs w:val="18"/>
              </w:rPr>
            </w:pPr>
            <w:r w:rsidRPr="0097393C">
              <w:rPr>
                <w:sz w:val="18"/>
                <w:szCs w:val="18"/>
              </w:rPr>
              <w:t>Limits on attendance at weddings</w:t>
            </w:r>
            <w:r w:rsidRPr="0097393C">
              <w:rPr>
                <w:sz w:val="18"/>
                <w:szCs w:val="18"/>
                <w:vertAlign w:val="superscript"/>
              </w:rPr>
              <w:t>8,a</w:t>
            </w:r>
          </w:p>
        </w:tc>
        <w:tc>
          <w:tcPr>
            <w:tcW w:w="3148" w:type="dxa"/>
            <w:vAlign w:val="center"/>
            <w:hideMark/>
          </w:tcPr>
          <w:p w:rsidR="00751D5E" w:rsidRPr="0097393C" w:rsidRDefault="00751D5E" w:rsidP="00A63851">
            <w:pPr>
              <w:pStyle w:val="NormalWeb"/>
              <w:jc w:val="center"/>
              <w:rPr>
                <w:sz w:val="18"/>
                <w:szCs w:val="18"/>
              </w:rPr>
            </w:pPr>
            <w:r w:rsidRPr="0097393C">
              <w:rPr>
                <w:sz w:val="18"/>
                <w:szCs w:val="18"/>
              </w:rPr>
              <w:t>Yes</w:t>
            </w:r>
            <w:r w:rsidR="00AA05C3">
              <w:rPr>
                <w:sz w:val="18"/>
                <w:szCs w:val="18"/>
              </w:rPr>
              <w:br/>
            </w:r>
            <w:r w:rsidRPr="0097393C">
              <w:rPr>
                <w:sz w:val="18"/>
                <w:szCs w:val="18"/>
              </w:rPr>
              <w:t>Restricted to 5 people</w:t>
            </w:r>
          </w:p>
        </w:tc>
        <w:tc>
          <w:tcPr>
            <w:tcW w:w="3487" w:type="dxa"/>
            <w:vAlign w:val="center"/>
            <w:hideMark/>
          </w:tcPr>
          <w:p w:rsidR="00751D5E" w:rsidRPr="0097393C" w:rsidRDefault="00751D5E" w:rsidP="00A63851">
            <w:pPr>
              <w:pStyle w:val="NormalWeb"/>
              <w:jc w:val="center"/>
              <w:rPr>
                <w:sz w:val="18"/>
                <w:szCs w:val="18"/>
              </w:rPr>
            </w:pPr>
            <w:r w:rsidRPr="0097393C">
              <w:rPr>
                <w:sz w:val="18"/>
                <w:szCs w:val="18"/>
              </w:rPr>
              <w:t>No</w:t>
            </w:r>
          </w:p>
        </w:tc>
      </w:tr>
      <w:tr w:rsidR="00751D5E" w:rsidRPr="0097393C" w:rsidTr="00A63851">
        <w:tc>
          <w:tcPr>
            <w:tcW w:w="3825" w:type="dxa"/>
            <w:vAlign w:val="center"/>
            <w:hideMark/>
          </w:tcPr>
          <w:p w:rsidR="00751D5E" w:rsidRPr="0097393C" w:rsidRDefault="00751D5E" w:rsidP="00A63851">
            <w:pPr>
              <w:pStyle w:val="NormalWeb"/>
              <w:rPr>
                <w:sz w:val="18"/>
                <w:szCs w:val="18"/>
              </w:rPr>
            </w:pPr>
            <w:r w:rsidRPr="0097393C">
              <w:rPr>
                <w:sz w:val="18"/>
                <w:szCs w:val="18"/>
              </w:rPr>
              <w:t>Limits on attendance at funerals</w:t>
            </w:r>
            <w:r w:rsidRPr="0097393C">
              <w:rPr>
                <w:sz w:val="18"/>
                <w:szCs w:val="18"/>
                <w:vertAlign w:val="superscript"/>
              </w:rPr>
              <w:t>8,a</w:t>
            </w:r>
          </w:p>
        </w:tc>
        <w:tc>
          <w:tcPr>
            <w:tcW w:w="3148" w:type="dxa"/>
            <w:vAlign w:val="center"/>
            <w:hideMark/>
          </w:tcPr>
          <w:p w:rsidR="00751D5E" w:rsidRPr="0097393C" w:rsidRDefault="00751D5E" w:rsidP="00A63851">
            <w:pPr>
              <w:pStyle w:val="NormalWeb"/>
              <w:jc w:val="center"/>
              <w:rPr>
                <w:sz w:val="18"/>
                <w:szCs w:val="18"/>
              </w:rPr>
            </w:pPr>
            <w:r w:rsidRPr="0097393C">
              <w:rPr>
                <w:sz w:val="18"/>
                <w:szCs w:val="18"/>
              </w:rPr>
              <w:t>Yes</w:t>
            </w:r>
            <w:r w:rsidR="00AA05C3">
              <w:rPr>
                <w:sz w:val="18"/>
                <w:szCs w:val="18"/>
              </w:rPr>
              <w:br/>
            </w:r>
            <w:r w:rsidRPr="0097393C">
              <w:rPr>
                <w:sz w:val="18"/>
                <w:szCs w:val="18"/>
              </w:rPr>
              <w:t>Restricted to 10 people</w:t>
            </w:r>
          </w:p>
        </w:tc>
        <w:tc>
          <w:tcPr>
            <w:tcW w:w="3487" w:type="dxa"/>
            <w:vAlign w:val="center"/>
            <w:hideMark/>
          </w:tcPr>
          <w:p w:rsidR="00751D5E" w:rsidRPr="0097393C" w:rsidRDefault="00751D5E" w:rsidP="00A63851">
            <w:pPr>
              <w:pStyle w:val="NormalWeb"/>
              <w:jc w:val="center"/>
              <w:rPr>
                <w:sz w:val="18"/>
                <w:szCs w:val="18"/>
              </w:rPr>
            </w:pPr>
            <w:r w:rsidRPr="0097393C">
              <w:rPr>
                <w:sz w:val="18"/>
                <w:szCs w:val="18"/>
              </w:rPr>
              <w:t>No</w:t>
            </w:r>
          </w:p>
        </w:tc>
      </w:tr>
      <w:tr w:rsidR="00751D5E" w:rsidRPr="0097393C" w:rsidTr="00A63851">
        <w:trPr>
          <w:cnfStyle w:val="000000010000" w:firstRow="0" w:lastRow="0" w:firstColumn="0" w:lastColumn="0" w:oddVBand="0" w:evenVBand="0" w:oddHBand="0" w:evenHBand="1" w:firstRowFirstColumn="0" w:firstRowLastColumn="0" w:lastRowFirstColumn="0" w:lastRowLastColumn="0"/>
        </w:trPr>
        <w:tc>
          <w:tcPr>
            <w:tcW w:w="3825" w:type="dxa"/>
            <w:vAlign w:val="center"/>
            <w:hideMark/>
          </w:tcPr>
          <w:p w:rsidR="00751D5E" w:rsidRPr="0097393C" w:rsidRDefault="00751D5E" w:rsidP="00A63851">
            <w:pPr>
              <w:pStyle w:val="NormalWeb"/>
              <w:rPr>
                <w:sz w:val="18"/>
                <w:szCs w:val="18"/>
              </w:rPr>
            </w:pPr>
            <w:r w:rsidRPr="0097393C">
              <w:rPr>
                <w:sz w:val="18"/>
                <w:szCs w:val="18"/>
              </w:rPr>
              <w:t>Suspension of elective surgery</w:t>
            </w:r>
            <w:r w:rsidRPr="0097393C">
              <w:rPr>
                <w:sz w:val="18"/>
                <w:szCs w:val="18"/>
                <w:vertAlign w:val="superscript"/>
              </w:rPr>
              <w:t>9</w:t>
            </w:r>
          </w:p>
        </w:tc>
        <w:tc>
          <w:tcPr>
            <w:tcW w:w="3148" w:type="dxa"/>
            <w:vAlign w:val="center"/>
            <w:hideMark/>
          </w:tcPr>
          <w:p w:rsidR="00751D5E" w:rsidRPr="0097393C" w:rsidRDefault="00751D5E" w:rsidP="00A63851">
            <w:pPr>
              <w:pStyle w:val="NormalWeb"/>
              <w:jc w:val="center"/>
              <w:rPr>
                <w:sz w:val="18"/>
                <w:szCs w:val="18"/>
              </w:rPr>
            </w:pPr>
            <w:r w:rsidRPr="0097393C">
              <w:rPr>
                <w:sz w:val="18"/>
                <w:szCs w:val="18"/>
              </w:rPr>
              <w:t>Yes</w:t>
            </w:r>
          </w:p>
        </w:tc>
        <w:tc>
          <w:tcPr>
            <w:tcW w:w="3487" w:type="dxa"/>
            <w:vAlign w:val="center"/>
            <w:hideMark/>
          </w:tcPr>
          <w:p w:rsidR="00751D5E" w:rsidRPr="0097393C" w:rsidRDefault="00751D5E" w:rsidP="00A63851">
            <w:pPr>
              <w:pStyle w:val="NormalWeb"/>
              <w:jc w:val="center"/>
              <w:rPr>
                <w:sz w:val="18"/>
                <w:szCs w:val="18"/>
              </w:rPr>
            </w:pPr>
            <w:r w:rsidRPr="0097393C">
              <w:rPr>
                <w:sz w:val="18"/>
                <w:szCs w:val="18"/>
              </w:rPr>
              <w:t>No</w:t>
            </w:r>
          </w:p>
        </w:tc>
      </w:tr>
      <w:tr w:rsidR="00751D5E" w:rsidRPr="0097393C" w:rsidTr="00A63851">
        <w:tc>
          <w:tcPr>
            <w:tcW w:w="3825" w:type="dxa"/>
            <w:vAlign w:val="center"/>
            <w:hideMark/>
          </w:tcPr>
          <w:p w:rsidR="00751D5E" w:rsidRPr="0097393C" w:rsidRDefault="00751D5E" w:rsidP="00A63851">
            <w:pPr>
              <w:pStyle w:val="NormalWeb"/>
              <w:rPr>
                <w:sz w:val="18"/>
                <w:szCs w:val="18"/>
              </w:rPr>
            </w:pPr>
            <w:r w:rsidRPr="0097393C">
              <w:rPr>
                <w:sz w:val="18"/>
                <w:szCs w:val="18"/>
              </w:rPr>
              <w:t>Person density restrictions</w:t>
            </w:r>
            <w:r w:rsidRPr="0097393C">
              <w:rPr>
                <w:sz w:val="18"/>
                <w:szCs w:val="18"/>
                <w:vertAlign w:val="superscript"/>
              </w:rPr>
              <w:t>10,a</w:t>
            </w:r>
          </w:p>
        </w:tc>
        <w:tc>
          <w:tcPr>
            <w:tcW w:w="3148" w:type="dxa"/>
            <w:vAlign w:val="center"/>
            <w:hideMark/>
          </w:tcPr>
          <w:p w:rsidR="00751D5E" w:rsidRPr="0097393C" w:rsidRDefault="00751D5E" w:rsidP="00A63851">
            <w:pPr>
              <w:pStyle w:val="NormalWeb"/>
              <w:jc w:val="center"/>
              <w:rPr>
                <w:sz w:val="18"/>
                <w:szCs w:val="18"/>
              </w:rPr>
            </w:pPr>
            <w:r w:rsidRPr="0097393C">
              <w:rPr>
                <w:sz w:val="18"/>
                <w:szCs w:val="18"/>
              </w:rPr>
              <w:t>Yes</w:t>
            </w:r>
            <w:r w:rsidR="00AA05C3">
              <w:rPr>
                <w:sz w:val="18"/>
                <w:szCs w:val="18"/>
              </w:rPr>
              <w:br/>
            </w:r>
            <w:r w:rsidRPr="0097393C">
              <w:rPr>
                <w:sz w:val="18"/>
                <w:szCs w:val="18"/>
              </w:rPr>
              <w:t>Maximum 1 person per 4 square metres</w:t>
            </w:r>
          </w:p>
        </w:tc>
        <w:tc>
          <w:tcPr>
            <w:tcW w:w="3487" w:type="dxa"/>
            <w:vAlign w:val="center"/>
            <w:hideMark/>
          </w:tcPr>
          <w:p w:rsidR="00751D5E" w:rsidRPr="0097393C" w:rsidRDefault="00751D5E" w:rsidP="00A63851">
            <w:pPr>
              <w:pStyle w:val="NormalWeb"/>
              <w:jc w:val="center"/>
              <w:rPr>
                <w:sz w:val="18"/>
                <w:szCs w:val="18"/>
              </w:rPr>
            </w:pPr>
            <w:r w:rsidRPr="0097393C">
              <w:rPr>
                <w:sz w:val="18"/>
                <w:szCs w:val="18"/>
              </w:rPr>
              <w:t>Yes</w:t>
            </w:r>
            <w:r w:rsidR="00AA05C3">
              <w:rPr>
                <w:sz w:val="18"/>
                <w:szCs w:val="18"/>
              </w:rPr>
              <w:br/>
            </w:r>
            <w:r w:rsidRPr="0097393C">
              <w:rPr>
                <w:sz w:val="18"/>
                <w:szCs w:val="18"/>
              </w:rPr>
              <w:t>Maximum 1 person per 2 square metres</w:t>
            </w:r>
          </w:p>
        </w:tc>
      </w:tr>
      <w:tr w:rsidR="00751D5E" w:rsidRPr="0097393C" w:rsidTr="00A63851">
        <w:trPr>
          <w:cnfStyle w:val="000000010000" w:firstRow="0" w:lastRow="0" w:firstColumn="0" w:lastColumn="0" w:oddVBand="0" w:evenVBand="0" w:oddHBand="0" w:evenHBand="1" w:firstRowFirstColumn="0" w:firstRowLastColumn="0" w:lastRowFirstColumn="0" w:lastRowLastColumn="0"/>
        </w:trPr>
        <w:tc>
          <w:tcPr>
            <w:tcW w:w="3825" w:type="dxa"/>
            <w:vAlign w:val="center"/>
            <w:hideMark/>
          </w:tcPr>
          <w:p w:rsidR="00751D5E" w:rsidRPr="0097393C" w:rsidRDefault="00751D5E" w:rsidP="00A63851">
            <w:pPr>
              <w:pStyle w:val="NormalWeb"/>
              <w:rPr>
                <w:sz w:val="18"/>
                <w:szCs w:val="18"/>
              </w:rPr>
            </w:pPr>
            <w:r w:rsidRPr="0097393C">
              <w:rPr>
                <w:sz w:val="18"/>
                <w:szCs w:val="18"/>
              </w:rPr>
              <w:t>Physical distancing (1.5m)</w:t>
            </w:r>
            <w:r w:rsidRPr="0097393C">
              <w:rPr>
                <w:sz w:val="18"/>
                <w:szCs w:val="18"/>
                <w:vertAlign w:val="superscript"/>
              </w:rPr>
              <w:t>10</w:t>
            </w:r>
          </w:p>
        </w:tc>
        <w:tc>
          <w:tcPr>
            <w:tcW w:w="3148" w:type="dxa"/>
            <w:vAlign w:val="center"/>
            <w:hideMark/>
          </w:tcPr>
          <w:p w:rsidR="00751D5E" w:rsidRPr="0097393C" w:rsidRDefault="00751D5E" w:rsidP="00A63851">
            <w:pPr>
              <w:pStyle w:val="NormalWeb"/>
              <w:jc w:val="center"/>
              <w:rPr>
                <w:sz w:val="18"/>
                <w:szCs w:val="18"/>
              </w:rPr>
            </w:pPr>
            <w:r w:rsidRPr="0097393C">
              <w:rPr>
                <w:sz w:val="18"/>
                <w:szCs w:val="18"/>
              </w:rPr>
              <w:t>Yes</w:t>
            </w:r>
          </w:p>
        </w:tc>
        <w:tc>
          <w:tcPr>
            <w:tcW w:w="3487" w:type="dxa"/>
            <w:vAlign w:val="center"/>
            <w:hideMark/>
          </w:tcPr>
          <w:p w:rsidR="00751D5E" w:rsidRPr="0097393C" w:rsidRDefault="00751D5E" w:rsidP="00A63851">
            <w:pPr>
              <w:pStyle w:val="NormalWeb"/>
              <w:jc w:val="center"/>
              <w:rPr>
                <w:sz w:val="18"/>
                <w:szCs w:val="18"/>
              </w:rPr>
            </w:pPr>
            <w:r w:rsidRPr="0097393C">
              <w:rPr>
                <w:sz w:val="18"/>
                <w:szCs w:val="18"/>
              </w:rPr>
              <w:t>Yes</w:t>
            </w:r>
          </w:p>
        </w:tc>
      </w:tr>
      <w:tr w:rsidR="00751D5E" w:rsidRPr="0097393C" w:rsidTr="00A63851">
        <w:tc>
          <w:tcPr>
            <w:tcW w:w="3825" w:type="dxa"/>
            <w:vAlign w:val="center"/>
            <w:hideMark/>
          </w:tcPr>
          <w:p w:rsidR="00751D5E" w:rsidRPr="0097393C" w:rsidRDefault="00751D5E" w:rsidP="00A63851">
            <w:pPr>
              <w:pStyle w:val="NormalWeb"/>
              <w:rPr>
                <w:sz w:val="18"/>
                <w:szCs w:val="18"/>
              </w:rPr>
            </w:pPr>
            <w:proofErr w:type="spellStart"/>
            <w:r w:rsidRPr="0097393C">
              <w:rPr>
                <w:sz w:val="18"/>
                <w:szCs w:val="18"/>
              </w:rPr>
              <w:t>COVIDsafe</w:t>
            </w:r>
            <w:proofErr w:type="spellEnd"/>
            <w:r w:rsidRPr="0097393C">
              <w:rPr>
                <w:sz w:val="18"/>
                <w:szCs w:val="18"/>
              </w:rPr>
              <w:t xml:space="preserve"> hand and respiratory hygiene</w:t>
            </w:r>
            <w:r w:rsidRPr="0097393C">
              <w:rPr>
                <w:sz w:val="18"/>
                <w:szCs w:val="18"/>
                <w:vertAlign w:val="superscript"/>
              </w:rPr>
              <w:t>11</w:t>
            </w:r>
          </w:p>
        </w:tc>
        <w:tc>
          <w:tcPr>
            <w:tcW w:w="3148" w:type="dxa"/>
            <w:vAlign w:val="center"/>
            <w:hideMark/>
          </w:tcPr>
          <w:p w:rsidR="00751D5E" w:rsidRPr="0097393C" w:rsidRDefault="00751D5E" w:rsidP="00A63851">
            <w:pPr>
              <w:pStyle w:val="NormalWeb"/>
              <w:jc w:val="center"/>
              <w:rPr>
                <w:sz w:val="18"/>
                <w:szCs w:val="18"/>
              </w:rPr>
            </w:pPr>
            <w:r w:rsidRPr="0097393C">
              <w:rPr>
                <w:sz w:val="18"/>
                <w:szCs w:val="18"/>
              </w:rPr>
              <w:t>Yes</w:t>
            </w:r>
          </w:p>
        </w:tc>
        <w:tc>
          <w:tcPr>
            <w:tcW w:w="3487" w:type="dxa"/>
            <w:vAlign w:val="center"/>
            <w:hideMark/>
          </w:tcPr>
          <w:p w:rsidR="00751D5E" w:rsidRPr="0097393C" w:rsidRDefault="00751D5E" w:rsidP="00A63851">
            <w:pPr>
              <w:pStyle w:val="NormalWeb"/>
              <w:jc w:val="center"/>
              <w:rPr>
                <w:sz w:val="18"/>
                <w:szCs w:val="18"/>
              </w:rPr>
            </w:pPr>
            <w:r w:rsidRPr="0097393C">
              <w:rPr>
                <w:sz w:val="18"/>
                <w:szCs w:val="18"/>
              </w:rPr>
              <w:t>Yes</w:t>
            </w:r>
          </w:p>
        </w:tc>
      </w:tr>
      <w:tr w:rsidR="00751D5E" w:rsidRPr="0097393C" w:rsidTr="00A63851">
        <w:trPr>
          <w:cnfStyle w:val="000000010000" w:firstRow="0" w:lastRow="0" w:firstColumn="0" w:lastColumn="0" w:oddVBand="0" w:evenVBand="0" w:oddHBand="0" w:evenHBand="1" w:firstRowFirstColumn="0" w:firstRowLastColumn="0" w:lastRowFirstColumn="0" w:lastRowLastColumn="0"/>
        </w:trPr>
        <w:tc>
          <w:tcPr>
            <w:tcW w:w="3825" w:type="dxa"/>
            <w:vAlign w:val="center"/>
            <w:hideMark/>
          </w:tcPr>
          <w:p w:rsidR="00751D5E" w:rsidRPr="0097393C" w:rsidRDefault="00751D5E" w:rsidP="00A63851">
            <w:pPr>
              <w:pStyle w:val="NormalWeb"/>
              <w:rPr>
                <w:sz w:val="18"/>
                <w:szCs w:val="18"/>
              </w:rPr>
            </w:pPr>
            <w:r w:rsidRPr="0097393C">
              <w:rPr>
                <w:sz w:val="18"/>
                <w:szCs w:val="18"/>
              </w:rPr>
              <w:t>Contact identification (QR codes etc.)</w:t>
            </w:r>
            <w:r w:rsidRPr="0097393C">
              <w:rPr>
                <w:sz w:val="18"/>
                <w:szCs w:val="18"/>
                <w:vertAlign w:val="superscript"/>
              </w:rPr>
              <w:t>12</w:t>
            </w:r>
          </w:p>
        </w:tc>
        <w:tc>
          <w:tcPr>
            <w:tcW w:w="3148" w:type="dxa"/>
            <w:vAlign w:val="center"/>
            <w:hideMark/>
          </w:tcPr>
          <w:p w:rsidR="00751D5E" w:rsidRPr="0097393C" w:rsidRDefault="00751D5E" w:rsidP="00A63851">
            <w:pPr>
              <w:pStyle w:val="NormalWeb"/>
              <w:jc w:val="center"/>
              <w:rPr>
                <w:sz w:val="18"/>
                <w:szCs w:val="18"/>
              </w:rPr>
            </w:pPr>
            <w:r w:rsidRPr="0097393C">
              <w:rPr>
                <w:sz w:val="18"/>
                <w:szCs w:val="18"/>
              </w:rPr>
              <w:t>No</w:t>
            </w:r>
          </w:p>
        </w:tc>
        <w:tc>
          <w:tcPr>
            <w:tcW w:w="3487" w:type="dxa"/>
            <w:vAlign w:val="center"/>
            <w:hideMark/>
          </w:tcPr>
          <w:p w:rsidR="00751D5E" w:rsidRPr="0097393C" w:rsidRDefault="00751D5E" w:rsidP="00A63851">
            <w:pPr>
              <w:pStyle w:val="NormalWeb"/>
              <w:jc w:val="center"/>
              <w:rPr>
                <w:sz w:val="18"/>
                <w:szCs w:val="18"/>
              </w:rPr>
            </w:pPr>
            <w:r w:rsidRPr="0097393C">
              <w:rPr>
                <w:sz w:val="18"/>
                <w:szCs w:val="18"/>
              </w:rPr>
              <w:t>Yes</w:t>
            </w:r>
          </w:p>
        </w:tc>
      </w:tr>
      <w:tr w:rsidR="00751D5E" w:rsidRPr="0097393C" w:rsidTr="00A63851">
        <w:tc>
          <w:tcPr>
            <w:tcW w:w="3825" w:type="dxa"/>
            <w:vAlign w:val="center"/>
            <w:hideMark/>
          </w:tcPr>
          <w:p w:rsidR="00751D5E" w:rsidRPr="0097393C" w:rsidRDefault="00751D5E" w:rsidP="00A63851">
            <w:pPr>
              <w:pStyle w:val="NormalWeb"/>
              <w:rPr>
                <w:sz w:val="18"/>
                <w:szCs w:val="18"/>
              </w:rPr>
            </w:pPr>
            <w:r w:rsidRPr="0097393C">
              <w:rPr>
                <w:sz w:val="18"/>
                <w:szCs w:val="18"/>
              </w:rPr>
              <w:t>Public use of face masks</w:t>
            </w:r>
            <w:r w:rsidRPr="0097393C">
              <w:rPr>
                <w:sz w:val="18"/>
                <w:szCs w:val="18"/>
                <w:vertAlign w:val="superscript"/>
              </w:rPr>
              <w:t>13,a</w:t>
            </w:r>
          </w:p>
        </w:tc>
        <w:tc>
          <w:tcPr>
            <w:tcW w:w="3148" w:type="dxa"/>
            <w:vAlign w:val="center"/>
            <w:hideMark/>
          </w:tcPr>
          <w:p w:rsidR="00751D5E" w:rsidRPr="0097393C" w:rsidRDefault="00751D5E" w:rsidP="00A63851">
            <w:pPr>
              <w:pStyle w:val="NormalWeb"/>
              <w:jc w:val="center"/>
              <w:rPr>
                <w:sz w:val="18"/>
                <w:szCs w:val="18"/>
              </w:rPr>
            </w:pPr>
            <w:r w:rsidRPr="0097393C">
              <w:rPr>
                <w:sz w:val="18"/>
                <w:szCs w:val="18"/>
              </w:rPr>
              <w:t>No</w:t>
            </w:r>
          </w:p>
        </w:tc>
        <w:tc>
          <w:tcPr>
            <w:tcW w:w="3487" w:type="dxa"/>
            <w:vAlign w:val="center"/>
            <w:hideMark/>
          </w:tcPr>
          <w:p w:rsidR="00751D5E" w:rsidRPr="0097393C" w:rsidRDefault="00751D5E" w:rsidP="00A63851">
            <w:pPr>
              <w:pStyle w:val="NormalWeb"/>
              <w:jc w:val="center"/>
              <w:rPr>
                <w:sz w:val="18"/>
                <w:szCs w:val="18"/>
              </w:rPr>
            </w:pPr>
            <w:r w:rsidRPr="0097393C">
              <w:rPr>
                <w:sz w:val="18"/>
                <w:szCs w:val="18"/>
              </w:rPr>
              <w:t>Yes</w:t>
            </w:r>
            <w:r w:rsidR="00AA05C3">
              <w:rPr>
                <w:sz w:val="18"/>
                <w:szCs w:val="18"/>
              </w:rPr>
              <w:br/>
            </w:r>
            <w:r w:rsidRPr="0097393C">
              <w:rPr>
                <w:sz w:val="18"/>
                <w:szCs w:val="18"/>
              </w:rPr>
              <w:t>Recommended where there is community transmission</w:t>
            </w:r>
          </w:p>
        </w:tc>
      </w:tr>
    </w:tbl>
    <w:p w:rsidR="00A63851" w:rsidRDefault="00751D5E" w:rsidP="00A63851">
      <w:pPr>
        <w:pStyle w:val="CDIfootnotes"/>
        <w:rPr>
          <w:lang w:val="en-GB"/>
        </w:rPr>
      </w:pPr>
      <w:proofErr w:type="gramStart"/>
      <w:r>
        <w:rPr>
          <w:lang w:val="en-GB"/>
        </w:rPr>
        <w:t>a</w:t>
      </w:r>
      <w:proofErr w:type="gramEnd"/>
      <w:r>
        <w:rPr>
          <w:lang w:val="en-GB"/>
        </w:rPr>
        <w:tab/>
        <w:t>Measures may be adapted or re-implemented at the discretion of jurisdictions during a period of higher-level restrictions following a community transmission event.</w:t>
      </w:r>
      <w:r w:rsidR="00A63851">
        <w:rPr>
          <w:lang w:val="en-GB"/>
        </w:rPr>
        <w:br w:type="page"/>
      </w:r>
    </w:p>
    <w:p w:rsidR="00DA46CA" w:rsidRDefault="00DA46CA" w:rsidP="00A63851">
      <w:pPr>
        <w:pStyle w:val="CDIfootnotes"/>
      </w:pPr>
      <w:r>
        <w:rPr>
          <w:noProof/>
        </w:rPr>
        <w:lastRenderedPageBreak/>
        <mc:AlternateContent>
          <mc:Choice Requires="wps">
            <w:drawing>
              <wp:inline distT="0" distB="0" distL="0" distR="0" wp14:anchorId="33C405D8" wp14:editId="0220EF76">
                <wp:extent cx="6430060" cy="1404620"/>
                <wp:effectExtent l="0" t="0" r="27940" b="13335"/>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0060" cy="1404620"/>
                        </a:xfrm>
                        <a:prstGeom prst="rect">
                          <a:avLst/>
                        </a:prstGeom>
                        <a:solidFill>
                          <a:schemeClr val="bg1">
                            <a:lumMod val="95000"/>
                          </a:schemeClr>
                        </a:solidFill>
                        <a:ln w="3175">
                          <a:solidFill>
                            <a:schemeClr val="bg1">
                              <a:lumMod val="50000"/>
                            </a:schemeClr>
                          </a:solidFill>
                          <a:miter lim="800000"/>
                          <a:headEnd/>
                          <a:tailEnd/>
                        </a:ln>
                      </wps:spPr>
                      <wps:txbx>
                        <w:txbxContent>
                          <w:p w:rsidR="00EE1F6B" w:rsidRDefault="00EE1F6B" w:rsidP="00DA46CA">
                            <w:pPr>
                              <w:pStyle w:val="Heading1"/>
                              <w:spacing w:before="240"/>
                            </w:pPr>
                            <w:r w:rsidRPr="00FE138D">
                              <w:t>Two-week repor</w:t>
                            </w:r>
                            <w:r>
                              <w:t>ting period (12–25 April 2021):</w:t>
                            </w:r>
                          </w:p>
                        </w:txbxContent>
                      </wps:txbx>
                      <wps:bodyPr rot="0" vert="horz" wrap="square" lIns="91440" tIns="45720" rIns="91440" bIns="45720" anchor="t" anchorCtr="0">
                        <a:spAutoFit/>
                      </wps:bodyPr>
                    </wps:wsp>
                  </a:graphicData>
                </a:graphic>
              </wp:inline>
            </w:drawing>
          </mc:Choice>
          <mc:Fallback>
            <w:pict>
              <v:shape w14:anchorId="33C405D8" id="Text Box 3" o:spid="_x0000_s1028" type="#_x0000_t202" style="width:506.3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" fillcolor="#f2f2f2 [3052]" strokecolor="#7f7f7f [1612]" strokeweight=".25pt">
                <v:textbox style="mso-fit-shape-to-text:t">
                  <w:txbxContent>
                    <w:p w:rsidR="00EE1F6B" w:rsidRDefault="00EE1F6B" w:rsidP="00DA46CA">
                      <w:pPr>
                        <w:pStyle w:val="Heading1"/>
                        <w:spacing w:before="240"/>
                      </w:pPr>
                      <w:r w:rsidRPr="00FE138D">
                        <w:t>Two-week repor</w:t>
                      </w:r>
                      <w:r>
                        <w:t>ting period (12–25 April 2021):</w:t>
                      </w:r>
                    </w:p>
                  </w:txbxContent>
                </v:textbox>
                <w10:anchorlock/>
              </v:shape>
            </w:pict>
          </mc:Fallback>
        </mc:AlternateContent>
      </w:r>
    </w:p>
    <w:p w:rsidR="00E52E78" w:rsidRPr="00FE138D" w:rsidRDefault="00E52E78" w:rsidP="00FE138D">
      <w:pPr>
        <w:pStyle w:val="Heading2"/>
      </w:pPr>
      <w:r w:rsidRPr="00FE138D">
        <w:t xml:space="preserve">Background and data sources </w:t>
      </w:r>
    </w:p>
    <w:p w:rsidR="00E52E78" w:rsidRDefault="00E52E78" w:rsidP="00FE138D">
      <w:r>
        <w:t>See the Technical Supplement for general information on COVID-19 including modes of transmission, common symptoms and severity.</w:t>
      </w:r>
      <w:r>
        <w:rPr>
          <w:vertAlign w:val="superscript"/>
        </w:rPr>
        <w:t xml:space="preserve">14 </w:t>
      </w:r>
    </w:p>
    <w:p w:rsidR="00E52E78" w:rsidRPr="00D151EC" w:rsidRDefault="00E52E78" w:rsidP="00D151EC">
      <w:pPr>
        <w:pStyle w:val="Heading1"/>
      </w:pPr>
      <w:r w:rsidRPr="00D151EC">
        <w:t xml:space="preserve">Activity </w:t>
      </w:r>
    </w:p>
    <w:p w:rsidR="00E52E78" w:rsidRPr="00D151EC" w:rsidRDefault="00E52E78" w:rsidP="00D151EC">
      <w:pPr>
        <w:pStyle w:val="Heading2"/>
      </w:pPr>
      <w:r w:rsidRPr="00D151EC">
        <w:t xml:space="preserve">COVID-19 trends </w:t>
      </w:r>
    </w:p>
    <w:p w:rsidR="00E52E78" w:rsidRPr="00321E69" w:rsidRDefault="00E52E78" w:rsidP="00D151EC">
      <w:pPr>
        <w:pStyle w:val="Heading3"/>
        <w:rPr>
          <w:i/>
        </w:rPr>
      </w:pPr>
      <w:r w:rsidRPr="00321E69">
        <w:rPr>
          <w:i/>
        </w:rPr>
        <w:t xml:space="preserve">(NNDSS and jurisdictional reporting to NIR) </w:t>
      </w:r>
    </w:p>
    <w:p w:rsidR="00E52E78" w:rsidRDefault="00E52E78" w:rsidP="00D151EC">
      <w:r>
        <w:t xml:space="preserve">There were 243 cases with a diagnosis date within this two-week reporting period, from 12 to 25 April 2021. This averages to seventeen cases diagnosed per day over this reporting period, which is more than twice the average daily cases for the previous reporting period, when an average of eight cases were diagnosed per day. Of all states and territories, the most cases diagnosed this fortnight were from New South Wales (33% of all cases; 81/243), followed by the Northern Territory (21%; 52/243) (Table 2). </w:t>
      </w:r>
    </w:p>
    <w:p w:rsidR="009910A3" w:rsidRPr="0051476A" w:rsidRDefault="009910A3" w:rsidP="009910A3">
      <w:pPr>
        <w:pStyle w:val="CDIFigures"/>
      </w:pPr>
      <w:r w:rsidRPr="0051476A">
        <w:rPr>
          <w:rStyle w:val="Strong"/>
          <w:b/>
          <w:bCs w:val="0"/>
        </w:rPr>
        <w:t>Table 2: COVID-19 notifications by jurisdiction and source of acquisition, 12–25 April 2021</w:t>
      </w:r>
      <w:r w:rsidRPr="0051476A">
        <w:rPr>
          <w:rStyle w:val="Strong"/>
          <w:b/>
          <w:bCs w:val="0"/>
          <w:vertAlign w:val="superscript"/>
        </w:rPr>
        <w:t>a</w:t>
      </w:r>
      <w:r w:rsidRPr="0051476A">
        <w:t xml:space="preserve">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2 shows COVID-19 notifications by jurisdiction and by source of acquisition, for the current fortnightly reporting period. The largest number of new COVID-19 notifications (81/243) has been reported in New South Wales, comprising 78 overseas-acquired cases and three cases acquired locally with known source.  The Northern Territory reported 52 cases, all acquired overseas. Western Australia reported 35 cases, with three of these locally-acquired cases of known source, a further case under initial investigation and the remainder (31) acquired overseas. South Australia reported 33 cases, with one case under initial investigation and 32 acquired overseas. Victoria reported 28 cases, with one case acquired locally and of known source and 27 acquired overseas. Queensland reported 14 overseas-acquired cases, while Tasmania and the Australian Capital Territory did not report any cases in this reporting period."/>
      </w:tblPr>
      <w:tblGrid>
        <w:gridCol w:w="2227"/>
        <w:gridCol w:w="912"/>
        <w:gridCol w:w="913"/>
        <w:gridCol w:w="912"/>
        <w:gridCol w:w="913"/>
        <w:gridCol w:w="912"/>
        <w:gridCol w:w="913"/>
        <w:gridCol w:w="912"/>
        <w:gridCol w:w="913"/>
        <w:gridCol w:w="913"/>
      </w:tblGrid>
      <w:tr w:rsidR="00AF2787" w:rsidRPr="0097393C" w:rsidTr="00AF2787">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FFFFFF" w:themeColor="background1"/>
            </w:tcBorders>
            <w:hideMark/>
          </w:tcPr>
          <w:p w:rsidR="009910A3" w:rsidRPr="0097393C" w:rsidRDefault="009910A3" w:rsidP="0014557D">
            <w:pPr>
              <w:pStyle w:val="NormalWeb"/>
              <w:rPr>
                <w:color w:val="FFFFFF" w:themeColor="background1"/>
                <w:sz w:val="18"/>
                <w:szCs w:val="18"/>
              </w:rPr>
            </w:pPr>
            <w:r w:rsidRPr="0097393C">
              <w:rPr>
                <w:color w:val="FFFFFF" w:themeColor="background1"/>
                <w:sz w:val="18"/>
                <w:szCs w:val="18"/>
              </w:rPr>
              <w:t>Source</w:t>
            </w:r>
          </w:p>
        </w:tc>
        <w:tc>
          <w:tcPr>
            <w:tcW w:w="912" w:type="dxa"/>
            <w:tcBorders>
              <w:left w:val="single" w:sz="2" w:space="0" w:color="FFFFFF" w:themeColor="background1"/>
              <w:right w:val="single" w:sz="2" w:space="0" w:color="FFFFFF" w:themeColor="background1"/>
            </w:tcBorders>
            <w:hideMark/>
          </w:tcPr>
          <w:p w:rsidR="009910A3" w:rsidRPr="0097393C" w:rsidRDefault="009910A3" w:rsidP="00AF2787">
            <w:pPr>
              <w:pStyle w:val="NormalWeb"/>
              <w:jc w:val="center"/>
              <w:rPr>
                <w:color w:val="FFFFFF" w:themeColor="background1"/>
                <w:sz w:val="18"/>
                <w:szCs w:val="18"/>
              </w:rPr>
            </w:pPr>
            <w:r w:rsidRPr="0097393C">
              <w:rPr>
                <w:color w:val="FFFFFF" w:themeColor="background1"/>
                <w:sz w:val="18"/>
                <w:szCs w:val="18"/>
              </w:rPr>
              <w:t>ACT</w:t>
            </w:r>
          </w:p>
        </w:tc>
        <w:tc>
          <w:tcPr>
            <w:tcW w:w="913" w:type="dxa"/>
            <w:tcBorders>
              <w:left w:val="single" w:sz="2" w:space="0" w:color="FFFFFF" w:themeColor="background1"/>
              <w:right w:val="single" w:sz="2" w:space="0" w:color="FFFFFF" w:themeColor="background1"/>
            </w:tcBorders>
            <w:hideMark/>
          </w:tcPr>
          <w:p w:rsidR="009910A3" w:rsidRPr="0097393C" w:rsidRDefault="009910A3" w:rsidP="00AF2787">
            <w:pPr>
              <w:pStyle w:val="NormalWeb"/>
              <w:jc w:val="center"/>
              <w:rPr>
                <w:color w:val="FFFFFF" w:themeColor="background1"/>
                <w:sz w:val="18"/>
                <w:szCs w:val="18"/>
              </w:rPr>
            </w:pPr>
            <w:r w:rsidRPr="0097393C">
              <w:rPr>
                <w:color w:val="FFFFFF" w:themeColor="background1"/>
                <w:sz w:val="18"/>
                <w:szCs w:val="18"/>
              </w:rPr>
              <w:t>NSW</w:t>
            </w:r>
          </w:p>
        </w:tc>
        <w:tc>
          <w:tcPr>
            <w:tcW w:w="912" w:type="dxa"/>
            <w:tcBorders>
              <w:left w:val="single" w:sz="2" w:space="0" w:color="FFFFFF" w:themeColor="background1"/>
              <w:right w:val="single" w:sz="2" w:space="0" w:color="FFFFFF" w:themeColor="background1"/>
            </w:tcBorders>
            <w:hideMark/>
          </w:tcPr>
          <w:p w:rsidR="009910A3" w:rsidRPr="0097393C" w:rsidRDefault="009910A3" w:rsidP="00AF2787">
            <w:pPr>
              <w:pStyle w:val="NormalWeb"/>
              <w:jc w:val="center"/>
              <w:rPr>
                <w:color w:val="FFFFFF" w:themeColor="background1"/>
                <w:sz w:val="18"/>
                <w:szCs w:val="18"/>
              </w:rPr>
            </w:pPr>
            <w:r w:rsidRPr="0097393C">
              <w:rPr>
                <w:color w:val="FFFFFF" w:themeColor="background1"/>
                <w:sz w:val="18"/>
                <w:szCs w:val="18"/>
              </w:rPr>
              <w:t>NT</w:t>
            </w:r>
          </w:p>
        </w:tc>
        <w:tc>
          <w:tcPr>
            <w:tcW w:w="913" w:type="dxa"/>
            <w:tcBorders>
              <w:left w:val="single" w:sz="2" w:space="0" w:color="FFFFFF" w:themeColor="background1"/>
              <w:right w:val="single" w:sz="2" w:space="0" w:color="FFFFFF" w:themeColor="background1"/>
            </w:tcBorders>
            <w:hideMark/>
          </w:tcPr>
          <w:p w:rsidR="009910A3" w:rsidRPr="0097393C" w:rsidRDefault="009910A3" w:rsidP="00AF2787">
            <w:pPr>
              <w:pStyle w:val="NormalWeb"/>
              <w:jc w:val="center"/>
              <w:rPr>
                <w:color w:val="FFFFFF" w:themeColor="background1"/>
                <w:sz w:val="18"/>
                <w:szCs w:val="18"/>
              </w:rPr>
            </w:pPr>
            <w:r w:rsidRPr="0097393C">
              <w:rPr>
                <w:color w:val="FFFFFF" w:themeColor="background1"/>
                <w:sz w:val="18"/>
                <w:szCs w:val="18"/>
              </w:rPr>
              <w:t>Qld</w:t>
            </w:r>
          </w:p>
        </w:tc>
        <w:tc>
          <w:tcPr>
            <w:tcW w:w="912" w:type="dxa"/>
            <w:tcBorders>
              <w:left w:val="single" w:sz="2" w:space="0" w:color="FFFFFF" w:themeColor="background1"/>
              <w:right w:val="single" w:sz="2" w:space="0" w:color="FFFFFF" w:themeColor="background1"/>
            </w:tcBorders>
            <w:hideMark/>
          </w:tcPr>
          <w:p w:rsidR="009910A3" w:rsidRPr="0097393C" w:rsidRDefault="009910A3" w:rsidP="00AF2787">
            <w:pPr>
              <w:pStyle w:val="NormalWeb"/>
              <w:jc w:val="center"/>
              <w:rPr>
                <w:color w:val="FFFFFF" w:themeColor="background1"/>
                <w:sz w:val="18"/>
                <w:szCs w:val="18"/>
              </w:rPr>
            </w:pPr>
            <w:r w:rsidRPr="0097393C">
              <w:rPr>
                <w:color w:val="FFFFFF" w:themeColor="background1"/>
                <w:sz w:val="18"/>
                <w:szCs w:val="18"/>
              </w:rPr>
              <w:t>SA</w:t>
            </w:r>
          </w:p>
        </w:tc>
        <w:tc>
          <w:tcPr>
            <w:tcW w:w="913" w:type="dxa"/>
            <w:tcBorders>
              <w:left w:val="single" w:sz="2" w:space="0" w:color="FFFFFF" w:themeColor="background1"/>
              <w:right w:val="single" w:sz="2" w:space="0" w:color="FFFFFF" w:themeColor="background1"/>
            </w:tcBorders>
            <w:hideMark/>
          </w:tcPr>
          <w:p w:rsidR="009910A3" w:rsidRPr="0097393C" w:rsidRDefault="009910A3" w:rsidP="00AF2787">
            <w:pPr>
              <w:pStyle w:val="NormalWeb"/>
              <w:jc w:val="center"/>
              <w:rPr>
                <w:color w:val="FFFFFF" w:themeColor="background1"/>
                <w:sz w:val="18"/>
                <w:szCs w:val="18"/>
              </w:rPr>
            </w:pPr>
            <w:r w:rsidRPr="0097393C">
              <w:rPr>
                <w:color w:val="FFFFFF" w:themeColor="background1"/>
                <w:sz w:val="18"/>
                <w:szCs w:val="18"/>
              </w:rPr>
              <w:t>Tas.</w:t>
            </w:r>
          </w:p>
        </w:tc>
        <w:tc>
          <w:tcPr>
            <w:tcW w:w="912" w:type="dxa"/>
            <w:tcBorders>
              <w:left w:val="single" w:sz="2" w:space="0" w:color="FFFFFF" w:themeColor="background1"/>
              <w:right w:val="single" w:sz="2" w:space="0" w:color="FFFFFF" w:themeColor="background1"/>
            </w:tcBorders>
            <w:hideMark/>
          </w:tcPr>
          <w:p w:rsidR="009910A3" w:rsidRPr="0097393C" w:rsidRDefault="009910A3" w:rsidP="00AF2787">
            <w:pPr>
              <w:pStyle w:val="NormalWeb"/>
              <w:jc w:val="center"/>
              <w:rPr>
                <w:color w:val="FFFFFF" w:themeColor="background1"/>
                <w:sz w:val="18"/>
                <w:szCs w:val="18"/>
              </w:rPr>
            </w:pPr>
            <w:r w:rsidRPr="0097393C">
              <w:rPr>
                <w:color w:val="FFFFFF" w:themeColor="background1"/>
                <w:sz w:val="18"/>
                <w:szCs w:val="18"/>
              </w:rPr>
              <w:t>Vic.</w:t>
            </w:r>
          </w:p>
        </w:tc>
        <w:tc>
          <w:tcPr>
            <w:tcW w:w="913" w:type="dxa"/>
            <w:tcBorders>
              <w:left w:val="single" w:sz="2" w:space="0" w:color="FFFFFF" w:themeColor="background1"/>
              <w:right w:val="single" w:sz="2" w:space="0" w:color="FFFFFF" w:themeColor="background1"/>
            </w:tcBorders>
            <w:hideMark/>
          </w:tcPr>
          <w:p w:rsidR="009910A3" w:rsidRPr="0097393C" w:rsidRDefault="009910A3" w:rsidP="00AF2787">
            <w:pPr>
              <w:pStyle w:val="NormalWeb"/>
              <w:jc w:val="center"/>
              <w:rPr>
                <w:color w:val="FFFFFF" w:themeColor="background1"/>
                <w:sz w:val="18"/>
                <w:szCs w:val="18"/>
              </w:rPr>
            </w:pPr>
            <w:r w:rsidRPr="0097393C">
              <w:rPr>
                <w:color w:val="FFFFFF" w:themeColor="background1"/>
                <w:sz w:val="18"/>
                <w:szCs w:val="18"/>
              </w:rPr>
              <w:t>WA</w:t>
            </w:r>
          </w:p>
        </w:tc>
        <w:tc>
          <w:tcPr>
            <w:tcW w:w="913" w:type="dxa"/>
            <w:tcBorders>
              <w:left w:val="single" w:sz="2" w:space="0" w:color="FFFFFF" w:themeColor="background1"/>
            </w:tcBorders>
            <w:hideMark/>
          </w:tcPr>
          <w:p w:rsidR="009910A3" w:rsidRPr="0097393C" w:rsidRDefault="009910A3" w:rsidP="00AF2787">
            <w:pPr>
              <w:pStyle w:val="NormalWeb"/>
              <w:jc w:val="center"/>
              <w:rPr>
                <w:color w:val="FFFFFF" w:themeColor="background1"/>
                <w:sz w:val="18"/>
                <w:szCs w:val="18"/>
              </w:rPr>
            </w:pPr>
            <w:r w:rsidRPr="0097393C">
              <w:rPr>
                <w:color w:val="FFFFFF" w:themeColor="background1"/>
                <w:sz w:val="18"/>
                <w:szCs w:val="18"/>
              </w:rPr>
              <w:t>Australia</w:t>
            </w:r>
          </w:p>
        </w:tc>
      </w:tr>
      <w:tr w:rsidR="009910A3" w:rsidRPr="0097393C" w:rsidTr="00AF2787">
        <w:tc>
          <w:tcPr>
            <w:tcW w:w="0" w:type="auto"/>
            <w:hideMark/>
          </w:tcPr>
          <w:p w:rsidR="009910A3" w:rsidRPr="0097393C" w:rsidRDefault="009910A3" w:rsidP="0014557D">
            <w:pPr>
              <w:pStyle w:val="NormalWeb"/>
              <w:rPr>
                <w:sz w:val="18"/>
                <w:szCs w:val="18"/>
              </w:rPr>
            </w:pPr>
            <w:r w:rsidRPr="0097393C">
              <w:rPr>
                <w:sz w:val="18"/>
                <w:szCs w:val="18"/>
              </w:rPr>
              <w:t>Overseas</w:t>
            </w:r>
          </w:p>
        </w:tc>
        <w:tc>
          <w:tcPr>
            <w:tcW w:w="912" w:type="dxa"/>
            <w:hideMark/>
          </w:tcPr>
          <w:p w:rsidR="009910A3" w:rsidRPr="0097393C" w:rsidRDefault="009910A3" w:rsidP="00AF2787">
            <w:pPr>
              <w:pStyle w:val="NormalWeb"/>
              <w:jc w:val="center"/>
              <w:rPr>
                <w:sz w:val="18"/>
                <w:szCs w:val="18"/>
              </w:rPr>
            </w:pPr>
            <w:r w:rsidRPr="0097393C">
              <w:rPr>
                <w:sz w:val="18"/>
                <w:szCs w:val="18"/>
              </w:rPr>
              <w:t>0</w:t>
            </w:r>
          </w:p>
        </w:tc>
        <w:tc>
          <w:tcPr>
            <w:tcW w:w="913" w:type="dxa"/>
            <w:hideMark/>
          </w:tcPr>
          <w:p w:rsidR="009910A3" w:rsidRPr="0097393C" w:rsidRDefault="009910A3" w:rsidP="00AF2787">
            <w:pPr>
              <w:pStyle w:val="NormalWeb"/>
              <w:jc w:val="center"/>
              <w:rPr>
                <w:sz w:val="18"/>
                <w:szCs w:val="18"/>
              </w:rPr>
            </w:pPr>
            <w:r w:rsidRPr="0097393C">
              <w:rPr>
                <w:sz w:val="18"/>
                <w:szCs w:val="18"/>
              </w:rPr>
              <w:t>78</w:t>
            </w:r>
          </w:p>
        </w:tc>
        <w:tc>
          <w:tcPr>
            <w:tcW w:w="912" w:type="dxa"/>
            <w:hideMark/>
          </w:tcPr>
          <w:p w:rsidR="009910A3" w:rsidRPr="0097393C" w:rsidRDefault="009910A3" w:rsidP="00AF2787">
            <w:pPr>
              <w:pStyle w:val="NormalWeb"/>
              <w:jc w:val="center"/>
              <w:rPr>
                <w:sz w:val="18"/>
                <w:szCs w:val="18"/>
              </w:rPr>
            </w:pPr>
            <w:r w:rsidRPr="0097393C">
              <w:rPr>
                <w:sz w:val="18"/>
                <w:szCs w:val="18"/>
              </w:rPr>
              <w:t>52</w:t>
            </w:r>
          </w:p>
        </w:tc>
        <w:tc>
          <w:tcPr>
            <w:tcW w:w="913" w:type="dxa"/>
            <w:hideMark/>
          </w:tcPr>
          <w:p w:rsidR="009910A3" w:rsidRPr="0097393C" w:rsidRDefault="009910A3" w:rsidP="00AF2787">
            <w:pPr>
              <w:pStyle w:val="NormalWeb"/>
              <w:jc w:val="center"/>
              <w:rPr>
                <w:sz w:val="18"/>
                <w:szCs w:val="18"/>
              </w:rPr>
            </w:pPr>
            <w:r w:rsidRPr="0097393C">
              <w:rPr>
                <w:sz w:val="18"/>
                <w:szCs w:val="18"/>
              </w:rPr>
              <w:t>14</w:t>
            </w:r>
          </w:p>
        </w:tc>
        <w:tc>
          <w:tcPr>
            <w:tcW w:w="912" w:type="dxa"/>
            <w:hideMark/>
          </w:tcPr>
          <w:p w:rsidR="009910A3" w:rsidRPr="0097393C" w:rsidRDefault="009910A3" w:rsidP="00AF2787">
            <w:pPr>
              <w:pStyle w:val="NormalWeb"/>
              <w:jc w:val="center"/>
              <w:rPr>
                <w:sz w:val="18"/>
                <w:szCs w:val="18"/>
              </w:rPr>
            </w:pPr>
            <w:r w:rsidRPr="0097393C">
              <w:rPr>
                <w:sz w:val="18"/>
                <w:szCs w:val="18"/>
              </w:rPr>
              <w:t>32</w:t>
            </w:r>
          </w:p>
        </w:tc>
        <w:tc>
          <w:tcPr>
            <w:tcW w:w="913" w:type="dxa"/>
            <w:hideMark/>
          </w:tcPr>
          <w:p w:rsidR="009910A3" w:rsidRPr="0097393C" w:rsidRDefault="009910A3" w:rsidP="00AF2787">
            <w:pPr>
              <w:pStyle w:val="NormalWeb"/>
              <w:jc w:val="center"/>
              <w:rPr>
                <w:sz w:val="18"/>
                <w:szCs w:val="18"/>
              </w:rPr>
            </w:pPr>
            <w:r w:rsidRPr="0097393C">
              <w:rPr>
                <w:sz w:val="18"/>
                <w:szCs w:val="18"/>
              </w:rPr>
              <w:t>0</w:t>
            </w:r>
          </w:p>
        </w:tc>
        <w:tc>
          <w:tcPr>
            <w:tcW w:w="912" w:type="dxa"/>
            <w:hideMark/>
          </w:tcPr>
          <w:p w:rsidR="009910A3" w:rsidRPr="0097393C" w:rsidRDefault="009910A3" w:rsidP="00AF2787">
            <w:pPr>
              <w:pStyle w:val="NormalWeb"/>
              <w:jc w:val="center"/>
              <w:rPr>
                <w:sz w:val="18"/>
                <w:szCs w:val="18"/>
              </w:rPr>
            </w:pPr>
            <w:r w:rsidRPr="0097393C">
              <w:rPr>
                <w:sz w:val="18"/>
                <w:szCs w:val="18"/>
              </w:rPr>
              <w:t>27</w:t>
            </w:r>
          </w:p>
        </w:tc>
        <w:tc>
          <w:tcPr>
            <w:tcW w:w="913" w:type="dxa"/>
            <w:hideMark/>
          </w:tcPr>
          <w:p w:rsidR="009910A3" w:rsidRPr="0097393C" w:rsidRDefault="009910A3" w:rsidP="00AF2787">
            <w:pPr>
              <w:pStyle w:val="NormalWeb"/>
              <w:jc w:val="center"/>
              <w:rPr>
                <w:sz w:val="18"/>
                <w:szCs w:val="18"/>
              </w:rPr>
            </w:pPr>
            <w:r w:rsidRPr="0097393C">
              <w:rPr>
                <w:sz w:val="18"/>
                <w:szCs w:val="18"/>
              </w:rPr>
              <w:t>31</w:t>
            </w:r>
          </w:p>
        </w:tc>
        <w:tc>
          <w:tcPr>
            <w:tcW w:w="913" w:type="dxa"/>
            <w:hideMark/>
          </w:tcPr>
          <w:p w:rsidR="009910A3" w:rsidRPr="0097393C" w:rsidRDefault="009910A3" w:rsidP="00AF2787">
            <w:pPr>
              <w:pStyle w:val="NormalWeb"/>
              <w:jc w:val="center"/>
              <w:rPr>
                <w:sz w:val="18"/>
                <w:szCs w:val="18"/>
              </w:rPr>
            </w:pPr>
            <w:r w:rsidRPr="0097393C">
              <w:rPr>
                <w:sz w:val="18"/>
                <w:szCs w:val="18"/>
              </w:rPr>
              <w:t>234</w:t>
            </w:r>
          </w:p>
        </w:tc>
      </w:tr>
      <w:tr w:rsidR="009910A3" w:rsidRPr="0097393C" w:rsidTr="00AF2787">
        <w:trPr>
          <w:cnfStyle w:val="000000010000" w:firstRow="0" w:lastRow="0" w:firstColumn="0" w:lastColumn="0" w:oddVBand="0" w:evenVBand="0" w:oddHBand="0" w:evenHBand="1" w:firstRowFirstColumn="0" w:firstRowLastColumn="0" w:lastRowFirstColumn="0" w:lastRowLastColumn="0"/>
        </w:trPr>
        <w:tc>
          <w:tcPr>
            <w:tcW w:w="0" w:type="auto"/>
            <w:hideMark/>
          </w:tcPr>
          <w:p w:rsidR="009910A3" w:rsidRPr="0097393C" w:rsidRDefault="009910A3" w:rsidP="0014557D">
            <w:pPr>
              <w:pStyle w:val="NormalWeb"/>
              <w:rPr>
                <w:sz w:val="18"/>
                <w:szCs w:val="18"/>
              </w:rPr>
            </w:pPr>
            <w:r w:rsidRPr="0097393C">
              <w:rPr>
                <w:sz w:val="18"/>
                <w:szCs w:val="18"/>
              </w:rPr>
              <w:t>Local</w:t>
            </w:r>
          </w:p>
        </w:tc>
        <w:tc>
          <w:tcPr>
            <w:tcW w:w="912" w:type="dxa"/>
            <w:hideMark/>
          </w:tcPr>
          <w:p w:rsidR="009910A3" w:rsidRPr="0097393C" w:rsidRDefault="009910A3" w:rsidP="00AF2787">
            <w:pPr>
              <w:pStyle w:val="NormalWeb"/>
              <w:jc w:val="center"/>
              <w:rPr>
                <w:sz w:val="18"/>
                <w:szCs w:val="18"/>
              </w:rPr>
            </w:pPr>
            <w:r w:rsidRPr="0097393C">
              <w:rPr>
                <w:sz w:val="18"/>
                <w:szCs w:val="18"/>
              </w:rPr>
              <w:t>0</w:t>
            </w:r>
          </w:p>
        </w:tc>
        <w:tc>
          <w:tcPr>
            <w:tcW w:w="913" w:type="dxa"/>
            <w:hideMark/>
          </w:tcPr>
          <w:p w:rsidR="009910A3" w:rsidRPr="0097393C" w:rsidRDefault="009910A3" w:rsidP="00AF2787">
            <w:pPr>
              <w:pStyle w:val="NormalWeb"/>
              <w:jc w:val="center"/>
              <w:rPr>
                <w:sz w:val="18"/>
                <w:szCs w:val="18"/>
              </w:rPr>
            </w:pPr>
            <w:r w:rsidRPr="0097393C">
              <w:rPr>
                <w:sz w:val="18"/>
                <w:szCs w:val="18"/>
              </w:rPr>
              <w:t>3</w:t>
            </w:r>
          </w:p>
        </w:tc>
        <w:tc>
          <w:tcPr>
            <w:tcW w:w="912" w:type="dxa"/>
            <w:hideMark/>
          </w:tcPr>
          <w:p w:rsidR="009910A3" w:rsidRPr="0097393C" w:rsidRDefault="009910A3" w:rsidP="00AF2787">
            <w:pPr>
              <w:pStyle w:val="NormalWeb"/>
              <w:jc w:val="center"/>
              <w:rPr>
                <w:sz w:val="18"/>
                <w:szCs w:val="18"/>
              </w:rPr>
            </w:pPr>
            <w:r w:rsidRPr="0097393C">
              <w:rPr>
                <w:sz w:val="18"/>
                <w:szCs w:val="18"/>
              </w:rPr>
              <w:t>0</w:t>
            </w:r>
          </w:p>
        </w:tc>
        <w:tc>
          <w:tcPr>
            <w:tcW w:w="913" w:type="dxa"/>
            <w:hideMark/>
          </w:tcPr>
          <w:p w:rsidR="009910A3" w:rsidRPr="0097393C" w:rsidRDefault="009910A3" w:rsidP="00AF2787">
            <w:pPr>
              <w:pStyle w:val="NormalWeb"/>
              <w:jc w:val="center"/>
              <w:rPr>
                <w:sz w:val="18"/>
                <w:szCs w:val="18"/>
              </w:rPr>
            </w:pPr>
            <w:r w:rsidRPr="0097393C">
              <w:rPr>
                <w:sz w:val="18"/>
                <w:szCs w:val="18"/>
              </w:rPr>
              <w:t>0</w:t>
            </w:r>
          </w:p>
        </w:tc>
        <w:tc>
          <w:tcPr>
            <w:tcW w:w="912" w:type="dxa"/>
            <w:hideMark/>
          </w:tcPr>
          <w:p w:rsidR="009910A3" w:rsidRPr="0097393C" w:rsidRDefault="009910A3" w:rsidP="00AF2787">
            <w:pPr>
              <w:pStyle w:val="NormalWeb"/>
              <w:jc w:val="center"/>
              <w:rPr>
                <w:sz w:val="18"/>
                <w:szCs w:val="18"/>
              </w:rPr>
            </w:pPr>
            <w:r w:rsidRPr="0097393C">
              <w:rPr>
                <w:sz w:val="18"/>
                <w:szCs w:val="18"/>
              </w:rPr>
              <w:t>0</w:t>
            </w:r>
          </w:p>
        </w:tc>
        <w:tc>
          <w:tcPr>
            <w:tcW w:w="913" w:type="dxa"/>
            <w:hideMark/>
          </w:tcPr>
          <w:p w:rsidR="009910A3" w:rsidRPr="0097393C" w:rsidRDefault="009910A3" w:rsidP="00AF2787">
            <w:pPr>
              <w:pStyle w:val="NormalWeb"/>
              <w:jc w:val="center"/>
              <w:rPr>
                <w:sz w:val="18"/>
                <w:szCs w:val="18"/>
              </w:rPr>
            </w:pPr>
            <w:r w:rsidRPr="0097393C">
              <w:rPr>
                <w:sz w:val="18"/>
                <w:szCs w:val="18"/>
              </w:rPr>
              <w:t>0</w:t>
            </w:r>
          </w:p>
        </w:tc>
        <w:tc>
          <w:tcPr>
            <w:tcW w:w="912" w:type="dxa"/>
            <w:hideMark/>
          </w:tcPr>
          <w:p w:rsidR="009910A3" w:rsidRPr="0097393C" w:rsidRDefault="009910A3" w:rsidP="00AF2787">
            <w:pPr>
              <w:pStyle w:val="NormalWeb"/>
              <w:jc w:val="center"/>
              <w:rPr>
                <w:sz w:val="18"/>
                <w:szCs w:val="18"/>
              </w:rPr>
            </w:pPr>
            <w:r w:rsidRPr="0097393C">
              <w:rPr>
                <w:sz w:val="18"/>
                <w:szCs w:val="18"/>
              </w:rPr>
              <w:t>1</w:t>
            </w:r>
          </w:p>
        </w:tc>
        <w:tc>
          <w:tcPr>
            <w:tcW w:w="913" w:type="dxa"/>
            <w:hideMark/>
          </w:tcPr>
          <w:p w:rsidR="009910A3" w:rsidRPr="0097393C" w:rsidRDefault="009910A3" w:rsidP="00AF2787">
            <w:pPr>
              <w:pStyle w:val="NormalWeb"/>
              <w:jc w:val="center"/>
              <w:rPr>
                <w:sz w:val="18"/>
                <w:szCs w:val="18"/>
              </w:rPr>
            </w:pPr>
            <w:r w:rsidRPr="0097393C">
              <w:rPr>
                <w:sz w:val="18"/>
                <w:szCs w:val="18"/>
              </w:rPr>
              <w:t>3</w:t>
            </w:r>
          </w:p>
        </w:tc>
        <w:tc>
          <w:tcPr>
            <w:tcW w:w="913" w:type="dxa"/>
            <w:hideMark/>
          </w:tcPr>
          <w:p w:rsidR="009910A3" w:rsidRPr="0097393C" w:rsidRDefault="009910A3" w:rsidP="00AF2787">
            <w:pPr>
              <w:pStyle w:val="NormalWeb"/>
              <w:jc w:val="center"/>
              <w:rPr>
                <w:sz w:val="18"/>
                <w:szCs w:val="18"/>
              </w:rPr>
            </w:pPr>
            <w:r w:rsidRPr="0097393C">
              <w:rPr>
                <w:sz w:val="18"/>
                <w:szCs w:val="18"/>
              </w:rPr>
              <w:t>7</w:t>
            </w:r>
          </w:p>
        </w:tc>
      </w:tr>
      <w:tr w:rsidR="009910A3" w:rsidRPr="0097393C" w:rsidTr="00AF2787">
        <w:tc>
          <w:tcPr>
            <w:tcW w:w="0" w:type="auto"/>
            <w:hideMark/>
          </w:tcPr>
          <w:p w:rsidR="009910A3" w:rsidRPr="0097393C" w:rsidRDefault="009910A3" w:rsidP="0014557D">
            <w:pPr>
              <w:pStyle w:val="NormalWeb"/>
              <w:rPr>
                <w:sz w:val="18"/>
                <w:szCs w:val="18"/>
              </w:rPr>
            </w:pPr>
            <w:r w:rsidRPr="0097393C">
              <w:rPr>
                <w:sz w:val="18"/>
                <w:szCs w:val="18"/>
              </w:rPr>
              <w:t>source known</w:t>
            </w:r>
          </w:p>
        </w:tc>
        <w:tc>
          <w:tcPr>
            <w:tcW w:w="912" w:type="dxa"/>
            <w:hideMark/>
          </w:tcPr>
          <w:p w:rsidR="009910A3" w:rsidRPr="0097393C" w:rsidRDefault="009910A3" w:rsidP="00AF2787">
            <w:pPr>
              <w:pStyle w:val="NormalWeb"/>
              <w:jc w:val="center"/>
              <w:rPr>
                <w:sz w:val="18"/>
                <w:szCs w:val="18"/>
              </w:rPr>
            </w:pPr>
            <w:r w:rsidRPr="0097393C">
              <w:rPr>
                <w:sz w:val="18"/>
                <w:szCs w:val="18"/>
              </w:rPr>
              <w:t>0</w:t>
            </w:r>
          </w:p>
        </w:tc>
        <w:tc>
          <w:tcPr>
            <w:tcW w:w="913" w:type="dxa"/>
            <w:hideMark/>
          </w:tcPr>
          <w:p w:rsidR="009910A3" w:rsidRPr="0097393C" w:rsidRDefault="009910A3" w:rsidP="00AF2787">
            <w:pPr>
              <w:pStyle w:val="NormalWeb"/>
              <w:jc w:val="center"/>
              <w:rPr>
                <w:sz w:val="18"/>
                <w:szCs w:val="18"/>
              </w:rPr>
            </w:pPr>
            <w:r w:rsidRPr="0097393C">
              <w:rPr>
                <w:sz w:val="18"/>
                <w:szCs w:val="18"/>
              </w:rPr>
              <w:t>3</w:t>
            </w:r>
          </w:p>
        </w:tc>
        <w:tc>
          <w:tcPr>
            <w:tcW w:w="912" w:type="dxa"/>
            <w:hideMark/>
          </w:tcPr>
          <w:p w:rsidR="009910A3" w:rsidRPr="0097393C" w:rsidRDefault="009910A3" w:rsidP="00AF2787">
            <w:pPr>
              <w:pStyle w:val="NormalWeb"/>
              <w:jc w:val="center"/>
              <w:rPr>
                <w:sz w:val="18"/>
                <w:szCs w:val="18"/>
              </w:rPr>
            </w:pPr>
            <w:r w:rsidRPr="0097393C">
              <w:rPr>
                <w:sz w:val="18"/>
                <w:szCs w:val="18"/>
              </w:rPr>
              <w:t>0</w:t>
            </w:r>
          </w:p>
        </w:tc>
        <w:tc>
          <w:tcPr>
            <w:tcW w:w="913" w:type="dxa"/>
            <w:hideMark/>
          </w:tcPr>
          <w:p w:rsidR="009910A3" w:rsidRPr="0097393C" w:rsidRDefault="009910A3" w:rsidP="00AF2787">
            <w:pPr>
              <w:pStyle w:val="NormalWeb"/>
              <w:jc w:val="center"/>
              <w:rPr>
                <w:sz w:val="18"/>
                <w:szCs w:val="18"/>
              </w:rPr>
            </w:pPr>
            <w:r w:rsidRPr="0097393C">
              <w:rPr>
                <w:sz w:val="18"/>
                <w:szCs w:val="18"/>
              </w:rPr>
              <w:t>0</w:t>
            </w:r>
          </w:p>
        </w:tc>
        <w:tc>
          <w:tcPr>
            <w:tcW w:w="912" w:type="dxa"/>
            <w:hideMark/>
          </w:tcPr>
          <w:p w:rsidR="009910A3" w:rsidRPr="0097393C" w:rsidRDefault="009910A3" w:rsidP="00AF2787">
            <w:pPr>
              <w:pStyle w:val="NormalWeb"/>
              <w:jc w:val="center"/>
              <w:rPr>
                <w:sz w:val="18"/>
                <w:szCs w:val="18"/>
              </w:rPr>
            </w:pPr>
            <w:r w:rsidRPr="0097393C">
              <w:rPr>
                <w:sz w:val="18"/>
                <w:szCs w:val="18"/>
              </w:rPr>
              <w:t>0</w:t>
            </w:r>
          </w:p>
        </w:tc>
        <w:tc>
          <w:tcPr>
            <w:tcW w:w="913" w:type="dxa"/>
            <w:hideMark/>
          </w:tcPr>
          <w:p w:rsidR="009910A3" w:rsidRPr="0097393C" w:rsidRDefault="009910A3" w:rsidP="00AF2787">
            <w:pPr>
              <w:pStyle w:val="NormalWeb"/>
              <w:jc w:val="center"/>
              <w:rPr>
                <w:sz w:val="18"/>
                <w:szCs w:val="18"/>
              </w:rPr>
            </w:pPr>
            <w:r w:rsidRPr="0097393C">
              <w:rPr>
                <w:sz w:val="18"/>
                <w:szCs w:val="18"/>
              </w:rPr>
              <w:t>0</w:t>
            </w:r>
          </w:p>
        </w:tc>
        <w:tc>
          <w:tcPr>
            <w:tcW w:w="912" w:type="dxa"/>
            <w:hideMark/>
          </w:tcPr>
          <w:p w:rsidR="009910A3" w:rsidRPr="0097393C" w:rsidRDefault="009910A3" w:rsidP="00AF2787">
            <w:pPr>
              <w:pStyle w:val="NormalWeb"/>
              <w:jc w:val="center"/>
              <w:rPr>
                <w:sz w:val="18"/>
                <w:szCs w:val="18"/>
              </w:rPr>
            </w:pPr>
            <w:r w:rsidRPr="0097393C">
              <w:rPr>
                <w:sz w:val="18"/>
                <w:szCs w:val="18"/>
              </w:rPr>
              <w:t>1</w:t>
            </w:r>
          </w:p>
        </w:tc>
        <w:tc>
          <w:tcPr>
            <w:tcW w:w="913" w:type="dxa"/>
            <w:hideMark/>
          </w:tcPr>
          <w:p w:rsidR="009910A3" w:rsidRPr="0097393C" w:rsidRDefault="009910A3" w:rsidP="00AF2787">
            <w:pPr>
              <w:pStyle w:val="NormalWeb"/>
              <w:jc w:val="center"/>
              <w:rPr>
                <w:sz w:val="18"/>
                <w:szCs w:val="18"/>
              </w:rPr>
            </w:pPr>
            <w:r w:rsidRPr="0097393C">
              <w:rPr>
                <w:sz w:val="18"/>
                <w:szCs w:val="18"/>
              </w:rPr>
              <w:t>3</w:t>
            </w:r>
          </w:p>
        </w:tc>
        <w:tc>
          <w:tcPr>
            <w:tcW w:w="913" w:type="dxa"/>
            <w:hideMark/>
          </w:tcPr>
          <w:p w:rsidR="009910A3" w:rsidRPr="0097393C" w:rsidRDefault="009910A3" w:rsidP="00AF2787">
            <w:pPr>
              <w:pStyle w:val="NormalWeb"/>
              <w:jc w:val="center"/>
              <w:rPr>
                <w:sz w:val="18"/>
                <w:szCs w:val="18"/>
              </w:rPr>
            </w:pPr>
            <w:r w:rsidRPr="0097393C">
              <w:rPr>
                <w:sz w:val="18"/>
                <w:szCs w:val="18"/>
              </w:rPr>
              <w:t>7</w:t>
            </w:r>
          </w:p>
        </w:tc>
      </w:tr>
      <w:tr w:rsidR="009910A3" w:rsidRPr="0097393C" w:rsidTr="00AF2787">
        <w:trPr>
          <w:cnfStyle w:val="000000010000" w:firstRow="0" w:lastRow="0" w:firstColumn="0" w:lastColumn="0" w:oddVBand="0" w:evenVBand="0" w:oddHBand="0" w:evenHBand="1" w:firstRowFirstColumn="0" w:firstRowLastColumn="0" w:lastRowFirstColumn="0" w:lastRowLastColumn="0"/>
        </w:trPr>
        <w:tc>
          <w:tcPr>
            <w:tcW w:w="0" w:type="auto"/>
            <w:hideMark/>
          </w:tcPr>
          <w:p w:rsidR="009910A3" w:rsidRPr="0097393C" w:rsidRDefault="009910A3" w:rsidP="0014557D">
            <w:pPr>
              <w:pStyle w:val="NormalWeb"/>
              <w:rPr>
                <w:sz w:val="18"/>
                <w:szCs w:val="18"/>
              </w:rPr>
            </w:pPr>
            <w:r w:rsidRPr="0097393C">
              <w:rPr>
                <w:sz w:val="18"/>
                <w:szCs w:val="18"/>
              </w:rPr>
              <w:t>source unknown</w:t>
            </w:r>
          </w:p>
        </w:tc>
        <w:tc>
          <w:tcPr>
            <w:tcW w:w="912" w:type="dxa"/>
            <w:hideMark/>
          </w:tcPr>
          <w:p w:rsidR="009910A3" w:rsidRPr="0097393C" w:rsidRDefault="009910A3" w:rsidP="00AF2787">
            <w:pPr>
              <w:pStyle w:val="NormalWeb"/>
              <w:jc w:val="center"/>
              <w:rPr>
                <w:sz w:val="18"/>
                <w:szCs w:val="18"/>
              </w:rPr>
            </w:pPr>
            <w:r w:rsidRPr="0097393C">
              <w:rPr>
                <w:sz w:val="18"/>
                <w:szCs w:val="18"/>
              </w:rPr>
              <w:t>0</w:t>
            </w:r>
          </w:p>
        </w:tc>
        <w:tc>
          <w:tcPr>
            <w:tcW w:w="913" w:type="dxa"/>
            <w:hideMark/>
          </w:tcPr>
          <w:p w:rsidR="009910A3" w:rsidRPr="0097393C" w:rsidRDefault="009910A3" w:rsidP="00AF2787">
            <w:pPr>
              <w:pStyle w:val="NormalWeb"/>
              <w:jc w:val="center"/>
              <w:rPr>
                <w:sz w:val="18"/>
                <w:szCs w:val="18"/>
              </w:rPr>
            </w:pPr>
            <w:r w:rsidRPr="0097393C">
              <w:rPr>
                <w:sz w:val="18"/>
                <w:szCs w:val="18"/>
              </w:rPr>
              <w:t>0</w:t>
            </w:r>
          </w:p>
        </w:tc>
        <w:tc>
          <w:tcPr>
            <w:tcW w:w="912" w:type="dxa"/>
            <w:hideMark/>
          </w:tcPr>
          <w:p w:rsidR="009910A3" w:rsidRPr="0097393C" w:rsidRDefault="009910A3" w:rsidP="00AF2787">
            <w:pPr>
              <w:pStyle w:val="NormalWeb"/>
              <w:jc w:val="center"/>
              <w:rPr>
                <w:sz w:val="18"/>
                <w:szCs w:val="18"/>
              </w:rPr>
            </w:pPr>
            <w:r w:rsidRPr="0097393C">
              <w:rPr>
                <w:sz w:val="18"/>
                <w:szCs w:val="18"/>
              </w:rPr>
              <w:t>0</w:t>
            </w:r>
          </w:p>
        </w:tc>
        <w:tc>
          <w:tcPr>
            <w:tcW w:w="913" w:type="dxa"/>
            <w:hideMark/>
          </w:tcPr>
          <w:p w:rsidR="009910A3" w:rsidRPr="0097393C" w:rsidRDefault="009910A3" w:rsidP="00AF2787">
            <w:pPr>
              <w:pStyle w:val="NormalWeb"/>
              <w:jc w:val="center"/>
              <w:rPr>
                <w:sz w:val="18"/>
                <w:szCs w:val="18"/>
              </w:rPr>
            </w:pPr>
            <w:r w:rsidRPr="0097393C">
              <w:rPr>
                <w:sz w:val="18"/>
                <w:szCs w:val="18"/>
              </w:rPr>
              <w:t>0</w:t>
            </w:r>
          </w:p>
        </w:tc>
        <w:tc>
          <w:tcPr>
            <w:tcW w:w="912" w:type="dxa"/>
            <w:hideMark/>
          </w:tcPr>
          <w:p w:rsidR="009910A3" w:rsidRPr="0097393C" w:rsidRDefault="009910A3" w:rsidP="00AF2787">
            <w:pPr>
              <w:pStyle w:val="NormalWeb"/>
              <w:jc w:val="center"/>
              <w:rPr>
                <w:sz w:val="18"/>
                <w:szCs w:val="18"/>
              </w:rPr>
            </w:pPr>
            <w:r w:rsidRPr="0097393C">
              <w:rPr>
                <w:sz w:val="18"/>
                <w:szCs w:val="18"/>
              </w:rPr>
              <w:t>0</w:t>
            </w:r>
          </w:p>
        </w:tc>
        <w:tc>
          <w:tcPr>
            <w:tcW w:w="913" w:type="dxa"/>
            <w:hideMark/>
          </w:tcPr>
          <w:p w:rsidR="009910A3" w:rsidRPr="0097393C" w:rsidRDefault="009910A3" w:rsidP="00AF2787">
            <w:pPr>
              <w:pStyle w:val="NormalWeb"/>
              <w:jc w:val="center"/>
              <w:rPr>
                <w:sz w:val="18"/>
                <w:szCs w:val="18"/>
              </w:rPr>
            </w:pPr>
            <w:r w:rsidRPr="0097393C">
              <w:rPr>
                <w:sz w:val="18"/>
                <w:szCs w:val="18"/>
              </w:rPr>
              <w:t>0</w:t>
            </w:r>
          </w:p>
        </w:tc>
        <w:tc>
          <w:tcPr>
            <w:tcW w:w="912" w:type="dxa"/>
            <w:hideMark/>
          </w:tcPr>
          <w:p w:rsidR="009910A3" w:rsidRPr="0097393C" w:rsidRDefault="009910A3" w:rsidP="00AF2787">
            <w:pPr>
              <w:pStyle w:val="NormalWeb"/>
              <w:jc w:val="center"/>
              <w:rPr>
                <w:sz w:val="18"/>
                <w:szCs w:val="18"/>
              </w:rPr>
            </w:pPr>
            <w:r w:rsidRPr="0097393C">
              <w:rPr>
                <w:sz w:val="18"/>
                <w:szCs w:val="18"/>
              </w:rPr>
              <w:t>0</w:t>
            </w:r>
          </w:p>
        </w:tc>
        <w:tc>
          <w:tcPr>
            <w:tcW w:w="913" w:type="dxa"/>
            <w:hideMark/>
          </w:tcPr>
          <w:p w:rsidR="009910A3" w:rsidRPr="0097393C" w:rsidRDefault="009910A3" w:rsidP="00AF2787">
            <w:pPr>
              <w:pStyle w:val="NormalWeb"/>
              <w:jc w:val="center"/>
              <w:rPr>
                <w:sz w:val="18"/>
                <w:szCs w:val="18"/>
              </w:rPr>
            </w:pPr>
            <w:r w:rsidRPr="0097393C">
              <w:rPr>
                <w:sz w:val="18"/>
                <w:szCs w:val="18"/>
              </w:rPr>
              <w:t>0</w:t>
            </w:r>
          </w:p>
        </w:tc>
        <w:tc>
          <w:tcPr>
            <w:tcW w:w="913" w:type="dxa"/>
            <w:hideMark/>
          </w:tcPr>
          <w:p w:rsidR="009910A3" w:rsidRPr="0097393C" w:rsidRDefault="009910A3" w:rsidP="00AF2787">
            <w:pPr>
              <w:pStyle w:val="NormalWeb"/>
              <w:jc w:val="center"/>
              <w:rPr>
                <w:sz w:val="18"/>
                <w:szCs w:val="18"/>
              </w:rPr>
            </w:pPr>
            <w:r w:rsidRPr="0097393C">
              <w:rPr>
                <w:sz w:val="18"/>
                <w:szCs w:val="18"/>
              </w:rPr>
              <w:t>0</w:t>
            </w:r>
          </w:p>
        </w:tc>
      </w:tr>
      <w:tr w:rsidR="009910A3" w:rsidRPr="0097393C" w:rsidTr="00AF2787">
        <w:tc>
          <w:tcPr>
            <w:tcW w:w="0" w:type="auto"/>
            <w:hideMark/>
          </w:tcPr>
          <w:p w:rsidR="009910A3" w:rsidRPr="0097393C" w:rsidRDefault="009910A3" w:rsidP="0014557D">
            <w:pPr>
              <w:pStyle w:val="NormalWeb"/>
              <w:rPr>
                <w:sz w:val="18"/>
                <w:szCs w:val="18"/>
              </w:rPr>
            </w:pPr>
            <w:r w:rsidRPr="0097393C">
              <w:rPr>
                <w:sz w:val="18"/>
                <w:szCs w:val="18"/>
              </w:rPr>
              <w:t>interstate, source known</w:t>
            </w:r>
          </w:p>
        </w:tc>
        <w:tc>
          <w:tcPr>
            <w:tcW w:w="912" w:type="dxa"/>
            <w:hideMark/>
          </w:tcPr>
          <w:p w:rsidR="009910A3" w:rsidRPr="0097393C" w:rsidRDefault="009910A3" w:rsidP="00AF2787">
            <w:pPr>
              <w:pStyle w:val="NormalWeb"/>
              <w:jc w:val="center"/>
              <w:rPr>
                <w:sz w:val="18"/>
                <w:szCs w:val="18"/>
              </w:rPr>
            </w:pPr>
            <w:r w:rsidRPr="0097393C">
              <w:rPr>
                <w:sz w:val="18"/>
                <w:szCs w:val="18"/>
              </w:rPr>
              <w:t>0</w:t>
            </w:r>
          </w:p>
        </w:tc>
        <w:tc>
          <w:tcPr>
            <w:tcW w:w="913" w:type="dxa"/>
            <w:hideMark/>
          </w:tcPr>
          <w:p w:rsidR="009910A3" w:rsidRPr="0097393C" w:rsidRDefault="009910A3" w:rsidP="00AF2787">
            <w:pPr>
              <w:pStyle w:val="NormalWeb"/>
              <w:jc w:val="center"/>
              <w:rPr>
                <w:sz w:val="18"/>
                <w:szCs w:val="18"/>
              </w:rPr>
            </w:pPr>
            <w:r w:rsidRPr="0097393C">
              <w:rPr>
                <w:sz w:val="18"/>
                <w:szCs w:val="18"/>
              </w:rPr>
              <w:t>0</w:t>
            </w:r>
          </w:p>
        </w:tc>
        <w:tc>
          <w:tcPr>
            <w:tcW w:w="912" w:type="dxa"/>
            <w:hideMark/>
          </w:tcPr>
          <w:p w:rsidR="009910A3" w:rsidRPr="0097393C" w:rsidRDefault="009910A3" w:rsidP="00AF2787">
            <w:pPr>
              <w:pStyle w:val="NormalWeb"/>
              <w:jc w:val="center"/>
              <w:rPr>
                <w:sz w:val="18"/>
                <w:szCs w:val="18"/>
              </w:rPr>
            </w:pPr>
            <w:r w:rsidRPr="0097393C">
              <w:rPr>
                <w:sz w:val="18"/>
                <w:szCs w:val="18"/>
              </w:rPr>
              <w:t>0</w:t>
            </w:r>
          </w:p>
        </w:tc>
        <w:tc>
          <w:tcPr>
            <w:tcW w:w="913" w:type="dxa"/>
            <w:hideMark/>
          </w:tcPr>
          <w:p w:rsidR="009910A3" w:rsidRPr="0097393C" w:rsidRDefault="009910A3" w:rsidP="00AF2787">
            <w:pPr>
              <w:pStyle w:val="NormalWeb"/>
              <w:jc w:val="center"/>
              <w:rPr>
                <w:sz w:val="18"/>
                <w:szCs w:val="18"/>
              </w:rPr>
            </w:pPr>
            <w:r w:rsidRPr="0097393C">
              <w:rPr>
                <w:sz w:val="18"/>
                <w:szCs w:val="18"/>
              </w:rPr>
              <w:t>0</w:t>
            </w:r>
          </w:p>
        </w:tc>
        <w:tc>
          <w:tcPr>
            <w:tcW w:w="912" w:type="dxa"/>
            <w:hideMark/>
          </w:tcPr>
          <w:p w:rsidR="009910A3" w:rsidRPr="0097393C" w:rsidRDefault="009910A3" w:rsidP="00AF2787">
            <w:pPr>
              <w:pStyle w:val="NormalWeb"/>
              <w:jc w:val="center"/>
              <w:rPr>
                <w:sz w:val="18"/>
                <w:szCs w:val="18"/>
              </w:rPr>
            </w:pPr>
            <w:r w:rsidRPr="0097393C">
              <w:rPr>
                <w:sz w:val="18"/>
                <w:szCs w:val="18"/>
              </w:rPr>
              <w:t>0</w:t>
            </w:r>
          </w:p>
        </w:tc>
        <w:tc>
          <w:tcPr>
            <w:tcW w:w="913" w:type="dxa"/>
            <w:hideMark/>
          </w:tcPr>
          <w:p w:rsidR="009910A3" w:rsidRPr="0097393C" w:rsidRDefault="009910A3" w:rsidP="00AF2787">
            <w:pPr>
              <w:pStyle w:val="NormalWeb"/>
              <w:jc w:val="center"/>
              <w:rPr>
                <w:sz w:val="18"/>
                <w:szCs w:val="18"/>
              </w:rPr>
            </w:pPr>
            <w:r w:rsidRPr="0097393C">
              <w:rPr>
                <w:sz w:val="18"/>
                <w:szCs w:val="18"/>
              </w:rPr>
              <w:t>0</w:t>
            </w:r>
          </w:p>
        </w:tc>
        <w:tc>
          <w:tcPr>
            <w:tcW w:w="912" w:type="dxa"/>
            <w:hideMark/>
          </w:tcPr>
          <w:p w:rsidR="009910A3" w:rsidRPr="0097393C" w:rsidRDefault="009910A3" w:rsidP="00AF2787">
            <w:pPr>
              <w:pStyle w:val="NormalWeb"/>
              <w:jc w:val="center"/>
              <w:rPr>
                <w:sz w:val="18"/>
                <w:szCs w:val="18"/>
              </w:rPr>
            </w:pPr>
            <w:r w:rsidRPr="0097393C">
              <w:rPr>
                <w:sz w:val="18"/>
                <w:szCs w:val="18"/>
              </w:rPr>
              <w:t>0</w:t>
            </w:r>
          </w:p>
        </w:tc>
        <w:tc>
          <w:tcPr>
            <w:tcW w:w="913" w:type="dxa"/>
            <w:hideMark/>
          </w:tcPr>
          <w:p w:rsidR="009910A3" w:rsidRPr="0097393C" w:rsidRDefault="009910A3" w:rsidP="00AF2787">
            <w:pPr>
              <w:pStyle w:val="NormalWeb"/>
              <w:jc w:val="center"/>
              <w:rPr>
                <w:sz w:val="18"/>
                <w:szCs w:val="18"/>
              </w:rPr>
            </w:pPr>
            <w:r w:rsidRPr="0097393C">
              <w:rPr>
                <w:sz w:val="18"/>
                <w:szCs w:val="18"/>
              </w:rPr>
              <w:t>0</w:t>
            </w:r>
          </w:p>
        </w:tc>
        <w:tc>
          <w:tcPr>
            <w:tcW w:w="913" w:type="dxa"/>
            <w:hideMark/>
          </w:tcPr>
          <w:p w:rsidR="009910A3" w:rsidRPr="0097393C" w:rsidRDefault="009910A3" w:rsidP="00AF2787">
            <w:pPr>
              <w:pStyle w:val="NormalWeb"/>
              <w:jc w:val="center"/>
              <w:rPr>
                <w:sz w:val="18"/>
                <w:szCs w:val="18"/>
              </w:rPr>
            </w:pPr>
            <w:r w:rsidRPr="0097393C">
              <w:rPr>
                <w:sz w:val="18"/>
                <w:szCs w:val="18"/>
              </w:rPr>
              <w:t>0</w:t>
            </w:r>
          </w:p>
        </w:tc>
      </w:tr>
      <w:tr w:rsidR="009910A3" w:rsidRPr="0097393C" w:rsidTr="00AF2787">
        <w:trPr>
          <w:cnfStyle w:val="000000010000" w:firstRow="0" w:lastRow="0" w:firstColumn="0" w:lastColumn="0" w:oddVBand="0" w:evenVBand="0" w:oddHBand="0" w:evenHBand="1" w:firstRowFirstColumn="0" w:firstRowLastColumn="0" w:lastRowFirstColumn="0" w:lastRowLastColumn="0"/>
        </w:trPr>
        <w:tc>
          <w:tcPr>
            <w:tcW w:w="0" w:type="auto"/>
            <w:hideMark/>
          </w:tcPr>
          <w:p w:rsidR="009910A3" w:rsidRPr="0097393C" w:rsidRDefault="009910A3" w:rsidP="0014557D">
            <w:pPr>
              <w:pStyle w:val="NormalWeb"/>
              <w:rPr>
                <w:sz w:val="18"/>
                <w:szCs w:val="18"/>
              </w:rPr>
            </w:pPr>
            <w:r w:rsidRPr="0097393C">
              <w:rPr>
                <w:sz w:val="18"/>
                <w:szCs w:val="18"/>
              </w:rPr>
              <w:t>interstate, source unknown</w:t>
            </w:r>
          </w:p>
        </w:tc>
        <w:tc>
          <w:tcPr>
            <w:tcW w:w="912" w:type="dxa"/>
            <w:hideMark/>
          </w:tcPr>
          <w:p w:rsidR="009910A3" w:rsidRPr="0097393C" w:rsidRDefault="009910A3" w:rsidP="00AF2787">
            <w:pPr>
              <w:pStyle w:val="NormalWeb"/>
              <w:jc w:val="center"/>
              <w:rPr>
                <w:sz w:val="18"/>
                <w:szCs w:val="18"/>
              </w:rPr>
            </w:pPr>
            <w:r w:rsidRPr="0097393C">
              <w:rPr>
                <w:sz w:val="18"/>
                <w:szCs w:val="18"/>
              </w:rPr>
              <w:t>0</w:t>
            </w:r>
          </w:p>
        </w:tc>
        <w:tc>
          <w:tcPr>
            <w:tcW w:w="913" w:type="dxa"/>
            <w:hideMark/>
          </w:tcPr>
          <w:p w:rsidR="009910A3" w:rsidRPr="0097393C" w:rsidRDefault="009910A3" w:rsidP="00AF2787">
            <w:pPr>
              <w:pStyle w:val="NormalWeb"/>
              <w:jc w:val="center"/>
              <w:rPr>
                <w:sz w:val="18"/>
                <w:szCs w:val="18"/>
              </w:rPr>
            </w:pPr>
            <w:r w:rsidRPr="0097393C">
              <w:rPr>
                <w:sz w:val="18"/>
                <w:szCs w:val="18"/>
              </w:rPr>
              <w:t>0</w:t>
            </w:r>
          </w:p>
        </w:tc>
        <w:tc>
          <w:tcPr>
            <w:tcW w:w="912" w:type="dxa"/>
            <w:hideMark/>
          </w:tcPr>
          <w:p w:rsidR="009910A3" w:rsidRPr="0097393C" w:rsidRDefault="009910A3" w:rsidP="00AF2787">
            <w:pPr>
              <w:pStyle w:val="NormalWeb"/>
              <w:jc w:val="center"/>
              <w:rPr>
                <w:sz w:val="18"/>
                <w:szCs w:val="18"/>
              </w:rPr>
            </w:pPr>
            <w:r w:rsidRPr="0097393C">
              <w:rPr>
                <w:sz w:val="18"/>
                <w:szCs w:val="18"/>
              </w:rPr>
              <w:t>0</w:t>
            </w:r>
          </w:p>
        </w:tc>
        <w:tc>
          <w:tcPr>
            <w:tcW w:w="913" w:type="dxa"/>
            <w:hideMark/>
          </w:tcPr>
          <w:p w:rsidR="009910A3" w:rsidRPr="0097393C" w:rsidRDefault="009910A3" w:rsidP="00AF2787">
            <w:pPr>
              <w:pStyle w:val="NormalWeb"/>
              <w:jc w:val="center"/>
              <w:rPr>
                <w:sz w:val="18"/>
                <w:szCs w:val="18"/>
              </w:rPr>
            </w:pPr>
            <w:r w:rsidRPr="0097393C">
              <w:rPr>
                <w:sz w:val="18"/>
                <w:szCs w:val="18"/>
              </w:rPr>
              <w:t>0</w:t>
            </w:r>
          </w:p>
        </w:tc>
        <w:tc>
          <w:tcPr>
            <w:tcW w:w="912" w:type="dxa"/>
            <w:hideMark/>
          </w:tcPr>
          <w:p w:rsidR="009910A3" w:rsidRPr="0097393C" w:rsidRDefault="009910A3" w:rsidP="00AF2787">
            <w:pPr>
              <w:pStyle w:val="NormalWeb"/>
              <w:jc w:val="center"/>
              <w:rPr>
                <w:sz w:val="18"/>
                <w:szCs w:val="18"/>
              </w:rPr>
            </w:pPr>
            <w:r w:rsidRPr="0097393C">
              <w:rPr>
                <w:sz w:val="18"/>
                <w:szCs w:val="18"/>
              </w:rPr>
              <w:t>0</w:t>
            </w:r>
          </w:p>
        </w:tc>
        <w:tc>
          <w:tcPr>
            <w:tcW w:w="913" w:type="dxa"/>
            <w:hideMark/>
          </w:tcPr>
          <w:p w:rsidR="009910A3" w:rsidRPr="0097393C" w:rsidRDefault="009910A3" w:rsidP="00AF2787">
            <w:pPr>
              <w:pStyle w:val="NormalWeb"/>
              <w:jc w:val="center"/>
              <w:rPr>
                <w:sz w:val="18"/>
                <w:szCs w:val="18"/>
              </w:rPr>
            </w:pPr>
            <w:r w:rsidRPr="0097393C">
              <w:rPr>
                <w:sz w:val="18"/>
                <w:szCs w:val="18"/>
              </w:rPr>
              <w:t>0</w:t>
            </w:r>
          </w:p>
        </w:tc>
        <w:tc>
          <w:tcPr>
            <w:tcW w:w="912" w:type="dxa"/>
            <w:hideMark/>
          </w:tcPr>
          <w:p w:rsidR="009910A3" w:rsidRPr="0097393C" w:rsidRDefault="009910A3" w:rsidP="00AF2787">
            <w:pPr>
              <w:pStyle w:val="NormalWeb"/>
              <w:jc w:val="center"/>
              <w:rPr>
                <w:sz w:val="18"/>
                <w:szCs w:val="18"/>
              </w:rPr>
            </w:pPr>
            <w:r w:rsidRPr="0097393C">
              <w:rPr>
                <w:sz w:val="18"/>
                <w:szCs w:val="18"/>
              </w:rPr>
              <w:t>0</w:t>
            </w:r>
          </w:p>
        </w:tc>
        <w:tc>
          <w:tcPr>
            <w:tcW w:w="913" w:type="dxa"/>
            <w:hideMark/>
          </w:tcPr>
          <w:p w:rsidR="009910A3" w:rsidRPr="0097393C" w:rsidRDefault="009910A3" w:rsidP="00AF2787">
            <w:pPr>
              <w:pStyle w:val="NormalWeb"/>
              <w:jc w:val="center"/>
              <w:rPr>
                <w:sz w:val="18"/>
                <w:szCs w:val="18"/>
              </w:rPr>
            </w:pPr>
            <w:r w:rsidRPr="0097393C">
              <w:rPr>
                <w:sz w:val="18"/>
                <w:szCs w:val="18"/>
              </w:rPr>
              <w:t>0</w:t>
            </w:r>
          </w:p>
        </w:tc>
        <w:tc>
          <w:tcPr>
            <w:tcW w:w="913" w:type="dxa"/>
            <w:hideMark/>
          </w:tcPr>
          <w:p w:rsidR="009910A3" w:rsidRPr="0097393C" w:rsidRDefault="009910A3" w:rsidP="00AF2787">
            <w:pPr>
              <w:pStyle w:val="NormalWeb"/>
              <w:jc w:val="center"/>
              <w:rPr>
                <w:sz w:val="18"/>
                <w:szCs w:val="18"/>
              </w:rPr>
            </w:pPr>
            <w:r w:rsidRPr="0097393C">
              <w:rPr>
                <w:sz w:val="18"/>
                <w:szCs w:val="18"/>
              </w:rPr>
              <w:t>0</w:t>
            </w:r>
          </w:p>
        </w:tc>
      </w:tr>
      <w:tr w:rsidR="009910A3" w:rsidRPr="0097393C" w:rsidTr="00AF2787">
        <w:tc>
          <w:tcPr>
            <w:tcW w:w="0" w:type="auto"/>
            <w:hideMark/>
          </w:tcPr>
          <w:p w:rsidR="009910A3" w:rsidRPr="0097393C" w:rsidRDefault="009910A3" w:rsidP="0014557D">
            <w:pPr>
              <w:pStyle w:val="NormalWeb"/>
              <w:rPr>
                <w:sz w:val="18"/>
                <w:szCs w:val="18"/>
              </w:rPr>
            </w:pPr>
            <w:r w:rsidRPr="0097393C">
              <w:rPr>
                <w:sz w:val="18"/>
                <w:szCs w:val="18"/>
              </w:rPr>
              <w:t>investigation ongoing</w:t>
            </w:r>
          </w:p>
        </w:tc>
        <w:tc>
          <w:tcPr>
            <w:tcW w:w="912" w:type="dxa"/>
            <w:hideMark/>
          </w:tcPr>
          <w:p w:rsidR="009910A3" w:rsidRPr="0097393C" w:rsidRDefault="009910A3" w:rsidP="00AF2787">
            <w:pPr>
              <w:pStyle w:val="NormalWeb"/>
              <w:jc w:val="center"/>
              <w:rPr>
                <w:sz w:val="18"/>
                <w:szCs w:val="18"/>
              </w:rPr>
            </w:pPr>
            <w:r w:rsidRPr="0097393C">
              <w:rPr>
                <w:sz w:val="18"/>
                <w:szCs w:val="18"/>
              </w:rPr>
              <w:t>0</w:t>
            </w:r>
          </w:p>
        </w:tc>
        <w:tc>
          <w:tcPr>
            <w:tcW w:w="913" w:type="dxa"/>
            <w:hideMark/>
          </w:tcPr>
          <w:p w:rsidR="009910A3" w:rsidRPr="0097393C" w:rsidRDefault="009910A3" w:rsidP="00AF2787">
            <w:pPr>
              <w:pStyle w:val="NormalWeb"/>
              <w:jc w:val="center"/>
              <w:rPr>
                <w:sz w:val="18"/>
                <w:szCs w:val="18"/>
              </w:rPr>
            </w:pPr>
            <w:r w:rsidRPr="0097393C">
              <w:rPr>
                <w:sz w:val="18"/>
                <w:szCs w:val="18"/>
              </w:rPr>
              <w:t>0</w:t>
            </w:r>
          </w:p>
        </w:tc>
        <w:tc>
          <w:tcPr>
            <w:tcW w:w="912" w:type="dxa"/>
            <w:hideMark/>
          </w:tcPr>
          <w:p w:rsidR="009910A3" w:rsidRPr="0097393C" w:rsidRDefault="009910A3" w:rsidP="00AF2787">
            <w:pPr>
              <w:pStyle w:val="NormalWeb"/>
              <w:jc w:val="center"/>
              <w:rPr>
                <w:sz w:val="18"/>
                <w:szCs w:val="18"/>
              </w:rPr>
            </w:pPr>
            <w:r w:rsidRPr="0097393C">
              <w:rPr>
                <w:sz w:val="18"/>
                <w:szCs w:val="18"/>
              </w:rPr>
              <w:t>0</w:t>
            </w:r>
          </w:p>
        </w:tc>
        <w:tc>
          <w:tcPr>
            <w:tcW w:w="913" w:type="dxa"/>
            <w:hideMark/>
          </w:tcPr>
          <w:p w:rsidR="009910A3" w:rsidRPr="0097393C" w:rsidRDefault="009910A3" w:rsidP="00AF2787">
            <w:pPr>
              <w:pStyle w:val="NormalWeb"/>
              <w:jc w:val="center"/>
              <w:rPr>
                <w:sz w:val="18"/>
                <w:szCs w:val="18"/>
              </w:rPr>
            </w:pPr>
            <w:r w:rsidRPr="0097393C">
              <w:rPr>
                <w:sz w:val="18"/>
                <w:szCs w:val="18"/>
              </w:rPr>
              <w:t>0</w:t>
            </w:r>
          </w:p>
        </w:tc>
        <w:tc>
          <w:tcPr>
            <w:tcW w:w="912" w:type="dxa"/>
            <w:hideMark/>
          </w:tcPr>
          <w:p w:rsidR="009910A3" w:rsidRPr="0097393C" w:rsidRDefault="009910A3" w:rsidP="00AF2787">
            <w:pPr>
              <w:pStyle w:val="NormalWeb"/>
              <w:jc w:val="center"/>
              <w:rPr>
                <w:sz w:val="18"/>
                <w:szCs w:val="18"/>
              </w:rPr>
            </w:pPr>
            <w:r w:rsidRPr="0097393C">
              <w:rPr>
                <w:sz w:val="18"/>
                <w:szCs w:val="18"/>
              </w:rPr>
              <w:t>0</w:t>
            </w:r>
          </w:p>
        </w:tc>
        <w:tc>
          <w:tcPr>
            <w:tcW w:w="913" w:type="dxa"/>
            <w:hideMark/>
          </w:tcPr>
          <w:p w:rsidR="009910A3" w:rsidRPr="0097393C" w:rsidRDefault="009910A3" w:rsidP="00AF2787">
            <w:pPr>
              <w:pStyle w:val="NormalWeb"/>
              <w:jc w:val="center"/>
              <w:rPr>
                <w:sz w:val="18"/>
                <w:szCs w:val="18"/>
              </w:rPr>
            </w:pPr>
            <w:r w:rsidRPr="0097393C">
              <w:rPr>
                <w:sz w:val="18"/>
                <w:szCs w:val="18"/>
              </w:rPr>
              <w:t>0</w:t>
            </w:r>
          </w:p>
        </w:tc>
        <w:tc>
          <w:tcPr>
            <w:tcW w:w="912" w:type="dxa"/>
            <w:hideMark/>
          </w:tcPr>
          <w:p w:rsidR="009910A3" w:rsidRPr="0097393C" w:rsidRDefault="009910A3" w:rsidP="00AF2787">
            <w:pPr>
              <w:pStyle w:val="NormalWeb"/>
              <w:jc w:val="center"/>
              <w:rPr>
                <w:sz w:val="18"/>
                <w:szCs w:val="18"/>
              </w:rPr>
            </w:pPr>
            <w:r w:rsidRPr="0097393C">
              <w:rPr>
                <w:sz w:val="18"/>
                <w:szCs w:val="18"/>
              </w:rPr>
              <w:t>0</w:t>
            </w:r>
          </w:p>
        </w:tc>
        <w:tc>
          <w:tcPr>
            <w:tcW w:w="913" w:type="dxa"/>
            <w:hideMark/>
          </w:tcPr>
          <w:p w:rsidR="009910A3" w:rsidRPr="0097393C" w:rsidRDefault="009910A3" w:rsidP="00AF2787">
            <w:pPr>
              <w:pStyle w:val="NormalWeb"/>
              <w:jc w:val="center"/>
              <w:rPr>
                <w:sz w:val="18"/>
                <w:szCs w:val="18"/>
              </w:rPr>
            </w:pPr>
            <w:r w:rsidRPr="0097393C">
              <w:rPr>
                <w:sz w:val="18"/>
                <w:szCs w:val="18"/>
              </w:rPr>
              <w:t>0</w:t>
            </w:r>
          </w:p>
        </w:tc>
        <w:tc>
          <w:tcPr>
            <w:tcW w:w="913" w:type="dxa"/>
            <w:hideMark/>
          </w:tcPr>
          <w:p w:rsidR="009910A3" w:rsidRPr="0097393C" w:rsidRDefault="009910A3" w:rsidP="00AF2787">
            <w:pPr>
              <w:pStyle w:val="NormalWeb"/>
              <w:jc w:val="center"/>
              <w:rPr>
                <w:sz w:val="18"/>
                <w:szCs w:val="18"/>
              </w:rPr>
            </w:pPr>
            <w:r w:rsidRPr="0097393C">
              <w:rPr>
                <w:sz w:val="18"/>
                <w:szCs w:val="18"/>
              </w:rPr>
              <w:t>0</w:t>
            </w:r>
          </w:p>
        </w:tc>
      </w:tr>
      <w:tr w:rsidR="009910A3" w:rsidRPr="0097393C" w:rsidTr="00AF2787">
        <w:trPr>
          <w:cnfStyle w:val="000000010000" w:firstRow="0" w:lastRow="0" w:firstColumn="0" w:lastColumn="0" w:oddVBand="0" w:evenVBand="0" w:oddHBand="0" w:evenHBand="1" w:firstRowFirstColumn="0" w:firstRowLastColumn="0" w:lastRowFirstColumn="0" w:lastRowLastColumn="0"/>
        </w:trPr>
        <w:tc>
          <w:tcPr>
            <w:tcW w:w="0" w:type="auto"/>
            <w:hideMark/>
          </w:tcPr>
          <w:p w:rsidR="009910A3" w:rsidRPr="0097393C" w:rsidRDefault="009910A3" w:rsidP="0014557D">
            <w:pPr>
              <w:pStyle w:val="NormalWeb"/>
              <w:rPr>
                <w:sz w:val="18"/>
                <w:szCs w:val="18"/>
              </w:rPr>
            </w:pPr>
            <w:r w:rsidRPr="0097393C">
              <w:rPr>
                <w:sz w:val="18"/>
                <w:szCs w:val="18"/>
              </w:rPr>
              <w:t>Under initial investigation</w:t>
            </w:r>
          </w:p>
        </w:tc>
        <w:tc>
          <w:tcPr>
            <w:tcW w:w="912" w:type="dxa"/>
            <w:hideMark/>
          </w:tcPr>
          <w:p w:rsidR="009910A3" w:rsidRPr="0097393C" w:rsidRDefault="009910A3" w:rsidP="00AF2787">
            <w:pPr>
              <w:pStyle w:val="NormalWeb"/>
              <w:jc w:val="center"/>
              <w:rPr>
                <w:sz w:val="18"/>
                <w:szCs w:val="18"/>
              </w:rPr>
            </w:pPr>
            <w:r w:rsidRPr="0097393C">
              <w:rPr>
                <w:sz w:val="18"/>
                <w:szCs w:val="18"/>
              </w:rPr>
              <w:t>0</w:t>
            </w:r>
          </w:p>
        </w:tc>
        <w:tc>
          <w:tcPr>
            <w:tcW w:w="913" w:type="dxa"/>
            <w:hideMark/>
          </w:tcPr>
          <w:p w:rsidR="009910A3" w:rsidRPr="0097393C" w:rsidRDefault="009910A3" w:rsidP="00AF2787">
            <w:pPr>
              <w:pStyle w:val="NormalWeb"/>
              <w:jc w:val="center"/>
              <w:rPr>
                <w:sz w:val="18"/>
                <w:szCs w:val="18"/>
              </w:rPr>
            </w:pPr>
            <w:r w:rsidRPr="0097393C">
              <w:rPr>
                <w:sz w:val="18"/>
                <w:szCs w:val="18"/>
              </w:rPr>
              <w:t>3</w:t>
            </w:r>
          </w:p>
        </w:tc>
        <w:tc>
          <w:tcPr>
            <w:tcW w:w="912" w:type="dxa"/>
            <w:hideMark/>
          </w:tcPr>
          <w:p w:rsidR="009910A3" w:rsidRPr="0097393C" w:rsidRDefault="009910A3" w:rsidP="00AF2787">
            <w:pPr>
              <w:pStyle w:val="NormalWeb"/>
              <w:jc w:val="center"/>
              <w:rPr>
                <w:sz w:val="18"/>
                <w:szCs w:val="18"/>
              </w:rPr>
            </w:pPr>
            <w:r w:rsidRPr="0097393C">
              <w:rPr>
                <w:sz w:val="18"/>
                <w:szCs w:val="18"/>
              </w:rPr>
              <w:t>0</w:t>
            </w:r>
          </w:p>
        </w:tc>
        <w:tc>
          <w:tcPr>
            <w:tcW w:w="913" w:type="dxa"/>
            <w:hideMark/>
          </w:tcPr>
          <w:p w:rsidR="009910A3" w:rsidRPr="0097393C" w:rsidRDefault="009910A3" w:rsidP="00AF2787">
            <w:pPr>
              <w:pStyle w:val="NormalWeb"/>
              <w:jc w:val="center"/>
              <w:rPr>
                <w:sz w:val="18"/>
                <w:szCs w:val="18"/>
              </w:rPr>
            </w:pPr>
            <w:r w:rsidRPr="0097393C">
              <w:rPr>
                <w:sz w:val="18"/>
                <w:szCs w:val="18"/>
              </w:rPr>
              <w:t>0</w:t>
            </w:r>
          </w:p>
        </w:tc>
        <w:tc>
          <w:tcPr>
            <w:tcW w:w="912" w:type="dxa"/>
            <w:hideMark/>
          </w:tcPr>
          <w:p w:rsidR="009910A3" w:rsidRPr="0097393C" w:rsidRDefault="009910A3" w:rsidP="00AF2787">
            <w:pPr>
              <w:pStyle w:val="NormalWeb"/>
              <w:jc w:val="center"/>
              <w:rPr>
                <w:sz w:val="18"/>
                <w:szCs w:val="18"/>
              </w:rPr>
            </w:pPr>
            <w:r w:rsidRPr="0097393C">
              <w:rPr>
                <w:sz w:val="18"/>
                <w:szCs w:val="18"/>
              </w:rPr>
              <w:t>1</w:t>
            </w:r>
          </w:p>
        </w:tc>
        <w:tc>
          <w:tcPr>
            <w:tcW w:w="913" w:type="dxa"/>
            <w:hideMark/>
          </w:tcPr>
          <w:p w:rsidR="009910A3" w:rsidRPr="0097393C" w:rsidRDefault="009910A3" w:rsidP="00AF2787">
            <w:pPr>
              <w:pStyle w:val="NormalWeb"/>
              <w:jc w:val="center"/>
              <w:rPr>
                <w:sz w:val="18"/>
                <w:szCs w:val="18"/>
              </w:rPr>
            </w:pPr>
            <w:r w:rsidRPr="0097393C">
              <w:rPr>
                <w:sz w:val="18"/>
                <w:szCs w:val="18"/>
              </w:rPr>
              <w:t>0</w:t>
            </w:r>
          </w:p>
        </w:tc>
        <w:tc>
          <w:tcPr>
            <w:tcW w:w="912" w:type="dxa"/>
            <w:hideMark/>
          </w:tcPr>
          <w:p w:rsidR="009910A3" w:rsidRPr="0097393C" w:rsidRDefault="009910A3" w:rsidP="00AF2787">
            <w:pPr>
              <w:pStyle w:val="NormalWeb"/>
              <w:jc w:val="center"/>
              <w:rPr>
                <w:sz w:val="18"/>
                <w:szCs w:val="18"/>
              </w:rPr>
            </w:pPr>
            <w:r w:rsidRPr="0097393C">
              <w:rPr>
                <w:sz w:val="18"/>
                <w:szCs w:val="18"/>
              </w:rPr>
              <w:t>0</w:t>
            </w:r>
          </w:p>
        </w:tc>
        <w:tc>
          <w:tcPr>
            <w:tcW w:w="913" w:type="dxa"/>
            <w:hideMark/>
          </w:tcPr>
          <w:p w:rsidR="009910A3" w:rsidRPr="0097393C" w:rsidRDefault="009910A3" w:rsidP="00AF2787">
            <w:pPr>
              <w:pStyle w:val="NormalWeb"/>
              <w:jc w:val="center"/>
              <w:rPr>
                <w:sz w:val="18"/>
                <w:szCs w:val="18"/>
              </w:rPr>
            </w:pPr>
            <w:r w:rsidRPr="0097393C">
              <w:rPr>
                <w:sz w:val="18"/>
                <w:szCs w:val="18"/>
              </w:rPr>
              <w:t>1</w:t>
            </w:r>
          </w:p>
        </w:tc>
        <w:tc>
          <w:tcPr>
            <w:tcW w:w="913" w:type="dxa"/>
            <w:hideMark/>
          </w:tcPr>
          <w:p w:rsidR="009910A3" w:rsidRPr="0097393C" w:rsidRDefault="009910A3" w:rsidP="00AF2787">
            <w:pPr>
              <w:pStyle w:val="NormalWeb"/>
              <w:jc w:val="center"/>
              <w:rPr>
                <w:sz w:val="18"/>
                <w:szCs w:val="18"/>
              </w:rPr>
            </w:pPr>
            <w:r w:rsidRPr="0097393C">
              <w:rPr>
                <w:sz w:val="18"/>
                <w:szCs w:val="18"/>
              </w:rPr>
              <w:t>2</w:t>
            </w:r>
          </w:p>
        </w:tc>
      </w:tr>
      <w:tr w:rsidR="009910A3" w:rsidRPr="0097393C" w:rsidTr="00AF2787">
        <w:tc>
          <w:tcPr>
            <w:tcW w:w="0" w:type="auto"/>
            <w:hideMark/>
          </w:tcPr>
          <w:p w:rsidR="009910A3" w:rsidRPr="0097393C" w:rsidRDefault="009910A3" w:rsidP="0014557D">
            <w:pPr>
              <w:pStyle w:val="NormalWeb"/>
              <w:rPr>
                <w:sz w:val="18"/>
                <w:szCs w:val="18"/>
              </w:rPr>
            </w:pPr>
            <w:r w:rsidRPr="0097393C">
              <w:rPr>
                <w:sz w:val="18"/>
                <w:szCs w:val="18"/>
              </w:rPr>
              <w:t>Missing source of acquisition</w:t>
            </w:r>
          </w:p>
        </w:tc>
        <w:tc>
          <w:tcPr>
            <w:tcW w:w="912" w:type="dxa"/>
            <w:hideMark/>
          </w:tcPr>
          <w:p w:rsidR="009910A3" w:rsidRPr="0097393C" w:rsidRDefault="009910A3" w:rsidP="00AF2787">
            <w:pPr>
              <w:pStyle w:val="NormalWeb"/>
              <w:jc w:val="center"/>
              <w:rPr>
                <w:sz w:val="18"/>
                <w:szCs w:val="18"/>
              </w:rPr>
            </w:pPr>
            <w:r w:rsidRPr="0097393C">
              <w:rPr>
                <w:sz w:val="18"/>
                <w:szCs w:val="18"/>
              </w:rPr>
              <w:t>0</w:t>
            </w:r>
          </w:p>
        </w:tc>
        <w:tc>
          <w:tcPr>
            <w:tcW w:w="913" w:type="dxa"/>
            <w:hideMark/>
          </w:tcPr>
          <w:p w:rsidR="009910A3" w:rsidRPr="0097393C" w:rsidRDefault="009910A3" w:rsidP="00AF2787">
            <w:pPr>
              <w:pStyle w:val="NormalWeb"/>
              <w:jc w:val="center"/>
              <w:rPr>
                <w:sz w:val="18"/>
                <w:szCs w:val="18"/>
              </w:rPr>
            </w:pPr>
            <w:r w:rsidRPr="0097393C">
              <w:rPr>
                <w:sz w:val="18"/>
                <w:szCs w:val="18"/>
              </w:rPr>
              <w:t>0</w:t>
            </w:r>
          </w:p>
        </w:tc>
        <w:tc>
          <w:tcPr>
            <w:tcW w:w="912" w:type="dxa"/>
            <w:hideMark/>
          </w:tcPr>
          <w:p w:rsidR="009910A3" w:rsidRPr="0097393C" w:rsidRDefault="009910A3" w:rsidP="00AF2787">
            <w:pPr>
              <w:pStyle w:val="NormalWeb"/>
              <w:jc w:val="center"/>
              <w:rPr>
                <w:sz w:val="18"/>
                <w:szCs w:val="18"/>
              </w:rPr>
            </w:pPr>
            <w:r w:rsidRPr="0097393C">
              <w:rPr>
                <w:sz w:val="18"/>
                <w:szCs w:val="18"/>
              </w:rPr>
              <w:t>0</w:t>
            </w:r>
          </w:p>
        </w:tc>
        <w:tc>
          <w:tcPr>
            <w:tcW w:w="913" w:type="dxa"/>
            <w:hideMark/>
          </w:tcPr>
          <w:p w:rsidR="009910A3" w:rsidRPr="0097393C" w:rsidRDefault="009910A3" w:rsidP="00AF2787">
            <w:pPr>
              <w:pStyle w:val="NormalWeb"/>
              <w:jc w:val="center"/>
              <w:rPr>
                <w:sz w:val="18"/>
                <w:szCs w:val="18"/>
              </w:rPr>
            </w:pPr>
            <w:r w:rsidRPr="0097393C">
              <w:rPr>
                <w:sz w:val="18"/>
                <w:szCs w:val="18"/>
              </w:rPr>
              <w:t>0</w:t>
            </w:r>
          </w:p>
        </w:tc>
        <w:tc>
          <w:tcPr>
            <w:tcW w:w="912" w:type="dxa"/>
            <w:hideMark/>
          </w:tcPr>
          <w:p w:rsidR="009910A3" w:rsidRPr="0097393C" w:rsidRDefault="009910A3" w:rsidP="00AF2787">
            <w:pPr>
              <w:pStyle w:val="NormalWeb"/>
              <w:jc w:val="center"/>
              <w:rPr>
                <w:sz w:val="18"/>
                <w:szCs w:val="18"/>
              </w:rPr>
            </w:pPr>
            <w:r w:rsidRPr="0097393C">
              <w:rPr>
                <w:sz w:val="18"/>
                <w:szCs w:val="18"/>
              </w:rPr>
              <w:t>0</w:t>
            </w:r>
          </w:p>
        </w:tc>
        <w:tc>
          <w:tcPr>
            <w:tcW w:w="913" w:type="dxa"/>
            <w:hideMark/>
          </w:tcPr>
          <w:p w:rsidR="009910A3" w:rsidRPr="0097393C" w:rsidRDefault="009910A3" w:rsidP="00AF2787">
            <w:pPr>
              <w:pStyle w:val="NormalWeb"/>
              <w:jc w:val="center"/>
              <w:rPr>
                <w:sz w:val="18"/>
                <w:szCs w:val="18"/>
              </w:rPr>
            </w:pPr>
            <w:r w:rsidRPr="0097393C">
              <w:rPr>
                <w:sz w:val="18"/>
                <w:szCs w:val="18"/>
              </w:rPr>
              <w:t>0</w:t>
            </w:r>
          </w:p>
        </w:tc>
        <w:tc>
          <w:tcPr>
            <w:tcW w:w="912" w:type="dxa"/>
            <w:hideMark/>
          </w:tcPr>
          <w:p w:rsidR="009910A3" w:rsidRPr="0097393C" w:rsidRDefault="009910A3" w:rsidP="00AF2787">
            <w:pPr>
              <w:pStyle w:val="NormalWeb"/>
              <w:jc w:val="center"/>
              <w:rPr>
                <w:sz w:val="18"/>
                <w:szCs w:val="18"/>
              </w:rPr>
            </w:pPr>
            <w:r w:rsidRPr="0097393C">
              <w:rPr>
                <w:sz w:val="18"/>
                <w:szCs w:val="18"/>
              </w:rPr>
              <w:t>0</w:t>
            </w:r>
          </w:p>
        </w:tc>
        <w:tc>
          <w:tcPr>
            <w:tcW w:w="913" w:type="dxa"/>
            <w:hideMark/>
          </w:tcPr>
          <w:p w:rsidR="009910A3" w:rsidRPr="0097393C" w:rsidRDefault="009910A3" w:rsidP="00AF2787">
            <w:pPr>
              <w:pStyle w:val="NormalWeb"/>
              <w:jc w:val="center"/>
              <w:rPr>
                <w:sz w:val="18"/>
                <w:szCs w:val="18"/>
              </w:rPr>
            </w:pPr>
            <w:r w:rsidRPr="0097393C">
              <w:rPr>
                <w:sz w:val="18"/>
                <w:szCs w:val="18"/>
              </w:rPr>
              <w:t>0</w:t>
            </w:r>
          </w:p>
        </w:tc>
        <w:tc>
          <w:tcPr>
            <w:tcW w:w="913" w:type="dxa"/>
            <w:hideMark/>
          </w:tcPr>
          <w:p w:rsidR="009910A3" w:rsidRPr="0097393C" w:rsidRDefault="009910A3" w:rsidP="00AF2787">
            <w:pPr>
              <w:pStyle w:val="NormalWeb"/>
              <w:jc w:val="center"/>
              <w:rPr>
                <w:sz w:val="18"/>
                <w:szCs w:val="18"/>
              </w:rPr>
            </w:pPr>
            <w:r w:rsidRPr="0097393C">
              <w:rPr>
                <w:sz w:val="18"/>
                <w:szCs w:val="18"/>
              </w:rPr>
              <w:t>0</w:t>
            </w:r>
          </w:p>
        </w:tc>
      </w:tr>
      <w:tr w:rsidR="00AF2787" w:rsidRPr="0097393C" w:rsidTr="00AF2787">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rsidR="009910A3" w:rsidRPr="0097393C" w:rsidRDefault="009910A3" w:rsidP="0014557D">
            <w:pPr>
              <w:pStyle w:val="NormalWeb"/>
              <w:rPr>
                <w:b/>
                <w:sz w:val="18"/>
                <w:szCs w:val="18"/>
              </w:rPr>
            </w:pPr>
            <w:r w:rsidRPr="0097393C">
              <w:rPr>
                <w:b/>
                <w:sz w:val="18"/>
                <w:szCs w:val="18"/>
              </w:rPr>
              <w:t>Total</w:t>
            </w:r>
          </w:p>
        </w:tc>
        <w:tc>
          <w:tcPr>
            <w:tcW w:w="912" w:type="dxa"/>
            <w:shd w:val="clear" w:color="auto" w:fill="FDE9D9" w:themeFill="accent6" w:themeFillTint="33"/>
            <w:hideMark/>
          </w:tcPr>
          <w:p w:rsidR="009910A3" w:rsidRPr="0097393C" w:rsidRDefault="009910A3" w:rsidP="00AF2787">
            <w:pPr>
              <w:pStyle w:val="NormalWeb"/>
              <w:jc w:val="center"/>
              <w:rPr>
                <w:b/>
                <w:sz w:val="18"/>
                <w:szCs w:val="18"/>
              </w:rPr>
            </w:pPr>
            <w:r w:rsidRPr="0097393C">
              <w:rPr>
                <w:b/>
                <w:sz w:val="18"/>
                <w:szCs w:val="18"/>
              </w:rPr>
              <w:t>0</w:t>
            </w:r>
          </w:p>
        </w:tc>
        <w:tc>
          <w:tcPr>
            <w:tcW w:w="913" w:type="dxa"/>
            <w:shd w:val="clear" w:color="auto" w:fill="FDE9D9" w:themeFill="accent6" w:themeFillTint="33"/>
            <w:hideMark/>
          </w:tcPr>
          <w:p w:rsidR="009910A3" w:rsidRPr="0097393C" w:rsidRDefault="009910A3" w:rsidP="00AF2787">
            <w:pPr>
              <w:pStyle w:val="NormalWeb"/>
              <w:jc w:val="center"/>
              <w:rPr>
                <w:b/>
                <w:sz w:val="18"/>
                <w:szCs w:val="18"/>
              </w:rPr>
            </w:pPr>
            <w:r w:rsidRPr="0097393C">
              <w:rPr>
                <w:b/>
                <w:sz w:val="18"/>
                <w:szCs w:val="18"/>
              </w:rPr>
              <w:t>81</w:t>
            </w:r>
          </w:p>
        </w:tc>
        <w:tc>
          <w:tcPr>
            <w:tcW w:w="912" w:type="dxa"/>
            <w:shd w:val="clear" w:color="auto" w:fill="FDE9D9" w:themeFill="accent6" w:themeFillTint="33"/>
            <w:hideMark/>
          </w:tcPr>
          <w:p w:rsidR="009910A3" w:rsidRPr="0097393C" w:rsidRDefault="009910A3" w:rsidP="00AF2787">
            <w:pPr>
              <w:pStyle w:val="NormalWeb"/>
              <w:jc w:val="center"/>
              <w:rPr>
                <w:b/>
                <w:sz w:val="18"/>
                <w:szCs w:val="18"/>
              </w:rPr>
            </w:pPr>
            <w:r w:rsidRPr="0097393C">
              <w:rPr>
                <w:b/>
                <w:sz w:val="18"/>
                <w:szCs w:val="18"/>
              </w:rPr>
              <w:t>52</w:t>
            </w:r>
          </w:p>
        </w:tc>
        <w:tc>
          <w:tcPr>
            <w:tcW w:w="913" w:type="dxa"/>
            <w:shd w:val="clear" w:color="auto" w:fill="FDE9D9" w:themeFill="accent6" w:themeFillTint="33"/>
            <w:hideMark/>
          </w:tcPr>
          <w:p w:rsidR="009910A3" w:rsidRPr="0097393C" w:rsidRDefault="009910A3" w:rsidP="00AF2787">
            <w:pPr>
              <w:pStyle w:val="NormalWeb"/>
              <w:jc w:val="center"/>
              <w:rPr>
                <w:b/>
                <w:sz w:val="18"/>
                <w:szCs w:val="18"/>
              </w:rPr>
            </w:pPr>
            <w:r w:rsidRPr="0097393C">
              <w:rPr>
                <w:b/>
                <w:sz w:val="18"/>
                <w:szCs w:val="18"/>
              </w:rPr>
              <w:t>14</w:t>
            </w:r>
          </w:p>
        </w:tc>
        <w:tc>
          <w:tcPr>
            <w:tcW w:w="912" w:type="dxa"/>
            <w:shd w:val="clear" w:color="auto" w:fill="FDE9D9" w:themeFill="accent6" w:themeFillTint="33"/>
            <w:hideMark/>
          </w:tcPr>
          <w:p w:rsidR="009910A3" w:rsidRPr="0097393C" w:rsidRDefault="009910A3" w:rsidP="00AF2787">
            <w:pPr>
              <w:pStyle w:val="NormalWeb"/>
              <w:jc w:val="center"/>
              <w:rPr>
                <w:b/>
                <w:sz w:val="18"/>
                <w:szCs w:val="18"/>
              </w:rPr>
            </w:pPr>
            <w:r w:rsidRPr="0097393C">
              <w:rPr>
                <w:b/>
                <w:sz w:val="18"/>
                <w:szCs w:val="18"/>
              </w:rPr>
              <w:t>33</w:t>
            </w:r>
          </w:p>
        </w:tc>
        <w:tc>
          <w:tcPr>
            <w:tcW w:w="913" w:type="dxa"/>
            <w:shd w:val="clear" w:color="auto" w:fill="FDE9D9" w:themeFill="accent6" w:themeFillTint="33"/>
            <w:hideMark/>
          </w:tcPr>
          <w:p w:rsidR="009910A3" w:rsidRPr="0097393C" w:rsidRDefault="009910A3" w:rsidP="00AF2787">
            <w:pPr>
              <w:pStyle w:val="NormalWeb"/>
              <w:jc w:val="center"/>
              <w:rPr>
                <w:b/>
                <w:sz w:val="18"/>
                <w:szCs w:val="18"/>
              </w:rPr>
            </w:pPr>
            <w:r w:rsidRPr="0097393C">
              <w:rPr>
                <w:b/>
                <w:sz w:val="18"/>
                <w:szCs w:val="18"/>
              </w:rPr>
              <w:t>0</w:t>
            </w:r>
          </w:p>
        </w:tc>
        <w:tc>
          <w:tcPr>
            <w:tcW w:w="912" w:type="dxa"/>
            <w:shd w:val="clear" w:color="auto" w:fill="FDE9D9" w:themeFill="accent6" w:themeFillTint="33"/>
            <w:hideMark/>
          </w:tcPr>
          <w:p w:rsidR="009910A3" w:rsidRPr="0097393C" w:rsidRDefault="009910A3" w:rsidP="00AF2787">
            <w:pPr>
              <w:pStyle w:val="NormalWeb"/>
              <w:jc w:val="center"/>
              <w:rPr>
                <w:b/>
                <w:sz w:val="18"/>
                <w:szCs w:val="18"/>
              </w:rPr>
            </w:pPr>
            <w:r w:rsidRPr="0097393C">
              <w:rPr>
                <w:b/>
                <w:sz w:val="18"/>
                <w:szCs w:val="18"/>
              </w:rPr>
              <w:t>28</w:t>
            </w:r>
          </w:p>
        </w:tc>
        <w:tc>
          <w:tcPr>
            <w:tcW w:w="913" w:type="dxa"/>
            <w:shd w:val="clear" w:color="auto" w:fill="FDE9D9" w:themeFill="accent6" w:themeFillTint="33"/>
            <w:hideMark/>
          </w:tcPr>
          <w:p w:rsidR="009910A3" w:rsidRPr="0097393C" w:rsidRDefault="009910A3" w:rsidP="00AF2787">
            <w:pPr>
              <w:pStyle w:val="NormalWeb"/>
              <w:jc w:val="center"/>
              <w:rPr>
                <w:b/>
                <w:sz w:val="18"/>
                <w:szCs w:val="18"/>
              </w:rPr>
            </w:pPr>
            <w:r w:rsidRPr="0097393C">
              <w:rPr>
                <w:b/>
                <w:sz w:val="18"/>
                <w:szCs w:val="18"/>
              </w:rPr>
              <w:t>35</w:t>
            </w:r>
          </w:p>
        </w:tc>
        <w:tc>
          <w:tcPr>
            <w:tcW w:w="913" w:type="dxa"/>
            <w:shd w:val="clear" w:color="auto" w:fill="FDE9D9" w:themeFill="accent6" w:themeFillTint="33"/>
            <w:hideMark/>
          </w:tcPr>
          <w:p w:rsidR="009910A3" w:rsidRPr="0097393C" w:rsidRDefault="009910A3" w:rsidP="00AF2787">
            <w:pPr>
              <w:pStyle w:val="NormalWeb"/>
              <w:jc w:val="center"/>
              <w:rPr>
                <w:b/>
                <w:sz w:val="18"/>
                <w:szCs w:val="18"/>
              </w:rPr>
            </w:pPr>
            <w:r w:rsidRPr="0097393C">
              <w:rPr>
                <w:b/>
                <w:sz w:val="18"/>
                <w:szCs w:val="18"/>
              </w:rPr>
              <w:t>243</w:t>
            </w:r>
          </w:p>
        </w:tc>
      </w:tr>
    </w:tbl>
    <w:p w:rsidR="009910A3" w:rsidRPr="002126FA" w:rsidRDefault="009910A3" w:rsidP="002126FA">
      <w:pPr>
        <w:pStyle w:val="CDIfootnotes"/>
        <w:rPr>
          <w:lang w:val="en-GB"/>
        </w:rPr>
      </w:pPr>
      <w:proofErr w:type="gramStart"/>
      <w:r>
        <w:rPr>
          <w:lang w:val="en-GB"/>
        </w:rPr>
        <w:t>a</w:t>
      </w:r>
      <w:proofErr w:type="gramEnd"/>
      <w:r>
        <w:rPr>
          <w:lang w:val="en-GB"/>
        </w:rPr>
        <w:tab/>
        <w:t>Source: NNDSS, extract from 29 April 2021, based on diagnosis date.</w:t>
      </w:r>
    </w:p>
    <w:p w:rsidR="00E52E78" w:rsidRDefault="00E52E78" w:rsidP="00D151EC">
      <w:r>
        <w:t>In the year to date, from 1 January 2021 to the end of this reporting period 25 April 2021, there have been 1,082 COVID-19 cases reported nationally; cases diagnosed weekly have generally remained low, although cases have exceeded 100 per week in the past two weeks (</w:t>
      </w:r>
      <w:r w:rsidR="00A63851">
        <w:t>Figure 2</w:t>
      </w:r>
      <w:r>
        <w:t>). These low case numbers are in contrast to the two distinct peaks experienced in March and July of 2020, when weekly notifications reached approximately 2</w:t>
      </w:r>
      <w:r w:rsidR="003E34FA">
        <w:t>,</w:t>
      </w:r>
      <w:r>
        <w:t>700 and 3</w:t>
      </w:r>
      <w:r w:rsidR="003E34FA">
        <w:t>,</w:t>
      </w:r>
      <w:r>
        <w:t>000 respectively (</w:t>
      </w:r>
      <w:r w:rsidR="00A63851">
        <w:t>Figure 3</w:t>
      </w:r>
      <w:r>
        <w:t>). Cumulatively, since the beginning of the epidemic in Australia, there have been 29,550 COVID-19 cas</w:t>
      </w:r>
      <w:r w:rsidR="004D28E4">
        <w:t>es reported in Australia.</w:t>
      </w:r>
    </w:p>
    <w:p w:rsidR="00C9286B" w:rsidRDefault="00C9286B">
      <w:pPr>
        <w:rPr>
          <w:rStyle w:val="Strong"/>
          <w:bCs w:val="0"/>
        </w:rPr>
      </w:pPr>
      <w:r>
        <w:rPr>
          <w:rStyle w:val="Strong"/>
          <w:b w:val="0"/>
          <w:bCs w:val="0"/>
        </w:rPr>
        <w:br w:type="page"/>
      </w:r>
    </w:p>
    <w:p w:rsidR="004D28E4" w:rsidRPr="00FC4712" w:rsidRDefault="00A63851" w:rsidP="004D28E4">
      <w:pPr>
        <w:pStyle w:val="CDIFigures"/>
      </w:pPr>
      <w:r>
        <w:rPr>
          <w:rStyle w:val="Strong"/>
          <w:b/>
          <w:bCs w:val="0"/>
        </w:rPr>
        <w:lastRenderedPageBreak/>
        <w:t>Figure 2</w:t>
      </w:r>
      <w:r w:rsidR="004D28E4" w:rsidRPr="00FC4712">
        <w:rPr>
          <w:rStyle w:val="Strong"/>
          <w:b/>
          <w:bCs w:val="0"/>
        </w:rPr>
        <w:t>: COVID-19 notified cases by source of acquisition and diagnosis date, 4 January – 25 April 2021</w:t>
      </w:r>
      <w:r w:rsidR="004D28E4" w:rsidRPr="00FC4712">
        <w:rPr>
          <w:rStyle w:val="Strong"/>
          <w:b/>
          <w:bCs w:val="0"/>
          <w:vertAlign w:val="superscript"/>
        </w:rPr>
        <w:t>a</w:t>
      </w:r>
    </w:p>
    <w:p w:rsidR="004D28E4" w:rsidRDefault="004D28E4" w:rsidP="004D28E4">
      <w:pPr>
        <w:pStyle w:val="NormalWeb"/>
        <w:rPr>
          <w:lang w:val="en-GB"/>
        </w:rPr>
      </w:pPr>
      <w:r>
        <w:rPr>
          <w:noProof/>
        </w:rPr>
        <w:drawing>
          <wp:inline distT="0" distB="0" distL="0" distR="0" wp14:anchorId="4059BC87" wp14:editId="4DA250C6">
            <wp:extent cx="6625742" cy="4621538"/>
            <wp:effectExtent l="0" t="0" r="3810" b="7620"/>
            <wp:docPr id="6" name="Picture 6" descr="A bar chart of new case notifications in Australia, by week of illness diagnosis and source of acquisition, for the calendar year to date. Notified cases for each week have consistently been dominated by those acquired overseas. A small peak in notified cases, of approximately 90 cases per week, is evident in mid-January; thereafter, new cases remained at an average of approximately 50 (mostly overseas-acquired) new cases per week, before climbing to more than 100 cases per week in each of the two weeks of this reporting period, driven by a rise in overseas-acquired c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bar chart of new case notifications in Australia, by week of illness diagnosis and source of acquisition, for the calendar year to date. Notified cases for each week have consistently been dominated by those acquired overseas. A small peak in notified cases, of approximately 90 cases per week, is evident in mid-January; thereafter, new cases remained at an average of approximately 50 (mostly overseas-acquired) new cases per week, before climbing to more than 100 cases per week in each of the two weeks of this reporting period, driven by a rise in overseas-acquired cases."/>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30704" cy="4624999"/>
                    </a:xfrm>
                    <a:prstGeom prst="rect">
                      <a:avLst/>
                    </a:prstGeom>
                  </pic:spPr>
                </pic:pic>
              </a:graphicData>
            </a:graphic>
          </wp:inline>
        </w:drawing>
      </w:r>
    </w:p>
    <w:p w:rsidR="004D28E4" w:rsidRDefault="004D28E4" w:rsidP="004D28E4">
      <w:pPr>
        <w:pStyle w:val="CDIfootnotes"/>
        <w:rPr>
          <w:lang w:val="en-GB"/>
        </w:rPr>
      </w:pPr>
      <w:proofErr w:type="gramStart"/>
      <w:r>
        <w:rPr>
          <w:lang w:val="en-GB"/>
        </w:rPr>
        <w:t>a</w:t>
      </w:r>
      <w:proofErr w:type="gramEnd"/>
      <w:r>
        <w:rPr>
          <w:lang w:val="en-GB"/>
        </w:rPr>
        <w:tab/>
        <w:t xml:space="preserve">Source: NNDSS, extract from 29 April 2021, based on diagnosis date. </w:t>
      </w:r>
    </w:p>
    <w:p w:rsidR="005A5296" w:rsidRDefault="005A5296">
      <w:pPr>
        <w:rPr>
          <w:rStyle w:val="Strong"/>
          <w:bCs w:val="0"/>
        </w:rPr>
      </w:pPr>
      <w:r>
        <w:rPr>
          <w:rStyle w:val="Strong"/>
          <w:b w:val="0"/>
          <w:bCs w:val="0"/>
        </w:rPr>
        <w:br w:type="page"/>
      </w:r>
    </w:p>
    <w:p w:rsidR="005A5296" w:rsidRPr="00AE2667" w:rsidRDefault="00A63851" w:rsidP="005A5296">
      <w:pPr>
        <w:pStyle w:val="CDIFigures"/>
      </w:pPr>
      <w:r>
        <w:rPr>
          <w:rStyle w:val="Strong"/>
          <w:b/>
          <w:bCs w:val="0"/>
        </w:rPr>
        <w:lastRenderedPageBreak/>
        <w:t>Figure 3</w:t>
      </w:r>
      <w:r w:rsidR="005A5296" w:rsidRPr="00AE2667">
        <w:rPr>
          <w:rStyle w:val="Strong"/>
          <w:b/>
          <w:bCs w:val="0"/>
        </w:rPr>
        <w:t xml:space="preserve">: Cumulative COVID-19 notified cases by source of </w:t>
      </w:r>
      <w:r w:rsidR="00533757">
        <w:rPr>
          <w:rStyle w:val="Strong"/>
          <w:b/>
          <w:bCs w:val="0"/>
        </w:rPr>
        <w:t>acquisition and diagnosis date</w:t>
      </w:r>
      <w:proofErr w:type="gramStart"/>
      <w:r w:rsidR="00533757">
        <w:rPr>
          <w:rStyle w:val="Strong"/>
          <w:b/>
          <w:bCs w:val="0"/>
        </w:rPr>
        <w:t>,</w:t>
      </w:r>
      <w:proofErr w:type="gramEnd"/>
      <w:r w:rsidR="00533757">
        <w:rPr>
          <w:rStyle w:val="Strong"/>
          <w:b/>
          <w:bCs w:val="0"/>
        </w:rPr>
        <w:br/>
      </w:r>
      <w:r w:rsidR="005A5296" w:rsidRPr="00AE2667">
        <w:rPr>
          <w:rStyle w:val="Strong"/>
          <w:b/>
          <w:bCs w:val="0"/>
        </w:rPr>
        <w:t>2 March 2020 – 25 April 2021</w:t>
      </w:r>
      <w:r w:rsidR="005A5296" w:rsidRPr="00AE2667">
        <w:rPr>
          <w:rStyle w:val="Strong"/>
          <w:b/>
          <w:bCs w:val="0"/>
          <w:vertAlign w:val="superscript"/>
        </w:rPr>
        <w:t>a</w:t>
      </w:r>
    </w:p>
    <w:p w:rsidR="005A5296" w:rsidRDefault="005A5296" w:rsidP="005A5296">
      <w:pPr>
        <w:pStyle w:val="NormalWeb"/>
        <w:rPr>
          <w:lang w:val="en-GB"/>
        </w:rPr>
      </w:pPr>
      <w:r>
        <w:rPr>
          <w:noProof/>
        </w:rPr>
        <w:drawing>
          <wp:inline distT="0" distB="0" distL="0" distR="0" wp14:anchorId="5361CF84" wp14:editId="6A62EFC4">
            <wp:extent cx="6625742" cy="4641651"/>
            <wp:effectExtent l="0" t="0" r="3810" b="6985"/>
            <wp:docPr id="7" name="Picture 7" descr="A bar chart of new case notifications in Australia, by week of illness diagnosis and source of acquisition, since the start of the COVID-19 epidemic in Australia. There is an evident peak in notifications in the week ending 22 March 2020, with a majority of cases during this time overseas acquired. In contrast, almost all cases from 1 June to 11 October 2020 (and peaking in the weeks ending 26 July and 2 August) have been reported as locally acquired, with overseas-acquired cases once again dominant from mid-October to mid-December 2020. Locally-acquired cases showed a slight increase again in mid-December; throughout 2021 to date, overseas-acquired cases have remained domina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bar chart of new case notifications in Australia, by week of illness diagnosis and source of acquisition, since the start of the COVID-19 epidemic in Australia. There is an evident peak in notifications in the week ending 22 March 2020, with a majority of cases during this time overseas acquired. In contrast, almost all cases from 1 June to 11 October 2020 (and peaking in the weeks ending 26 July and 2 August) have been reported as locally acquired, with overseas-acquired cases once again dominant from mid-October to mid-December 2020. Locally-acquired cases showed a slight increase again in mid-December; throughout 2021 to date, overseas-acquired cases have remained dominant. "/>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631300" cy="4645544"/>
                    </a:xfrm>
                    <a:prstGeom prst="rect">
                      <a:avLst/>
                    </a:prstGeom>
                  </pic:spPr>
                </pic:pic>
              </a:graphicData>
            </a:graphic>
          </wp:inline>
        </w:drawing>
      </w:r>
    </w:p>
    <w:p w:rsidR="004D28E4" w:rsidRPr="0014557D" w:rsidRDefault="005A5296" w:rsidP="0014557D">
      <w:pPr>
        <w:pStyle w:val="CDIfootnotes"/>
        <w:rPr>
          <w:lang w:val="en-GB"/>
        </w:rPr>
      </w:pPr>
      <w:proofErr w:type="gramStart"/>
      <w:r>
        <w:rPr>
          <w:lang w:val="en-GB"/>
        </w:rPr>
        <w:t>a</w:t>
      </w:r>
      <w:proofErr w:type="gramEnd"/>
      <w:r>
        <w:rPr>
          <w:lang w:val="en-GB"/>
        </w:rPr>
        <w:tab/>
        <w:t xml:space="preserve">Source: NNDSS, extract from 29 April 2021, based on diagnosis date. </w:t>
      </w:r>
    </w:p>
    <w:p w:rsidR="00E52E78" w:rsidRPr="00D151EC" w:rsidRDefault="00E52E78" w:rsidP="00D151EC">
      <w:pPr>
        <w:pStyle w:val="Heading2"/>
      </w:pPr>
      <w:r w:rsidRPr="00D151EC">
        <w:t xml:space="preserve">Source of acquisition </w:t>
      </w:r>
    </w:p>
    <w:p w:rsidR="00E52E78" w:rsidRPr="00321E69" w:rsidRDefault="00E52E78" w:rsidP="00D151EC">
      <w:pPr>
        <w:pStyle w:val="Heading3"/>
        <w:rPr>
          <w:i/>
        </w:rPr>
      </w:pPr>
      <w:r w:rsidRPr="00321E69">
        <w:rPr>
          <w:i/>
        </w:rPr>
        <w:t xml:space="preserve">(NNDSS) </w:t>
      </w:r>
    </w:p>
    <w:p w:rsidR="00E52E78" w:rsidRDefault="00E52E78" w:rsidP="00D151EC">
      <w:r>
        <w:t xml:space="preserve">In this reporting period, 96% (234/243) of cases were acquired overseas. There were seven locally-acquired cases: three in New South Wales, three in Western Australia and one in Victoria (Table 3). At the end of this reporting period, the source of acquisition of two cases remained under investigation (Table 2). </w:t>
      </w:r>
    </w:p>
    <w:p w:rsidR="009C1163" w:rsidRDefault="009C1163">
      <w:pPr>
        <w:rPr>
          <w:rStyle w:val="Strong"/>
          <w:bCs w:val="0"/>
        </w:rPr>
      </w:pPr>
      <w:r>
        <w:rPr>
          <w:rStyle w:val="Strong"/>
          <w:b w:val="0"/>
          <w:bCs w:val="0"/>
        </w:rPr>
        <w:br w:type="page"/>
      </w:r>
    </w:p>
    <w:p w:rsidR="003178BD" w:rsidRPr="00AE2667" w:rsidRDefault="003178BD" w:rsidP="003178BD">
      <w:pPr>
        <w:pStyle w:val="CDIFigures"/>
      </w:pPr>
      <w:r w:rsidRPr="00AE2667">
        <w:rPr>
          <w:rStyle w:val="Strong"/>
          <w:b/>
          <w:bCs w:val="0"/>
        </w:rPr>
        <w:lastRenderedPageBreak/>
        <w:t>Table 3: Locally-acquired COVID-19 case numbers and rates per 100,000 population by jurisdiction and reporting period, Australia, 12 to 25 April 2021</w:t>
      </w:r>
      <w:r w:rsidRPr="00AE2667">
        <w:rPr>
          <w:rStyle w:val="Strong"/>
          <w:b/>
          <w:bCs w:val="0"/>
          <w:vertAlign w:val="superscript"/>
        </w:rPr>
        <w:t>a</w:t>
      </w:r>
    </w:p>
    <w:tbl>
      <w:tblPr>
        <w:tblStyle w:val="CDI-StandardTable"/>
        <w:tblW w:w="0" w:type="auto"/>
        <w:tblCellMar>
          <w:top w:w="28" w:type="dxa"/>
          <w:left w:w="57" w:type="dxa"/>
          <w:bottom w:w="28" w:type="dxa"/>
          <w:right w:w="57" w:type="dxa"/>
        </w:tblCellMar>
        <w:tblLook w:val="04A0" w:firstRow="1" w:lastRow="0" w:firstColumn="1" w:lastColumn="0" w:noHBand="0" w:noVBand="1"/>
        <w:tblDescription w:val="Table 3 shows the locally-acquired case notifications within each jurisdiction for the current two-week reporting period, the previous two-week reporting period, and the total case numbers and rates per 100,000 population for each jurisdiction for the calendar year to date. For this reporting period, there were seven locally-acquired cases, which compares with eleven locally-acquired cases in the previous reporting period, with three locally-acquired cases in the current fortnight reported in New South Wales, three in Western Australia and one in Victoria. Locally-acquired cases for the year to date have predominantly occurred in Victoria (35 cases), New South Wales (34 cases) and Queensland (26 cases), with only four locally-acquired cases having occurred outside these jurisdictions so far in 2021, all in Western Australia. Nationwide, the locally-acquired case rate for the calendar year to date is 0.39 cases per 100,000 population."/>
      </w:tblPr>
      <w:tblGrid>
        <w:gridCol w:w="967"/>
        <w:gridCol w:w="2577"/>
        <w:gridCol w:w="2552"/>
        <w:gridCol w:w="1984"/>
        <w:gridCol w:w="2360"/>
      </w:tblGrid>
      <w:tr w:rsidR="003178BD" w:rsidRPr="0097393C" w:rsidTr="0082797D">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rsidR="003178BD" w:rsidRPr="0097393C" w:rsidRDefault="003178BD" w:rsidP="0014557D">
            <w:pPr>
              <w:pStyle w:val="NormalWeb"/>
              <w:rPr>
                <w:color w:val="FFFFFF" w:themeColor="background1"/>
                <w:sz w:val="18"/>
                <w:szCs w:val="18"/>
              </w:rPr>
            </w:pPr>
            <w:r w:rsidRPr="0097393C">
              <w:rPr>
                <w:color w:val="FFFFFF" w:themeColor="background1"/>
                <w:sz w:val="18"/>
                <w:szCs w:val="18"/>
              </w:rPr>
              <w:t>Jurisdiction</w:t>
            </w:r>
          </w:p>
        </w:tc>
        <w:tc>
          <w:tcPr>
            <w:tcW w:w="2577" w:type="dxa"/>
            <w:tcBorders>
              <w:left w:val="single" w:sz="2" w:space="0" w:color="FFFFFF" w:themeColor="background1"/>
              <w:bottom w:val="single" w:sz="2" w:space="0" w:color="FFFFFF" w:themeColor="background1"/>
              <w:right w:val="single" w:sz="2" w:space="0" w:color="FFFFFF" w:themeColor="background1"/>
            </w:tcBorders>
            <w:hideMark/>
          </w:tcPr>
          <w:p w:rsidR="003178BD" w:rsidRPr="0097393C" w:rsidRDefault="003178BD" w:rsidP="003178BD">
            <w:pPr>
              <w:pStyle w:val="NormalWeb"/>
              <w:jc w:val="center"/>
              <w:rPr>
                <w:color w:val="FFFFFF" w:themeColor="background1"/>
                <w:sz w:val="18"/>
                <w:szCs w:val="18"/>
              </w:rPr>
            </w:pPr>
            <w:r w:rsidRPr="0097393C">
              <w:rPr>
                <w:color w:val="FFFFFF" w:themeColor="background1"/>
                <w:sz w:val="18"/>
                <w:szCs w:val="18"/>
              </w:rPr>
              <w:t>Reporting period</w:t>
            </w:r>
            <w:r w:rsidRPr="0097393C">
              <w:rPr>
                <w:color w:val="FFFFFF" w:themeColor="background1"/>
                <w:sz w:val="18"/>
                <w:szCs w:val="18"/>
              </w:rPr>
              <w:br/>
              <w:t>12–25 April 2021</w:t>
            </w:r>
          </w:p>
        </w:tc>
        <w:tc>
          <w:tcPr>
            <w:tcW w:w="2552" w:type="dxa"/>
            <w:tcBorders>
              <w:left w:val="single" w:sz="2" w:space="0" w:color="FFFFFF" w:themeColor="background1"/>
              <w:bottom w:val="single" w:sz="2" w:space="0" w:color="FFFFFF" w:themeColor="background1"/>
              <w:right w:val="single" w:sz="2" w:space="0" w:color="FFFFFF" w:themeColor="background1"/>
            </w:tcBorders>
            <w:hideMark/>
          </w:tcPr>
          <w:p w:rsidR="003178BD" w:rsidRPr="0097393C" w:rsidRDefault="003178BD" w:rsidP="003178BD">
            <w:pPr>
              <w:pStyle w:val="NormalWeb"/>
              <w:jc w:val="center"/>
              <w:rPr>
                <w:color w:val="FFFFFF" w:themeColor="background1"/>
                <w:sz w:val="18"/>
                <w:szCs w:val="18"/>
              </w:rPr>
            </w:pPr>
            <w:r w:rsidRPr="0097393C">
              <w:rPr>
                <w:color w:val="FFFFFF" w:themeColor="background1"/>
                <w:sz w:val="18"/>
                <w:szCs w:val="18"/>
              </w:rPr>
              <w:t>Reporting period</w:t>
            </w:r>
            <w:r w:rsidRPr="0097393C">
              <w:rPr>
                <w:color w:val="FFFFFF" w:themeColor="background1"/>
                <w:sz w:val="18"/>
                <w:szCs w:val="18"/>
              </w:rPr>
              <w:br/>
              <w:t>29 March – 11 April 2021</w:t>
            </w:r>
          </w:p>
        </w:tc>
        <w:tc>
          <w:tcPr>
            <w:tcW w:w="4344" w:type="dxa"/>
            <w:gridSpan w:val="2"/>
            <w:tcBorders>
              <w:left w:val="single" w:sz="2" w:space="0" w:color="FFFFFF" w:themeColor="background1"/>
              <w:bottom w:val="single" w:sz="2" w:space="0" w:color="FFFFFF" w:themeColor="background1"/>
            </w:tcBorders>
            <w:hideMark/>
          </w:tcPr>
          <w:p w:rsidR="003178BD" w:rsidRPr="0097393C" w:rsidRDefault="003178BD" w:rsidP="003178BD">
            <w:pPr>
              <w:pStyle w:val="NormalWeb"/>
              <w:jc w:val="center"/>
              <w:rPr>
                <w:color w:val="FFFFFF" w:themeColor="background1"/>
                <w:sz w:val="18"/>
                <w:szCs w:val="18"/>
              </w:rPr>
            </w:pPr>
            <w:r w:rsidRPr="0097393C">
              <w:rPr>
                <w:color w:val="FFFFFF" w:themeColor="background1"/>
                <w:sz w:val="18"/>
                <w:szCs w:val="18"/>
              </w:rPr>
              <w:t>Cases this year</w:t>
            </w:r>
            <w:r w:rsidRPr="0097393C">
              <w:rPr>
                <w:color w:val="FFFFFF" w:themeColor="background1"/>
                <w:sz w:val="18"/>
                <w:szCs w:val="18"/>
              </w:rPr>
              <w:br/>
              <w:t>1 January – 25 April 2021</w:t>
            </w:r>
            <w:r w:rsidRPr="0097393C">
              <w:rPr>
                <w:color w:val="FFFFFF" w:themeColor="background1"/>
                <w:sz w:val="18"/>
                <w:szCs w:val="18"/>
                <w:vertAlign w:val="superscript"/>
              </w:rPr>
              <w:t>b</w:t>
            </w:r>
          </w:p>
        </w:tc>
      </w:tr>
      <w:tr w:rsidR="003178BD" w:rsidRPr="0097393C" w:rsidTr="0082797D">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rsidR="003178BD" w:rsidRPr="0097393C" w:rsidRDefault="003178BD" w:rsidP="0014557D">
            <w:pPr>
              <w:rPr>
                <w:color w:val="FFFFFF" w:themeColor="background1"/>
                <w:sz w:val="18"/>
                <w:szCs w:val="18"/>
              </w:rPr>
            </w:pPr>
          </w:p>
        </w:tc>
        <w:tc>
          <w:tcPr>
            <w:tcW w:w="2577" w:type="dxa"/>
            <w:tcBorders>
              <w:top w:val="single" w:sz="2" w:space="0" w:color="FFFFFF" w:themeColor="background1"/>
              <w:left w:val="single" w:sz="2" w:space="0" w:color="FFFFFF" w:themeColor="background1"/>
              <w:right w:val="single" w:sz="2" w:space="0" w:color="FFFFFF" w:themeColor="background1"/>
            </w:tcBorders>
            <w:hideMark/>
          </w:tcPr>
          <w:p w:rsidR="003178BD" w:rsidRPr="0097393C" w:rsidRDefault="003178BD" w:rsidP="003178BD">
            <w:pPr>
              <w:pStyle w:val="NormalWeb"/>
              <w:jc w:val="center"/>
              <w:rPr>
                <w:color w:val="FFFFFF" w:themeColor="background1"/>
                <w:sz w:val="18"/>
                <w:szCs w:val="18"/>
              </w:rPr>
            </w:pPr>
            <w:r w:rsidRPr="0097393C">
              <w:rPr>
                <w:color w:val="FFFFFF" w:themeColor="background1"/>
                <w:sz w:val="18"/>
                <w:szCs w:val="18"/>
              </w:rPr>
              <w:t xml:space="preserve">Number of </w:t>
            </w:r>
            <w:proofErr w:type="spellStart"/>
            <w:r w:rsidRPr="0097393C">
              <w:rPr>
                <w:color w:val="FFFFFF" w:themeColor="background1"/>
                <w:sz w:val="18"/>
                <w:szCs w:val="18"/>
              </w:rPr>
              <w:t>cases</w:t>
            </w:r>
            <w:r w:rsidRPr="0097393C">
              <w:rPr>
                <w:color w:val="FFFFFF" w:themeColor="background1"/>
                <w:sz w:val="18"/>
                <w:szCs w:val="18"/>
                <w:vertAlign w:val="superscript"/>
              </w:rPr>
              <w:t>c</w:t>
            </w:r>
            <w:proofErr w:type="spellEnd"/>
          </w:p>
        </w:tc>
        <w:tc>
          <w:tcPr>
            <w:tcW w:w="2552" w:type="dxa"/>
            <w:tcBorders>
              <w:top w:val="single" w:sz="2" w:space="0" w:color="FFFFFF" w:themeColor="background1"/>
              <w:left w:val="single" w:sz="2" w:space="0" w:color="FFFFFF" w:themeColor="background1"/>
              <w:right w:val="single" w:sz="2" w:space="0" w:color="FFFFFF" w:themeColor="background1"/>
            </w:tcBorders>
            <w:hideMark/>
          </w:tcPr>
          <w:p w:rsidR="003178BD" w:rsidRPr="0097393C" w:rsidRDefault="003178BD" w:rsidP="003178BD">
            <w:pPr>
              <w:pStyle w:val="NormalWeb"/>
              <w:jc w:val="center"/>
              <w:rPr>
                <w:color w:val="FFFFFF" w:themeColor="background1"/>
                <w:sz w:val="18"/>
                <w:szCs w:val="18"/>
              </w:rPr>
            </w:pPr>
            <w:r w:rsidRPr="0097393C">
              <w:rPr>
                <w:color w:val="FFFFFF" w:themeColor="background1"/>
                <w:sz w:val="18"/>
                <w:szCs w:val="18"/>
              </w:rPr>
              <w:t xml:space="preserve">Number of </w:t>
            </w:r>
            <w:proofErr w:type="spellStart"/>
            <w:r w:rsidRPr="0097393C">
              <w:rPr>
                <w:color w:val="FFFFFF" w:themeColor="background1"/>
                <w:sz w:val="18"/>
                <w:szCs w:val="18"/>
              </w:rPr>
              <w:t>cases</w:t>
            </w:r>
            <w:r w:rsidRPr="0097393C">
              <w:rPr>
                <w:color w:val="FFFFFF" w:themeColor="background1"/>
                <w:sz w:val="18"/>
                <w:szCs w:val="18"/>
                <w:vertAlign w:val="superscript"/>
              </w:rPr>
              <w:t>c</w:t>
            </w:r>
            <w:proofErr w:type="spellEnd"/>
          </w:p>
        </w:tc>
        <w:tc>
          <w:tcPr>
            <w:tcW w:w="1984" w:type="dxa"/>
            <w:tcBorders>
              <w:top w:val="single" w:sz="2" w:space="0" w:color="FFFFFF" w:themeColor="background1"/>
              <w:left w:val="single" w:sz="2" w:space="0" w:color="FFFFFF" w:themeColor="background1"/>
              <w:right w:val="single" w:sz="2" w:space="0" w:color="FFFFFF" w:themeColor="background1"/>
            </w:tcBorders>
            <w:hideMark/>
          </w:tcPr>
          <w:p w:rsidR="003178BD" w:rsidRPr="0097393C" w:rsidRDefault="003178BD" w:rsidP="003178BD">
            <w:pPr>
              <w:pStyle w:val="NormalWeb"/>
              <w:jc w:val="center"/>
              <w:rPr>
                <w:color w:val="FFFFFF" w:themeColor="background1"/>
                <w:sz w:val="18"/>
                <w:szCs w:val="18"/>
              </w:rPr>
            </w:pPr>
            <w:r w:rsidRPr="0097393C">
              <w:rPr>
                <w:color w:val="FFFFFF" w:themeColor="background1"/>
                <w:sz w:val="18"/>
                <w:szCs w:val="18"/>
              </w:rPr>
              <w:t xml:space="preserve">Number of </w:t>
            </w:r>
            <w:proofErr w:type="spellStart"/>
            <w:r w:rsidRPr="0097393C">
              <w:rPr>
                <w:color w:val="FFFFFF" w:themeColor="background1"/>
                <w:sz w:val="18"/>
                <w:szCs w:val="18"/>
              </w:rPr>
              <w:t>cases</w:t>
            </w:r>
            <w:r w:rsidRPr="0097393C">
              <w:rPr>
                <w:color w:val="FFFFFF" w:themeColor="background1"/>
                <w:sz w:val="18"/>
                <w:szCs w:val="18"/>
                <w:vertAlign w:val="superscript"/>
              </w:rPr>
              <w:t>c</w:t>
            </w:r>
            <w:proofErr w:type="spellEnd"/>
          </w:p>
        </w:tc>
        <w:tc>
          <w:tcPr>
            <w:tcW w:w="2360" w:type="dxa"/>
            <w:tcBorders>
              <w:top w:val="single" w:sz="2" w:space="0" w:color="FFFFFF" w:themeColor="background1"/>
              <w:left w:val="single" w:sz="2" w:space="0" w:color="FFFFFF" w:themeColor="background1"/>
            </w:tcBorders>
            <w:hideMark/>
          </w:tcPr>
          <w:p w:rsidR="003178BD" w:rsidRPr="0097393C" w:rsidRDefault="003178BD" w:rsidP="003178BD">
            <w:pPr>
              <w:pStyle w:val="NormalWeb"/>
              <w:jc w:val="center"/>
              <w:rPr>
                <w:color w:val="FFFFFF" w:themeColor="background1"/>
                <w:sz w:val="18"/>
                <w:szCs w:val="18"/>
              </w:rPr>
            </w:pPr>
            <w:r w:rsidRPr="0097393C">
              <w:rPr>
                <w:color w:val="FFFFFF" w:themeColor="background1"/>
                <w:sz w:val="18"/>
                <w:szCs w:val="18"/>
              </w:rPr>
              <w:t xml:space="preserve">Rate per 100,000 </w:t>
            </w:r>
            <w:proofErr w:type="spellStart"/>
            <w:r w:rsidRPr="0097393C">
              <w:rPr>
                <w:color w:val="FFFFFF" w:themeColor="background1"/>
                <w:sz w:val="18"/>
                <w:szCs w:val="18"/>
              </w:rPr>
              <w:t>population</w:t>
            </w:r>
            <w:r w:rsidRPr="0097393C">
              <w:rPr>
                <w:color w:val="FFFFFF" w:themeColor="background1"/>
                <w:sz w:val="18"/>
                <w:szCs w:val="18"/>
                <w:vertAlign w:val="superscript"/>
              </w:rPr>
              <w:t>d</w:t>
            </w:r>
            <w:proofErr w:type="spellEnd"/>
          </w:p>
        </w:tc>
      </w:tr>
      <w:tr w:rsidR="003178BD" w:rsidRPr="0097393C" w:rsidTr="0082797D">
        <w:tc>
          <w:tcPr>
            <w:tcW w:w="0" w:type="auto"/>
            <w:hideMark/>
          </w:tcPr>
          <w:p w:rsidR="003178BD" w:rsidRPr="0097393C" w:rsidRDefault="003178BD" w:rsidP="0014557D">
            <w:pPr>
              <w:pStyle w:val="NormalWeb"/>
              <w:rPr>
                <w:sz w:val="18"/>
                <w:szCs w:val="18"/>
              </w:rPr>
            </w:pPr>
            <w:r w:rsidRPr="0097393C">
              <w:rPr>
                <w:sz w:val="18"/>
                <w:szCs w:val="18"/>
              </w:rPr>
              <w:t>ACT</w:t>
            </w:r>
          </w:p>
        </w:tc>
        <w:tc>
          <w:tcPr>
            <w:tcW w:w="2577" w:type="dxa"/>
            <w:hideMark/>
          </w:tcPr>
          <w:p w:rsidR="003178BD" w:rsidRPr="0097393C" w:rsidRDefault="003178BD" w:rsidP="003178BD">
            <w:pPr>
              <w:pStyle w:val="NormalWeb"/>
              <w:jc w:val="center"/>
              <w:rPr>
                <w:sz w:val="18"/>
                <w:szCs w:val="18"/>
              </w:rPr>
            </w:pPr>
            <w:r w:rsidRPr="0097393C">
              <w:rPr>
                <w:sz w:val="18"/>
                <w:szCs w:val="18"/>
              </w:rPr>
              <w:t>0</w:t>
            </w:r>
          </w:p>
        </w:tc>
        <w:tc>
          <w:tcPr>
            <w:tcW w:w="2552" w:type="dxa"/>
            <w:hideMark/>
          </w:tcPr>
          <w:p w:rsidR="003178BD" w:rsidRPr="0097393C" w:rsidRDefault="003178BD" w:rsidP="003178BD">
            <w:pPr>
              <w:pStyle w:val="NormalWeb"/>
              <w:jc w:val="center"/>
              <w:rPr>
                <w:sz w:val="18"/>
                <w:szCs w:val="18"/>
              </w:rPr>
            </w:pPr>
            <w:r w:rsidRPr="0097393C">
              <w:rPr>
                <w:sz w:val="18"/>
                <w:szCs w:val="18"/>
              </w:rPr>
              <w:t>0</w:t>
            </w:r>
          </w:p>
        </w:tc>
        <w:tc>
          <w:tcPr>
            <w:tcW w:w="1984" w:type="dxa"/>
            <w:hideMark/>
          </w:tcPr>
          <w:p w:rsidR="003178BD" w:rsidRPr="0097393C" w:rsidRDefault="003178BD" w:rsidP="003178BD">
            <w:pPr>
              <w:pStyle w:val="NormalWeb"/>
              <w:jc w:val="center"/>
              <w:rPr>
                <w:sz w:val="18"/>
                <w:szCs w:val="18"/>
              </w:rPr>
            </w:pPr>
            <w:r w:rsidRPr="0097393C">
              <w:rPr>
                <w:sz w:val="18"/>
                <w:szCs w:val="18"/>
              </w:rPr>
              <w:t>0</w:t>
            </w:r>
          </w:p>
        </w:tc>
        <w:tc>
          <w:tcPr>
            <w:tcW w:w="2360" w:type="dxa"/>
            <w:hideMark/>
          </w:tcPr>
          <w:p w:rsidR="003178BD" w:rsidRPr="0097393C" w:rsidRDefault="003178BD" w:rsidP="003178BD">
            <w:pPr>
              <w:pStyle w:val="NormalWeb"/>
              <w:jc w:val="center"/>
              <w:rPr>
                <w:sz w:val="18"/>
                <w:szCs w:val="18"/>
              </w:rPr>
            </w:pPr>
            <w:r w:rsidRPr="0097393C">
              <w:rPr>
                <w:sz w:val="18"/>
                <w:szCs w:val="18"/>
              </w:rPr>
              <w:t>—</w:t>
            </w:r>
          </w:p>
        </w:tc>
      </w:tr>
      <w:tr w:rsidR="003178BD" w:rsidRPr="0097393C" w:rsidTr="0082797D">
        <w:trPr>
          <w:cnfStyle w:val="000000010000" w:firstRow="0" w:lastRow="0" w:firstColumn="0" w:lastColumn="0" w:oddVBand="0" w:evenVBand="0" w:oddHBand="0" w:evenHBand="1" w:firstRowFirstColumn="0" w:firstRowLastColumn="0" w:lastRowFirstColumn="0" w:lastRowLastColumn="0"/>
        </w:trPr>
        <w:tc>
          <w:tcPr>
            <w:tcW w:w="0" w:type="auto"/>
            <w:hideMark/>
          </w:tcPr>
          <w:p w:rsidR="003178BD" w:rsidRPr="0097393C" w:rsidRDefault="003178BD" w:rsidP="0014557D">
            <w:pPr>
              <w:pStyle w:val="NormalWeb"/>
              <w:rPr>
                <w:sz w:val="18"/>
                <w:szCs w:val="18"/>
              </w:rPr>
            </w:pPr>
            <w:r w:rsidRPr="0097393C">
              <w:rPr>
                <w:sz w:val="18"/>
                <w:szCs w:val="18"/>
              </w:rPr>
              <w:t>NSW</w:t>
            </w:r>
          </w:p>
        </w:tc>
        <w:tc>
          <w:tcPr>
            <w:tcW w:w="2577" w:type="dxa"/>
            <w:hideMark/>
          </w:tcPr>
          <w:p w:rsidR="003178BD" w:rsidRPr="0097393C" w:rsidRDefault="003178BD" w:rsidP="003178BD">
            <w:pPr>
              <w:pStyle w:val="NormalWeb"/>
              <w:jc w:val="center"/>
              <w:rPr>
                <w:sz w:val="18"/>
                <w:szCs w:val="18"/>
              </w:rPr>
            </w:pPr>
            <w:r w:rsidRPr="0097393C">
              <w:rPr>
                <w:sz w:val="18"/>
                <w:szCs w:val="18"/>
              </w:rPr>
              <w:t>3</w:t>
            </w:r>
          </w:p>
        </w:tc>
        <w:tc>
          <w:tcPr>
            <w:tcW w:w="2552" w:type="dxa"/>
            <w:hideMark/>
          </w:tcPr>
          <w:p w:rsidR="003178BD" w:rsidRPr="0097393C" w:rsidRDefault="003178BD" w:rsidP="003178BD">
            <w:pPr>
              <w:pStyle w:val="NormalWeb"/>
              <w:jc w:val="center"/>
              <w:rPr>
                <w:sz w:val="18"/>
                <w:szCs w:val="18"/>
              </w:rPr>
            </w:pPr>
            <w:r w:rsidRPr="0097393C">
              <w:rPr>
                <w:sz w:val="18"/>
                <w:szCs w:val="18"/>
              </w:rPr>
              <w:t>2</w:t>
            </w:r>
          </w:p>
        </w:tc>
        <w:tc>
          <w:tcPr>
            <w:tcW w:w="1984" w:type="dxa"/>
            <w:hideMark/>
          </w:tcPr>
          <w:p w:rsidR="003178BD" w:rsidRPr="0097393C" w:rsidRDefault="003178BD" w:rsidP="003178BD">
            <w:pPr>
              <w:pStyle w:val="NormalWeb"/>
              <w:jc w:val="center"/>
              <w:rPr>
                <w:sz w:val="18"/>
                <w:szCs w:val="18"/>
              </w:rPr>
            </w:pPr>
            <w:r w:rsidRPr="0097393C">
              <w:rPr>
                <w:sz w:val="18"/>
                <w:szCs w:val="18"/>
              </w:rPr>
              <w:t>34</w:t>
            </w:r>
          </w:p>
        </w:tc>
        <w:tc>
          <w:tcPr>
            <w:tcW w:w="2360" w:type="dxa"/>
            <w:hideMark/>
          </w:tcPr>
          <w:p w:rsidR="003178BD" w:rsidRPr="0097393C" w:rsidRDefault="003178BD" w:rsidP="003178BD">
            <w:pPr>
              <w:pStyle w:val="NormalWeb"/>
              <w:jc w:val="center"/>
              <w:rPr>
                <w:sz w:val="18"/>
                <w:szCs w:val="18"/>
              </w:rPr>
            </w:pPr>
            <w:r w:rsidRPr="0097393C">
              <w:rPr>
                <w:sz w:val="18"/>
                <w:szCs w:val="18"/>
              </w:rPr>
              <w:t>0.42</w:t>
            </w:r>
          </w:p>
        </w:tc>
      </w:tr>
      <w:tr w:rsidR="003178BD" w:rsidRPr="0097393C" w:rsidTr="0082797D">
        <w:tc>
          <w:tcPr>
            <w:tcW w:w="0" w:type="auto"/>
            <w:hideMark/>
          </w:tcPr>
          <w:p w:rsidR="003178BD" w:rsidRPr="0097393C" w:rsidRDefault="003178BD" w:rsidP="0014557D">
            <w:pPr>
              <w:pStyle w:val="NormalWeb"/>
              <w:rPr>
                <w:sz w:val="18"/>
                <w:szCs w:val="18"/>
              </w:rPr>
            </w:pPr>
            <w:r w:rsidRPr="0097393C">
              <w:rPr>
                <w:sz w:val="18"/>
                <w:szCs w:val="18"/>
              </w:rPr>
              <w:t>NT</w:t>
            </w:r>
          </w:p>
        </w:tc>
        <w:tc>
          <w:tcPr>
            <w:tcW w:w="2577" w:type="dxa"/>
            <w:hideMark/>
          </w:tcPr>
          <w:p w:rsidR="003178BD" w:rsidRPr="0097393C" w:rsidRDefault="003178BD" w:rsidP="003178BD">
            <w:pPr>
              <w:pStyle w:val="NormalWeb"/>
              <w:jc w:val="center"/>
              <w:rPr>
                <w:sz w:val="18"/>
                <w:szCs w:val="18"/>
              </w:rPr>
            </w:pPr>
            <w:r w:rsidRPr="0097393C">
              <w:rPr>
                <w:sz w:val="18"/>
                <w:szCs w:val="18"/>
              </w:rPr>
              <w:t>0</w:t>
            </w:r>
          </w:p>
        </w:tc>
        <w:tc>
          <w:tcPr>
            <w:tcW w:w="2552" w:type="dxa"/>
            <w:hideMark/>
          </w:tcPr>
          <w:p w:rsidR="003178BD" w:rsidRPr="0097393C" w:rsidRDefault="003178BD" w:rsidP="003178BD">
            <w:pPr>
              <w:pStyle w:val="NormalWeb"/>
              <w:jc w:val="center"/>
              <w:rPr>
                <w:sz w:val="18"/>
                <w:szCs w:val="18"/>
              </w:rPr>
            </w:pPr>
            <w:r w:rsidRPr="0097393C">
              <w:rPr>
                <w:sz w:val="18"/>
                <w:szCs w:val="18"/>
              </w:rPr>
              <w:t>0</w:t>
            </w:r>
          </w:p>
        </w:tc>
        <w:tc>
          <w:tcPr>
            <w:tcW w:w="1984" w:type="dxa"/>
            <w:hideMark/>
          </w:tcPr>
          <w:p w:rsidR="003178BD" w:rsidRPr="0097393C" w:rsidRDefault="003178BD" w:rsidP="003178BD">
            <w:pPr>
              <w:pStyle w:val="NormalWeb"/>
              <w:jc w:val="center"/>
              <w:rPr>
                <w:sz w:val="18"/>
                <w:szCs w:val="18"/>
              </w:rPr>
            </w:pPr>
            <w:r w:rsidRPr="0097393C">
              <w:rPr>
                <w:sz w:val="18"/>
                <w:szCs w:val="18"/>
              </w:rPr>
              <w:t>0</w:t>
            </w:r>
          </w:p>
        </w:tc>
        <w:tc>
          <w:tcPr>
            <w:tcW w:w="2360" w:type="dxa"/>
            <w:hideMark/>
          </w:tcPr>
          <w:p w:rsidR="003178BD" w:rsidRPr="0097393C" w:rsidRDefault="003178BD" w:rsidP="003178BD">
            <w:pPr>
              <w:pStyle w:val="NormalWeb"/>
              <w:jc w:val="center"/>
              <w:rPr>
                <w:sz w:val="18"/>
                <w:szCs w:val="18"/>
              </w:rPr>
            </w:pPr>
            <w:r w:rsidRPr="0097393C">
              <w:rPr>
                <w:sz w:val="18"/>
                <w:szCs w:val="18"/>
              </w:rPr>
              <w:t>—</w:t>
            </w:r>
          </w:p>
        </w:tc>
      </w:tr>
      <w:tr w:rsidR="003178BD" w:rsidRPr="0097393C" w:rsidTr="0082797D">
        <w:trPr>
          <w:cnfStyle w:val="000000010000" w:firstRow="0" w:lastRow="0" w:firstColumn="0" w:lastColumn="0" w:oddVBand="0" w:evenVBand="0" w:oddHBand="0" w:evenHBand="1" w:firstRowFirstColumn="0" w:firstRowLastColumn="0" w:lastRowFirstColumn="0" w:lastRowLastColumn="0"/>
        </w:trPr>
        <w:tc>
          <w:tcPr>
            <w:tcW w:w="0" w:type="auto"/>
            <w:hideMark/>
          </w:tcPr>
          <w:p w:rsidR="003178BD" w:rsidRPr="0097393C" w:rsidRDefault="003178BD" w:rsidP="0014557D">
            <w:pPr>
              <w:pStyle w:val="NormalWeb"/>
              <w:rPr>
                <w:sz w:val="18"/>
                <w:szCs w:val="18"/>
              </w:rPr>
            </w:pPr>
            <w:r w:rsidRPr="0097393C">
              <w:rPr>
                <w:sz w:val="18"/>
                <w:szCs w:val="18"/>
              </w:rPr>
              <w:t>Qld</w:t>
            </w:r>
          </w:p>
        </w:tc>
        <w:tc>
          <w:tcPr>
            <w:tcW w:w="2577" w:type="dxa"/>
            <w:hideMark/>
          </w:tcPr>
          <w:p w:rsidR="003178BD" w:rsidRPr="0097393C" w:rsidRDefault="003178BD" w:rsidP="003178BD">
            <w:pPr>
              <w:pStyle w:val="NormalWeb"/>
              <w:jc w:val="center"/>
              <w:rPr>
                <w:sz w:val="18"/>
                <w:szCs w:val="18"/>
              </w:rPr>
            </w:pPr>
            <w:r w:rsidRPr="0097393C">
              <w:rPr>
                <w:sz w:val="18"/>
                <w:szCs w:val="18"/>
              </w:rPr>
              <w:t>0</w:t>
            </w:r>
          </w:p>
        </w:tc>
        <w:tc>
          <w:tcPr>
            <w:tcW w:w="2552" w:type="dxa"/>
            <w:hideMark/>
          </w:tcPr>
          <w:p w:rsidR="003178BD" w:rsidRPr="0097393C" w:rsidRDefault="003178BD" w:rsidP="003178BD">
            <w:pPr>
              <w:pStyle w:val="NormalWeb"/>
              <w:jc w:val="center"/>
              <w:rPr>
                <w:sz w:val="18"/>
                <w:szCs w:val="18"/>
              </w:rPr>
            </w:pPr>
            <w:r w:rsidRPr="0097393C">
              <w:rPr>
                <w:sz w:val="18"/>
                <w:szCs w:val="18"/>
              </w:rPr>
              <w:t>9</w:t>
            </w:r>
          </w:p>
        </w:tc>
        <w:tc>
          <w:tcPr>
            <w:tcW w:w="1984" w:type="dxa"/>
            <w:hideMark/>
          </w:tcPr>
          <w:p w:rsidR="003178BD" w:rsidRPr="0097393C" w:rsidRDefault="003178BD" w:rsidP="003178BD">
            <w:pPr>
              <w:pStyle w:val="NormalWeb"/>
              <w:jc w:val="center"/>
              <w:rPr>
                <w:sz w:val="18"/>
                <w:szCs w:val="18"/>
              </w:rPr>
            </w:pPr>
            <w:r w:rsidRPr="0097393C">
              <w:rPr>
                <w:sz w:val="18"/>
                <w:szCs w:val="18"/>
              </w:rPr>
              <w:t>26</w:t>
            </w:r>
          </w:p>
        </w:tc>
        <w:tc>
          <w:tcPr>
            <w:tcW w:w="2360" w:type="dxa"/>
            <w:hideMark/>
          </w:tcPr>
          <w:p w:rsidR="003178BD" w:rsidRPr="0097393C" w:rsidRDefault="003178BD" w:rsidP="003178BD">
            <w:pPr>
              <w:pStyle w:val="NormalWeb"/>
              <w:jc w:val="center"/>
              <w:rPr>
                <w:sz w:val="18"/>
                <w:szCs w:val="18"/>
              </w:rPr>
            </w:pPr>
            <w:r w:rsidRPr="0097393C">
              <w:rPr>
                <w:sz w:val="18"/>
                <w:szCs w:val="18"/>
              </w:rPr>
              <w:t>0.50</w:t>
            </w:r>
          </w:p>
        </w:tc>
      </w:tr>
      <w:tr w:rsidR="003178BD" w:rsidRPr="0097393C" w:rsidTr="0082797D">
        <w:tc>
          <w:tcPr>
            <w:tcW w:w="0" w:type="auto"/>
            <w:hideMark/>
          </w:tcPr>
          <w:p w:rsidR="003178BD" w:rsidRPr="0097393C" w:rsidRDefault="003178BD" w:rsidP="0014557D">
            <w:pPr>
              <w:pStyle w:val="NormalWeb"/>
              <w:rPr>
                <w:sz w:val="18"/>
                <w:szCs w:val="18"/>
              </w:rPr>
            </w:pPr>
            <w:r w:rsidRPr="0097393C">
              <w:rPr>
                <w:sz w:val="18"/>
                <w:szCs w:val="18"/>
              </w:rPr>
              <w:t>SA</w:t>
            </w:r>
          </w:p>
        </w:tc>
        <w:tc>
          <w:tcPr>
            <w:tcW w:w="2577" w:type="dxa"/>
            <w:hideMark/>
          </w:tcPr>
          <w:p w:rsidR="003178BD" w:rsidRPr="0097393C" w:rsidRDefault="003178BD" w:rsidP="003178BD">
            <w:pPr>
              <w:pStyle w:val="NormalWeb"/>
              <w:jc w:val="center"/>
              <w:rPr>
                <w:sz w:val="18"/>
                <w:szCs w:val="18"/>
              </w:rPr>
            </w:pPr>
            <w:r w:rsidRPr="0097393C">
              <w:rPr>
                <w:sz w:val="18"/>
                <w:szCs w:val="18"/>
              </w:rPr>
              <w:t>0</w:t>
            </w:r>
          </w:p>
        </w:tc>
        <w:tc>
          <w:tcPr>
            <w:tcW w:w="2552" w:type="dxa"/>
            <w:hideMark/>
          </w:tcPr>
          <w:p w:rsidR="003178BD" w:rsidRPr="0097393C" w:rsidRDefault="003178BD" w:rsidP="003178BD">
            <w:pPr>
              <w:pStyle w:val="NormalWeb"/>
              <w:jc w:val="center"/>
              <w:rPr>
                <w:sz w:val="18"/>
                <w:szCs w:val="18"/>
              </w:rPr>
            </w:pPr>
            <w:r w:rsidRPr="0097393C">
              <w:rPr>
                <w:sz w:val="18"/>
                <w:szCs w:val="18"/>
              </w:rPr>
              <w:t>0</w:t>
            </w:r>
          </w:p>
        </w:tc>
        <w:tc>
          <w:tcPr>
            <w:tcW w:w="1984" w:type="dxa"/>
            <w:hideMark/>
          </w:tcPr>
          <w:p w:rsidR="003178BD" w:rsidRPr="0097393C" w:rsidRDefault="003178BD" w:rsidP="003178BD">
            <w:pPr>
              <w:pStyle w:val="NormalWeb"/>
              <w:jc w:val="center"/>
              <w:rPr>
                <w:sz w:val="18"/>
                <w:szCs w:val="18"/>
              </w:rPr>
            </w:pPr>
            <w:r w:rsidRPr="0097393C">
              <w:rPr>
                <w:sz w:val="18"/>
                <w:szCs w:val="18"/>
              </w:rPr>
              <w:t>0</w:t>
            </w:r>
          </w:p>
        </w:tc>
        <w:tc>
          <w:tcPr>
            <w:tcW w:w="2360" w:type="dxa"/>
            <w:hideMark/>
          </w:tcPr>
          <w:p w:rsidR="003178BD" w:rsidRPr="0097393C" w:rsidRDefault="003178BD" w:rsidP="003178BD">
            <w:pPr>
              <w:pStyle w:val="NormalWeb"/>
              <w:jc w:val="center"/>
              <w:rPr>
                <w:sz w:val="18"/>
                <w:szCs w:val="18"/>
              </w:rPr>
            </w:pPr>
            <w:r w:rsidRPr="0097393C">
              <w:rPr>
                <w:sz w:val="18"/>
                <w:szCs w:val="18"/>
              </w:rPr>
              <w:t>—</w:t>
            </w:r>
          </w:p>
        </w:tc>
      </w:tr>
      <w:tr w:rsidR="003178BD" w:rsidRPr="0097393C" w:rsidTr="0082797D">
        <w:trPr>
          <w:cnfStyle w:val="000000010000" w:firstRow="0" w:lastRow="0" w:firstColumn="0" w:lastColumn="0" w:oddVBand="0" w:evenVBand="0" w:oddHBand="0" w:evenHBand="1" w:firstRowFirstColumn="0" w:firstRowLastColumn="0" w:lastRowFirstColumn="0" w:lastRowLastColumn="0"/>
        </w:trPr>
        <w:tc>
          <w:tcPr>
            <w:tcW w:w="0" w:type="auto"/>
            <w:hideMark/>
          </w:tcPr>
          <w:p w:rsidR="003178BD" w:rsidRPr="0097393C" w:rsidRDefault="003178BD" w:rsidP="0014557D">
            <w:pPr>
              <w:pStyle w:val="NormalWeb"/>
              <w:rPr>
                <w:sz w:val="18"/>
                <w:szCs w:val="18"/>
              </w:rPr>
            </w:pPr>
            <w:r w:rsidRPr="0097393C">
              <w:rPr>
                <w:sz w:val="18"/>
                <w:szCs w:val="18"/>
              </w:rPr>
              <w:t>Tas.</w:t>
            </w:r>
          </w:p>
        </w:tc>
        <w:tc>
          <w:tcPr>
            <w:tcW w:w="2577" w:type="dxa"/>
            <w:hideMark/>
          </w:tcPr>
          <w:p w:rsidR="003178BD" w:rsidRPr="0097393C" w:rsidRDefault="003178BD" w:rsidP="003178BD">
            <w:pPr>
              <w:pStyle w:val="NormalWeb"/>
              <w:jc w:val="center"/>
              <w:rPr>
                <w:sz w:val="18"/>
                <w:szCs w:val="18"/>
              </w:rPr>
            </w:pPr>
            <w:r w:rsidRPr="0097393C">
              <w:rPr>
                <w:sz w:val="18"/>
                <w:szCs w:val="18"/>
              </w:rPr>
              <w:t>0</w:t>
            </w:r>
          </w:p>
        </w:tc>
        <w:tc>
          <w:tcPr>
            <w:tcW w:w="2552" w:type="dxa"/>
            <w:hideMark/>
          </w:tcPr>
          <w:p w:rsidR="003178BD" w:rsidRPr="0097393C" w:rsidRDefault="003178BD" w:rsidP="003178BD">
            <w:pPr>
              <w:pStyle w:val="NormalWeb"/>
              <w:jc w:val="center"/>
              <w:rPr>
                <w:sz w:val="18"/>
                <w:szCs w:val="18"/>
              </w:rPr>
            </w:pPr>
            <w:r w:rsidRPr="0097393C">
              <w:rPr>
                <w:sz w:val="18"/>
                <w:szCs w:val="18"/>
              </w:rPr>
              <w:t>0</w:t>
            </w:r>
          </w:p>
        </w:tc>
        <w:tc>
          <w:tcPr>
            <w:tcW w:w="1984" w:type="dxa"/>
            <w:hideMark/>
          </w:tcPr>
          <w:p w:rsidR="003178BD" w:rsidRPr="0097393C" w:rsidRDefault="003178BD" w:rsidP="003178BD">
            <w:pPr>
              <w:pStyle w:val="NormalWeb"/>
              <w:jc w:val="center"/>
              <w:rPr>
                <w:sz w:val="18"/>
                <w:szCs w:val="18"/>
              </w:rPr>
            </w:pPr>
            <w:r w:rsidRPr="0097393C">
              <w:rPr>
                <w:sz w:val="18"/>
                <w:szCs w:val="18"/>
              </w:rPr>
              <w:t>0</w:t>
            </w:r>
          </w:p>
        </w:tc>
        <w:tc>
          <w:tcPr>
            <w:tcW w:w="2360" w:type="dxa"/>
            <w:hideMark/>
          </w:tcPr>
          <w:p w:rsidR="003178BD" w:rsidRPr="0097393C" w:rsidRDefault="003178BD" w:rsidP="003178BD">
            <w:pPr>
              <w:pStyle w:val="NormalWeb"/>
              <w:jc w:val="center"/>
              <w:rPr>
                <w:sz w:val="18"/>
                <w:szCs w:val="18"/>
              </w:rPr>
            </w:pPr>
            <w:r w:rsidRPr="0097393C">
              <w:rPr>
                <w:sz w:val="18"/>
                <w:szCs w:val="18"/>
              </w:rPr>
              <w:t>—</w:t>
            </w:r>
          </w:p>
        </w:tc>
      </w:tr>
      <w:tr w:rsidR="003178BD" w:rsidRPr="0097393C" w:rsidTr="0082797D">
        <w:tc>
          <w:tcPr>
            <w:tcW w:w="0" w:type="auto"/>
            <w:hideMark/>
          </w:tcPr>
          <w:p w:rsidR="003178BD" w:rsidRPr="0097393C" w:rsidRDefault="003178BD" w:rsidP="0014557D">
            <w:pPr>
              <w:pStyle w:val="NormalWeb"/>
              <w:rPr>
                <w:sz w:val="18"/>
                <w:szCs w:val="18"/>
              </w:rPr>
            </w:pPr>
            <w:r w:rsidRPr="0097393C">
              <w:rPr>
                <w:sz w:val="18"/>
                <w:szCs w:val="18"/>
              </w:rPr>
              <w:t>Vic.</w:t>
            </w:r>
          </w:p>
        </w:tc>
        <w:tc>
          <w:tcPr>
            <w:tcW w:w="2577" w:type="dxa"/>
            <w:hideMark/>
          </w:tcPr>
          <w:p w:rsidR="003178BD" w:rsidRPr="0097393C" w:rsidRDefault="003178BD" w:rsidP="003178BD">
            <w:pPr>
              <w:pStyle w:val="NormalWeb"/>
              <w:jc w:val="center"/>
              <w:rPr>
                <w:sz w:val="18"/>
                <w:szCs w:val="18"/>
              </w:rPr>
            </w:pPr>
            <w:r w:rsidRPr="0097393C">
              <w:rPr>
                <w:sz w:val="18"/>
                <w:szCs w:val="18"/>
              </w:rPr>
              <w:t>1</w:t>
            </w:r>
          </w:p>
        </w:tc>
        <w:tc>
          <w:tcPr>
            <w:tcW w:w="2552" w:type="dxa"/>
            <w:hideMark/>
          </w:tcPr>
          <w:p w:rsidR="003178BD" w:rsidRPr="0097393C" w:rsidRDefault="003178BD" w:rsidP="003178BD">
            <w:pPr>
              <w:pStyle w:val="NormalWeb"/>
              <w:jc w:val="center"/>
              <w:rPr>
                <w:sz w:val="18"/>
                <w:szCs w:val="18"/>
              </w:rPr>
            </w:pPr>
            <w:r w:rsidRPr="0097393C">
              <w:rPr>
                <w:sz w:val="18"/>
                <w:szCs w:val="18"/>
              </w:rPr>
              <w:t>0</w:t>
            </w:r>
          </w:p>
        </w:tc>
        <w:tc>
          <w:tcPr>
            <w:tcW w:w="1984" w:type="dxa"/>
            <w:hideMark/>
          </w:tcPr>
          <w:p w:rsidR="003178BD" w:rsidRPr="0097393C" w:rsidRDefault="003178BD" w:rsidP="003178BD">
            <w:pPr>
              <w:pStyle w:val="NormalWeb"/>
              <w:jc w:val="center"/>
              <w:rPr>
                <w:sz w:val="18"/>
                <w:szCs w:val="18"/>
              </w:rPr>
            </w:pPr>
            <w:r w:rsidRPr="0097393C">
              <w:rPr>
                <w:sz w:val="18"/>
                <w:szCs w:val="18"/>
              </w:rPr>
              <w:t>35</w:t>
            </w:r>
          </w:p>
        </w:tc>
        <w:tc>
          <w:tcPr>
            <w:tcW w:w="2360" w:type="dxa"/>
            <w:hideMark/>
          </w:tcPr>
          <w:p w:rsidR="003178BD" w:rsidRPr="0097393C" w:rsidRDefault="003178BD" w:rsidP="003178BD">
            <w:pPr>
              <w:pStyle w:val="NormalWeb"/>
              <w:jc w:val="center"/>
              <w:rPr>
                <w:sz w:val="18"/>
                <w:szCs w:val="18"/>
              </w:rPr>
            </w:pPr>
            <w:r w:rsidRPr="0097393C">
              <w:rPr>
                <w:sz w:val="18"/>
                <w:szCs w:val="18"/>
              </w:rPr>
              <w:t>0.52</w:t>
            </w:r>
          </w:p>
        </w:tc>
      </w:tr>
      <w:tr w:rsidR="003178BD" w:rsidRPr="0097393C" w:rsidTr="0082797D">
        <w:trPr>
          <w:cnfStyle w:val="000000010000" w:firstRow="0" w:lastRow="0" w:firstColumn="0" w:lastColumn="0" w:oddVBand="0" w:evenVBand="0" w:oddHBand="0" w:evenHBand="1" w:firstRowFirstColumn="0" w:firstRowLastColumn="0" w:lastRowFirstColumn="0" w:lastRowLastColumn="0"/>
        </w:trPr>
        <w:tc>
          <w:tcPr>
            <w:tcW w:w="0" w:type="auto"/>
            <w:hideMark/>
          </w:tcPr>
          <w:p w:rsidR="003178BD" w:rsidRPr="0097393C" w:rsidRDefault="003178BD" w:rsidP="0014557D">
            <w:pPr>
              <w:pStyle w:val="NormalWeb"/>
              <w:rPr>
                <w:sz w:val="18"/>
                <w:szCs w:val="18"/>
              </w:rPr>
            </w:pPr>
            <w:r w:rsidRPr="0097393C">
              <w:rPr>
                <w:sz w:val="18"/>
                <w:szCs w:val="18"/>
              </w:rPr>
              <w:t>WA</w:t>
            </w:r>
          </w:p>
        </w:tc>
        <w:tc>
          <w:tcPr>
            <w:tcW w:w="2577" w:type="dxa"/>
            <w:hideMark/>
          </w:tcPr>
          <w:p w:rsidR="003178BD" w:rsidRPr="0097393C" w:rsidRDefault="003178BD" w:rsidP="003178BD">
            <w:pPr>
              <w:pStyle w:val="NormalWeb"/>
              <w:jc w:val="center"/>
              <w:rPr>
                <w:sz w:val="18"/>
                <w:szCs w:val="18"/>
              </w:rPr>
            </w:pPr>
            <w:r w:rsidRPr="0097393C">
              <w:rPr>
                <w:sz w:val="18"/>
                <w:szCs w:val="18"/>
              </w:rPr>
              <w:t>3</w:t>
            </w:r>
          </w:p>
        </w:tc>
        <w:tc>
          <w:tcPr>
            <w:tcW w:w="2552" w:type="dxa"/>
            <w:hideMark/>
          </w:tcPr>
          <w:p w:rsidR="003178BD" w:rsidRPr="0097393C" w:rsidRDefault="003178BD" w:rsidP="003178BD">
            <w:pPr>
              <w:pStyle w:val="NormalWeb"/>
              <w:jc w:val="center"/>
              <w:rPr>
                <w:sz w:val="18"/>
                <w:szCs w:val="18"/>
              </w:rPr>
            </w:pPr>
            <w:r w:rsidRPr="0097393C">
              <w:rPr>
                <w:sz w:val="18"/>
                <w:szCs w:val="18"/>
              </w:rPr>
              <w:t>0</w:t>
            </w:r>
          </w:p>
        </w:tc>
        <w:tc>
          <w:tcPr>
            <w:tcW w:w="1984" w:type="dxa"/>
            <w:hideMark/>
          </w:tcPr>
          <w:p w:rsidR="003178BD" w:rsidRPr="0097393C" w:rsidRDefault="003178BD" w:rsidP="003178BD">
            <w:pPr>
              <w:pStyle w:val="NormalWeb"/>
              <w:jc w:val="center"/>
              <w:rPr>
                <w:sz w:val="18"/>
                <w:szCs w:val="18"/>
              </w:rPr>
            </w:pPr>
            <w:r w:rsidRPr="0097393C">
              <w:rPr>
                <w:sz w:val="18"/>
                <w:szCs w:val="18"/>
              </w:rPr>
              <w:t>4</w:t>
            </w:r>
          </w:p>
        </w:tc>
        <w:tc>
          <w:tcPr>
            <w:tcW w:w="2360" w:type="dxa"/>
            <w:hideMark/>
          </w:tcPr>
          <w:p w:rsidR="003178BD" w:rsidRPr="0097393C" w:rsidRDefault="003178BD" w:rsidP="003178BD">
            <w:pPr>
              <w:pStyle w:val="NormalWeb"/>
              <w:jc w:val="center"/>
              <w:rPr>
                <w:sz w:val="18"/>
                <w:szCs w:val="18"/>
              </w:rPr>
            </w:pPr>
            <w:r w:rsidRPr="0097393C">
              <w:rPr>
                <w:sz w:val="18"/>
                <w:szCs w:val="18"/>
              </w:rPr>
              <w:t>0.15</w:t>
            </w:r>
          </w:p>
        </w:tc>
      </w:tr>
      <w:tr w:rsidR="003178BD" w:rsidRPr="0097393C" w:rsidTr="0082797D">
        <w:tc>
          <w:tcPr>
            <w:tcW w:w="0" w:type="auto"/>
            <w:shd w:val="clear" w:color="auto" w:fill="FDE9D9" w:themeFill="accent6" w:themeFillTint="33"/>
            <w:hideMark/>
          </w:tcPr>
          <w:p w:rsidR="003178BD" w:rsidRPr="0097393C" w:rsidRDefault="003178BD" w:rsidP="0014557D">
            <w:pPr>
              <w:pStyle w:val="NormalWeb"/>
              <w:rPr>
                <w:b/>
                <w:sz w:val="18"/>
                <w:szCs w:val="18"/>
              </w:rPr>
            </w:pPr>
            <w:r w:rsidRPr="0097393C">
              <w:rPr>
                <w:b/>
                <w:sz w:val="18"/>
                <w:szCs w:val="18"/>
              </w:rPr>
              <w:t>Australia</w:t>
            </w:r>
          </w:p>
        </w:tc>
        <w:tc>
          <w:tcPr>
            <w:tcW w:w="2577" w:type="dxa"/>
            <w:shd w:val="clear" w:color="auto" w:fill="FDE9D9" w:themeFill="accent6" w:themeFillTint="33"/>
            <w:hideMark/>
          </w:tcPr>
          <w:p w:rsidR="003178BD" w:rsidRPr="0097393C" w:rsidRDefault="003178BD" w:rsidP="003178BD">
            <w:pPr>
              <w:pStyle w:val="NormalWeb"/>
              <w:jc w:val="center"/>
              <w:rPr>
                <w:b/>
                <w:sz w:val="18"/>
                <w:szCs w:val="18"/>
              </w:rPr>
            </w:pPr>
            <w:r w:rsidRPr="0097393C">
              <w:rPr>
                <w:b/>
                <w:sz w:val="18"/>
                <w:szCs w:val="18"/>
              </w:rPr>
              <w:t>7</w:t>
            </w:r>
          </w:p>
        </w:tc>
        <w:tc>
          <w:tcPr>
            <w:tcW w:w="2552" w:type="dxa"/>
            <w:shd w:val="clear" w:color="auto" w:fill="FDE9D9" w:themeFill="accent6" w:themeFillTint="33"/>
            <w:hideMark/>
          </w:tcPr>
          <w:p w:rsidR="003178BD" w:rsidRPr="0097393C" w:rsidRDefault="003178BD" w:rsidP="003178BD">
            <w:pPr>
              <w:pStyle w:val="NormalWeb"/>
              <w:jc w:val="center"/>
              <w:rPr>
                <w:b/>
                <w:sz w:val="18"/>
                <w:szCs w:val="18"/>
              </w:rPr>
            </w:pPr>
            <w:r w:rsidRPr="0097393C">
              <w:rPr>
                <w:b/>
                <w:sz w:val="18"/>
                <w:szCs w:val="18"/>
              </w:rPr>
              <w:t>11</w:t>
            </w:r>
          </w:p>
        </w:tc>
        <w:tc>
          <w:tcPr>
            <w:tcW w:w="1984" w:type="dxa"/>
            <w:shd w:val="clear" w:color="auto" w:fill="FDE9D9" w:themeFill="accent6" w:themeFillTint="33"/>
            <w:hideMark/>
          </w:tcPr>
          <w:p w:rsidR="003178BD" w:rsidRPr="0097393C" w:rsidRDefault="003178BD" w:rsidP="003178BD">
            <w:pPr>
              <w:pStyle w:val="NormalWeb"/>
              <w:jc w:val="center"/>
              <w:rPr>
                <w:b/>
                <w:sz w:val="18"/>
                <w:szCs w:val="18"/>
              </w:rPr>
            </w:pPr>
            <w:r w:rsidRPr="0097393C">
              <w:rPr>
                <w:b/>
                <w:sz w:val="18"/>
                <w:szCs w:val="18"/>
              </w:rPr>
              <w:t>99</w:t>
            </w:r>
          </w:p>
        </w:tc>
        <w:tc>
          <w:tcPr>
            <w:tcW w:w="2360" w:type="dxa"/>
            <w:shd w:val="clear" w:color="auto" w:fill="FDE9D9" w:themeFill="accent6" w:themeFillTint="33"/>
            <w:hideMark/>
          </w:tcPr>
          <w:p w:rsidR="003178BD" w:rsidRPr="0097393C" w:rsidRDefault="003178BD" w:rsidP="003178BD">
            <w:pPr>
              <w:pStyle w:val="NormalWeb"/>
              <w:jc w:val="center"/>
              <w:rPr>
                <w:b/>
                <w:sz w:val="18"/>
                <w:szCs w:val="18"/>
              </w:rPr>
            </w:pPr>
            <w:r w:rsidRPr="0097393C">
              <w:rPr>
                <w:b/>
                <w:sz w:val="18"/>
                <w:szCs w:val="18"/>
              </w:rPr>
              <w:t>0.39</w:t>
            </w:r>
          </w:p>
        </w:tc>
      </w:tr>
    </w:tbl>
    <w:p w:rsidR="003178BD" w:rsidRDefault="003178BD" w:rsidP="003178BD">
      <w:pPr>
        <w:pStyle w:val="CDIfootnotes"/>
        <w:rPr>
          <w:lang w:val="en-GB"/>
        </w:rPr>
      </w:pPr>
      <w:proofErr w:type="gramStart"/>
      <w:r>
        <w:rPr>
          <w:lang w:val="en-GB"/>
        </w:rPr>
        <w:t>a</w:t>
      </w:r>
      <w:proofErr w:type="gramEnd"/>
      <w:r>
        <w:rPr>
          <w:lang w:val="en-GB"/>
        </w:rPr>
        <w:tab/>
        <w:t>Source: NNDSS, extract from 29 April 2021, based on diagnosis date.</w:t>
      </w:r>
    </w:p>
    <w:p w:rsidR="003178BD" w:rsidRDefault="003178BD" w:rsidP="003178BD">
      <w:pPr>
        <w:pStyle w:val="CDIfootnotes"/>
        <w:rPr>
          <w:lang w:val="en-GB"/>
        </w:rPr>
      </w:pPr>
      <w:proofErr w:type="gramStart"/>
      <w:r>
        <w:rPr>
          <w:lang w:val="en-GB"/>
        </w:rPr>
        <w:t>b</w:t>
      </w:r>
      <w:proofErr w:type="gramEnd"/>
      <w:r>
        <w:rPr>
          <w:lang w:val="en-GB"/>
        </w:rPr>
        <w:tab/>
        <w:t>Note the change to a focus on cases in this year only, which substantially lowers rates per 100,000 population.</w:t>
      </w:r>
    </w:p>
    <w:p w:rsidR="003178BD" w:rsidRDefault="003178BD" w:rsidP="003178BD">
      <w:pPr>
        <w:pStyle w:val="CDIfootnotes"/>
        <w:rPr>
          <w:lang w:val="en-GB"/>
        </w:rPr>
      </w:pPr>
      <w:proofErr w:type="gramStart"/>
      <w:r>
        <w:rPr>
          <w:lang w:val="en-GB"/>
        </w:rPr>
        <w:t>c</w:t>
      </w:r>
      <w:proofErr w:type="gramEnd"/>
      <w:r>
        <w:rPr>
          <w:lang w:val="en-GB"/>
        </w:rPr>
        <w:tab/>
        <w:t>This total does not include cases that are under investigation.</w:t>
      </w:r>
    </w:p>
    <w:p w:rsidR="003178BD" w:rsidRPr="009C1163" w:rsidRDefault="003178BD" w:rsidP="009C1163">
      <w:pPr>
        <w:pStyle w:val="CDIfootnotes"/>
        <w:rPr>
          <w:lang w:val="en-GB"/>
        </w:rPr>
      </w:pPr>
      <w:proofErr w:type="gramStart"/>
      <w:r>
        <w:rPr>
          <w:lang w:val="en-GB"/>
        </w:rPr>
        <w:t>d</w:t>
      </w:r>
      <w:proofErr w:type="gramEnd"/>
      <w:r>
        <w:rPr>
          <w:lang w:val="en-GB"/>
        </w:rPr>
        <w:tab/>
        <w:t>Population data based on Australian Bureau of Statistics (ABS) Estimated Resident Population (ERP) as at June 2020.</w:t>
      </w:r>
    </w:p>
    <w:p w:rsidR="00E52E78" w:rsidRDefault="00E52E78" w:rsidP="00D151EC">
      <w:r>
        <w:t xml:space="preserve">The largest number of overseas-acquired cases was reported in New South Wales in this reporting period (33%; 78/234), followed by the Northern Territory (22%; 52/234). In this fortnight, three percent of overseas-acquired cases (8/234) reported an unknown country of acquisition. Of those overseas-acquired cases that did report a country of acquisition, the majority came from India (62%; 141/226), followed by Pakistan (10%; 23/226) and Papua New Guinea (4%; 10/226). The number of cases by country is influenced by travel patterns of returning Australians as well as by the prevalence of COVID-19 in the country the person arrived from. </w:t>
      </w:r>
    </w:p>
    <w:p w:rsidR="00C9286B" w:rsidRPr="002126FA" w:rsidRDefault="00E52E78">
      <w:pPr>
        <w:rPr>
          <w:rStyle w:val="Strong"/>
          <w:b w:val="0"/>
          <w:bCs w:val="0"/>
        </w:rPr>
      </w:pPr>
      <w:r>
        <w:t xml:space="preserve">In 2021, Victoria has the highest infection rate for locally-acquired cases with 0.52 infections per 100,000 population, closely followed by Queensland with a rate of 0.50 infections per 100,000 population (Table 3). At the end of this reporting period, there had been two days since the last locally-acquired case of known source (Table 4). </w:t>
      </w:r>
    </w:p>
    <w:p w:rsidR="00066D97" w:rsidRPr="00AE2667" w:rsidRDefault="00066D97" w:rsidP="00066D97">
      <w:pPr>
        <w:pStyle w:val="CDIFigures"/>
      </w:pPr>
      <w:r w:rsidRPr="00AE2667">
        <w:rPr>
          <w:rStyle w:val="Strong"/>
          <w:b/>
          <w:bCs w:val="0"/>
        </w:rPr>
        <w:t>Table 4: Days since last locally-acquired COVID-19 case (source unknown and source known), by jurisdiction, 25 April 2021</w:t>
      </w:r>
      <w:r w:rsidRPr="00AE2667">
        <w:rPr>
          <w:rStyle w:val="Strong"/>
          <w:b/>
          <w:bCs w:val="0"/>
          <w:vertAlign w:val="superscript"/>
        </w:rPr>
        <w:t>a</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4 shows the number of days elapsed since the last locally-acquired COVID-19 case with known source, and with unknown source, by jurisdiction. As at the end of the current reporting period, it had been 100 days since the most recently-notified locally-acquired case of unknown source, in New South Wales, with no other jurisdictions having reported locally-acquired cases of unknown source since the start of the year. Of locally-acquired cases with known source, those most recently reported in each jurisdiction have been in Western Australia (two days prior to the end of the current reporting period); in Victoria (three days prior to the end of the current reporting period); in New South Wales (ten days prior to the end of the current reporting period); and in Queensland (22 days prior to the end of the current reporting period), with no other jurisdictions reporting any locally-acquired cases of known source since the start of the year. Tasmania, the Northern Territory and the Australian Capital Territory have reported no locally-acquired cases with source known or with source unknown for more than 250 days, true also of locally-acquired cases with unknown source in Western Australia and South Australia."/>
      </w:tblPr>
      <w:tblGrid>
        <w:gridCol w:w="967"/>
        <w:gridCol w:w="2368"/>
        <w:gridCol w:w="2368"/>
        <w:gridCol w:w="2368"/>
        <w:gridCol w:w="2369"/>
      </w:tblGrid>
      <w:tr w:rsidR="00066D97" w:rsidRPr="0097393C" w:rsidTr="00C16D94">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rsidR="00066D97" w:rsidRPr="0097393C" w:rsidRDefault="00066D97" w:rsidP="0014557D">
            <w:pPr>
              <w:pStyle w:val="NormalWeb"/>
              <w:rPr>
                <w:color w:val="FFFFFF" w:themeColor="background1"/>
                <w:sz w:val="18"/>
                <w:szCs w:val="18"/>
              </w:rPr>
            </w:pPr>
            <w:r w:rsidRPr="0097393C">
              <w:rPr>
                <w:color w:val="FFFFFF" w:themeColor="background1"/>
                <w:sz w:val="18"/>
                <w:szCs w:val="18"/>
              </w:rPr>
              <w:t>Jurisdiction</w:t>
            </w:r>
          </w:p>
        </w:tc>
        <w:tc>
          <w:tcPr>
            <w:tcW w:w="4736" w:type="dxa"/>
            <w:gridSpan w:val="2"/>
            <w:tcBorders>
              <w:left w:val="single" w:sz="2" w:space="0" w:color="FFFFFF" w:themeColor="background1"/>
              <w:bottom w:val="single" w:sz="2" w:space="0" w:color="FFFFFF" w:themeColor="background1"/>
              <w:right w:val="single" w:sz="2" w:space="0" w:color="FFFFFF" w:themeColor="background1"/>
            </w:tcBorders>
            <w:hideMark/>
          </w:tcPr>
          <w:p w:rsidR="00066D97" w:rsidRPr="0097393C" w:rsidRDefault="00066D97" w:rsidP="0014557D">
            <w:pPr>
              <w:pStyle w:val="NormalWeb"/>
              <w:jc w:val="center"/>
              <w:rPr>
                <w:color w:val="FFFFFF" w:themeColor="background1"/>
                <w:sz w:val="18"/>
                <w:szCs w:val="18"/>
              </w:rPr>
            </w:pPr>
            <w:r w:rsidRPr="0097393C">
              <w:rPr>
                <w:color w:val="FFFFFF" w:themeColor="background1"/>
                <w:sz w:val="18"/>
                <w:szCs w:val="18"/>
              </w:rPr>
              <w:t>Locally acquired — source unknown</w:t>
            </w:r>
          </w:p>
        </w:tc>
        <w:tc>
          <w:tcPr>
            <w:tcW w:w="4737" w:type="dxa"/>
            <w:gridSpan w:val="2"/>
            <w:tcBorders>
              <w:left w:val="single" w:sz="2" w:space="0" w:color="FFFFFF" w:themeColor="background1"/>
              <w:bottom w:val="single" w:sz="2" w:space="0" w:color="FFFFFF" w:themeColor="background1"/>
            </w:tcBorders>
            <w:hideMark/>
          </w:tcPr>
          <w:p w:rsidR="00066D97" w:rsidRPr="0097393C" w:rsidRDefault="00066D97" w:rsidP="0014557D">
            <w:pPr>
              <w:pStyle w:val="NormalWeb"/>
              <w:jc w:val="center"/>
              <w:rPr>
                <w:color w:val="FFFFFF" w:themeColor="background1"/>
                <w:sz w:val="18"/>
                <w:szCs w:val="18"/>
              </w:rPr>
            </w:pPr>
            <w:r w:rsidRPr="0097393C">
              <w:rPr>
                <w:color w:val="FFFFFF" w:themeColor="background1"/>
                <w:sz w:val="18"/>
                <w:szCs w:val="18"/>
              </w:rPr>
              <w:t>Locally acquired — source known</w:t>
            </w:r>
          </w:p>
        </w:tc>
      </w:tr>
      <w:tr w:rsidR="00066D97" w:rsidRPr="0097393C" w:rsidTr="00C16D94">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rsidR="00066D97" w:rsidRPr="0097393C" w:rsidRDefault="00066D97" w:rsidP="0014557D">
            <w:pPr>
              <w:rPr>
                <w:color w:val="FFFFFF" w:themeColor="background1"/>
                <w:sz w:val="18"/>
                <w:szCs w:val="18"/>
              </w:rPr>
            </w:pPr>
          </w:p>
        </w:tc>
        <w:tc>
          <w:tcPr>
            <w:tcW w:w="2368" w:type="dxa"/>
            <w:tcBorders>
              <w:top w:val="single" w:sz="2" w:space="0" w:color="FFFFFF" w:themeColor="background1"/>
              <w:left w:val="single" w:sz="2" w:space="0" w:color="FFFFFF" w:themeColor="background1"/>
              <w:right w:val="single" w:sz="2" w:space="0" w:color="FFFFFF" w:themeColor="background1"/>
            </w:tcBorders>
            <w:hideMark/>
          </w:tcPr>
          <w:p w:rsidR="00066D97" w:rsidRPr="0097393C" w:rsidRDefault="00066D97" w:rsidP="0014557D">
            <w:pPr>
              <w:pStyle w:val="NormalWeb"/>
              <w:jc w:val="center"/>
              <w:rPr>
                <w:color w:val="FFFFFF" w:themeColor="background1"/>
                <w:sz w:val="18"/>
                <w:szCs w:val="18"/>
              </w:rPr>
            </w:pPr>
            <w:r w:rsidRPr="0097393C">
              <w:rPr>
                <w:color w:val="FFFFFF" w:themeColor="background1"/>
                <w:sz w:val="18"/>
                <w:szCs w:val="18"/>
              </w:rPr>
              <w:t>Date of last case</w:t>
            </w:r>
          </w:p>
        </w:tc>
        <w:tc>
          <w:tcPr>
            <w:tcW w:w="2368" w:type="dxa"/>
            <w:tcBorders>
              <w:top w:val="single" w:sz="2" w:space="0" w:color="FFFFFF" w:themeColor="background1"/>
              <w:left w:val="single" w:sz="2" w:space="0" w:color="FFFFFF" w:themeColor="background1"/>
              <w:right w:val="single" w:sz="2" w:space="0" w:color="FFFFFF" w:themeColor="background1"/>
            </w:tcBorders>
            <w:hideMark/>
          </w:tcPr>
          <w:p w:rsidR="00066D97" w:rsidRPr="0097393C" w:rsidRDefault="00066D97" w:rsidP="0014557D">
            <w:pPr>
              <w:pStyle w:val="NormalWeb"/>
              <w:jc w:val="center"/>
              <w:rPr>
                <w:color w:val="FFFFFF" w:themeColor="background1"/>
                <w:sz w:val="18"/>
                <w:szCs w:val="18"/>
              </w:rPr>
            </w:pPr>
            <w:r w:rsidRPr="0097393C">
              <w:rPr>
                <w:color w:val="FFFFFF" w:themeColor="background1"/>
                <w:sz w:val="18"/>
                <w:szCs w:val="18"/>
              </w:rPr>
              <w:t>Days since last case</w:t>
            </w:r>
          </w:p>
        </w:tc>
        <w:tc>
          <w:tcPr>
            <w:tcW w:w="2368" w:type="dxa"/>
            <w:tcBorders>
              <w:top w:val="single" w:sz="2" w:space="0" w:color="FFFFFF" w:themeColor="background1"/>
              <w:left w:val="single" w:sz="2" w:space="0" w:color="FFFFFF" w:themeColor="background1"/>
              <w:right w:val="single" w:sz="2" w:space="0" w:color="FFFFFF" w:themeColor="background1"/>
            </w:tcBorders>
            <w:hideMark/>
          </w:tcPr>
          <w:p w:rsidR="00066D97" w:rsidRPr="0097393C" w:rsidRDefault="00066D97" w:rsidP="0014557D">
            <w:pPr>
              <w:pStyle w:val="NormalWeb"/>
              <w:jc w:val="center"/>
              <w:rPr>
                <w:color w:val="FFFFFF" w:themeColor="background1"/>
                <w:sz w:val="18"/>
                <w:szCs w:val="18"/>
              </w:rPr>
            </w:pPr>
            <w:r w:rsidRPr="0097393C">
              <w:rPr>
                <w:color w:val="FFFFFF" w:themeColor="background1"/>
                <w:sz w:val="18"/>
                <w:szCs w:val="18"/>
              </w:rPr>
              <w:t>Date of last case</w:t>
            </w:r>
          </w:p>
        </w:tc>
        <w:tc>
          <w:tcPr>
            <w:tcW w:w="2369" w:type="dxa"/>
            <w:tcBorders>
              <w:top w:val="single" w:sz="2" w:space="0" w:color="FFFFFF" w:themeColor="background1"/>
              <w:left w:val="single" w:sz="2" w:space="0" w:color="FFFFFF" w:themeColor="background1"/>
            </w:tcBorders>
            <w:hideMark/>
          </w:tcPr>
          <w:p w:rsidR="00066D97" w:rsidRPr="0097393C" w:rsidRDefault="00066D97" w:rsidP="0014557D">
            <w:pPr>
              <w:pStyle w:val="NormalWeb"/>
              <w:jc w:val="center"/>
              <w:rPr>
                <w:color w:val="FFFFFF" w:themeColor="background1"/>
                <w:sz w:val="18"/>
                <w:szCs w:val="18"/>
              </w:rPr>
            </w:pPr>
            <w:r w:rsidRPr="0097393C">
              <w:rPr>
                <w:color w:val="FFFFFF" w:themeColor="background1"/>
                <w:sz w:val="18"/>
                <w:szCs w:val="18"/>
              </w:rPr>
              <w:t>Days since last case</w:t>
            </w:r>
          </w:p>
        </w:tc>
      </w:tr>
      <w:tr w:rsidR="00066D97" w:rsidRPr="0097393C" w:rsidTr="00C16D94">
        <w:tc>
          <w:tcPr>
            <w:tcW w:w="0" w:type="auto"/>
            <w:hideMark/>
          </w:tcPr>
          <w:p w:rsidR="00066D97" w:rsidRPr="0097393C" w:rsidRDefault="00066D97" w:rsidP="0014557D">
            <w:pPr>
              <w:pStyle w:val="NormalWeb"/>
              <w:rPr>
                <w:sz w:val="18"/>
                <w:szCs w:val="18"/>
              </w:rPr>
            </w:pPr>
            <w:r w:rsidRPr="0097393C">
              <w:rPr>
                <w:sz w:val="18"/>
                <w:szCs w:val="18"/>
              </w:rPr>
              <w:t>ACT</w:t>
            </w:r>
          </w:p>
        </w:tc>
        <w:tc>
          <w:tcPr>
            <w:tcW w:w="2368" w:type="dxa"/>
            <w:hideMark/>
          </w:tcPr>
          <w:p w:rsidR="00066D97" w:rsidRPr="0097393C" w:rsidRDefault="00066D97" w:rsidP="0014557D">
            <w:pPr>
              <w:pStyle w:val="NormalWeb"/>
              <w:jc w:val="center"/>
              <w:rPr>
                <w:sz w:val="18"/>
                <w:szCs w:val="18"/>
              </w:rPr>
            </w:pPr>
            <w:r w:rsidRPr="0097393C">
              <w:rPr>
                <w:sz w:val="18"/>
                <w:szCs w:val="18"/>
              </w:rPr>
              <w:t>21 March 2020</w:t>
            </w:r>
          </w:p>
        </w:tc>
        <w:tc>
          <w:tcPr>
            <w:tcW w:w="2368" w:type="dxa"/>
            <w:hideMark/>
          </w:tcPr>
          <w:p w:rsidR="00066D97" w:rsidRPr="0097393C" w:rsidRDefault="00066D97" w:rsidP="0014557D">
            <w:pPr>
              <w:pStyle w:val="NormalWeb"/>
              <w:jc w:val="center"/>
              <w:rPr>
                <w:sz w:val="18"/>
                <w:szCs w:val="18"/>
              </w:rPr>
            </w:pPr>
            <w:r w:rsidRPr="0097393C">
              <w:rPr>
                <w:sz w:val="18"/>
                <w:szCs w:val="18"/>
              </w:rPr>
              <w:t>400</w:t>
            </w:r>
          </w:p>
        </w:tc>
        <w:tc>
          <w:tcPr>
            <w:tcW w:w="2368" w:type="dxa"/>
            <w:hideMark/>
          </w:tcPr>
          <w:p w:rsidR="00066D97" w:rsidRPr="0097393C" w:rsidRDefault="00066D97" w:rsidP="0014557D">
            <w:pPr>
              <w:pStyle w:val="NormalWeb"/>
              <w:jc w:val="center"/>
              <w:rPr>
                <w:sz w:val="18"/>
                <w:szCs w:val="18"/>
              </w:rPr>
            </w:pPr>
            <w:r w:rsidRPr="0097393C">
              <w:rPr>
                <w:sz w:val="18"/>
                <w:szCs w:val="18"/>
              </w:rPr>
              <w:t>7 July 2020</w:t>
            </w:r>
          </w:p>
        </w:tc>
        <w:tc>
          <w:tcPr>
            <w:tcW w:w="2369" w:type="dxa"/>
            <w:hideMark/>
          </w:tcPr>
          <w:p w:rsidR="00066D97" w:rsidRPr="0097393C" w:rsidRDefault="00066D97" w:rsidP="0014557D">
            <w:pPr>
              <w:pStyle w:val="NormalWeb"/>
              <w:jc w:val="center"/>
              <w:rPr>
                <w:sz w:val="18"/>
                <w:szCs w:val="18"/>
              </w:rPr>
            </w:pPr>
            <w:r w:rsidRPr="0097393C">
              <w:rPr>
                <w:sz w:val="18"/>
                <w:szCs w:val="18"/>
              </w:rPr>
              <w:t>292</w:t>
            </w:r>
          </w:p>
        </w:tc>
      </w:tr>
      <w:tr w:rsidR="00066D97" w:rsidRPr="0097393C" w:rsidTr="00C16D94">
        <w:trPr>
          <w:cnfStyle w:val="000000010000" w:firstRow="0" w:lastRow="0" w:firstColumn="0" w:lastColumn="0" w:oddVBand="0" w:evenVBand="0" w:oddHBand="0" w:evenHBand="1" w:firstRowFirstColumn="0" w:firstRowLastColumn="0" w:lastRowFirstColumn="0" w:lastRowLastColumn="0"/>
        </w:trPr>
        <w:tc>
          <w:tcPr>
            <w:tcW w:w="0" w:type="auto"/>
            <w:hideMark/>
          </w:tcPr>
          <w:p w:rsidR="00066D97" w:rsidRPr="0097393C" w:rsidRDefault="00066D97" w:rsidP="0014557D">
            <w:pPr>
              <w:pStyle w:val="NormalWeb"/>
              <w:rPr>
                <w:sz w:val="18"/>
                <w:szCs w:val="18"/>
              </w:rPr>
            </w:pPr>
            <w:r w:rsidRPr="0097393C">
              <w:rPr>
                <w:sz w:val="18"/>
                <w:szCs w:val="18"/>
              </w:rPr>
              <w:t>NSW</w:t>
            </w:r>
          </w:p>
        </w:tc>
        <w:tc>
          <w:tcPr>
            <w:tcW w:w="2368" w:type="dxa"/>
            <w:hideMark/>
          </w:tcPr>
          <w:p w:rsidR="00066D97" w:rsidRPr="0097393C" w:rsidRDefault="00066D97" w:rsidP="0014557D">
            <w:pPr>
              <w:pStyle w:val="NormalWeb"/>
              <w:jc w:val="center"/>
              <w:rPr>
                <w:sz w:val="18"/>
                <w:szCs w:val="18"/>
              </w:rPr>
            </w:pPr>
            <w:r w:rsidRPr="0097393C">
              <w:rPr>
                <w:sz w:val="18"/>
                <w:szCs w:val="18"/>
              </w:rPr>
              <w:t>15 January 2021</w:t>
            </w:r>
          </w:p>
        </w:tc>
        <w:tc>
          <w:tcPr>
            <w:tcW w:w="2368" w:type="dxa"/>
            <w:hideMark/>
          </w:tcPr>
          <w:p w:rsidR="00066D97" w:rsidRPr="0097393C" w:rsidRDefault="00066D97" w:rsidP="0014557D">
            <w:pPr>
              <w:pStyle w:val="NormalWeb"/>
              <w:jc w:val="center"/>
              <w:rPr>
                <w:sz w:val="18"/>
                <w:szCs w:val="18"/>
              </w:rPr>
            </w:pPr>
            <w:r w:rsidRPr="0097393C">
              <w:rPr>
                <w:sz w:val="18"/>
                <w:szCs w:val="18"/>
              </w:rPr>
              <w:t>100</w:t>
            </w:r>
          </w:p>
        </w:tc>
        <w:tc>
          <w:tcPr>
            <w:tcW w:w="2368" w:type="dxa"/>
            <w:hideMark/>
          </w:tcPr>
          <w:p w:rsidR="00066D97" w:rsidRPr="0097393C" w:rsidRDefault="00066D97" w:rsidP="0014557D">
            <w:pPr>
              <w:pStyle w:val="NormalWeb"/>
              <w:jc w:val="center"/>
              <w:rPr>
                <w:sz w:val="18"/>
                <w:szCs w:val="18"/>
              </w:rPr>
            </w:pPr>
            <w:r w:rsidRPr="0097393C">
              <w:rPr>
                <w:sz w:val="18"/>
                <w:szCs w:val="18"/>
              </w:rPr>
              <w:t>15 April 2021</w:t>
            </w:r>
          </w:p>
        </w:tc>
        <w:tc>
          <w:tcPr>
            <w:tcW w:w="2369" w:type="dxa"/>
            <w:hideMark/>
          </w:tcPr>
          <w:p w:rsidR="00066D97" w:rsidRPr="0097393C" w:rsidRDefault="00066D97" w:rsidP="0014557D">
            <w:pPr>
              <w:pStyle w:val="NormalWeb"/>
              <w:jc w:val="center"/>
              <w:rPr>
                <w:sz w:val="18"/>
                <w:szCs w:val="18"/>
              </w:rPr>
            </w:pPr>
            <w:r w:rsidRPr="0097393C">
              <w:rPr>
                <w:sz w:val="18"/>
                <w:szCs w:val="18"/>
              </w:rPr>
              <w:t>10</w:t>
            </w:r>
          </w:p>
        </w:tc>
      </w:tr>
      <w:tr w:rsidR="00066D97" w:rsidRPr="0097393C" w:rsidTr="00C16D94">
        <w:tc>
          <w:tcPr>
            <w:tcW w:w="0" w:type="auto"/>
            <w:hideMark/>
          </w:tcPr>
          <w:p w:rsidR="00066D97" w:rsidRPr="0097393C" w:rsidRDefault="00066D97" w:rsidP="0014557D">
            <w:pPr>
              <w:pStyle w:val="NormalWeb"/>
              <w:rPr>
                <w:sz w:val="18"/>
                <w:szCs w:val="18"/>
              </w:rPr>
            </w:pPr>
            <w:proofErr w:type="spellStart"/>
            <w:r w:rsidRPr="0097393C">
              <w:rPr>
                <w:sz w:val="18"/>
                <w:szCs w:val="18"/>
              </w:rPr>
              <w:t>NT</w:t>
            </w:r>
            <w:r w:rsidRPr="0097393C">
              <w:rPr>
                <w:sz w:val="18"/>
                <w:szCs w:val="18"/>
                <w:vertAlign w:val="superscript"/>
              </w:rPr>
              <w:t>b</w:t>
            </w:r>
            <w:proofErr w:type="spellEnd"/>
          </w:p>
        </w:tc>
        <w:tc>
          <w:tcPr>
            <w:tcW w:w="2368" w:type="dxa"/>
            <w:hideMark/>
          </w:tcPr>
          <w:p w:rsidR="00066D97" w:rsidRPr="0097393C" w:rsidRDefault="00066D97" w:rsidP="0014557D">
            <w:pPr>
              <w:pStyle w:val="NormalWeb"/>
              <w:jc w:val="center"/>
              <w:rPr>
                <w:sz w:val="18"/>
                <w:szCs w:val="18"/>
              </w:rPr>
            </w:pPr>
            <w:r w:rsidRPr="0097393C">
              <w:rPr>
                <w:sz w:val="18"/>
                <w:szCs w:val="18"/>
              </w:rPr>
              <w:t>NA</w:t>
            </w:r>
          </w:p>
        </w:tc>
        <w:tc>
          <w:tcPr>
            <w:tcW w:w="2368" w:type="dxa"/>
            <w:hideMark/>
          </w:tcPr>
          <w:p w:rsidR="00066D97" w:rsidRPr="0097393C" w:rsidRDefault="00066D97" w:rsidP="0014557D">
            <w:pPr>
              <w:pStyle w:val="NormalWeb"/>
              <w:jc w:val="center"/>
              <w:rPr>
                <w:sz w:val="18"/>
                <w:szCs w:val="18"/>
              </w:rPr>
            </w:pPr>
            <w:r w:rsidRPr="0097393C">
              <w:rPr>
                <w:sz w:val="18"/>
                <w:szCs w:val="18"/>
              </w:rPr>
              <w:t>NA</w:t>
            </w:r>
          </w:p>
        </w:tc>
        <w:tc>
          <w:tcPr>
            <w:tcW w:w="2368" w:type="dxa"/>
            <w:hideMark/>
          </w:tcPr>
          <w:p w:rsidR="00066D97" w:rsidRPr="0097393C" w:rsidRDefault="00066D97" w:rsidP="0014557D">
            <w:pPr>
              <w:pStyle w:val="NormalWeb"/>
              <w:jc w:val="center"/>
              <w:rPr>
                <w:sz w:val="18"/>
                <w:szCs w:val="18"/>
              </w:rPr>
            </w:pPr>
            <w:r w:rsidRPr="0097393C">
              <w:rPr>
                <w:sz w:val="18"/>
                <w:szCs w:val="18"/>
              </w:rPr>
              <w:t>3 April 2020</w:t>
            </w:r>
          </w:p>
        </w:tc>
        <w:tc>
          <w:tcPr>
            <w:tcW w:w="2369" w:type="dxa"/>
            <w:hideMark/>
          </w:tcPr>
          <w:p w:rsidR="00066D97" w:rsidRPr="0097393C" w:rsidRDefault="00066D97" w:rsidP="0014557D">
            <w:pPr>
              <w:pStyle w:val="NormalWeb"/>
              <w:jc w:val="center"/>
              <w:rPr>
                <w:sz w:val="18"/>
                <w:szCs w:val="18"/>
              </w:rPr>
            </w:pPr>
            <w:r w:rsidRPr="0097393C">
              <w:rPr>
                <w:sz w:val="18"/>
                <w:szCs w:val="18"/>
              </w:rPr>
              <w:t>387</w:t>
            </w:r>
          </w:p>
        </w:tc>
      </w:tr>
      <w:tr w:rsidR="00066D97" w:rsidRPr="0097393C" w:rsidTr="00C16D94">
        <w:trPr>
          <w:cnfStyle w:val="000000010000" w:firstRow="0" w:lastRow="0" w:firstColumn="0" w:lastColumn="0" w:oddVBand="0" w:evenVBand="0" w:oddHBand="0" w:evenHBand="1" w:firstRowFirstColumn="0" w:firstRowLastColumn="0" w:lastRowFirstColumn="0" w:lastRowLastColumn="0"/>
        </w:trPr>
        <w:tc>
          <w:tcPr>
            <w:tcW w:w="0" w:type="auto"/>
            <w:hideMark/>
          </w:tcPr>
          <w:p w:rsidR="00066D97" w:rsidRPr="0097393C" w:rsidRDefault="00066D97" w:rsidP="0014557D">
            <w:pPr>
              <w:pStyle w:val="NormalWeb"/>
              <w:rPr>
                <w:sz w:val="18"/>
                <w:szCs w:val="18"/>
              </w:rPr>
            </w:pPr>
            <w:r w:rsidRPr="0097393C">
              <w:rPr>
                <w:sz w:val="18"/>
                <w:szCs w:val="18"/>
              </w:rPr>
              <w:t>Qld</w:t>
            </w:r>
          </w:p>
        </w:tc>
        <w:tc>
          <w:tcPr>
            <w:tcW w:w="2368" w:type="dxa"/>
            <w:hideMark/>
          </w:tcPr>
          <w:p w:rsidR="00066D97" w:rsidRPr="0097393C" w:rsidRDefault="00066D97" w:rsidP="0014557D">
            <w:pPr>
              <w:pStyle w:val="NormalWeb"/>
              <w:jc w:val="center"/>
              <w:rPr>
                <w:sz w:val="18"/>
                <w:szCs w:val="18"/>
              </w:rPr>
            </w:pPr>
            <w:r w:rsidRPr="0097393C">
              <w:rPr>
                <w:sz w:val="18"/>
                <w:szCs w:val="18"/>
              </w:rPr>
              <w:t>23 August 2020</w:t>
            </w:r>
          </w:p>
        </w:tc>
        <w:tc>
          <w:tcPr>
            <w:tcW w:w="2368" w:type="dxa"/>
            <w:hideMark/>
          </w:tcPr>
          <w:p w:rsidR="00066D97" w:rsidRPr="0097393C" w:rsidRDefault="00066D97" w:rsidP="0014557D">
            <w:pPr>
              <w:pStyle w:val="NormalWeb"/>
              <w:jc w:val="center"/>
              <w:rPr>
                <w:sz w:val="18"/>
                <w:szCs w:val="18"/>
              </w:rPr>
            </w:pPr>
            <w:r w:rsidRPr="0097393C">
              <w:rPr>
                <w:sz w:val="18"/>
                <w:szCs w:val="18"/>
              </w:rPr>
              <w:t>245</w:t>
            </w:r>
          </w:p>
        </w:tc>
        <w:tc>
          <w:tcPr>
            <w:tcW w:w="2368" w:type="dxa"/>
            <w:hideMark/>
          </w:tcPr>
          <w:p w:rsidR="00066D97" w:rsidRPr="0097393C" w:rsidRDefault="00066D97" w:rsidP="0014557D">
            <w:pPr>
              <w:pStyle w:val="NormalWeb"/>
              <w:jc w:val="center"/>
              <w:rPr>
                <w:sz w:val="18"/>
                <w:szCs w:val="18"/>
              </w:rPr>
            </w:pPr>
            <w:r w:rsidRPr="0097393C">
              <w:rPr>
                <w:sz w:val="18"/>
                <w:szCs w:val="18"/>
              </w:rPr>
              <w:t>3 April 2021</w:t>
            </w:r>
          </w:p>
        </w:tc>
        <w:tc>
          <w:tcPr>
            <w:tcW w:w="2369" w:type="dxa"/>
            <w:hideMark/>
          </w:tcPr>
          <w:p w:rsidR="00066D97" w:rsidRPr="0097393C" w:rsidRDefault="00066D97" w:rsidP="0014557D">
            <w:pPr>
              <w:pStyle w:val="NormalWeb"/>
              <w:jc w:val="center"/>
              <w:rPr>
                <w:sz w:val="18"/>
                <w:szCs w:val="18"/>
              </w:rPr>
            </w:pPr>
            <w:r w:rsidRPr="0097393C">
              <w:rPr>
                <w:sz w:val="18"/>
                <w:szCs w:val="18"/>
              </w:rPr>
              <w:t>22</w:t>
            </w:r>
          </w:p>
        </w:tc>
      </w:tr>
      <w:tr w:rsidR="00066D97" w:rsidRPr="0097393C" w:rsidTr="00C16D94">
        <w:tc>
          <w:tcPr>
            <w:tcW w:w="0" w:type="auto"/>
            <w:hideMark/>
          </w:tcPr>
          <w:p w:rsidR="00066D97" w:rsidRPr="0097393C" w:rsidRDefault="00066D97" w:rsidP="0014557D">
            <w:pPr>
              <w:pStyle w:val="NormalWeb"/>
              <w:rPr>
                <w:sz w:val="18"/>
                <w:szCs w:val="18"/>
              </w:rPr>
            </w:pPr>
            <w:r w:rsidRPr="0097393C">
              <w:rPr>
                <w:sz w:val="18"/>
                <w:szCs w:val="18"/>
              </w:rPr>
              <w:t>SA</w:t>
            </w:r>
          </w:p>
        </w:tc>
        <w:tc>
          <w:tcPr>
            <w:tcW w:w="2368" w:type="dxa"/>
            <w:hideMark/>
          </w:tcPr>
          <w:p w:rsidR="00066D97" w:rsidRPr="0097393C" w:rsidRDefault="00066D97" w:rsidP="0014557D">
            <w:pPr>
              <w:pStyle w:val="NormalWeb"/>
              <w:jc w:val="center"/>
              <w:rPr>
                <w:sz w:val="18"/>
                <w:szCs w:val="18"/>
              </w:rPr>
            </w:pPr>
            <w:r w:rsidRPr="0097393C">
              <w:rPr>
                <w:sz w:val="18"/>
                <w:szCs w:val="18"/>
              </w:rPr>
              <w:t>24 March 2020</w:t>
            </w:r>
          </w:p>
        </w:tc>
        <w:tc>
          <w:tcPr>
            <w:tcW w:w="2368" w:type="dxa"/>
            <w:hideMark/>
          </w:tcPr>
          <w:p w:rsidR="00066D97" w:rsidRPr="0097393C" w:rsidRDefault="00066D97" w:rsidP="0014557D">
            <w:pPr>
              <w:pStyle w:val="NormalWeb"/>
              <w:jc w:val="center"/>
              <w:rPr>
                <w:sz w:val="18"/>
                <w:szCs w:val="18"/>
              </w:rPr>
            </w:pPr>
            <w:r w:rsidRPr="0097393C">
              <w:rPr>
                <w:sz w:val="18"/>
                <w:szCs w:val="18"/>
              </w:rPr>
              <w:t>397</w:t>
            </w:r>
          </w:p>
        </w:tc>
        <w:tc>
          <w:tcPr>
            <w:tcW w:w="2368" w:type="dxa"/>
            <w:hideMark/>
          </w:tcPr>
          <w:p w:rsidR="00066D97" w:rsidRPr="0097393C" w:rsidRDefault="00066D97" w:rsidP="0014557D">
            <w:pPr>
              <w:pStyle w:val="NormalWeb"/>
              <w:jc w:val="center"/>
              <w:rPr>
                <w:sz w:val="18"/>
                <w:szCs w:val="18"/>
              </w:rPr>
            </w:pPr>
            <w:r w:rsidRPr="0097393C">
              <w:rPr>
                <w:sz w:val="18"/>
                <w:szCs w:val="18"/>
              </w:rPr>
              <w:t>27 November 2020</w:t>
            </w:r>
          </w:p>
        </w:tc>
        <w:tc>
          <w:tcPr>
            <w:tcW w:w="2369" w:type="dxa"/>
            <w:hideMark/>
          </w:tcPr>
          <w:p w:rsidR="00066D97" w:rsidRPr="0097393C" w:rsidRDefault="00066D97" w:rsidP="0014557D">
            <w:pPr>
              <w:pStyle w:val="NormalWeb"/>
              <w:jc w:val="center"/>
              <w:rPr>
                <w:sz w:val="18"/>
                <w:szCs w:val="18"/>
              </w:rPr>
            </w:pPr>
            <w:r w:rsidRPr="0097393C">
              <w:rPr>
                <w:sz w:val="18"/>
                <w:szCs w:val="18"/>
              </w:rPr>
              <w:t>149</w:t>
            </w:r>
          </w:p>
        </w:tc>
      </w:tr>
      <w:tr w:rsidR="00066D97" w:rsidRPr="0097393C" w:rsidTr="00C16D94">
        <w:trPr>
          <w:cnfStyle w:val="000000010000" w:firstRow="0" w:lastRow="0" w:firstColumn="0" w:lastColumn="0" w:oddVBand="0" w:evenVBand="0" w:oddHBand="0" w:evenHBand="1" w:firstRowFirstColumn="0" w:firstRowLastColumn="0" w:lastRowFirstColumn="0" w:lastRowLastColumn="0"/>
        </w:trPr>
        <w:tc>
          <w:tcPr>
            <w:tcW w:w="0" w:type="auto"/>
            <w:hideMark/>
          </w:tcPr>
          <w:p w:rsidR="00066D97" w:rsidRPr="0097393C" w:rsidRDefault="00066D97" w:rsidP="0014557D">
            <w:pPr>
              <w:pStyle w:val="NormalWeb"/>
              <w:rPr>
                <w:sz w:val="18"/>
                <w:szCs w:val="18"/>
              </w:rPr>
            </w:pPr>
            <w:r w:rsidRPr="0097393C">
              <w:rPr>
                <w:sz w:val="18"/>
                <w:szCs w:val="18"/>
              </w:rPr>
              <w:t>Tas.</w:t>
            </w:r>
          </w:p>
        </w:tc>
        <w:tc>
          <w:tcPr>
            <w:tcW w:w="2368" w:type="dxa"/>
            <w:hideMark/>
          </w:tcPr>
          <w:p w:rsidR="00066D97" w:rsidRPr="0097393C" w:rsidRDefault="00066D97" w:rsidP="0014557D">
            <w:pPr>
              <w:pStyle w:val="NormalWeb"/>
              <w:jc w:val="center"/>
              <w:rPr>
                <w:sz w:val="18"/>
                <w:szCs w:val="18"/>
              </w:rPr>
            </w:pPr>
            <w:r w:rsidRPr="0097393C">
              <w:rPr>
                <w:sz w:val="18"/>
                <w:szCs w:val="18"/>
              </w:rPr>
              <w:t>9 August 2020</w:t>
            </w:r>
          </w:p>
        </w:tc>
        <w:tc>
          <w:tcPr>
            <w:tcW w:w="2368" w:type="dxa"/>
            <w:hideMark/>
          </w:tcPr>
          <w:p w:rsidR="00066D97" w:rsidRPr="0097393C" w:rsidRDefault="00066D97" w:rsidP="0014557D">
            <w:pPr>
              <w:pStyle w:val="NormalWeb"/>
              <w:jc w:val="center"/>
              <w:rPr>
                <w:sz w:val="18"/>
                <w:szCs w:val="18"/>
              </w:rPr>
            </w:pPr>
            <w:r w:rsidRPr="0097393C">
              <w:rPr>
                <w:sz w:val="18"/>
                <w:szCs w:val="18"/>
              </w:rPr>
              <w:t>259</w:t>
            </w:r>
          </w:p>
        </w:tc>
        <w:tc>
          <w:tcPr>
            <w:tcW w:w="2368" w:type="dxa"/>
            <w:hideMark/>
          </w:tcPr>
          <w:p w:rsidR="00066D97" w:rsidRPr="0097393C" w:rsidRDefault="00066D97" w:rsidP="0014557D">
            <w:pPr>
              <w:pStyle w:val="NormalWeb"/>
              <w:jc w:val="center"/>
              <w:rPr>
                <w:sz w:val="18"/>
                <w:szCs w:val="18"/>
              </w:rPr>
            </w:pPr>
            <w:r w:rsidRPr="0097393C">
              <w:rPr>
                <w:sz w:val="18"/>
                <w:szCs w:val="18"/>
              </w:rPr>
              <w:t>24 April 2020</w:t>
            </w:r>
          </w:p>
        </w:tc>
        <w:tc>
          <w:tcPr>
            <w:tcW w:w="2369" w:type="dxa"/>
            <w:hideMark/>
          </w:tcPr>
          <w:p w:rsidR="00066D97" w:rsidRPr="0097393C" w:rsidRDefault="00066D97" w:rsidP="0014557D">
            <w:pPr>
              <w:pStyle w:val="NormalWeb"/>
              <w:jc w:val="center"/>
              <w:rPr>
                <w:sz w:val="18"/>
                <w:szCs w:val="18"/>
              </w:rPr>
            </w:pPr>
            <w:r w:rsidRPr="0097393C">
              <w:rPr>
                <w:sz w:val="18"/>
                <w:szCs w:val="18"/>
              </w:rPr>
              <w:t>366</w:t>
            </w:r>
          </w:p>
        </w:tc>
      </w:tr>
      <w:tr w:rsidR="00066D97" w:rsidRPr="0097393C" w:rsidTr="00C16D94">
        <w:tc>
          <w:tcPr>
            <w:tcW w:w="0" w:type="auto"/>
            <w:hideMark/>
          </w:tcPr>
          <w:p w:rsidR="00066D97" w:rsidRPr="0097393C" w:rsidRDefault="00066D97" w:rsidP="0014557D">
            <w:pPr>
              <w:pStyle w:val="NormalWeb"/>
              <w:rPr>
                <w:sz w:val="18"/>
                <w:szCs w:val="18"/>
              </w:rPr>
            </w:pPr>
            <w:r w:rsidRPr="0097393C">
              <w:rPr>
                <w:sz w:val="18"/>
                <w:szCs w:val="18"/>
              </w:rPr>
              <w:t>Vic.</w:t>
            </w:r>
          </w:p>
        </w:tc>
        <w:tc>
          <w:tcPr>
            <w:tcW w:w="2368" w:type="dxa"/>
            <w:hideMark/>
          </w:tcPr>
          <w:p w:rsidR="00066D97" w:rsidRPr="0097393C" w:rsidRDefault="00066D97" w:rsidP="0014557D">
            <w:pPr>
              <w:pStyle w:val="NormalWeb"/>
              <w:jc w:val="center"/>
              <w:rPr>
                <w:sz w:val="18"/>
                <w:szCs w:val="18"/>
              </w:rPr>
            </w:pPr>
            <w:r w:rsidRPr="0097393C">
              <w:rPr>
                <w:sz w:val="18"/>
                <w:szCs w:val="18"/>
              </w:rPr>
              <w:t>30 December 2020</w:t>
            </w:r>
          </w:p>
        </w:tc>
        <w:tc>
          <w:tcPr>
            <w:tcW w:w="2368" w:type="dxa"/>
            <w:hideMark/>
          </w:tcPr>
          <w:p w:rsidR="00066D97" w:rsidRPr="0097393C" w:rsidRDefault="00066D97" w:rsidP="0014557D">
            <w:pPr>
              <w:pStyle w:val="NormalWeb"/>
              <w:jc w:val="center"/>
              <w:rPr>
                <w:sz w:val="18"/>
                <w:szCs w:val="18"/>
              </w:rPr>
            </w:pPr>
            <w:r w:rsidRPr="0097393C">
              <w:rPr>
                <w:sz w:val="18"/>
                <w:szCs w:val="18"/>
              </w:rPr>
              <w:t>116</w:t>
            </w:r>
          </w:p>
        </w:tc>
        <w:tc>
          <w:tcPr>
            <w:tcW w:w="2368" w:type="dxa"/>
            <w:hideMark/>
          </w:tcPr>
          <w:p w:rsidR="00066D97" w:rsidRPr="0097393C" w:rsidRDefault="00066D97" w:rsidP="0014557D">
            <w:pPr>
              <w:pStyle w:val="NormalWeb"/>
              <w:jc w:val="center"/>
              <w:rPr>
                <w:sz w:val="18"/>
                <w:szCs w:val="18"/>
              </w:rPr>
            </w:pPr>
            <w:r w:rsidRPr="0097393C">
              <w:rPr>
                <w:sz w:val="18"/>
                <w:szCs w:val="18"/>
              </w:rPr>
              <w:t>22 April 2021</w:t>
            </w:r>
          </w:p>
        </w:tc>
        <w:tc>
          <w:tcPr>
            <w:tcW w:w="2369" w:type="dxa"/>
            <w:hideMark/>
          </w:tcPr>
          <w:p w:rsidR="00066D97" w:rsidRPr="0097393C" w:rsidRDefault="00066D97" w:rsidP="0014557D">
            <w:pPr>
              <w:pStyle w:val="NormalWeb"/>
              <w:jc w:val="center"/>
              <w:rPr>
                <w:sz w:val="18"/>
                <w:szCs w:val="18"/>
              </w:rPr>
            </w:pPr>
            <w:r w:rsidRPr="0097393C">
              <w:rPr>
                <w:sz w:val="18"/>
                <w:szCs w:val="18"/>
              </w:rPr>
              <w:t>3</w:t>
            </w:r>
          </w:p>
        </w:tc>
      </w:tr>
      <w:tr w:rsidR="00066D97" w:rsidRPr="0097393C" w:rsidTr="00C16D94">
        <w:trPr>
          <w:cnfStyle w:val="000000010000" w:firstRow="0" w:lastRow="0" w:firstColumn="0" w:lastColumn="0" w:oddVBand="0" w:evenVBand="0" w:oddHBand="0" w:evenHBand="1" w:firstRowFirstColumn="0" w:firstRowLastColumn="0" w:lastRowFirstColumn="0" w:lastRowLastColumn="0"/>
        </w:trPr>
        <w:tc>
          <w:tcPr>
            <w:tcW w:w="0" w:type="auto"/>
            <w:hideMark/>
          </w:tcPr>
          <w:p w:rsidR="00066D97" w:rsidRPr="0097393C" w:rsidRDefault="00066D97" w:rsidP="0014557D">
            <w:pPr>
              <w:pStyle w:val="NormalWeb"/>
              <w:rPr>
                <w:sz w:val="18"/>
                <w:szCs w:val="18"/>
              </w:rPr>
            </w:pPr>
            <w:r w:rsidRPr="0097393C">
              <w:rPr>
                <w:sz w:val="18"/>
                <w:szCs w:val="18"/>
              </w:rPr>
              <w:t>WA</w:t>
            </w:r>
          </w:p>
        </w:tc>
        <w:tc>
          <w:tcPr>
            <w:tcW w:w="2368" w:type="dxa"/>
            <w:hideMark/>
          </w:tcPr>
          <w:p w:rsidR="00066D97" w:rsidRPr="0097393C" w:rsidRDefault="00066D97" w:rsidP="0014557D">
            <w:pPr>
              <w:pStyle w:val="NormalWeb"/>
              <w:jc w:val="center"/>
              <w:rPr>
                <w:sz w:val="18"/>
                <w:szCs w:val="18"/>
              </w:rPr>
            </w:pPr>
            <w:r w:rsidRPr="0097393C">
              <w:rPr>
                <w:sz w:val="18"/>
                <w:szCs w:val="18"/>
              </w:rPr>
              <w:t>3 Apr 2020</w:t>
            </w:r>
          </w:p>
        </w:tc>
        <w:tc>
          <w:tcPr>
            <w:tcW w:w="2368" w:type="dxa"/>
            <w:hideMark/>
          </w:tcPr>
          <w:p w:rsidR="00066D97" w:rsidRPr="0097393C" w:rsidRDefault="00066D97" w:rsidP="0014557D">
            <w:pPr>
              <w:pStyle w:val="NormalWeb"/>
              <w:jc w:val="center"/>
              <w:rPr>
                <w:sz w:val="18"/>
                <w:szCs w:val="18"/>
              </w:rPr>
            </w:pPr>
            <w:r w:rsidRPr="0097393C">
              <w:rPr>
                <w:sz w:val="18"/>
                <w:szCs w:val="18"/>
              </w:rPr>
              <w:t>387</w:t>
            </w:r>
          </w:p>
        </w:tc>
        <w:tc>
          <w:tcPr>
            <w:tcW w:w="2368" w:type="dxa"/>
            <w:hideMark/>
          </w:tcPr>
          <w:p w:rsidR="00066D97" w:rsidRPr="0097393C" w:rsidRDefault="00066D97" w:rsidP="0014557D">
            <w:pPr>
              <w:pStyle w:val="NormalWeb"/>
              <w:jc w:val="center"/>
              <w:rPr>
                <w:sz w:val="18"/>
                <w:szCs w:val="18"/>
              </w:rPr>
            </w:pPr>
            <w:r w:rsidRPr="0097393C">
              <w:rPr>
                <w:sz w:val="18"/>
                <w:szCs w:val="18"/>
              </w:rPr>
              <w:t>23 April 2021</w:t>
            </w:r>
          </w:p>
        </w:tc>
        <w:tc>
          <w:tcPr>
            <w:tcW w:w="2369" w:type="dxa"/>
            <w:hideMark/>
          </w:tcPr>
          <w:p w:rsidR="00066D97" w:rsidRPr="0097393C" w:rsidRDefault="00066D97" w:rsidP="0014557D">
            <w:pPr>
              <w:pStyle w:val="NormalWeb"/>
              <w:jc w:val="center"/>
              <w:rPr>
                <w:sz w:val="18"/>
                <w:szCs w:val="18"/>
              </w:rPr>
            </w:pPr>
            <w:r w:rsidRPr="0097393C">
              <w:rPr>
                <w:sz w:val="18"/>
                <w:szCs w:val="18"/>
              </w:rPr>
              <w:t>2</w:t>
            </w:r>
          </w:p>
        </w:tc>
      </w:tr>
    </w:tbl>
    <w:p w:rsidR="00066D97" w:rsidRDefault="00066D97" w:rsidP="00066D97">
      <w:pPr>
        <w:pStyle w:val="CDIfootnotes"/>
        <w:rPr>
          <w:lang w:val="en-GB"/>
        </w:rPr>
      </w:pPr>
      <w:proofErr w:type="gramStart"/>
      <w:r>
        <w:rPr>
          <w:lang w:val="en-GB"/>
        </w:rPr>
        <w:t>a</w:t>
      </w:r>
      <w:proofErr w:type="gramEnd"/>
      <w:r>
        <w:rPr>
          <w:lang w:val="en-GB"/>
        </w:rPr>
        <w:tab/>
        <w:t>Source: NNDSS, extract from 29 April 2021, based on diagnosis date.</w:t>
      </w:r>
    </w:p>
    <w:p w:rsidR="00066D97" w:rsidRPr="0014557D" w:rsidRDefault="00066D97" w:rsidP="0014557D">
      <w:pPr>
        <w:pStyle w:val="CDIfootnotes"/>
        <w:rPr>
          <w:lang w:val="en-GB"/>
        </w:rPr>
      </w:pPr>
      <w:proofErr w:type="gramStart"/>
      <w:r>
        <w:rPr>
          <w:lang w:val="en-GB"/>
        </w:rPr>
        <w:t>b</w:t>
      </w:r>
      <w:proofErr w:type="gramEnd"/>
      <w:r>
        <w:rPr>
          <w:lang w:val="en-GB"/>
        </w:rPr>
        <w:tab/>
        <w:t>The Northern Territory has not reported any locally acquired cases with an unknown source of infection.</w:t>
      </w:r>
    </w:p>
    <w:p w:rsidR="00342B9F" w:rsidRDefault="00342B9F">
      <w:pPr>
        <w:rPr>
          <w:rFonts w:asciiTheme="majorHAnsi" w:eastAsiaTheme="majorEastAsia" w:hAnsiTheme="majorHAnsi" w:cstheme="majorBidi"/>
          <w:b/>
          <w:bCs/>
          <w:sz w:val="26"/>
          <w:szCs w:val="26"/>
        </w:rPr>
      </w:pPr>
      <w:r>
        <w:br w:type="page"/>
      </w:r>
    </w:p>
    <w:p w:rsidR="00E52E78" w:rsidRPr="00D151EC" w:rsidRDefault="00E52E78" w:rsidP="00D151EC">
      <w:pPr>
        <w:pStyle w:val="Heading2"/>
      </w:pPr>
      <w:r w:rsidRPr="00D151EC">
        <w:lastRenderedPageBreak/>
        <w:t xml:space="preserve">Demographic features </w:t>
      </w:r>
    </w:p>
    <w:p w:rsidR="00E52E78" w:rsidRPr="00321E69" w:rsidRDefault="00E52E78" w:rsidP="00D151EC">
      <w:pPr>
        <w:pStyle w:val="Heading3"/>
        <w:rPr>
          <w:i/>
        </w:rPr>
      </w:pPr>
      <w:r w:rsidRPr="00321E69">
        <w:rPr>
          <w:i/>
        </w:rPr>
        <w:t xml:space="preserve">(NNDSS) </w:t>
      </w:r>
    </w:p>
    <w:p w:rsidR="00142D91" w:rsidRPr="002126FA" w:rsidRDefault="00E52E78">
      <w:pPr>
        <w:rPr>
          <w:rStyle w:val="Strong"/>
          <w:b w:val="0"/>
          <w:bCs w:val="0"/>
        </w:rPr>
      </w:pPr>
      <w:r>
        <w:t>In this reporting period, the largest number of cases occurred in those aged 30 to 39 years (31%; 69/221 cases). For all notifications to date, the highest rate of infection is in those aged 90 and over with a rate of 369.6 per 100,000 population (</w:t>
      </w:r>
      <w:r w:rsidR="00A63851">
        <w:t>Figure 4</w:t>
      </w:r>
      <w:r>
        <w:t>; Appendix A, Table A.1). Children under 10 years old have the lowest rate of infection (50.1 cases per 100,000 population), despite comparable tes</w:t>
      </w:r>
      <w:r w:rsidR="00142D91">
        <w:t>ting rates in this age group.</w:t>
      </w:r>
    </w:p>
    <w:p w:rsidR="00142D91" w:rsidRPr="007609CC" w:rsidRDefault="00A63851" w:rsidP="00142D91">
      <w:pPr>
        <w:pStyle w:val="CDIFigures"/>
      </w:pPr>
      <w:r>
        <w:rPr>
          <w:rStyle w:val="Strong"/>
          <w:b/>
          <w:bCs w:val="0"/>
        </w:rPr>
        <w:t>Figure 4</w:t>
      </w:r>
      <w:r w:rsidR="00142D91" w:rsidRPr="007609CC">
        <w:rPr>
          <w:rStyle w:val="Strong"/>
          <w:b/>
          <w:bCs w:val="0"/>
        </w:rPr>
        <w:t>: Cumulative rate of COVID-19 cases per 100,000 population, by age group and sex, 23 January 2020 – 25 April 2021</w:t>
      </w:r>
      <w:r w:rsidR="00142D91" w:rsidRPr="007609CC">
        <w:rPr>
          <w:rStyle w:val="Strong"/>
          <w:b/>
          <w:bCs w:val="0"/>
          <w:vertAlign w:val="superscript"/>
        </w:rPr>
        <w:t xml:space="preserve">a </w:t>
      </w:r>
    </w:p>
    <w:p w:rsidR="00142D91" w:rsidRDefault="00142D91" w:rsidP="00142D91">
      <w:pPr>
        <w:pStyle w:val="NormalWeb"/>
        <w:rPr>
          <w:lang w:val="en-GB"/>
        </w:rPr>
      </w:pPr>
      <w:r>
        <w:rPr>
          <w:noProof/>
        </w:rPr>
        <w:drawing>
          <wp:inline distT="0" distB="0" distL="0" distR="0" wp14:anchorId="4B77A80D" wp14:editId="4876C5E0">
            <wp:extent cx="6626144" cy="4347058"/>
            <wp:effectExtent l="0" t="0" r="3810" b="0"/>
            <wp:docPr id="8" name="Picture 8" descr="A bar chart showing the cumulative rates per 100,000 population of confirmed COVID-19 cases as at 17 January 2021 by 10-year age group and sex. Cumulatively, since the outbreak’s onset, the highest notification rates have been in the 90 and over age group, followed by the 20 to 29 and 80 to 89 age groups. In all three of these age groups, females have a higher rate than males. Across most other age groups, the rate is slightly higher for males than for fem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bar chart showing the cumulative rates per 100,000 population of confirmed COVID-19 cases as at 17 January 2021 by 10-year age group and sex. Cumulatively, since the outbreak’s onset, the highest notification rates have been in the 90 and over age group, followed by the 20 to 29 and 80 to 89 age groups. In all three of these age groups, females have a higher rate than males. Across most other age groups, the rate is slightly higher for males than for females."/>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638782" cy="4355349"/>
                    </a:xfrm>
                    <a:prstGeom prst="rect">
                      <a:avLst/>
                    </a:prstGeom>
                  </pic:spPr>
                </pic:pic>
              </a:graphicData>
            </a:graphic>
          </wp:inline>
        </w:drawing>
      </w:r>
    </w:p>
    <w:p w:rsidR="00142D91" w:rsidRPr="0014557D" w:rsidRDefault="00142D91" w:rsidP="0014557D">
      <w:pPr>
        <w:pStyle w:val="CDIfootnotes"/>
        <w:rPr>
          <w:lang w:val="en-GB"/>
        </w:rPr>
      </w:pPr>
      <w:proofErr w:type="gramStart"/>
      <w:r>
        <w:rPr>
          <w:lang w:val="en-GB"/>
        </w:rPr>
        <w:t>a</w:t>
      </w:r>
      <w:proofErr w:type="gramEnd"/>
      <w:r>
        <w:rPr>
          <w:lang w:val="en-GB"/>
        </w:rPr>
        <w:tab/>
        <w:t>Source: NNDSS, extract from 29 April 2021, based on diagnosis date.</w:t>
      </w:r>
    </w:p>
    <w:p w:rsidR="00E52E78" w:rsidRDefault="00E52E78" w:rsidP="00D151EC">
      <w:r>
        <w:t>Cumulatively, the male-to-female rate ratio of cases is approximately 1:1 in most age groups. Notification rates are higher among females than among males in the 20–29 years age group and those aged ≥ 80 years old, and higher among males than among females in most other age groups (</w:t>
      </w:r>
      <w:r w:rsidR="00A63851">
        <w:t>Figure 4</w:t>
      </w:r>
      <w:r>
        <w:t xml:space="preserve">). The largest difference in cumulative rates is in the 90 years and over age group, where the cumulative rate among males is 314.4 cases per 100,000 population and among females is 398.9 cases per 100,000 population (Appendix A, Table A.1). </w:t>
      </w:r>
    </w:p>
    <w:p w:rsidR="00E52E78" w:rsidRDefault="00E52E78" w:rsidP="00D151EC">
      <w:r>
        <w:t xml:space="preserve">The median age of cases in this reporting period is 33 years (range: 0 to 73). Similarly, the median age of cases this year is also 33 years (range: 0 to 86). The median age of all cases since the beginning of the epidemic in Australia is somewhat higher at 37 years (range: 0–106), reflecting a shift in the demographic features of cases over time. Whereas there were higher numbers of locally-acquired cases in 2020, including many cases in residential aged care facilities, most cases in 2021 have been acquired overseas and in a younger cohort of international travellers. </w:t>
      </w:r>
    </w:p>
    <w:p w:rsidR="00E52E78" w:rsidRPr="00D151EC" w:rsidRDefault="00E52E78" w:rsidP="00D151EC">
      <w:pPr>
        <w:pStyle w:val="Heading2"/>
      </w:pPr>
      <w:r w:rsidRPr="00D151EC">
        <w:lastRenderedPageBreak/>
        <w:t xml:space="preserve">Aboriginal and Torres Strait Islander persons </w:t>
      </w:r>
    </w:p>
    <w:p w:rsidR="00E52E78" w:rsidRPr="00321E69" w:rsidRDefault="00E52E78" w:rsidP="00D151EC">
      <w:pPr>
        <w:pStyle w:val="Heading3"/>
        <w:rPr>
          <w:i/>
        </w:rPr>
      </w:pPr>
      <w:r w:rsidRPr="00321E69">
        <w:rPr>
          <w:i/>
        </w:rPr>
        <w:t xml:space="preserve">(NNDSS) </w:t>
      </w:r>
    </w:p>
    <w:p w:rsidR="00E52E78" w:rsidRDefault="00E52E78" w:rsidP="00D151EC">
      <w:r>
        <w:t xml:space="preserve">There have been 153 confirmed cases of COVID-19 notified in Aboriginal and Torres Strait Islander people since the beginning of the epidemic. Two new overseas-acquired Aboriginal and Torres Strait Islander cases were notified in the reporting period. Overall, Aboriginal and Torres Strait Islander people represent approximately 0.5% (153/29,550) of all confirmed cases with Indigenous status known. The Indigenous status is unknown for 6.9% (2,043/29,550) of all cases. The majority of locally-acquired cases in Aboriginal and Torres Strait Islander people have been reported in major cities of Australia (79%; 93/117), with only a very small number of cases (n &lt; 10) reported in outer regional Australia or remote or very remote Australia. </w:t>
      </w:r>
    </w:p>
    <w:p w:rsidR="00E52E78" w:rsidRDefault="00E52E78" w:rsidP="00D151EC">
      <w:r>
        <w:t xml:space="preserve">The median age of COVID-19 cases in Aboriginal and Torres Strait Islander people is 31.5 years old (range: 1-95), which is younger than for non-Indigenous cases where the median age is 36 years old (range: 0-106). The notification rate across all age groups is higher in non-Indigenous people than in Aboriginal and Torres Strait Islander people. The age-standardised Aboriginal and Torres Strait Islander: non-Indigenous notification rate ratio is 0.2. This indicates that the Aboriginal and Torres Strait Islander population has a significantly lower COVID-19 case rate than the non-Indigenous population, after accounting for differences in age structure. </w:t>
      </w:r>
    </w:p>
    <w:p w:rsidR="00E52E78" w:rsidRPr="00D151EC" w:rsidRDefault="00E52E78" w:rsidP="00D151EC">
      <w:pPr>
        <w:pStyle w:val="Heading2"/>
      </w:pPr>
      <w:r w:rsidRPr="00D151EC">
        <w:t xml:space="preserve">Vaccinations </w:t>
      </w:r>
    </w:p>
    <w:p w:rsidR="00E52E78" w:rsidRPr="00321E69" w:rsidRDefault="00E52E78" w:rsidP="00D151EC">
      <w:pPr>
        <w:pStyle w:val="Heading3"/>
        <w:rPr>
          <w:i/>
        </w:rPr>
      </w:pPr>
      <w:r w:rsidRPr="00321E69">
        <w:rPr>
          <w:i/>
        </w:rPr>
        <w:t xml:space="preserve">(Department of Health) </w:t>
      </w:r>
    </w:p>
    <w:p w:rsidR="00E52E78" w:rsidRDefault="00E52E78" w:rsidP="00D151EC">
      <w:r>
        <w:t xml:space="preserve">In this reporting period, the total administration of vaccine in Australia exceeded two million doses. As of 27 April 2021, a total of 2,029,544 doses of COVID-19 vaccine have been administered (Table 5), including 210,770 doses provided to aged care and disability residents. </w:t>
      </w:r>
    </w:p>
    <w:p w:rsidR="00B977DC" w:rsidRPr="000D0035" w:rsidRDefault="00B977DC" w:rsidP="00B977DC">
      <w:pPr>
        <w:pStyle w:val="CDIFigures"/>
      </w:pPr>
      <w:r w:rsidRPr="000D0035">
        <w:rPr>
          <w:rStyle w:val="Strong"/>
          <w:b/>
          <w:bCs w:val="0"/>
        </w:rPr>
        <w:t>Table 5: Total number of vaccinations administered, by jurisdiction, Australia, 27 April 2021</w:t>
      </w:r>
      <w:r w:rsidRPr="000D0035">
        <w:rPr>
          <w:rStyle w:val="Strong"/>
          <w:b/>
          <w:bCs w:val="0"/>
          <w:vertAlign w:val="superscript"/>
        </w:rPr>
        <w:t>a</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5 shows the total number of vaccinations administered to date within each jurisdiction, noting also the Commonwealth-administered vaccinations provided to residents in aged care and disability settings and those administered in primary care settings. Of the 2,029,554 vaccinations administered as of 27 April 2021, more than half (1,057,804 vaccinations) have been administered in primary care settings, with a further 210,770 vaccines administered to those in aged care and disability facilities. Of the vaccines administered by the states and territories, the greatest number has been administered by authorities in New South Wales (198,492 vaccines), closely followed by 198,228 vaccines administered by authorities in Victoria."/>
      </w:tblPr>
      <w:tblGrid>
        <w:gridCol w:w="5220"/>
        <w:gridCol w:w="5220"/>
      </w:tblGrid>
      <w:tr w:rsidR="00B977DC" w:rsidRPr="0097393C" w:rsidTr="004A0202">
        <w:trPr>
          <w:cnfStyle w:val="100000000000" w:firstRow="1" w:lastRow="0" w:firstColumn="0" w:lastColumn="0" w:oddVBand="0" w:evenVBand="0" w:oddHBand="0" w:evenHBand="0" w:firstRowFirstColumn="0" w:firstRowLastColumn="0" w:lastRowFirstColumn="0" w:lastRowLastColumn="0"/>
          <w:tblHeader/>
        </w:trPr>
        <w:tc>
          <w:tcPr>
            <w:tcW w:w="5220" w:type="dxa"/>
            <w:tcBorders>
              <w:right w:val="single" w:sz="2" w:space="0" w:color="FFFFFF" w:themeColor="background1"/>
            </w:tcBorders>
            <w:hideMark/>
          </w:tcPr>
          <w:p w:rsidR="00B977DC" w:rsidRPr="0097393C" w:rsidRDefault="00B977DC" w:rsidP="0014557D">
            <w:pPr>
              <w:pStyle w:val="NormalWeb"/>
              <w:rPr>
                <w:color w:val="FFFFFF" w:themeColor="background1"/>
                <w:sz w:val="18"/>
                <w:szCs w:val="18"/>
              </w:rPr>
            </w:pPr>
            <w:r w:rsidRPr="0097393C">
              <w:rPr>
                <w:color w:val="FFFFFF" w:themeColor="background1"/>
                <w:sz w:val="18"/>
                <w:szCs w:val="18"/>
              </w:rPr>
              <w:t>Jurisdiction</w:t>
            </w:r>
          </w:p>
        </w:tc>
        <w:tc>
          <w:tcPr>
            <w:tcW w:w="5220" w:type="dxa"/>
            <w:tcBorders>
              <w:left w:val="single" w:sz="2" w:space="0" w:color="FFFFFF" w:themeColor="background1"/>
            </w:tcBorders>
            <w:hideMark/>
          </w:tcPr>
          <w:p w:rsidR="00B977DC" w:rsidRPr="0097393C" w:rsidRDefault="00B977DC" w:rsidP="0014557D">
            <w:pPr>
              <w:pStyle w:val="NormalWeb"/>
              <w:jc w:val="center"/>
              <w:rPr>
                <w:color w:val="FFFFFF" w:themeColor="background1"/>
                <w:sz w:val="18"/>
                <w:szCs w:val="18"/>
              </w:rPr>
            </w:pPr>
            <w:r w:rsidRPr="0097393C">
              <w:rPr>
                <w:color w:val="FFFFFF" w:themeColor="background1"/>
                <w:sz w:val="18"/>
                <w:szCs w:val="18"/>
              </w:rPr>
              <w:t>Total number of doses administered</w:t>
            </w:r>
          </w:p>
        </w:tc>
      </w:tr>
      <w:tr w:rsidR="00B977DC" w:rsidRPr="0097393C" w:rsidTr="004A0202">
        <w:tc>
          <w:tcPr>
            <w:tcW w:w="5220" w:type="dxa"/>
            <w:hideMark/>
          </w:tcPr>
          <w:p w:rsidR="00B977DC" w:rsidRPr="0097393C" w:rsidRDefault="00B977DC" w:rsidP="0014557D">
            <w:pPr>
              <w:pStyle w:val="NormalWeb"/>
              <w:rPr>
                <w:sz w:val="18"/>
                <w:szCs w:val="18"/>
              </w:rPr>
            </w:pPr>
            <w:r w:rsidRPr="0097393C">
              <w:rPr>
                <w:sz w:val="18"/>
                <w:szCs w:val="18"/>
              </w:rPr>
              <w:t>ACT</w:t>
            </w:r>
          </w:p>
        </w:tc>
        <w:tc>
          <w:tcPr>
            <w:tcW w:w="5220" w:type="dxa"/>
            <w:hideMark/>
          </w:tcPr>
          <w:p w:rsidR="00B977DC" w:rsidRPr="0097393C" w:rsidRDefault="00B977DC" w:rsidP="0014557D">
            <w:pPr>
              <w:pStyle w:val="NormalWeb"/>
              <w:jc w:val="center"/>
              <w:rPr>
                <w:sz w:val="18"/>
                <w:szCs w:val="18"/>
              </w:rPr>
            </w:pPr>
            <w:r w:rsidRPr="0097393C">
              <w:rPr>
                <w:sz w:val="18"/>
                <w:szCs w:val="18"/>
              </w:rPr>
              <w:t>26,584</w:t>
            </w:r>
          </w:p>
        </w:tc>
      </w:tr>
      <w:tr w:rsidR="00B977DC" w:rsidRPr="0097393C" w:rsidTr="004A0202">
        <w:trPr>
          <w:cnfStyle w:val="000000010000" w:firstRow="0" w:lastRow="0" w:firstColumn="0" w:lastColumn="0" w:oddVBand="0" w:evenVBand="0" w:oddHBand="0" w:evenHBand="1" w:firstRowFirstColumn="0" w:firstRowLastColumn="0" w:lastRowFirstColumn="0" w:lastRowLastColumn="0"/>
        </w:trPr>
        <w:tc>
          <w:tcPr>
            <w:tcW w:w="5220" w:type="dxa"/>
            <w:hideMark/>
          </w:tcPr>
          <w:p w:rsidR="00B977DC" w:rsidRPr="0097393C" w:rsidRDefault="00B977DC" w:rsidP="0014557D">
            <w:pPr>
              <w:pStyle w:val="NormalWeb"/>
              <w:rPr>
                <w:sz w:val="18"/>
                <w:szCs w:val="18"/>
              </w:rPr>
            </w:pPr>
            <w:r w:rsidRPr="0097393C">
              <w:rPr>
                <w:sz w:val="18"/>
                <w:szCs w:val="18"/>
              </w:rPr>
              <w:t>NSW</w:t>
            </w:r>
          </w:p>
        </w:tc>
        <w:tc>
          <w:tcPr>
            <w:tcW w:w="5220" w:type="dxa"/>
            <w:hideMark/>
          </w:tcPr>
          <w:p w:rsidR="00B977DC" w:rsidRPr="0097393C" w:rsidRDefault="00B977DC" w:rsidP="0014557D">
            <w:pPr>
              <w:pStyle w:val="NormalWeb"/>
              <w:jc w:val="center"/>
              <w:rPr>
                <w:sz w:val="18"/>
                <w:szCs w:val="18"/>
              </w:rPr>
            </w:pPr>
            <w:r w:rsidRPr="0097393C">
              <w:rPr>
                <w:sz w:val="18"/>
                <w:szCs w:val="18"/>
              </w:rPr>
              <w:t>198,492</w:t>
            </w:r>
          </w:p>
        </w:tc>
      </w:tr>
      <w:tr w:rsidR="00B977DC" w:rsidRPr="0097393C" w:rsidTr="004A0202">
        <w:tc>
          <w:tcPr>
            <w:tcW w:w="5220" w:type="dxa"/>
            <w:hideMark/>
          </w:tcPr>
          <w:p w:rsidR="00B977DC" w:rsidRPr="0097393C" w:rsidRDefault="00B977DC" w:rsidP="0014557D">
            <w:pPr>
              <w:pStyle w:val="NormalWeb"/>
              <w:rPr>
                <w:sz w:val="18"/>
                <w:szCs w:val="18"/>
              </w:rPr>
            </w:pPr>
            <w:r w:rsidRPr="0097393C">
              <w:rPr>
                <w:sz w:val="18"/>
                <w:szCs w:val="18"/>
              </w:rPr>
              <w:t>NT</w:t>
            </w:r>
          </w:p>
        </w:tc>
        <w:tc>
          <w:tcPr>
            <w:tcW w:w="5220" w:type="dxa"/>
            <w:hideMark/>
          </w:tcPr>
          <w:p w:rsidR="00B977DC" w:rsidRPr="0097393C" w:rsidRDefault="00B977DC" w:rsidP="0014557D">
            <w:pPr>
              <w:pStyle w:val="NormalWeb"/>
              <w:jc w:val="center"/>
              <w:rPr>
                <w:sz w:val="18"/>
                <w:szCs w:val="18"/>
              </w:rPr>
            </w:pPr>
            <w:r w:rsidRPr="0097393C">
              <w:rPr>
                <w:sz w:val="18"/>
                <w:szCs w:val="18"/>
              </w:rPr>
              <w:t>15,426</w:t>
            </w:r>
          </w:p>
        </w:tc>
      </w:tr>
      <w:tr w:rsidR="00B977DC" w:rsidRPr="0097393C" w:rsidTr="004A0202">
        <w:trPr>
          <w:cnfStyle w:val="000000010000" w:firstRow="0" w:lastRow="0" w:firstColumn="0" w:lastColumn="0" w:oddVBand="0" w:evenVBand="0" w:oddHBand="0" w:evenHBand="1" w:firstRowFirstColumn="0" w:firstRowLastColumn="0" w:lastRowFirstColumn="0" w:lastRowLastColumn="0"/>
        </w:trPr>
        <w:tc>
          <w:tcPr>
            <w:tcW w:w="5220" w:type="dxa"/>
            <w:hideMark/>
          </w:tcPr>
          <w:p w:rsidR="00B977DC" w:rsidRPr="0097393C" w:rsidRDefault="00B977DC" w:rsidP="0014557D">
            <w:pPr>
              <w:pStyle w:val="NormalWeb"/>
              <w:rPr>
                <w:sz w:val="18"/>
                <w:szCs w:val="18"/>
              </w:rPr>
            </w:pPr>
            <w:r w:rsidRPr="0097393C">
              <w:rPr>
                <w:sz w:val="18"/>
                <w:szCs w:val="18"/>
              </w:rPr>
              <w:t>Qld</w:t>
            </w:r>
          </w:p>
        </w:tc>
        <w:tc>
          <w:tcPr>
            <w:tcW w:w="5220" w:type="dxa"/>
            <w:hideMark/>
          </w:tcPr>
          <w:p w:rsidR="00B977DC" w:rsidRPr="0097393C" w:rsidRDefault="00B977DC" w:rsidP="0014557D">
            <w:pPr>
              <w:pStyle w:val="NormalWeb"/>
              <w:jc w:val="center"/>
              <w:rPr>
                <w:sz w:val="18"/>
                <w:szCs w:val="18"/>
              </w:rPr>
            </w:pPr>
            <w:r w:rsidRPr="0097393C">
              <w:rPr>
                <w:sz w:val="18"/>
                <w:szCs w:val="18"/>
              </w:rPr>
              <w:t>139,489</w:t>
            </w:r>
          </w:p>
        </w:tc>
      </w:tr>
      <w:tr w:rsidR="00B977DC" w:rsidRPr="0097393C" w:rsidTr="004A0202">
        <w:tc>
          <w:tcPr>
            <w:tcW w:w="5220" w:type="dxa"/>
            <w:hideMark/>
          </w:tcPr>
          <w:p w:rsidR="00B977DC" w:rsidRPr="0097393C" w:rsidRDefault="00B977DC" w:rsidP="0014557D">
            <w:pPr>
              <w:pStyle w:val="NormalWeb"/>
              <w:rPr>
                <w:sz w:val="18"/>
                <w:szCs w:val="18"/>
              </w:rPr>
            </w:pPr>
            <w:r w:rsidRPr="0097393C">
              <w:rPr>
                <w:sz w:val="18"/>
                <w:szCs w:val="18"/>
              </w:rPr>
              <w:t>SA</w:t>
            </w:r>
          </w:p>
        </w:tc>
        <w:tc>
          <w:tcPr>
            <w:tcW w:w="5220" w:type="dxa"/>
            <w:hideMark/>
          </w:tcPr>
          <w:p w:rsidR="00B977DC" w:rsidRPr="0097393C" w:rsidRDefault="00B977DC" w:rsidP="0014557D">
            <w:pPr>
              <w:pStyle w:val="NormalWeb"/>
              <w:jc w:val="center"/>
              <w:rPr>
                <w:sz w:val="18"/>
                <w:szCs w:val="18"/>
              </w:rPr>
            </w:pPr>
            <w:r w:rsidRPr="0097393C">
              <w:rPr>
                <w:sz w:val="18"/>
                <w:szCs w:val="18"/>
              </w:rPr>
              <w:t>55,478</w:t>
            </w:r>
          </w:p>
        </w:tc>
      </w:tr>
      <w:tr w:rsidR="00B977DC" w:rsidRPr="0097393C" w:rsidTr="004A0202">
        <w:trPr>
          <w:cnfStyle w:val="000000010000" w:firstRow="0" w:lastRow="0" w:firstColumn="0" w:lastColumn="0" w:oddVBand="0" w:evenVBand="0" w:oddHBand="0" w:evenHBand="1" w:firstRowFirstColumn="0" w:firstRowLastColumn="0" w:lastRowFirstColumn="0" w:lastRowLastColumn="0"/>
        </w:trPr>
        <w:tc>
          <w:tcPr>
            <w:tcW w:w="5220" w:type="dxa"/>
            <w:hideMark/>
          </w:tcPr>
          <w:p w:rsidR="00B977DC" w:rsidRPr="0097393C" w:rsidRDefault="00B977DC" w:rsidP="0014557D">
            <w:pPr>
              <w:pStyle w:val="NormalWeb"/>
              <w:rPr>
                <w:sz w:val="18"/>
                <w:szCs w:val="18"/>
              </w:rPr>
            </w:pPr>
            <w:r w:rsidRPr="0097393C">
              <w:rPr>
                <w:sz w:val="18"/>
                <w:szCs w:val="18"/>
              </w:rPr>
              <w:t>Tas.</w:t>
            </w:r>
          </w:p>
        </w:tc>
        <w:tc>
          <w:tcPr>
            <w:tcW w:w="5220" w:type="dxa"/>
            <w:hideMark/>
          </w:tcPr>
          <w:p w:rsidR="00B977DC" w:rsidRPr="0097393C" w:rsidRDefault="00B977DC" w:rsidP="0014557D">
            <w:pPr>
              <w:pStyle w:val="NormalWeb"/>
              <w:jc w:val="center"/>
              <w:rPr>
                <w:sz w:val="18"/>
                <w:szCs w:val="18"/>
              </w:rPr>
            </w:pPr>
            <w:r w:rsidRPr="0097393C">
              <w:rPr>
                <w:sz w:val="18"/>
                <w:szCs w:val="18"/>
              </w:rPr>
              <w:t>35,316</w:t>
            </w:r>
          </w:p>
        </w:tc>
      </w:tr>
      <w:tr w:rsidR="00B977DC" w:rsidRPr="0097393C" w:rsidTr="004A0202">
        <w:tc>
          <w:tcPr>
            <w:tcW w:w="5220" w:type="dxa"/>
            <w:hideMark/>
          </w:tcPr>
          <w:p w:rsidR="00B977DC" w:rsidRPr="0097393C" w:rsidRDefault="00B977DC" w:rsidP="0014557D">
            <w:pPr>
              <w:pStyle w:val="NormalWeb"/>
              <w:rPr>
                <w:sz w:val="18"/>
                <w:szCs w:val="18"/>
              </w:rPr>
            </w:pPr>
            <w:r w:rsidRPr="0097393C">
              <w:rPr>
                <w:sz w:val="18"/>
                <w:szCs w:val="18"/>
              </w:rPr>
              <w:t>Vic.</w:t>
            </w:r>
          </w:p>
        </w:tc>
        <w:tc>
          <w:tcPr>
            <w:tcW w:w="5220" w:type="dxa"/>
            <w:hideMark/>
          </w:tcPr>
          <w:p w:rsidR="00B977DC" w:rsidRPr="0097393C" w:rsidRDefault="00B977DC" w:rsidP="0014557D">
            <w:pPr>
              <w:pStyle w:val="NormalWeb"/>
              <w:jc w:val="center"/>
              <w:rPr>
                <w:sz w:val="18"/>
                <w:szCs w:val="18"/>
              </w:rPr>
            </w:pPr>
            <w:r w:rsidRPr="0097393C">
              <w:rPr>
                <w:sz w:val="18"/>
                <w:szCs w:val="18"/>
              </w:rPr>
              <w:t>198,228</w:t>
            </w:r>
          </w:p>
        </w:tc>
      </w:tr>
      <w:tr w:rsidR="00B977DC" w:rsidRPr="0097393C" w:rsidTr="004A0202">
        <w:trPr>
          <w:cnfStyle w:val="000000010000" w:firstRow="0" w:lastRow="0" w:firstColumn="0" w:lastColumn="0" w:oddVBand="0" w:evenVBand="0" w:oddHBand="0" w:evenHBand="1" w:firstRowFirstColumn="0" w:firstRowLastColumn="0" w:lastRowFirstColumn="0" w:lastRowLastColumn="0"/>
        </w:trPr>
        <w:tc>
          <w:tcPr>
            <w:tcW w:w="5220" w:type="dxa"/>
            <w:hideMark/>
          </w:tcPr>
          <w:p w:rsidR="00B977DC" w:rsidRPr="0097393C" w:rsidRDefault="00B977DC" w:rsidP="0014557D">
            <w:pPr>
              <w:pStyle w:val="NormalWeb"/>
              <w:rPr>
                <w:sz w:val="18"/>
                <w:szCs w:val="18"/>
              </w:rPr>
            </w:pPr>
            <w:r w:rsidRPr="0097393C">
              <w:rPr>
                <w:sz w:val="18"/>
                <w:szCs w:val="18"/>
              </w:rPr>
              <w:t>WA</w:t>
            </w:r>
          </w:p>
        </w:tc>
        <w:tc>
          <w:tcPr>
            <w:tcW w:w="5220" w:type="dxa"/>
            <w:hideMark/>
          </w:tcPr>
          <w:p w:rsidR="00B977DC" w:rsidRPr="0097393C" w:rsidRDefault="00B977DC" w:rsidP="0014557D">
            <w:pPr>
              <w:pStyle w:val="NormalWeb"/>
              <w:jc w:val="center"/>
              <w:rPr>
                <w:sz w:val="18"/>
                <w:szCs w:val="18"/>
              </w:rPr>
            </w:pPr>
            <w:r w:rsidRPr="0097393C">
              <w:rPr>
                <w:sz w:val="18"/>
                <w:szCs w:val="18"/>
              </w:rPr>
              <w:t>91,957</w:t>
            </w:r>
          </w:p>
        </w:tc>
      </w:tr>
      <w:tr w:rsidR="00B977DC" w:rsidRPr="0097393C" w:rsidTr="004A0202">
        <w:tc>
          <w:tcPr>
            <w:tcW w:w="5220" w:type="dxa"/>
            <w:hideMark/>
          </w:tcPr>
          <w:p w:rsidR="00B977DC" w:rsidRPr="0097393C" w:rsidRDefault="00B977DC" w:rsidP="0014557D">
            <w:pPr>
              <w:pStyle w:val="NormalWeb"/>
              <w:rPr>
                <w:sz w:val="18"/>
                <w:szCs w:val="18"/>
              </w:rPr>
            </w:pPr>
            <w:r w:rsidRPr="0097393C">
              <w:rPr>
                <w:sz w:val="18"/>
                <w:szCs w:val="18"/>
              </w:rPr>
              <w:t xml:space="preserve">Aged care and disability </w:t>
            </w:r>
            <w:proofErr w:type="spellStart"/>
            <w:r w:rsidRPr="0097393C">
              <w:rPr>
                <w:sz w:val="18"/>
                <w:szCs w:val="18"/>
              </w:rPr>
              <w:t>facilities</w:t>
            </w:r>
            <w:r w:rsidRPr="0097393C">
              <w:rPr>
                <w:sz w:val="18"/>
                <w:szCs w:val="18"/>
                <w:vertAlign w:val="superscript"/>
              </w:rPr>
              <w:t>b</w:t>
            </w:r>
            <w:proofErr w:type="spellEnd"/>
          </w:p>
        </w:tc>
        <w:tc>
          <w:tcPr>
            <w:tcW w:w="5220" w:type="dxa"/>
            <w:hideMark/>
          </w:tcPr>
          <w:p w:rsidR="00B977DC" w:rsidRPr="0097393C" w:rsidRDefault="00B977DC" w:rsidP="0014557D">
            <w:pPr>
              <w:pStyle w:val="NormalWeb"/>
              <w:jc w:val="center"/>
              <w:rPr>
                <w:sz w:val="18"/>
                <w:szCs w:val="18"/>
              </w:rPr>
            </w:pPr>
            <w:r w:rsidRPr="0097393C">
              <w:rPr>
                <w:sz w:val="18"/>
                <w:szCs w:val="18"/>
              </w:rPr>
              <w:t>210,770</w:t>
            </w:r>
          </w:p>
        </w:tc>
      </w:tr>
      <w:tr w:rsidR="00B977DC" w:rsidRPr="0097393C" w:rsidTr="004A0202">
        <w:trPr>
          <w:cnfStyle w:val="000000010000" w:firstRow="0" w:lastRow="0" w:firstColumn="0" w:lastColumn="0" w:oddVBand="0" w:evenVBand="0" w:oddHBand="0" w:evenHBand="1" w:firstRowFirstColumn="0" w:firstRowLastColumn="0" w:lastRowFirstColumn="0" w:lastRowLastColumn="0"/>
        </w:trPr>
        <w:tc>
          <w:tcPr>
            <w:tcW w:w="5220" w:type="dxa"/>
            <w:hideMark/>
          </w:tcPr>
          <w:p w:rsidR="00B977DC" w:rsidRPr="0097393C" w:rsidRDefault="00B977DC" w:rsidP="0014557D">
            <w:pPr>
              <w:pStyle w:val="NormalWeb"/>
              <w:rPr>
                <w:sz w:val="18"/>
                <w:szCs w:val="18"/>
              </w:rPr>
            </w:pPr>
            <w:r w:rsidRPr="0097393C">
              <w:rPr>
                <w:sz w:val="18"/>
                <w:szCs w:val="18"/>
              </w:rPr>
              <w:t xml:space="preserve">Primary </w:t>
            </w:r>
            <w:proofErr w:type="spellStart"/>
            <w:r w:rsidRPr="0097393C">
              <w:rPr>
                <w:sz w:val="18"/>
                <w:szCs w:val="18"/>
              </w:rPr>
              <w:t>care</w:t>
            </w:r>
            <w:r w:rsidRPr="0097393C">
              <w:rPr>
                <w:sz w:val="18"/>
                <w:szCs w:val="18"/>
                <w:vertAlign w:val="superscript"/>
              </w:rPr>
              <w:t>c</w:t>
            </w:r>
            <w:proofErr w:type="spellEnd"/>
          </w:p>
        </w:tc>
        <w:tc>
          <w:tcPr>
            <w:tcW w:w="5220" w:type="dxa"/>
            <w:hideMark/>
          </w:tcPr>
          <w:p w:rsidR="00B977DC" w:rsidRPr="0097393C" w:rsidRDefault="00B977DC" w:rsidP="0014557D">
            <w:pPr>
              <w:pStyle w:val="NormalWeb"/>
              <w:jc w:val="center"/>
              <w:rPr>
                <w:sz w:val="18"/>
                <w:szCs w:val="18"/>
              </w:rPr>
            </w:pPr>
            <w:r w:rsidRPr="0097393C">
              <w:rPr>
                <w:sz w:val="18"/>
                <w:szCs w:val="18"/>
              </w:rPr>
              <w:t>1,057,804</w:t>
            </w:r>
          </w:p>
        </w:tc>
      </w:tr>
      <w:tr w:rsidR="00B977DC" w:rsidRPr="0097393C" w:rsidTr="004A0202">
        <w:tc>
          <w:tcPr>
            <w:tcW w:w="5220" w:type="dxa"/>
            <w:shd w:val="clear" w:color="auto" w:fill="FDE9D9" w:themeFill="accent6" w:themeFillTint="33"/>
            <w:hideMark/>
          </w:tcPr>
          <w:p w:rsidR="00B977DC" w:rsidRPr="0097393C" w:rsidRDefault="00B977DC" w:rsidP="0014557D">
            <w:pPr>
              <w:pStyle w:val="NormalWeb"/>
              <w:rPr>
                <w:b/>
                <w:sz w:val="18"/>
                <w:szCs w:val="18"/>
              </w:rPr>
            </w:pPr>
            <w:r w:rsidRPr="0097393C">
              <w:rPr>
                <w:b/>
                <w:sz w:val="18"/>
                <w:szCs w:val="18"/>
              </w:rPr>
              <w:t>Total</w:t>
            </w:r>
          </w:p>
        </w:tc>
        <w:tc>
          <w:tcPr>
            <w:tcW w:w="5220" w:type="dxa"/>
            <w:shd w:val="clear" w:color="auto" w:fill="FDE9D9" w:themeFill="accent6" w:themeFillTint="33"/>
            <w:hideMark/>
          </w:tcPr>
          <w:p w:rsidR="00B977DC" w:rsidRPr="0097393C" w:rsidRDefault="00B977DC" w:rsidP="0014557D">
            <w:pPr>
              <w:pStyle w:val="NormalWeb"/>
              <w:jc w:val="center"/>
              <w:rPr>
                <w:b/>
                <w:sz w:val="18"/>
                <w:szCs w:val="18"/>
              </w:rPr>
            </w:pPr>
            <w:r w:rsidRPr="0097393C">
              <w:rPr>
                <w:b/>
                <w:sz w:val="18"/>
                <w:szCs w:val="18"/>
              </w:rPr>
              <w:t>2,029,554</w:t>
            </w:r>
          </w:p>
        </w:tc>
      </w:tr>
    </w:tbl>
    <w:p w:rsidR="00B977DC" w:rsidRDefault="00B977DC" w:rsidP="00B977DC">
      <w:pPr>
        <w:pStyle w:val="CDIfootnotes"/>
        <w:rPr>
          <w:lang w:val="en-GB"/>
        </w:rPr>
      </w:pPr>
      <w:proofErr w:type="gramStart"/>
      <w:r>
        <w:rPr>
          <w:lang w:val="en-GB"/>
        </w:rPr>
        <w:t>a</w:t>
      </w:r>
      <w:proofErr w:type="gramEnd"/>
      <w:r>
        <w:rPr>
          <w:lang w:val="en-GB"/>
        </w:rPr>
        <w:tab/>
        <w:t>Source: Australian Government Department of Health website.</w:t>
      </w:r>
      <w:r w:rsidRPr="00EE1F6B">
        <w:rPr>
          <w:vertAlign w:val="superscript"/>
          <w:lang w:val="en-GB"/>
        </w:rPr>
        <w:t>15</w:t>
      </w:r>
    </w:p>
    <w:p w:rsidR="00B977DC" w:rsidRDefault="00B977DC" w:rsidP="00B977DC">
      <w:pPr>
        <w:pStyle w:val="CDIfootnotes"/>
        <w:rPr>
          <w:lang w:val="en-GB"/>
        </w:rPr>
      </w:pPr>
      <w:proofErr w:type="gramStart"/>
      <w:r>
        <w:rPr>
          <w:lang w:val="en-GB"/>
        </w:rPr>
        <w:t>b</w:t>
      </w:r>
      <w:proofErr w:type="gramEnd"/>
      <w:r>
        <w:rPr>
          <w:lang w:val="en-GB"/>
        </w:rPr>
        <w:tab/>
        <w:t>Commonwealth vaccine doses administered in aged care and disability facilities.</w:t>
      </w:r>
    </w:p>
    <w:p w:rsidR="00B977DC" w:rsidRPr="00C9286B" w:rsidRDefault="00B977DC" w:rsidP="00C9286B">
      <w:pPr>
        <w:pStyle w:val="CDIfootnotes"/>
        <w:rPr>
          <w:lang w:val="en-GB"/>
        </w:rPr>
      </w:pPr>
      <w:proofErr w:type="gramStart"/>
      <w:r>
        <w:rPr>
          <w:lang w:val="en-GB"/>
        </w:rPr>
        <w:t>c</w:t>
      </w:r>
      <w:proofErr w:type="gramEnd"/>
      <w:r>
        <w:rPr>
          <w:lang w:val="en-GB"/>
        </w:rPr>
        <w:tab/>
        <w:t>Commonwealth vaccine doses administered in primary care settings.</w:t>
      </w:r>
    </w:p>
    <w:p w:rsidR="00C9286B" w:rsidRPr="002126FA" w:rsidRDefault="00E52E78">
      <w:r>
        <w:t>Recent rare occurrences of thrombosis (blood clotting) and thrombocytopenia (low blood platelet count) in patients who had received the AstraZeneca COVID-19 vaccine led to temporary suspensions of the vaccine program in Australia, to allow for investigation by regulatory bodies. It is now recommended that the Pfizer vaccine is the preferred COVID-19 vaccine for adults aged under 50 years.</w:t>
      </w:r>
      <w:r>
        <w:rPr>
          <w:vertAlign w:val="superscript"/>
        </w:rPr>
        <w:t>16</w:t>
      </w:r>
      <w:r>
        <w:t xml:space="preserve"> </w:t>
      </w:r>
    </w:p>
    <w:p w:rsidR="00321E69" w:rsidRDefault="00321E69" w:rsidP="00D151EC">
      <w:pPr>
        <w:pStyle w:val="Heading1"/>
      </w:pPr>
      <w:r>
        <w:rPr>
          <w:noProof/>
        </w:rPr>
        <w:lastRenderedPageBreak/>
        <mc:AlternateContent>
          <mc:Choice Requires="wps">
            <w:drawing>
              <wp:inline distT="0" distB="0" distL="0" distR="0" wp14:anchorId="509C9D19" wp14:editId="234396D5">
                <wp:extent cx="6430060" cy="1404620"/>
                <wp:effectExtent l="0" t="0" r="27940" b="13335"/>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0060" cy="1404620"/>
                        </a:xfrm>
                        <a:prstGeom prst="rect">
                          <a:avLst/>
                        </a:prstGeom>
                        <a:solidFill>
                          <a:schemeClr val="bg1">
                            <a:lumMod val="95000"/>
                          </a:schemeClr>
                        </a:solidFill>
                        <a:ln w="3175">
                          <a:solidFill>
                            <a:schemeClr val="bg1">
                              <a:lumMod val="50000"/>
                            </a:schemeClr>
                          </a:solidFill>
                          <a:miter lim="800000"/>
                          <a:headEnd/>
                          <a:tailEnd/>
                        </a:ln>
                      </wps:spPr>
                      <wps:txbx>
                        <w:txbxContent>
                          <w:p w:rsidR="00EE1F6B" w:rsidRDefault="00EE1F6B" w:rsidP="00321E69">
                            <w:pPr>
                              <w:pStyle w:val="Heading1"/>
                              <w:spacing w:before="240"/>
                            </w:pPr>
                            <w:r w:rsidRPr="00D151EC">
                              <w:t xml:space="preserve">Four-week reporting period (29 March – 25 April 2021): </w:t>
                            </w:r>
                          </w:p>
                        </w:txbxContent>
                      </wps:txbx>
                      <wps:bodyPr rot="0" vert="horz" wrap="square" lIns="91440" tIns="45720" rIns="91440" bIns="45720" anchor="t" anchorCtr="0">
                        <a:spAutoFit/>
                      </wps:bodyPr>
                    </wps:wsp>
                  </a:graphicData>
                </a:graphic>
              </wp:inline>
            </w:drawing>
          </mc:Choice>
          <mc:Fallback>
            <w:pict>
              <v:shape w14:anchorId="509C9D19" id="Text Box 4" o:spid="_x0000_s1029" type="#_x0000_t202" style="width:506.3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" fillcolor="#f2f2f2 [3052]" strokecolor="#7f7f7f [1612]" strokeweight=".25pt">
                <v:textbox style="mso-fit-shape-to-text:t">
                  <w:txbxContent>
                    <w:p w:rsidR="00EE1F6B" w:rsidRDefault="00EE1F6B" w:rsidP="00321E69">
                      <w:pPr>
                        <w:pStyle w:val="Heading1"/>
                        <w:spacing w:before="240"/>
                      </w:pPr>
                      <w:r w:rsidRPr="00D151EC">
                        <w:t xml:space="preserve">Four-week reporting period (29 March – 25 April 2021): </w:t>
                      </w:r>
                    </w:p>
                  </w:txbxContent>
                </v:textbox>
                <w10:anchorlock/>
              </v:shape>
            </w:pict>
          </mc:Fallback>
        </mc:AlternateContent>
      </w:r>
    </w:p>
    <w:p w:rsidR="00E52E78" w:rsidRPr="00321E69" w:rsidRDefault="00E52E78" w:rsidP="00D151EC">
      <w:pPr>
        <w:pStyle w:val="Heading2"/>
        <w:rPr>
          <w:i/>
        </w:rPr>
      </w:pPr>
      <w:r w:rsidRPr="00321E69">
        <w:rPr>
          <w:i/>
        </w:rPr>
        <w:t xml:space="preserve">Genomic surveillance and virology </w:t>
      </w:r>
    </w:p>
    <w:p w:rsidR="00E52E78" w:rsidRPr="00321E69" w:rsidRDefault="00E52E78" w:rsidP="00D151EC">
      <w:pPr>
        <w:pStyle w:val="Heading3"/>
        <w:rPr>
          <w:i/>
        </w:rPr>
      </w:pPr>
      <w:r w:rsidRPr="00321E69">
        <w:rPr>
          <w:i/>
        </w:rPr>
        <w:t xml:space="preserve">(Communicable Disease Genomics Network, </w:t>
      </w:r>
      <w:proofErr w:type="spellStart"/>
      <w:r w:rsidRPr="00321E69">
        <w:rPr>
          <w:i/>
        </w:rPr>
        <w:t>AusTrakka</w:t>
      </w:r>
      <w:proofErr w:type="spellEnd"/>
      <w:r w:rsidRPr="00321E69">
        <w:rPr>
          <w:i/>
        </w:rPr>
        <w:t xml:space="preserve"> and jurisdictional sequencing laboratories) </w:t>
      </w:r>
    </w:p>
    <w:p w:rsidR="008070A9" w:rsidRPr="00C9286B" w:rsidRDefault="00E52E78" w:rsidP="00DE4D37">
      <w:pPr>
        <w:rPr>
          <w:rStyle w:val="Strong"/>
          <w:b w:val="0"/>
          <w:bCs w:val="0"/>
        </w:rPr>
      </w:pPr>
      <w:r>
        <w:t xml:space="preserve">Nationally, 59% of COVID-19 cases have been sequenced over the duration of the pandemic, based on jurisdictional reporting (Table 6, </w:t>
      </w:r>
      <w:r w:rsidR="00A63851">
        <w:t>Figure 5</w:t>
      </w:r>
      <w:r>
        <w:t xml:space="preserve">). </w:t>
      </w:r>
    </w:p>
    <w:p w:rsidR="00D606DC" w:rsidRDefault="00D606DC" w:rsidP="00D606DC">
      <w:pPr>
        <w:pStyle w:val="CDIFigures"/>
        <w:rPr>
          <w:lang w:val="en-GB"/>
        </w:rPr>
      </w:pPr>
      <w:r>
        <w:rPr>
          <w:lang w:val="en-GB"/>
        </w:rPr>
        <w:t>Table 6: Australian SARS-CoV-2 genome sequences and proportion of positive cases sequenced, 29 March–25 April 2021 and cumulative to date</w:t>
      </w:r>
    </w:p>
    <w:tbl>
      <w:tblPr>
        <w:tblStyle w:val="CDI-StandardTable"/>
        <w:tblW w:w="0" w:type="auto"/>
        <w:tblCellMar>
          <w:top w:w="113" w:type="dxa"/>
          <w:left w:w="57" w:type="dxa"/>
          <w:bottom w:w="113" w:type="dxa"/>
          <w:right w:w="57" w:type="dxa"/>
        </w:tblCellMar>
        <w:tblLook w:val="04A0" w:firstRow="1" w:lastRow="0" w:firstColumn="1" w:lastColumn="0" w:noHBand="0" w:noVBand="1"/>
        <w:tblDescription w:val="For the latest four-week reporting period, there have been 230 SARS-CoV-2 case sequences recorded in Australia, corresponding to 59% of positive COVID-19 cases reported during this period. The cumulative total of SARS-CoV-2 case sequences recorded in Australia since the start of the epidemic is 17,381 sequences, again corresponding to 59% of positive cases during this time. "/>
      </w:tblPr>
      <w:tblGrid>
        <w:gridCol w:w="3480"/>
        <w:gridCol w:w="3480"/>
        <w:gridCol w:w="3480"/>
      </w:tblGrid>
      <w:tr w:rsidR="00D606DC" w:rsidRPr="00C821CB" w:rsidTr="00342B9F">
        <w:trPr>
          <w:cnfStyle w:val="100000000000" w:firstRow="1" w:lastRow="0" w:firstColumn="0" w:lastColumn="0" w:oddVBand="0" w:evenVBand="0" w:oddHBand="0" w:evenHBand="0" w:firstRowFirstColumn="0" w:firstRowLastColumn="0" w:lastRowFirstColumn="0" w:lastRowLastColumn="0"/>
          <w:tblHeader/>
        </w:trPr>
        <w:tc>
          <w:tcPr>
            <w:tcW w:w="3480" w:type="dxa"/>
            <w:tcBorders>
              <w:right w:val="single" w:sz="2" w:space="0" w:color="FFFFFF" w:themeColor="background1"/>
            </w:tcBorders>
            <w:hideMark/>
          </w:tcPr>
          <w:p w:rsidR="00D606DC" w:rsidRPr="00C821CB" w:rsidRDefault="00D606DC" w:rsidP="00EE1F6B">
            <w:pPr>
              <w:pStyle w:val="NormalWeb"/>
              <w:rPr>
                <w:color w:val="FFFFFF" w:themeColor="background1"/>
                <w:sz w:val="18"/>
              </w:rPr>
            </w:pPr>
            <w:r w:rsidRPr="00C821CB">
              <w:rPr>
                <w:color w:val="FFFFFF" w:themeColor="background1"/>
                <w:sz w:val="18"/>
              </w:rPr>
              <w:t>Measure</w:t>
            </w:r>
          </w:p>
        </w:tc>
        <w:tc>
          <w:tcPr>
            <w:tcW w:w="3480" w:type="dxa"/>
            <w:tcBorders>
              <w:left w:val="single" w:sz="2" w:space="0" w:color="FFFFFF" w:themeColor="background1"/>
              <w:right w:val="single" w:sz="2" w:space="0" w:color="FFFFFF" w:themeColor="background1"/>
            </w:tcBorders>
            <w:hideMark/>
          </w:tcPr>
          <w:p w:rsidR="00D606DC" w:rsidRPr="00C821CB" w:rsidRDefault="00D606DC" w:rsidP="00EE1F6B">
            <w:pPr>
              <w:pStyle w:val="NormalWeb"/>
              <w:jc w:val="center"/>
              <w:rPr>
                <w:color w:val="FFFFFF" w:themeColor="background1"/>
                <w:sz w:val="18"/>
              </w:rPr>
            </w:pPr>
            <w:r w:rsidRPr="00C821CB">
              <w:rPr>
                <w:color w:val="FFFFFF" w:themeColor="background1"/>
                <w:sz w:val="18"/>
              </w:rPr>
              <w:t>Reporting period</w:t>
            </w:r>
            <w:r w:rsidRPr="00C821CB">
              <w:rPr>
                <w:color w:val="FFFFFF" w:themeColor="background1"/>
                <w:sz w:val="18"/>
              </w:rPr>
              <w:br/>
              <w:t>29 March – 25 April 2021</w:t>
            </w:r>
          </w:p>
        </w:tc>
        <w:tc>
          <w:tcPr>
            <w:tcW w:w="3480" w:type="dxa"/>
            <w:tcBorders>
              <w:left w:val="single" w:sz="2" w:space="0" w:color="FFFFFF" w:themeColor="background1"/>
            </w:tcBorders>
            <w:hideMark/>
          </w:tcPr>
          <w:p w:rsidR="00D606DC" w:rsidRPr="00C821CB" w:rsidRDefault="00D606DC" w:rsidP="00EE1F6B">
            <w:pPr>
              <w:pStyle w:val="NormalWeb"/>
              <w:jc w:val="center"/>
              <w:rPr>
                <w:color w:val="FFFFFF" w:themeColor="background1"/>
                <w:sz w:val="18"/>
              </w:rPr>
            </w:pPr>
            <w:r w:rsidRPr="00C821CB">
              <w:rPr>
                <w:color w:val="FFFFFF" w:themeColor="background1"/>
                <w:sz w:val="18"/>
              </w:rPr>
              <w:t>Cumulative 23 January 2020</w:t>
            </w:r>
            <w:r w:rsidRPr="00C821CB">
              <w:rPr>
                <w:color w:val="FFFFFF" w:themeColor="background1"/>
                <w:sz w:val="18"/>
              </w:rPr>
              <w:br/>
              <w:t>– 25 April 2021</w:t>
            </w:r>
          </w:p>
        </w:tc>
      </w:tr>
      <w:tr w:rsidR="00D606DC" w:rsidRPr="00C821CB" w:rsidTr="00342B9F">
        <w:tc>
          <w:tcPr>
            <w:tcW w:w="3480" w:type="dxa"/>
            <w:hideMark/>
          </w:tcPr>
          <w:p w:rsidR="00D606DC" w:rsidRPr="00C821CB" w:rsidRDefault="00D606DC" w:rsidP="00EE1F6B">
            <w:pPr>
              <w:pStyle w:val="NormalWeb"/>
              <w:rPr>
                <w:sz w:val="18"/>
              </w:rPr>
            </w:pPr>
            <w:r w:rsidRPr="00C821CB">
              <w:rPr>
                <w:sz w:val="18"/>
              </w:rPr>
              <w:t xml:space="preserve">SARS-CoV-2 cases </w:t>
            </w:r>
            <w:proofErr w:type="spellStart"/>
            <w:r w:rsidRPr="00C821CB">
              <w:rPr>
                <w:sz w:val="18"/>
              </w:rPr>
              <w:t>sequenced</w:t>
            </w:r>
            <w:r w:rsidRPr="00B15DDC">
              <w:rPr>
                <w:sz w:val="18"/>
                <w:vertAlign w:val="superscript"/>
              </w:rPr>
              <w:t>a</w:t>
            </w:r>
            <w:proofErr w:type="spellEnd"/>
          </w:p>
        </w:tc>
        <w:tc>
          <w:tcPr>
            <w:tcW w:w="3480" w:type="dxa"/>
            <w:hideMark/>
          </w:tcPr>
          <w:p w:rsidR="00D606DC" w:rsidRPr="00C821CB" w:rsidRDefault="00D606DC" w:rsidP="00EE1F6B">
            <w:pPr>
              <w:pStyle w:val="NormalWeb"/>
              <w:jc w:val="center"/>
              <w:rPr>
                <w:sz w:val="18"/>
              </w:rPr>
            </w:pPr>
            <w:r w:rsidRPr="00C821CB">
              <w:rPr>
                <w:sz w:val="18"/>
              </w:rPr>
              <w:t>230</w:t>
            </w:r>
          </w:p>
        </w:tc>
        <w:tc>
          <w:tcPr>
            <w:tcW w:w="3480" w:type="dxa"/>
            <w:hideMark/>
          </w:tcPr>
          <w:p w:rsidR="00D606DC" w:rsidRPr="00C821CB" w:rsidRDefault="00D606DC" w:rsidP="00EE1F6B">
            <w:pPr>
              <w:pStyle w:val="NormalWeb"/>
              <w:jc w:val="center"/>
              <w:rPr>
                <w:sz w:val="18"/>
              </w:rPr>
            </w:pPr>
            <w:r w:rsidRPr="00C821CB">
              <w:rPr>
                <w:sz w:val="18"/>
              </w:rPr>
              <w:t>17,381</w:t>
            </w:r>
          </w:p>
        </w:tc>
      </w:tr>
      <w:tr w:rsidR="00D606DC" w:rsidRPr="00C821CB" w:rsidTr="00342B9F">
        <w:trPr>
          <w:cnfStyle w:val="000000010000" w:firstRow="0" w:lastRow="0" w:firstColumn="0" w:lastColumn="0" w:oddVBand="0" w:evenVBand="0" w:oddHBand="0" w:evenHBand="1" w:firstRowFirstColumn="0" w:firstRowLastColumn="0" w:lastRowFirstColumn="0" w:lastRowLastColumn="0"/>
        </w:trPr>
        <w:tc>
          <w:tcPr>
            <w:tcW w:w="3480" w:type="dxa"/>
            <w:hideMark/>
          </w:tcPr>
          <w:p w:rsidR="00D606DC" w:rsidRPr="00C821CB" w:rsidRDefault="00D606DC" w:rsidP="00EE1F6B">
            <w:pPr>
              <w:pStyle w:val="NormalWeb"/>
              <w:rPr>
                <w:sz w:val="18"/>
              </w:rPr>
            </w:pPr>
            <w:r w:rsidRPr="00C821CB">
              <w:rPr>
                <w:sz w:val="18"/>
              </w:rPr>
              <w:t xml:space="preserve">Percentage of positive cases </w:t>
            </w:r>
            <w:proofErr w:type="spellStart"/>
            <w:r w:rsidRPr="00C821CB">
              <w:rPr>
                <w:sz w:val="18"/>
              </w:rPr>
              <w:t>sequenced</w:t>
            </w:r>
            <w:r w:rsidRPr="00B15DDC">
              <w:rPr>
                <w:sz w:val="18"/>
                <w:vertAlign w:val="superscript"/>
              </w:rPr>
              <w:t>b</w:t>
            </w:r>
            <w:proofErr w:type="spellEnd"/>
          </w:p>
        </w:tc>
        <w:tc>
          <w:tcPr>
            <w:tcW w:w="3480" w:type="dxa"/>
            <w:hideMark/>
          </w:tcPr>
          <w:p w:rsidR="00D606DC" w:rsidRPr="00C821CB" w:rsidRDefault="00D606DC" w:rsidP="00EE1F6B">
            <w:pPr>
              <w:pStyle w:val="NormalWeb"/>
              <w:jc w:val="center"/>
              <w:rPr>
                <w:sz w:val="18"/>
              </w:rPr>
            </w:pPr>
            <w:r w:rsidRPr="00C821CB">
              <w:rPr>
                <w:sz w:val="18"/>
              </w:rPr>
              <w:t>59%</w:t>
            </w:r>
          </w:p>
        </w:tc>
        <w:tc>
          <w:tcPr>
            <w:tcW w:w="3480" w:type="dxa"/>
            <w:hideMark/>
          </w:tcPr>
          <w:p w:rsidR="00D606DC" w:rsidRPr="00C821CB" w:rsidRDefault="00D606DC" w:rsidP="00EE1F6B">
            <w:pPr>
              <w:pStyle w:val="NormalWeb"/>
              <w:jc w:val="center"/>
              <w:rPr>
                <w:sz w:val="18"/>
              </w:rPr>
            </w:pPr>
            <w:r w:rsidRPr="00C821CB">
              <w:rPr>
                <w:sz w:val="18"/>
              </w:rPr>
              <w:t>59%</w:t>
            </w:r>
          </w:p>
        </w:tc>
      </w:tr>
    </w:tbl>
    <w:p w:rsidR="00D606DC" w:rsidRDefault="00D606DC" w:rsidP="00D606DC">
      <w:pPr>
        <w:pStyle w:val="CDIfootnotes"/>
        <w:rPr>
          <w:lang w:val="en-GB"/>
        </w:rPr>
      </w:pPr>
      <w:proofErr w:type="gramStart"/>
      <w:r>
        <w:rPr>
          <w:lang w:val="en-GB"/>
        </w:rPr>
        <w:t>a</w:t>
      </w:r>
      <w:proofErr w:type="gramEnd"/>
      <w:r>
        <w:rPr>
          <w:lang w:val="en-GB"/>
        </w:rPr>
        <w:tab/>
        <w:t xml:space="preserve">Based on individual jurisdictional reports of sequences and case numbers. Calculations of the percentage of cases sequenced based on the number of sequences available in </w:t>
      </w:r>
      <w:proofErr w:type="spellStart"/>
      <w:r>
        <w:rPr>
          <w:lang w:val="en-GB"/>
        </w:rPr>
        <w:t>AusTrakka</w:t>
      </w:r>
      <w:proofErr w:type="spellEnd"/>
      <w:r>
        <w:rPr>
          <w:lang w:val="en-GB"/>
        </w:rPr>
        <w:t xml:space="preserve"> may not always be up-to-date, since this may include duplicate samples from cases and may not represent all available sequence data.</w:t>
      </w:r>
    </w:p>
    <w:p w:rsidR="00D606DC" w:rsidRDefault="00D606DC" w:rsidP="00D606DC">
      <w:pPr>
        <w:pStyle w:val="CDIfootnotes"/>
        <w:rPr>
          <w:lang w:val="en-GB"/>
        </w:rPr>
      </w:pPr>
      <w:proofErr w:type="gramStart"/>
      <w:r>
        <w:rPr>
          <w:lang w:val="en-GB"/>
        </w:rPr>
        <w:t>b</w:t>
      </w:r>
      <w:proofErr w:type="gramEnd"/>
      <w:r>
        <w:rPr>
          <w:lang w:val="en-GB"/>
        </w:rPr>
        <w:tab/>
        <w:t xml:space="preserve">In most jurisdictions sequencing has been attempted on all suitable samples (one sample per case). Sequencing of samples from cases identified in the reporting period may be in process at the time of reporting. Remaining </w:t>
      </w:r>
      <w:proofErr w:type="spellStart"/>
      <w:r>
        <w:rPr>
          <w:lang w:val="en-GB"/>
        </w:rPr>
        <w:t>unsequenced</w:t>
      </w:r>
      <w:proofErr w:type="spellEnd"/>
      <w:r>
        <w:rPr>
          <w:lang w:val="en-GB"/>
        </w:rPr>
        <w:t xml:space="preserve"> samples may be due to jurisdictional sequencing strategy, or where samples have been deemed unsuitable for sequencing (typically, because viral loads were too low for sequencing to be successful).</w:t>
      </w:r>
    </w:p>
    <w:p w:rsidR="00D606DC" w:rsidRDefault="00D606DC">
      <w:pPr>
        <w:rPr>
          <w:rStyle w:val="Strong"/>
          <w:bCs w:val="0"/>
        </w:rPr>
      </w:pPr>
      <w:r>
        <w:rPr>
          <w:rStyle w:val="Strong"/>
          <w:bCs w:val="0"/>
        </w:rPr>
        <w:br w:type="page"/>
      </w:r>
    </w:p>
    <w:p w:rsidR="00E3191E" w:rsidRPr="000D0035" w:rsidRDefault="00A63851" w:rsidP="00E3191E">
      <w:pPr>
        <w:pStyle w:val="CDIFigures"/>
      </w:pPr>
      <w:r>
        <w:rPr>
          <w:rStyle w:val="Strong"/>
          <w:b/>
          <w:bCs w:val="0"/>
        </w:rPr>
        <w:lastRenderedPageBreak/>
        <w:t>Figure 5</w:t>
      </w:r>
      <w:r w:rsidR="00E3191E" w:rsidRPr="000D0035">
        <w:rPr>
          <w:rStyle w:val="Strong"/>
          <w:b/>
          <w:bCs w:val="0"/>
        </w:rPr>
        <w:t xml:space="preserve">: Samples in </w:t>
      </w:r>
      <w:proofErr w:type="spellStart"/>
      <w:r w:rsidR="00E3191E" w:rsidRPr="000D0035">
        <w:rPr>
          <w:rStyle w:val="Strong"/>
          <w:b/>
          <w:bCs w:val="0"/>
        </w:rPr>
        <w:t>AusTrakka</w:t>
      </w:r>
      <w:proofErr w:type="spellEnd"/>
      <w:r w:rsidR="00E3191E" w:rsidRPr="000D0035">
        <w:rPr>
          <w:rStyle w:val="Strong"/>
          <w:b/>
          <w:bCs w:val="0"/>
        </w:rPr>
        <w:t xml:space="preserve"> since 4 January 2021, by lineage and date of </w:t>
      </w:r>
      <w:proofErr w:type="spellStart"/>
      <w:r w:rsidR="00E3191E" w:rsidRPr="000D0035">
        <w:rPr>
          <w:rStyle w:val="Strong"/>
          <w:b/>
          <w:bCs w:val="0"/>
        </w:rPr>
        <w:t>collection</w:t>
      </w:r>
      <w:r w:rsidR="00E3191E" w:rsidRPr="000D0035">
        <w:rPr>
          <w:rStyle w:val="Strong"/>
          <w:b/>
          <w:bCs w:val="0"/>
          <w:vertAlign w:val="superscript"/>
        </w:rPr>
        <w:t>a</w:t>
      </w:r>
      <w:proofErr w:type="spellEnd"/>
    </w:p>
    <w:p w:rsidR="00E3191E" w:rsidRDefault="00E3191E" w:rsidP="00E3191E">
      <w:pPr>
        <w:pStyle w:val="NormalWeb"/>
        <w:rPr>
          <w:lang w:val="en-GB"/>
        </w:rPr>
      </w:pPr>
      <w:r>
        <w:rPr>
          <w:noProof/>
        </w:rPr>
        <w:drawing>
          <wp:inline distT="0" distB="0" distL="0" distR="0" wp14:anchorId="6C0F4347" wp14:editId="2094E1D2">
            <wp:extent cx="6282842" cy="7903716"/>
            <wp:effectExtent l="0" t="0" r="3810" b="2540"/>
            <wp:docPr id="9" name="Picture 9" descr="Figure 5 plots the numbers of SARS-CoV-2 sequences recorded, by lineage and by date of collection, for the calendar year to date. It is apparent that the most frequently-reported variant of the latest four-week period has been the variant of concern (VOC) B.1.1.7, with numerous samples also collected during this time of the B.1.617 line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6 plots the numbers of SARS-CoV-2 sequences recorded, by lineage and by date of collection, for the calendar year to date. It is apparent that the most frequently-reported variant of the latest four-week period has been the variant of concern (VOC) B.1.1.7, with numerous samples also collected during this time of the B.1.617 lineage."/>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288871" cy="7911300"/>
                    </a:xfrm>
                    <a:prstGeom prst="rect">
                      <a:avLst/>
                    </a:prstGeom>
                  </pic:spPr>
                </pic:pic>
              </a:graphicData>
            </a:graphic>
          </wp:inline>
        </w:drawing>
      </w:r>
    </w:p>
    <w:p w:rsidR="00E3191E" w:rsidRDefault="00E3191E" w:rsidP="00E3191E">
      <w:pPr>
        <w:pStyle w:val="CDIfootnotes"/>
        <w:rPr>
          <w:lang w:val="en-GB"/>
        </w:rPr>
      </w:pPr>
      <w:proofErr w:type="spellStart"/>
      <w:proofErr w:type="gramStart"/>
      <w:r>
        <w:rPr>
          <w:lang w:val="en-GB"/>
        </w:rPr>
        <w:t>a</w:t>
      </w:r>
      <w:proofErr w:type="spellEnd"/>
      <w:proofErr w:type="gramEnd"/>
      <w:r>
        <w:rPr>
          <w:lang w:val="en-GB"/>
        </w:rPr>
        <w:t xml:space="preserve"> </w:t>
      </w:r>
      <w:r>
        <w:rPr>
          <w:lang w:val="en-GB"/>
        </w:rPr>
        <w:tab/>
        <w:t>The start of the current reporting period (29 March – 25 April 2021) is marked by the dotted line, and variant of concern samples are coloured red. The size of the circle is proportional to the number of samples in the lineage at each time point.</w:t>
      </w:r>
    </w:p>
    <w:p w:rsidR="00E3191E" w:rsidRDefault="00E3191E" w:rsidP="00D151EC"/>
    <w:p w:rsidR="00E52E78" w:rsidRPr="00D151EC" w:rsidRDefault="00E52E78" w:rsidP="00D151EC">
      <w:pPr>
        <w:pStyle w:val="Heading3"/>
      </w:pPr>
      <w:r w:rsidRPr="00D151EC">
        <w:lastRenderedPageBreak/>
        <w:t xml:space="preserve">Variants of concern </w:t>
      </w:r>
    </w:p>
    <w:p w:rsidR="00E52E78" w:rsidRDefault="00E52E78" w:rsidP="00D151EC">
      <w:pPr>
        <w:rPr>
          <w:vertAlign w:val="superscript"/>
        </w:rPr>
      </w:pPr>
      <w:proofErr w:type="spellStart"/>
      <w:r>
        <w:t>AusTrakka</w:t>
      </w:r>
      <w:proofErr w:type="spellEnd"/>
      <w:r>
        <w:t xml:space="preserve"> is actively monitoring and reporting on the three lineages designated Variants of Concern (VOC) by international organisations, including the World Health Organisation: B.1.1.7; B.1.351; and P.1 (Table 7). All three variants display characteristic sets of mutation, including a number of variations in the genomic region encoding the spike protein thought to have the potential to increase transmissibility and/or immune evasion.</w:t>
      </w:r>
      <w:r>
        <w:rPr>
          <w:vertAlign w:val="superscript"/>
        </w:rPr>
        <w:t>18</w:t>
      </w:r>
      <w:r>
        <w:t xml:space="preserve"> </w:t>
      </w:r>
      <w:proofErr w:type="gramStart"/>
      <w:r>
        <w:t>Further</w:t>
      </w:r>
      <w:proofErr w:type="gramEnd"/>
      <w:r>
        <w:t xml:space="preserve"> information on variants is available in the Technical Supplement.</w:t>
      </w:r>
      <w:r>
        <w:rPr>
          <w:vertAlign w:val="superscript"/>
        </w:rPr>
        <w:t xml:space="preserve">14 </w:t>
      </w:r>
    </w:p>
    <w:p w:rsidR="00D62815" w:rsidRDefault="00D62815" w:rsidP="00D62815">
      <w:pPr>
        <w:pStyle w:val="CDIFigures"/>
        <w:rPr>
          <w:lang w:val="en-GB"/>
        </w:rPr>
      </w:pPr>
      <w:r>
        <w:rPr>
          <w:lang w:val="en-GB"/>
        </w:rPr>
        <w:t xml:space="preserve">Table 7: Australian SARS-CoV-2 genome sequences in </w:t>
      </w:r>
      <w:proofErr w:type="spellStart"/>
      <w:r>
        <w:rPr>
          <w:lang w:val="en-GB"/>
        </w:rPr>
        <w:t>AusTrakka</w:t>
      </w:r>
      <w:proofErr w:type="spellEnd"/>
      <w:r>
        <w:rPr>
          <w:lang w:val="en-GB"/>
        </w:rPr>
        <w:t>, identified as variants of concern (VOC) to 25 April 2021</w:t>
      </w:r>
    </w:p>
    <w:tbl>
      <w:tblPr>
        <w:tblStyle w:val="CDI-StandardTable"/>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CellMar>
          <w:top w:w="57" w:type="dxa"/>
          <w:left w:w="57" w:type="dxa"/>
          <w:bottom w:w="57" w:type="dxa"/>
          <w:right w:w="57" w:type="dxa"/>
        </w:tblCellMar>
        <w:tblLook w:val="04A0" w:firstRow="1" w:lastRow="0" w:firstColumn="1" w:lastColumn="0" w:noHBand="0" w:noVBand="1"/>
        <w:tblDescription w:val="Table 7 summarises the total SARS-CoV-2 genome sequences from each of three identified variants of concern, B.1.1.7, B.1.351 and P.1, to 25 April 2021. There are currently 340 genome sequences of variant B.1.1.7 reported in AusTrakka, 63 sequences of variant B.1.351, and five sequences of variant P.1."/>
      </w:tblPr>
      <w:tblGrid>
        <w:gridCol w:w="2609"/>
        <w:gridCol w:w="2609"/>
        <w:gridCol w:w="2609"/>
        <w:gridCol w:w="2610"/>
      </w:tblGrid>
      <w:tr w:rsidR="00D62815" w:rsidRPr="00C821CB" w:rsidTr="00873078">
        <w:trPr>
          <w:cnfStyle w:val="100000000000" w:firstRow="1" w:lastRow="0" w:firstColumn="0" w:lastColumn="0" w:oddVBand="0" w:evenVBand="0" w:oddHBand="0" w:evenHBand="0" w:firstRowFirstColumn="0" w:firstRowLastColumn="0" w:lastRowFirstColumn="0" w:lastRowLastColumn="0"/>
          <w:tblHeader/>
        </w:trPr>
        <w:tc>
          <w:tcPr>
            <w:tcW w:w="2609" w:type="dxa"/>
            <w:hideMark/>
          </w:tcPr>
          <w:p w:rsidR="00D62815" w:rsidRPr="00C821CB" w:rsidRDefault="00D62815" w:rsidP="00EE1F6B">
            <w:pPr>
              <w:pStyle w:val="NormalWeb"/>
              <w:rPr>
                <w:color w:val="FFFFFF" w:themeColor="background1"/>
                <w:sz w:val="18"/>
              </w:rPr>
            </w:pPr>
            <w:r w:rsidRPr="00C821CB">
              <w:rPr>
                <w:color w:val="FFFFFF" w:themeColor="background1"/>
                <w:sz w:val="18"/>
              </w:rPr>
              <w:t>VOC lineage</w:t>
            </w:r>
          </w:p>
        </w:tc>
        <w:tc>
          <w:tcPr>
            <w:tcW w:w="2609" w:type="dxa"/>
            <w:hideMark/>
          </w:tcPr>
          <w:p w:rsidR="00D62815" w:rsidRPr="00C821CB" w:rsidRDefault="00D62815" w:rsidP="00873078">
            <w:pPr>
              <w:pStyle w:val="NormalWeb"/>
              <w:jc w:val="center"/>
              <w:rPr>
                <w:color w:val="FFFFFF" w:themeColor="background1"/>
                <w:sz w:val="18"/>
              </w:rPr>
            </w:pPr>
            <w:r w:rsidRPr="00C821CB">
              <w:rPr>
                <w:color w:val="FFFFFF" w:themeColor="background1"/>
                <w:sz w:val="18"/>
              </w:rPr>
              <w:t>B.1.1.7</w:t>
            </w:r>
          </w:p>
        </w:tc>
        <w:tc>
          <w:tcPr>
            <w:tcW w:w="2609" w:type="dxa"/>
            <w:hideMark/>
          </w:tcPr>
          <w:p w:rsidR="00D62815" w:rsidRPr="00C821CB" w:rsidRDefault="00D62815" w:rsidP="00873078">
            <w:pPr>
              <w:pStyle w:val="NormalWeb"/>
              <w:jc w:val="center"/>
              <w:rPr>
                <w:color w:val="FFFFFF" w:themeColor="background1"/>
                <w:sz w:val="18"/>
              </w:rPr>
            </w:pPr>
            <w:r w:rsidRPr="00C821CB">
              <w:rPr>
                <w:color w:val="FFFFFF" w:themeColor="background1"/>
                <w:sz w:val="18"/>
              </w:rPr>
              <w:t>B.1.351</w:t>
            </w:r>
          </w:p>
        </w:tc>
        <w:tc>
          <w:tcPr>
            <w:tcW w:w="2610" w:type="dxa"/>
            <w:hideMark/>
          </w:tcPr>
          <w:p w:rsidR="00D62815" w:rsidRPr="00C821CB" w:rsidRDefault="00D62815" w:rsidP="00873078">
            <w:pPr>
              <w:pStyle w:val="NormalWeb"/>
              <w:jc w:val="center"/>
              <w:rPr>
                <w:color w:val="FFFFFF" w:themeColor="background1"/>
                <w:sz w:val="18"/>
              </w:rPr>
            </w:pPr>
            <w:r w:rsidRPr="00C821CB">
              <w:rPr>
                <w:color w:val="FFFFFF" w:themeColor="background1"/>
                <w:sz w:val="18"/>
              </w:rPr>
              <w:t>P.1</w:t>
            </w:r>
          </w:p>
        </w:tc>
      </w:tr>
      <w:tr w:rsidR="00D62815" w:rsidRPr="00C821CB" w:rsidTr="00873078">
        <w:tc>
          <w:tcPr>
            <w:tcW w:w="2609" w:type="dxa"/>
            <w:hideMark/>
          </w:tcPr>
          <w:p w:rsidR="00D62815" w:rsidRPr="00C821CB" w:rsidRDefault="00D62815" w:rsidP="00EE1F6B">
            <w:pPr>
              <w:pStyle w:val="NormalWeb"/>
              <w:rPr>
                <w:sz w:val="18"/>
              </w:rPr>
            </w:pPr>
            <w:r w:rsidRPr="00C821CB">
              <w:rPr>
                <w:sz w:val="18"/>
              </w:rPr>
              <w:t>Number of samples</w:t>
            </w:r>
          </w:p>
        </w:tc>
        <w:tc>
          <w:tcPr>
            <w:tcW w:w="2609" w:type="dxa"/>
            <w:hideMark/>
          </w:tcPr>
          <w:p w:rsidR="00D62815" w:rsidRPr="00C821CB" w:rsidRDefault="00D62815" w:rsidP="00873078">
            <w:pPr>
              <w:pStyle w:val="NormalWeb"/>
              <w:jc w:val="center"/>
              <w:rPr>
                <w:sz w:val="18"/>
              </w:rPr>
            </w:pPr>
            <w:r w:rsidRPr="00C821CB">
              <w:rPr>
                <w:sz w:val="18"/>
              </w:rPr>
              <w:t>340</w:t>
            </w:r>
          </w:p>
        </w:tc>
        <w:tc>
          <w:tcPr>
            <w:tcW w:w="2609" w:type="dxa"/>
            <w:hideMark/>
          </w:tcPr>
          <w:p w:rsidR="00D62815" w:rsidRPr="00C821CB" w:rsidRDefault="00D62815" w:rsidP="00873078">
            <w:pPr>
              <w:pStyle w:val="NormalWeb"/>
              <w:jc w:val="center"/>
              <w:rPr>
                <w:sz w:val="18"/>
              </w:rPr>
            </w:pPr>
            <w:r w:rsidRPr="00C821CB">
              <w:rPr>
                <w:sz w:val="18"/>
              </w:rPr>
              <w:t>63</w:t>
            </w:r>
          </w:p>
        </w:tc>
        <w:tc>
          <w:tcPr>
            <w:tcW w:w="2610" w:type="dxa"/>
            <w:hideMark/>
          </w:tcPr>
          <w:p w:rsidR="00D62815" w:rsidRPr="00C821CB" w:rsidRDefault="00D62815" w:rsidP="00873078">
            <w:pPr>
              <w:pStyle w:val="NormalWeb"/>
              <w:jc w:val="center"/>
              <w:rPr>
                <w:sz w:val="18"/>
              </w:rPr>
            </w:pPr>
            <w:r w:rsidRPr="00C821CB">
              <w:rPr>
                <w:sz w:val="18"/>
              </w:rPr>
              <w:t>5</w:t>
            </w:r>
          </w:p>
        </w:tc>
      </w:tr>
    </w:tbl>
    <w:p w:rsidR="00D62815" w:rsidRDefault="00D62815" w:rsidP="00D151EC"/>
    <w:p w:rsidR="00E52E78" w:rsidRPr="00D151EC" w:rsidRDefault="00E52E78" w:rsidP="00D151EC">
      <w:pPr>
        <w:pStyle w:val="Heading2"/>
      </w:pPr>
      <w:r w:rsidRPr="00D151EC">
        <w:t xml:space="preserve">Testing </w:t>
      </w:r>
    </w:p>
    <w:p w:rsidR="00E52E78" w:rsidRPr="00623789" w:rsidRDefault="00E52E78" w:rsidP="00D151EC">
      <w:pPr>
        <w:pStyle w:val="Heading3"/>
        <w:rPr>
          <w:i/>
        </w:rPr>
      </w:pPr>
      <w:r w:rsidRPr="00623789">
        <w:rPr>
          <w:i/>
        </w:rPr>
        <w:t xml:space="preserve">(State and territory reporting) </w:t>
      </w:r>
    </w:p>
    <w:p w:rsidR="00E52E78" w:rsidRDefault="00E52E78" w:rsidP="00D151EC">
      <w:r>
        <w:t xml:space="preserve">As at 23 April 2021, a cumulative total of 4,208,558 individuals have undergone diagnostic testing for SARS-CoV-2 in Australia this year since 1 January 2021. The cumulative nationwide proportion of positive tests for 2021 remains low at 0.02% (Table 8). </w:t>
      </w:r>
    </w:p>
    <w:p w:rsidR="00A17D93" w:rsidRDefault="00A17D93" w:rsidP="00A17D93">
      <w:pPr>
        <w:pStyle w:val="CDIFigures"/>
        <w:rPr>
          <w:lang w:val="en-GB"/>
        </w:rPr>
      </w:pPr>
      <w:r>
        <w:rPr>
          <w:lang w:val="en-GB"/>
        </w:rPr>
        <w:t>Table 8: Individuals undergoing diagnostic tests for SARS-CoV-2</w:t>
      </w:r>
      <w:proofErr w:type="gramStart"/>
      <w:r>
        <w:rPr>
          <w:lang w:val="en-GB"/>
        </w:rPr>
        <w:t>,</w:t>
      </w:r>
      <w:r w:rsidRPr="00C37B55">
        <w:rPr>
          <w:vertAlign w:val="superscript"/>
          <w:lang w:val="en-GB"/>
        </w:rPr>
        <w:t>a</w:t>
      </w:r>
      <w:proofErr w:type="gramEnd"/>
      <w:r>
        <w:rPr>
          <w:lang w:val="en-GB"/>
        </w:rPr>
        <w:t xml:space="preserve"> by jurisdiction and reporting period, 1 January – 23 April 2021</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8 shows the cumulative number of individuals undergoing SARS-CoV-2 diagnostic nucleic acid tests (and the percentage of those individuals who have tested positive) within each jurisdiction by the end of this fortnightly reporting period, as well as at the end of the previous two-week period and cumulatively. Nationwide, for this reporting period there have been 386,510 individuals tested, with a positivity rate of 0.05%. This is a lower testing rate and a higher positivity than in the previous two-week period (502,541 individuals tested nationwide, with 0.02% positivity). Of all individuals undergoing tests in Australia during 2021 to date (4,208,558 individuals), the cumulative testing rate is 163.8 individuals tested per 1,000 population and the positivity rate is 0.02%."/>
      </w:tblPr>
      <w:tblGrid>
        <w:gridCol w:w="967"/>
        <w:gridCol w:w="708"/>
        <w:gridCol w:w="974"/>
        <w:gridCol w:w="1437"/>
        <w:gridCol w:w="708"/>
        <w:gridCol w:w="975"/>
        <w:gridCol w:w="1438"/>
        <w:gridCol w:w="846"/>
        <w:gridCol w:w="975"/>
        <w:gridCol w:w="1438"/>
      </w:tblGrid>
      <w:tr w:rsidR="00A17D93" w:rsidRPr="00C64D00" w:rsidTr="00EE1F6B">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rsidR="00A17D93" w:rsidRPr="00C64D00" w:rsidRDefault="00A17D93" w:rsidP="00EE1F6B">
            <w:pPr>
              <w:pStyle w:val="NormalWeb"/>
              <w:rPr>
                <w:color w:val="FFFFFF" w:themeColor="background1"/>
                <w:sz w:val="18"/>
                <w:szCs w:val="18"/>
              </w:rPr>
            </w:pPr>
            <w:r w:rsidRPr="00C64D00">
              <w:rPr>
                <w:color w:val="FFFFFF" w:themeColor="background1"/>
                <w:sz w:val="18"/>
                <w:szCs w:val="18"/>
              </w:rPr>
              <w:t>Jurisdiction</w:t>
            </w:r>
          </w:p>
        </w:tc>
        <w:tc>
          <w:tcPr>
            <w:tcW w:w="0" w:type="auto"/>
            <w:gridSpan w:val="3"/>
            <w:tcBorders>
              <w:left w:val="single" w:sz="2" w:space="0" w:color="FFFFFF" w:themeColor="background1"/>
              <w:bottom w:val="single" w:sz="2" w:space="0" w:color="FFFFFF" w:themeColor="background1"/>
              <w:right w:val="single" w:sz="2" w:space="0" w:color="FFFFFF" w:themeColor="background1"/>
            </w:tcBorders>
            <w:hideMark/>
          </w:tcPr>
          <w:p w:rsidR="00A17D93" w:rsidRPr="00C64D00" w:rsidRDefault="00A17D93" w:rsidP="00EE1F6B">
            <w:pPr>
              <w:pStyle w:val="NormalWeb"/>
              <w:jc w:val="center"/>
              <w:rPr>
                <w:color w:val="FFFFFF" w:themeColor="background1"/>
                <w:sz w:val="18"/>
                <w:szCs w:val="18"/>
              </w:rPr>
            </w:pPr>
            <w:r w:rsidRPr="00C64D00">
              <w:rPr>
                <w:color w:val="FFFFFF" w:themeColor="background1"/>
                <w:sz w:val="18"/>
                <w:szCs w:val="18"/>
              </w:rPr>
              <w:t>Individuals tested</w:t>
            </w:r>
            <w:r w:rsidRPr="00C64D00">
              <w:rPr>
                <w:color w:val="FFFFFF" w:themeColor="background1"/>
                <w:sz w:val="18"/>
                <w:szCs w:val="18"/>
              </w:rPr>
              <w:br/>
              <w:t>10–23 April 2021</w:t>
            </w:r>
          </w:p>
        </w:tc>
        <w:tc>
          <w:tcPr>
            <w:tcW w:w="0" w:type="auto"/>
            <w:gridSpan w:val="3"/>
            <w:tcBorders>
              <w:left w:val="single" w:sz="2" w:space="0" w:color="FFFFFF" w:themeColor="background1"/>
              <w:bottom w:val="single" w:sz="2" w:space="0" w:color="FFFFFF" w:themeColor="background1"/>
              <w:right w:val="single" w:sz="2" w:space="0" w:color="FFFFFF" w:themeColor="background1"/>
            </w:tcBorders>
            <w:hideMark/>
          </w:tcPr>
          <w:p w:rsidR="00A17D93" w:rsidRPr="00C64D00" w:rsidRDefault="00A17D93" w:rsidP="00EE1F6B">
            <w:pPr>
              <w:pStyle w:val="NormalWeb"/>
              <w:jc w:val="center"/>
              <w:rPr>
                <w:color w:val="FFFFFF" w:themeColor="background1"/>
                <w:sz w:val="18"/>
                <w:szCs w:val="18"/>
              </w:rPr>
            </w:pPr>
            <w:r w:rsidRPr="00C64D00">
              <w:rPr>
                <w:color w:val="FFFFFF" w:themeColor="background1"/>
                <w:sz w:val="18"/>
                <w:szCs w:val="18"/>
              </w:rPr>
              <w:t>Individuals tested</w:t>
            </w:r>
            <w:r w:rsidRPr="00C64D00">
              <w:rPr>
                <w:color w:val="FFFFFF" w:themeColor="background1"/>
                <w:sz w:val="18"/>
                <w:szCs w:val="18"/>
              </w:rPr>
              <w:br/>
              <w:t>27 March – 9 April 2021</w:t>
            </w:r>
          </w:p>
        </w:tc>
        <w:tc>
          <w:tcPr>
            <w:tcW w:w="0" w:type="auto"/>
            <w:gridSpan w:val="3"/>
            <w:tcBorders>
              <w:left w:val="single" w:sz="2" w:space="0" w:color="FFFFFF" w:themeColor="background1"/>
              <w:bottom w:val="single" w:sz="2" w:space="0" w:color="FFFFFF" w:themeColor="background1"/>
            </w:tcBorders>
            <w:hideMark/>
          </w:tcPr>
          <w:p w:rsidR="00A17D93" w:rsidRPr="00C64D00" w:rsidRDefault="00A17D93" w:rsidP="00EE1F6B">
            <w:pPr>
              <w:pStyle w:val="NormalWeb"/>
              <w:jc w:val="center"/>
              <w:rPr>
                <w:color w:val="FFFFFF" w:themeColor="background1"/>
                <w:sz w:val="18"/>
                <w:szCs w:val="18"/>
              </w:rPr>
            </w:pPr>
            <w:r w:rsidRPr="00C64D00">
              <w:rPr>
                <w:color w:val="FFFFFF" w:themeColor="background1"/>
                <w:sz w:val="18"/>
                <w:szCs w:val="18"/>
              </w:rPr>
              <w:t>Cumulative individuals tested</w:t>
            </w:r>
            <w:r w:rsidRPr="00C64D00">
              <w:rPr>
                <w:color w:val="FFFFFF" w:themeColor="background1"/>
                <w:sz w:val="18"/>
                <w:szCs w:val="18"/>
              </w:rPr>
              <w:br/>
              <w:t>in 2021 to 23 April</w:t>
            </w:r>
          </w:p>
        </w:tc>
      </w:tr>
      <w:tr w:rsidR="00A17D93" w:rsidRPr="00C64D00" w:rsidTr="00EE1F6B">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rsidR="00A17D93" w:rsidRPr="00C64D00" w:rsidRDefault="00A17D93" w:rsidP="00EE1F6B">
            <w:pPr>
              <w:rPr>
                <w:color w:val="FFFFFF" w:themeColor="background1"/>
                <w:sz w:val="18"/>
                <w:szCs w:val="18"/>
              </w:rPr>
            </w:pPr>
          </w:p>
        </w:tc>
        <w:tc>
          <w:tcPr>
            <w:tcW w:w="0" w:type="auto"/>
            <w:tcBorders>
              <w:top w:val="single" w:sz="2" w:space="0" w:color="FFFFFF" w:themeColor="background1"/>
              <w:left w:val="single" w:sz="2" w:space="0" w:color="FFFFFF" w:themeColor="background1"/>
              <w:right w:val="single" w:sz="2" w:space="0" w:color="FFFFFF" w:themeColor="background1"/>
            </w:tcBorders>
            <w:hideMark/>
          </w:tcPr>
          <w:p w:rsidR="00A17D93" w:rsidRPr="00C64D00" w:rsidRDefault="00A17D93" w:rsidP="00EE1F6B">
            <w:pPr>
              <w:pStyle w:val="NormalWeb"/>
              <w:jc w:val="center"/>
              <w:rPr>
                <w:color w:val="FFFFFF" w:themeColor="background1"/>
                <w:sz w:val="18"/>
                <w:szCs w:val="18"/>
              </w:rPr>
            </w:pPr>
            <w:r w:rsidRPr="00C64D00">
              <w:rPr>
                <w:color w:val="FFFFFF" w:themeColor="background1"/>
                <w:sz w:val="18"/>
                <w:szCs w:val="18"/>
              </w:rPr>
              <w:t>n</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rsidR="00A17D93" w:rsidRPr="00C64D00" w:rsidRDefault="00A17D93" w:rsidP="00EE1F6B">
            <w:pPr>
              <w:pStyle w:val="NormalWeb"/>
              <w:jc w:val="center"/>
              <w:rPr>
                <w:color w:val="FFFFFF" w:themeColor="background1"/>
                <w:sz w:val="18"/>
                <w:szCs w:val="18"/>
              </w:rPr>
            </w:pPr>
            <w:r w:rsidRPr="00C64D00">
              <w:rPr>
                <w:color w:val="FFFFFF" w:themeColor="background1"/>
                <w:sz w:val="18"/>
                <w:szCs w:val="18"/>
              </w:rPr>
              <w:t>Positivity (%)</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rsidR="00A17D93" w:rsidRPr="00C64D00" w:rsidRDefault="00A17D93" w:rsidP="00EE1F6B">
            <w:pPr>
              <w:pStyle w:val="NormalWeb"/>
              <w:jc w:val="center"/>
              <w:rPr>
                <w:color w:val="FFFFFF" w:themeColor="background1"/>
                <w:sz w:val="18"/>
                <w:szCs w:val="18"/>
              </w:rPr>
            </w:pPr>
            <w:r w:rsidRPr="00C64D00">
              <w:rPr>
                <w:color w:val="FFFFFF" w:themeColor="background1"/>
                <w:sz w:val="18"/>
                <w:szCs w:val="18"/>
              </w:rPr>
              <w:t xml:space="preserve">Per 1,000 </w:t>
            </w:r>
            <w:proofErr w:type="spellStart"/>
            <w:r w:rsidRPr="00C64D00">
              <w:rPr>
                <w:color w:val="FFFFFF" w:themeColor="background1"/>
                <w:sz w:val="18"/>
                <w:szCs w:val="18"/>
              </w:rPr>
              <w:t>population</w:t>
            </w:r>
            <w:r w:rsidRPr="00C64D00">
              <w:rPr>
                <w:color w:val="FFFFFF" w:themeColor="background1"/>
                <w:sz w:val="18"/>
                <w:szCs w:val="18"/>
                <w:vertAlign w:val="superscript"/>
              </w:rPr>
              <w:t>b</w:t>
            </w:r>
            <w:proofErr w:type="spellEnd"/>
          </w:p>
        </w:tc>
        <w:tc>
          <w:tcPr>
            <w:tcW w:w="0" w:type="auto"/>
            <w:tcBorders>
              <w:top w:val="single" w:sz="2" w:space="0" w:color="FFFFFF" w:themeColor="background1"/>
              <w:left w:val="single" w:sz="2" w:space="0" w:color="FFFFFF" w:themeColor="background1"/>
              <w:right w:val="single" w:sz="2" w:space="0" w:color="FFFFFF" w:themeColor="background1"/>
            </w:tcBorders>
            <w:hideMark/>
          </w:tcPr>
          <w:p w:rsidR="00A17D93" w:rsidRPr="00C64D00" w:rsidRDefault="00A17D93" w:rsidP="00EE1F6B">
            <w:pPr>
              <w:pStyle w:val="NormalWeb"/>
              <w:jc w:val="center"/>
              <w:rPr>
                <w:color w:val="FFFFFF" w:themeColor="background1"/>
                <w:sz w:val="18"/>
                <w:szCs w:val="18"/>
              </w:rPr>
            </w:pPr>
            <w:r w:rsidRPr="00C64D00">
              <w:rPr>
                <w:color w:val="FFFFFF" w:themeColor="background1"/>
                <w:sz w:val="18"/>
                <w:szCs w:val="18"/>
              </w:rPr>
              <w:t>n</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rsidR="00A17D93" w:rsidRPr="00C64D00" w:rsidRDefault="00A17D93" w:rsidP="00EE1F6B">
            <w:pPr>
              <w:pStyle w:val="NormalWeb"/>
              <w:jc w:val="center"/>
              <w:rPr>
                <w:color w:val="FFFFFF" w:themeColor="background1"/>
                <w:sz w:val="18"/>
                <w:szCs w:val="18"/>
              </w:rPr>
            </w:pPr>
            <w:r w:rsidRPr="00C64D00">
              <w:rPr>
                <w:color w:val="FFFFFF" w:themeColor="background1"/>
                <w:sz w:val="18"/>
                <w:szCs w:val="18"/>
              </w:rPr>
              <w:t>Positivity (%)</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rsidR="00A17D93" w:rsidRPr="00C64D00" w:rsidRDefault="00A17D93" w:rsidP="00EE1F6B">
            <w:pPr>
              <w:pStyle w:val="NormalWeb"/>
              <w:jc w:val="center"/>
              <w:rPr>
                <w:color w:val="FFFFFF" w:themeColor="background1"/>
                <w:sz w:val="18"/>
                <w:szCs w:val="18"/>
              </w:rPr>
            </w:pPr>
            <w:r w:rsidRPr="00C64D00">
              <w:rPr>
                <w:color w:val="FFFFFF" w:themeColor="background1"/>
                <w:sz w:val="18"/>
                <w:szCs w:val="18"/>
              </w:rPr>
              <w:t xml:space="preserve">Per 1,000 </w:t>
            </w:r>
            <w:proofErr w:type="spellStart"/>
            <w:r w:rsidRPr="00C64D00">
              <w:rPr>
                <w:color w:val="FFFFFF" w:themeColor="background1"/>
                <w:sz w:val="18"/>
                <w:szCs w:val="18"/>
              </w:rPr>
              <w:t>population</w:t>
            </w:r>
            <w:r w:rsidRPr="00C64D00">
              <w:rPr>
                <w:color w:val="FFFFFF" w:themeColor="background1"/>
                <w:sz w:val="18"/>
                <w:szCs w:val="18"/>
                <w:vertAlign w:val="superscript"/>
              </w:rPr>
              <w:t>b</w:t>
            </w:r>
            <w:proofErr w:type="spellEnd"/>
          </w:p>
        </w:tc>
        <w:tc>
          <w:tcPr>
            <w:tcW w:w="0" w:type="auto"/>
            <w:tcBorders>
              <w:top w:val="single" w:sz="2" w:space="0" w:color="FFFFFF" w:themeColor="background1"/>
              <w:left w:val="single" w:sz="2" w:space="0" w:color="FFFFFF" w:themeColor="background1"/>
              <w:right w:val="single" w:sz="2" w:space="0" w:color="FFFFFF" w:themeColor="background1"/>
            </w:tcBorders>
            <w:hideMark/>
          </w:tcPr>
          <w:p w:rsidR="00A17D93" w:rsidRPr="00C64D00" w:rsidRDefault="00A17D93" w:rsidP="00EE1F6B">
            <w:pPr>
              <w:pStyle w:val="NormalWeb"/>
              <w:jc w:val="center"/>
              <w:rPr>
                <w:color w:val="FFFFFF" w:themeColor="background1"/>
                <w:sz w:val="18"/>
                <w:szCs w:val="18"/>
              </w:rPr>
            </w:pPr>
            <w:r w:rsidRPr="00C64D00">
              <w:rPr>
                <w:color w:val="FFFFFF" w:themeColor="background1"/>
                <w:sz w:val="18"/>
                <w:szCs w:val="18"/>
              </w:rPr>
              <w:t>n</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rsidR="00A17D93" w:rsidRPr="00C64D00" w:rsidRDefault="00A17D93" w:rsidP="00EE1F6B">
            <w:pPr>
              <w:pStyle w:val="NormalWeb"/>
              <w:jc w:val="center"/>
              <w:rPr>
                <w:color w:val="FFFFFF" w:themeColor="background1"/>
                <w:sz w:val="18"/>
                <w:szCs w:val="18"/>
              </w:rPr>
            </w:pPr>
            <w:r w:rsidRPr="00C64D00">
              <w:rPr>
                <w:color w:val="FFFFFF" w:themeColor="background1"/>
                <w:sz w:val="18"/>
                <w:szCs w:val="18"/>
              </w:rPr>
              <w:t>Positivity (%)</w:t>
            </w:r>
          </w:p>
        </w:tc>
        <w:tc>
          <w:tcPr>
            <w:tcW w:w="0" w:type="auto"/>
            <w:tcBorders>
              <w:top w:val="single" w:sz="2" w:space="0" w:color="FFFFFF" w:themeColor="background1"/>
              <w:left w:val="single" w:sz="2" w:space="0" w:color="FFFFFF" w:themeColor="background1"/>
            </w:tcBorders>
            <w:hideMark/>
          </w:tcPr>
          <w:p w:rsidR="00A17D93" w:rsidRPr="00C64D00" w:rsidRDefault="00A17D93" w:rsidP="00EE1F6B">
            <w:pPr>
              <w:pStyle w:val="NormalWeb"/>
              <w:jc w:val="center"/>
              <w:rPr>
                <w:color w:val="FFFFFF" w:themeColor="background1"/>
                <w:sz w:val="18"/>
                <w:szCs w:val="18"/>
              </w:rPr>
            </w:pPr>
            <w:r w:rsidRPr="00C64D00">
              <w:rPr>
                <w:color w:val="FFFFFF" w:themeColor="background1"/>
                <w:sz w:val="18"/>
                <w:szCs w:val="18"/>
              </w:rPr>
              <w:t xml:space="preserve">Per 1,000 </w:t>
            </w:r>
            <w:proofErr w:type="spellStart"/>
            <w:r w:rsidRPr="00C64D00">
              <w:rPr>
                <w:color w:val="FFFFFF" w:themeColor="background1"/>
                <w:sz w:val="18"/>
                <w:szCs w:val="18"/>
              </w:rPr>
              <w:t>population</w:t>
            </w:r>
            <w:r w:rsidRPr="00C64D00">
              <w:rPr>
                <w:color w:val="FFFFFF" w:themeColor="background1"/>
                <w:sz w:val="18"/>
                <w:szCs w:val="18"/>
                <w:vertAlign w:val="superscript"/>
              </w:rPr>
              <w:t>b</w:t>
            </w:r>
            <w:proofErr w:type="spellEnd"/>
          </w:p>
        </w:tc>
      </w:tr>
      <w:tr w:rsidR="00A17D93" w:rsidRPr="00C64D00" w:rsidTr="00EE1F6B">
        <w:tc>
          <w:tcPr>
            <w:tcW w:w="0" w:type="auto"/>
            <w:hideMark/>
          </w:tcPr>
          <w:p w:rsidR="00A17D93" w:rsidRPr="00C64D00" w:rsidRDefault="00A17D93" w:rsidP="00EE1F6B">
            <w:pPr>
              <w:pStyle w:val="NormalWeb"/>
              <w:rPr>
                <w:sz w:val="18"/>
                <w:szCs w:val="18"/>
              </w:rPr>
            </w:pPr>
            <w:r w:rsidRPr="00C64D00">
              <w:rPr>
                <w:sz w:val="18"/>
                <w:szCs w:val="18"/>
              </w:rPr>
              <w:t>ACT</w:t>
            </w:r>
          </w:p>
        </w:tc>
        <w:tc>
          <w:tcPr>
            <w:tcW w:w="0" w:type="auto"/>
            <w:hideMark/>
          </w:tcPr>
          <w:p w:rsidR="00A17D93" w:rsidRPr="00C64D00" w:rsidRDefault="00A17D93" w:rsidP="00EE1F6B">
            <w:pPr>
              <w:pStyle w:val="NormalWeb"/>
              <w:jc w:val="center"/>
              <w:rPr>
                <w:sz w:val="18"/>
                <w:szCs w:val="18"/>
              </w:rPr>
            </w:pPr>
            <w:r w:rsidRPr="00C64D00">
              <w:rPr>
                <w:sz w:val="18"/>
                <w:szCs w:val="18"/>
              </w:rPr>
              <w:t>5,170</w:t>
            </w:r>
          </w:p>
        </w:tc>
        <w:tc>
          <w:tcPr>
            <w:tcW w:w="0" w:type="auto"/>
            <w:hideMark/>
          </w:tcPr>
          <w:p w:rsidR="00A17D93" w:rsidRPr="00C64D00" w:rsidRDefault="00A17D93" w:rsidP="00EE1F6B">
            <w:pPr>
              <w:pStyle w:val="NormalWeb"/>
              <w:jc w:val="center"/>
              <w:rPr>
                <w:sz w:val="18"/>
                <w:szCs w:val="18"/>
              </w:rPr>
            </w:pPr>
            <w:r w:rsidRPr="00C64D00">
              <w:rPr>
                <w:sz w:val="18"/>
                <w:szCs w:val="18"/>
              </w:rPr>
              <w:t>0.00</w:t>
            </w:r>
          </w:p>
        </w:tc>
        <w:tc>
          <w:tcPr>
            <w:tcW w:w="0" w:type="auto"/>
            <w:hideMark/>
          </w:tcPr>
          <w:p w:rsidR="00A17D93" w:rsidRPr="00C64D00" w:rsidRDefault="00A17D93" w:rsidP="00EE1F6B">
            <w:pPr>
              <w:pStyle w:val="NormalWeb"/>
              <w:jc w:val="center"/>
              <w:rPr>
                <w:sz w:val="18"/>
                <w:szCs w:val="18"/>
              </w:rPr>
            </w:pPr>
            <w:r w:rsidRPr="00C64D00">
              <w:rPr>
                <w:sz w:val="18"/>
                <w:szCs w:val="18"/>
              </w:rPr>
              <w:t>12.1</w:t>
            </w:r>
          </w:p>
        </w:tc>
        <w:tc>
          <w:tcPr>
            <w:tcW w:w="0" w:type="auto"/>
            <w:hideMark/>
          </w:tcPr>
          <w:p w:rsidR="00A17D93" w:rsidRPr="00C64D00" w:rsidRDefault="00A17D93" w:rsidP="00EE1F6B">
            <w:pPr>
              <w:pStyle w:val="NormalWeb"/>
              <w:jc w:val="center"/>
              <w:rPr>
                <w:sz w:val="18"/>
                <w:szCs w:val="18"/>
              </w:rPr>
            </w:pPr>
            <w:r w:rsidRPr="00C64D00">
              <w:rPr>
                <w:sz w:val="18"/>
                <w:szCs w:val="18"/>
              </w:rPr>
              <w:t>9,634</w:t>
            </w:r>
          </w:p>
        </w:tc>
        <w:tc>
          <w:tcPr>
            <w:tcW w:w="0" w:type="auto"/>
            <w:hideMark/>
          </w:tcPr>
          <w:p w:rsidR="00A17D93" w:rsidRPr="00C64D00" w:rsidRDefault="00A17D93" w:rsidP="00EE1F6B">
            <w:pPr>
              <w:pStyle w:val="NormalWeb"/>
              <w:jc w:val="center"/>
              <w:rPr>
                <w:sz w:val="18"/>
                <w:szCs w:val="18"/>
              </w:rPr>
            </w:pPr>
            <w:r w:rsidRPr="00C64D00">
              <w:rPr>
                <w:sz w:val="18"/>
                <w:szCs w:val="18"/>
              </w:rPr>
              <w:t>0.00</w:t>
            </w:r>
          </w:p>
        </w:tc>
        <w:tc>
          <w:tcPr>
            <w:tcW w:w="0" w:type="auto"/>
            <w:hideMark/>
          </w:tcPr>
          <w:p w:rsidR="00A17D93" w:rsidRPr="00C64D00" w:rsidRDefault="00A17D93" w:rsidP="00EE1F6B">
            <w:pPr>
              <w:pStyle w:val="NormalWeb"/>
              <w:jc w:val="center"/>
              <w:rPr>
                <w:sz w:val="18"/>
                <w:szCs w:val="18"/>
              </w:rPr>
            </w:pPr>
            <w:r w:rsidRPr="00C64D00">
              <w:rPr>
                <w:sz w:val="18"/>
                <w:szCs w:val="18"/>
              </w:rPr>
              <w:t>22.6</w:t>
            </w:r>
          </w:p>
        </w:tc>
        <w:tc>
          <w:tcPr>
            <w:tcW w:w="0" w:type="auto"/>
            <w:hideMark/>
          </w:tcPr>
          <w:p w:rsidR="00A17D93" w:rsidRPr="00C64D00" w:rsidRDefault="00A17D93" w:rsidP="00EE1F6B">
            <w:pPr>
              <w:pStyle w:val="NormalWeb"/>
              <w:jc w:val="center"/>
              <w:rPr>
                <w:sz w:val="18"/>
                <w:szCs w:val="18"/>
              </w:rPr>
            </w:pPr>
            <w:r w:rsidRPr="00C64D00">
              <w:rPr>
                <w:sz w:val="18"/>
                <w:szCs w:val="18"/>
              </w:rPr>
              <w:t>63,814</w:t>
            </w:r>
          </w:p>
        </w:tc>
        <w:tc>
          <w:tcPr>
            <w:tcW w:w="0" w:type="auto"/>
            <w:hideMark/>
          </w:tcPr>
          <w:p w:rsidR="00A17D93" w:rsidRPr="00C64D00" w:rsidRDefault="00A17D93" w:rsidP="00EE1F6B">
            <w:pPr>
              <w:pStyle w:val="NormalWeb"/>
              <w:jc w:val="center"/>
              <w:rPr>
                <w:sz w:val="18"/>
                <w:szCs w:val="18"/>
              </w:rPr>
            </w:pPr>
            <w:r w:rsidRPr="00C64D00">
              <w:rPr>
                <w:sz w:val="18"/>
                <w:szCs w:val="18"/>
              </w:rPr>
              <w:t>&lt; 0.01</w:t>
            </w:r>
          </w:p>
        </w:tc>
        <w:tc>
          <w:tcPr>
            <w:tcW w:w="0" w:type="auto"/>
            <w:hideMark/>
          </w:tcPr>
          <w:p w:rsidR="00A17D93" w:rsidRPr="00C64D00" w:rsidRDefault="00A17D93" w:rsidP="00EE1F6B">
            <w:pPr>
              <w:pStyle w:val="NormalWeb"/>
              <w:jc w:val="center"/>
              <w:rPr>
                <w:sz w:val="18"/>
                <w:szCs w:val="18"/>
              </w:rPr>
            </w:pPr>
            <w:r w:rsidRPr="00C64D00">
              <w:rPr>
                <w:sz w:val="18"/>
                <w:szCs w:val="18"/>
              </w:rPr>
              <w:t>149.75</w:t>
            </w:r>
          </w:p>
        </w:tc>
      </w:tr>
      <w:tr w:rsidR="00A17D93" w:rsidRPr="00C64D00" w:rsidTr="00EE1F6B">
        <w:trPr>
          <w:cnfStyle w:val="000000010000" w:firstRow="0" w:lastRow="0" w:firstColumn="0" w:lastColumn="0" w:oddVBand="0" w:evenVBand="0" w:oddHBand="0" w:evenHBand="1" w:firstRowFirstColumn="0" w:firstRowLastColumn="0" w:lastRowFirstColumn="0" w:lastRowLastColumn="0"/>
        </w:trPr>
        <w:tc>
          <w:tcPr>
            <w:tcW w:w="0" w:type="auto"/>
            <w:hideMark/>
          </w:tcPr>
          <w:p w:rsidR="00A17D93" w:rsidRPr="00C64D00" w:rsidRDefault="00A17D93" w:rsidP="00EE1F6B">
            <w:pPr>
              <w:pStyle w:val="NormalWeb"/>
              <w:rPr>
                <w:sz w:val="18"/>
                <w:szCs w:val="18"/>
              </w:rPr>
            </w:pPr>
            <w:r w:rsidRPr="00C64D00">
              <w:rPr>
                <w:sz w:val="18"/>
                <w:szCs w:val="18"/>
              </w:rPr>
              <w:t>NSW</w:t>
            </w:r>
          </w:p>
        </w:tc>
        <w:tc>
          <w:tcPr>
            <w:tcW w:w="0" w:type="auto"/>
            <w:hideMark/>
          </w:tcPr>
          <w:p w:rsidR="00A17D93" w:rsidRPr="00C64D00" w:rsidRDefault="00A17D93" w:rsidP="00EE1F6B">
            <w:pPr>
              <w:pStyle w:val="NormalWeb"/>
              <w:jc w:val="center"/>
              <w:rPr>
                <w:sz w:val="18"/>
                <w:szCs w:val="18"/>
              </w:rPr>
            </w:pPr>
            <w:r w:rsidRPr="00C64D00">
              <w:rPr>
                <w:sz w:val="18"/>
                <w:szCs w:val="18"/>
              </w:rPr>
              <w:t>129,817</w:t>
            </w:r>
          </w:p>
        </w:tc>
        <w:tc>
          <w:tcPr>
            <w:tcW w:w="0" w:type="auto"/>
            <w:hideMark/>
          </w:tcPr>
          <w:p w:rsidR="00A17D93" w:rsidRPr="00C64D00" w:rsidRDefault="00A17D93" w:rsidP="00EE1F6B">
            <w:pPr>
              <w:pStyle w:val="NormalWeb"/>
              <w:jc w:val="center"/>
              <w:rPr>
                <w:sz w:val="18"/>
                <w:szCs w:val="18"/>
              </w:rPr>
            </w:pPr>
            <w:r w:rsidRPr="00C64D00">
              <w:rPr>
                <w:sz w:val="18"/>
                <w:szCs w:val="18"/>
              </w:rPr>
              <w:t>0.06</w:t>
            </w:r>
          </w:p>
        </w:tc>
        <w:tc>
          <w:tcPr>
            <w:tcW w:w="0" w:type="auto"/>
            <w:hideMark/>
          </w:tcPr>
          <w:p w:rsidR="00A17D93" w:rsidRPr="00C64D00" w:rsidRDefault="00A17D93" w:rsidP="00EE1F6B">
            <w:pPr>
              <w:pStyle w:val="NormalWeb"/>
              <w:jc w:val="center"/>
              <w:rPr>
                <w:sz w:val="18"/>
                <w:szCs w:val="18"/>
              </w:rPr>
            </w:pPr>
            <w:r w:rsidRPr="00C64D00">
              <w:rPr>
                <w:sz w:val="18"/>
                <w:szCs w:val="18"/>
              </w:rPr>
              <w:t>16.1</w:t>
            </w:r>
          </w:p>
        </w:tc>
        <w:tc>
          <w:tcPr>
            <w:tcW w:w="0" w:type="auto"/>
            <w:hideMark/>
          </w:tcPr>
          <w:p w:rsidR="00A17D93" w:rsidRPr="00C64D00" w:rsidRDefault="00A17D93" w:rsidP="00EE1F6B">
            <w:pPr>
              <w:pStyle w:val="NormalWeb"/>
              <w:jc w:val="center"/>
              <w:rPr>
                <w:sz w:val="18"/>
                <w:szCs w:val="18"/>
              </w:rPr>
            </w:pPr>
            <w:r w:rsidRPr="00C64D00">
              <w:rPr>
                <w:sz w:val="18"/>
                <w:szCs w:val="18"/>
              </w:rPr>
              <w:t>155,907</w:t>
            </w:r>
          </w:p>
        </w:tc>
        <w:tc>
          <w:tcPr>
            <w:tcW w:w="0" w:type="auto"/>
            <w:hideMark/>
          </w:tcPr>
          <w:p w:rsidR="00A17D93" w:rsidRPr="00C64D00" w:rsidRDefault="00A17D93" w:rsidP="00EE1F6B">
            <w:pPr>
              <w:pStyle w:val="NormalWeb"/>
              <w:jc w:val="center"/>
              <w:rPr>
                <w:sz w:val="18"/>
                <w:szCs w:val="18"/>
              </w:rPr>
            </w:pPr>
            <w:r w:rsidRPr="00C64D00">
              <w:rPr>
                <w:sz w:val="18"/>
                <w:szCs w:val="18"/>
              </w:rPr>
              <w:t>0.02</w:t>
            </w:r>
          </w:p>
        </w:tc>
        <w:tc>
          <w:tcPr>
            <w:tcW w:w="0" w:type="auto"/>
            <w:hideMark/>
          </w:tcPr>
          <w:p w:rsidR="00A17D93" w:rsidRPr="00C64D00" w:rsidRDefault="00A17D93" w:rsidP="00EE1F6B">
            <w:pPr>
              <w:pStyle w:val="NormalWeb"/>
              <w:jc w:val="center"/>
              <w:rPr>
                <w:sz w:val="18"/>
                <w:szCs w:val="18"/>
              </w:rPr>
            </w:pPr>
            <w:r w:rsidRPr="00C64D00">
              <w:rPr>
                <w:sz w:val="18"/>
                <w:szCs w:val="18"/>
              </w:rPr>
              <w:t>19.3</w:t>
            </w:r>
          </w:p>
        </w:tc>
        <w:tc>
          <w:tcPr>
            <w:tcW w:w="0" w:type="auto"/>
            <w:hideMark/>
          </w:tcPr>
          <w:p w:rsidR="00A17D93" w:rsidRPr="00C64D00" w:rsidRDefault="00A17D93" w:rsidP="00EE1F6B">
            <w:pPr>
              <w:pStyle w:val="NormalWeb"/>
              <w:jc w:val="center"/>
              <w:rPr>
                <w:sz w:val="18"/>
                <w:szCs w:val="18"/>
              </w:rPr>
            </w:pPr>
            <w:r w:rsidRPr="00C64D00">
              <w:rPr>
                <w:sz w:val="18"/>
                <w:szCs w:val="18"/>
              </w:rPr>
              <w:t>1,433,333</w:t>
            </w:r>
          </w:p>
        </w:tc>
        <w:tc>
          <w:tcPr>
            <w:tcW w:w="0" w:type="auto"/>
            <w:hideMark/>
          </w:tcPr>
          <w:p w:rsidR="00A17D93" w:rsidRPr="00C64D00" w:rsidRDefault="00A17D93" w:rsidP="00EE1F6B">
            <w:pPr>
              <w:pStyle w:val="NormalWeb"/>
              <w:jc w:val="center"/>
              <w:rPr>
                <w:sz w:val="18"/>
                <w:szCs w:val="18"/>
              </w:rPr>
            </w:pPr>
            <w:r w:rsidRPr="00C64D00">
              <w:rPr>
                <w:sz w:val="18"/>
                <w:szCs w:val="18"/>
              </w:rPr>
              <w:t>0.03</w:t>
            </w:r>
          </w:p>
        </w:tc>
        <w:tc>
          <w:tcPr>
            <w:tcW w:w="0" w:type="auto"/>
            <w:hideMark/>
          </w:tcPr>
          <w:p w:rsidR="00A17D93" w:rsidRPr="00C64D00" w:rsidRDefault="00A17D93" w:rsidP="00EE1F6B">
            <w:pPr>
              <w:pStyle w:val="NormalWeb"/>
              <w:jc w:val="center"/>
              <w:rPr>
                <w:sz w:val="18"/>
                <w:szCs w:val="18"/>
              </w:rPr>
            </w:pPr>
            <w:r w:rsidRPr="00C64D00">
              <w:rPr>
                <w:sz w:val="18"/>
                <w:szCs w:val="18"/>
              </w:rPr>
              <w:t>177.3</w:t>
            </w:r>
          </w:p>
        </w:tc>
      </w:tr>
      <w:tr w:rsidR="00A17D93" w:rsidRPr="00C64D00" w:rsidTr="00EE1F6B">
        <w:tc>
          <w:tcPr>
            <w:tcW w:w="0" w:type="auto"/>
            <w:hideMark/>
          </w:tcPr>
          <w:p w:rsidR="00A17D93" w:rsidRPr="00C64D00" w:rsidRDefault="00A17D93" w:rsidP="00EE1F6B">
            <w:pPr>
              <w:pStyle w:val="NormalWeb"/>
              <w:rPr>
                <w:sz w:val="18"/>
                <w:szCs w:val="18"/>
              </w:rPr>
            </w:pPr>
            <w:r w:rsidRPr="00C64D00">
              <w:rPr>
                <w:sz w:val="18"/>
                <w:szCs w:val="18"/>
              </w:rPr>
              <w:t>NT</w:t>
            </w:r>
          </w:p>
        </w:tc>
        <w:tc>
          <w:tcPr>
            <w:tcW w:w="0" w:type="auto"/>
            <w:hideMark/>
          </w:tcPr>
          <w:p w:rsidR="00A17D93" w:rsidRPr="00C64D00" w:rsidRDefault="00A17D93" w:rsidP="00EE1F6B">
            <w:pPr>
              <w:pStyle w:val="NormalWeb"/>
              <w:jc w:val="center"/>
              <w:rPr>
                <w:sz w:val="18"/>
                <w:szCs w:val="18"/>
              </w:rPr>
            </w:pPr>
            <w:r w:rsidRPr="00C64D00">
              <w:rPr>
                <w:sz w:val="18"/>
                <w:szCs w:val="18"/>
              </w:rPr>
              <w:t>7,440</w:t>
            </w:r>
          </w:p>
        </w:tc>
        <w:tc>
          <w:tcPr>
            <w:tcW w:w="0" w:type="auto"/>
            <w:hideMark/>
          </w:tcPr>
          <w:p w:rsidR="00A17D93" w:rsidRPr="00C64D00" w:rsidRDefault="00A17D93" w:rsidP="00EE1F6B">
            <w:pPr>
              <w:pStyle w:val="NormalWeb"/>
              <w:jc w:val="center"/>
              <w:rPr>
                <w:sz w:val="18"/>
                <w:szCs w:val="18"/>
              </w:rPr>
            </w:pPr>
            <w:r w:rsidRPr="00C64D00">
              <w:rPr>
                <w:sz w:val="18"/>
                <w:szCs w:val="18"/>
              </w:rPr>
              <w:t>0.66</w:t>
            </w:r>
          </w:p>
        </w:tc>
        <w:tc>
          <w:tcPr>
            <w:tcW w:w="0" w:type="auto"/>
            <w:hideMark/>
          </w:tcPr>
          <w:p w:rsidR="00A17D93" w:rsidRPr="00C64D00" w:rsidRDefault="00A17D93" w:rsidP="00EE1F6B">
            <w:pPr>
              <w:pStyle w:val="NormalWeb"/>
              <w:jc w:val="center"/>
              <w:rPr>
                <w:sz w:val="18"/>
                <w:szCs w:val="18"/>
              </w:rPr>
            </w:pPr>
            <w:r w:rsidRPr="00C64D00">
              <w:rPr>
                <w:sz w:val="18"/>
                <w:szCs w:val="18"/>
              </w:rPr>
              <w:t>30.2</w:t>
            </w:r>
          </w:p>
        </w:tc>
        <w:tc>
          <w:tcPr>
            <w:tcW w:w="0" w:type="auto"/>
            <w:hideMark/>
          </w:tcPr>
          <w:p w:rsidR="00A17D93" w:rsidRPr="00C64D00" w:rsidRDefault="00A17D93" w:rsidP="00EE1F6B">
            <w:pPr>
              <w:pStyle w:val="NormalWeb"/>
              <w:jc w:val="center"/>
              <w:rPr>
                <w:sz w:val="18"/>
                <w:szCs w:val="18"/>
              </w:rPr>
            </w:pPr>
            <w:r w:rsidRPr="00C64D00">
              <w:rPr>
                <w:sz w:val="18"/>
                <w:szCs w:val="18"/>
              </w:rPr>
              <w:t>8,510</w:t>
            </w:r>
          </w:p>
        </w:tc>
        <w:tc>
          <w:tcPr>
            <w:tcW w:w="0" w:type="auto"/>
            <w:hideMark/>
          </w:tcPr>
          <w:p w:rsidR="00A17D93" w:rsidRPr="00C64D00" w:rsidRDefault="00A17D93" w:rsidP="00EE1F6B">
            <w:pPr>
              <w:pStyle w:val="NormalWeb"/>
              <w:jc w:val="center"/>
              <w:rPr>
                <w:sz w:val="18"/>
                <w:szCs w:val="18"/>
              </w:rPr>
            </w:pPr>
            <w:r w:rsidRPr="00C64D00">
              <w:rPr>
                <w:sz w:val="18"/>
                <w:szCs w:val="18"/>
              </w:rPr>
              <w:t>0.04</w:t>
            </w:r>
          </w:p>
        </w:tc>
        <w:tc>
          <w:tcPr>
            <w:tcW w:w="0" w:type="auto"/>
            <w:hideMark/>
          </w:tcPr>
          <w:p w:rsidR="00A17D93" w:rsidRPr="00C64D00" w:rsidRDefault="00A17D93" w:rsidP="00EE1F6B">
            <w:pPr>
              <w:pStyle w:val="NormalWeb"/>
              <w:jc w:val="center"/>
              <w:rPr>
                <w:sz w:val="18"/>
                <w:szCs w:val="18"/>
              </w:rPr>
            </w:pPr>
            <w:r w:rsidRPr="00C64D00">
              <w:rPr>
                <w:sz w:val="18"/>
                <w:szCs w:val="18"/>
              </w:rPr>
              <w:t>34.6</w:t>
            </w:r>
          </w:p>
        </w:tc>
        <w:tc>
          <w:tcPr>
            <w:tcW w:w="0" w:type="auto"/>
            <w:hideMark/>
          </w:tcPr>
          <w:p w:rsidR="00A17D93" w:rsidRPr="00C64D00" w:rsidRDefault="00A17D93" w:rsidP="00EE1F6B">
            <w:pPr>
              <w:pStyle w:val="NormalWeb"/>
              <w:jc w:val="center"/>
              <w:rPr>
                <w:sz w:val="18"/>
                <w:szCs w:val="18"/>
              </w:rPr>
            </w:pPr>
            <w:r w:rsidRPr="00C64D00">
              <w:rPr>
                <w:sz w:val="18"/>
                <w:szCs w:val="18"/>
              </w:rPr>
              <w:t>62,958</w:t>
            </w:r>
          </w:p>
        </w:tc>
        <w:tc>
          <w:tcPr>
            <w:tcW w:w="0" w:type="auto"/>
            <w:hideMark/>
          </w:tcPr>
          <w:p w:rsidR="00A17D93" w:rsidRPr="00C64D00" w:rsidRDefault="00A17D93" w:rsidP="00EE1F6B">
            <w:pPr>
              <w:pStyle w:val="NormalWeb"/>
              <w:jc w:val="center"/>
              <w:rPr>
                <w:sz w:val="18"/>
                <w:szCs w:val="18"/>
              </w:rPr>
            </w:pPr>
            <w:r w:rsidRPr="00C64D00">
              <w:rPr>
                <w:sz w:val="18"/>
                <w:szCs w:val="18"/>
              </w:rPr>
              <w:t>0.13</w:t>
            </w:r>
          </w:p>
        </w:tc>
        <w:tc>
          <w:tcPr>
            <w:tcW w:w="0" w:type="auto"/>
            <w:hideMark/>
          </w:tcPr>
          <w:p w:rsidR="00A17D93" w:rsidRPr="00C64D00" w:rsidRDefault="00A17D93" w:rsidP="00EE1F6B">
            <w:pPr>
              <w:pStyle w:val="NormalWeb"/>
              <w:jc w:val="center"/>
              <w:rPr>
                <w:sz w:val="18"/>
                <w:szCs w:val="18"/>
              </w:rPr>
            </w:pPr>
            <w:r w:rsidRPr="00C64D00">
              <w:rPr>
                <w:sz w:val="18"/>
                <w:szCs w:val="18"/>
              </w:rPr>
              <w:t>255.8</w:t>
            </w:r>
          </w:p>
        </w:tc>
      </w:tr>
      <w:tr w:rsidR="00A17D93" w:rsidRPr="00C64D00" w:rsidTr="00EE1F6B">
        <w:trPr>
          <w:cnfStyle w:val="000000010000" w:firstRow="0" w:lastRow="0" w:firstColumn="0" w:lastColumn="0" w:oddVBand="0" w:evenVBand="0" w:oddHBand="0" w:evenHBand="1" w:firstRowFirstColumn="0" w:firstRowLastColumn="0" w:lastRowFirstColumn="0" w:lastRowLastColumn="0"/>
        </w:trPr>
        <w:tc>
          <w:tcPr>
            <w:tcW w:w="0" w:type="auto"/>
            <w:hideMark/>
          </w:tcPr>
          <w:p w:rsidR="00A17D93" w:rsidRPr="00C64D00" w:rsidRDefault="00A17D93" w:rsidP="00EE1F6B">
            <w:pPr>
              <w:pStyle w:val="NormalWeb"/>
              <w:rPr>
                <w:sz w:val="18"/>
                <w:szCs w:val="18"/>
              </w:rPr>
            </w:pPr>
            <w:r w:rsidRPr="00C64D00">
              <w:rPr>
                <w:sz w:val="18"/>
                <w:szCs w:val="18"/>
              </w:rPr>
              <w:t>Qld</w:t>
            </w:r>
          </w:p>
        </w:tc>
        <w:tc>
          <w:tcPr>
            <w:tcW w:w="0" w:type="auto"/>
            <w:hideMark/>
          </w:tcPr>
          <w:p w:rsidR="00A17D93" w:rsidRPr="00C64D00" w:rsidRDefault="00A17D93" w:rsidP="00EE1F6B">
            <w:pPr>
              <w:pStyle w:val="NormalWeb"/>
              <w:jc w:val="center"/>
              <w:rPr>
                <w:sz w:val="18"/>
                <w:szCs w:val="18"/>
              </w:rPr>
            </w:pPr>
            <w:r w:rsidRPr="00C64D00">
              <w:rPr>
                <w:sz w:val="18"/>
                <w:szCs w:val="18"/>
              </w:rPr>
              <w:t>27,531</w:t>
            </w:r>
          </w:p>
        </w:tc>
        <w:tc>
          <w:tcPr>
            <w:tcW w:w="0" w:type="auto"/>
            <w:hideMark/>
          </w:tcPr>
          <w:p w:rsidR="00A17D93" w:rsidRPr="00C64D00" w:rsidRDefault="00A17D93" w:rsidP="00EE1F6B">
            <w:pPr>
              <w:pStyle w:val="NormalWeb"/>
              <w:jc w:val="center"/>
              <w:rPr>
                <w:sz w:val="18"/>
                <w:szCs w:val="18"/>
              </w:rPr>
            </w:pPr>
            <w:r w:rsidRPr="00C64D00">
              <w:rPr>
                <w:sz w:val="18"/>
                <w:szCs w:val="18"/>
              </w:rPr>
              <w:t>0.05</w:t>
            </w:r>
          </w:p>
        </w:tc>
        <w:tc>
          <w:tcPr>
            <w:tcW w:w="0" w:type="auto"/>
            <w:hideMark/>
          </w:tcPr>
          <w:p w:rsidR="00A17D93" w:rsidRPr="00C64D00" w:rsidRDefault="00A17D93" w:rsidP="00EE1F6B">
            <w:pPr>
              <w:pStyle w:val="NormalWeb"/>
              <w:jc w:val="center"/>
              <w:rPr>
                <w:sz w:val="18"/>
                <w:szCs w:val="18"/>
              </w:rPr>
            </w:pPr>
            <w:r w:rsidRPr="00C64D00">
              <w:rPr>
                <w:sz w:val="18"/>
                <w:szCs w:val="18"/>
              </w:rPr>
              <w:t>5.4</w:t>
            </w:r>
          </w:p>
        </w:tc>
        <w:tc>
          <w:tcPr>
            <w:tcW w:w="0" w:type="auto"/>
            <w:hideMark/>
          </w:tcPr>
          <w:p w:rsidR="00A17D93" w:rsidRPr="00C64D00" w:rsidRDefault="00A17D93" w:rsidP="00EE1F6B">
            <w:pPr>
              <w:pStyle w:val="NormalWeb"/>
              <w:jc w:val="center"/>
              <w:rPr>
                <w:sz w:val="18"/>
                <w:szCs w:val="18"/>
              </w:rPr>
            </w:pPr>
            <w:r w:rsidRPr="00C64D00">
              <w:rPr>
                <w:sz w:val="18"/>
                <w:szCs w:val="18"/>
              </w:rPr>
              <w:t>60,958</w:t>
            </w:r>
          </w:p>
        </w:tc>
        <w:tc>
          <w:tcPr>
            <w:tcW w:w="0" w:type="auto"/>
            <w:hideMark/>
          </w:tcPr>
          <w:p w:rsidR="00A17D93" w:rsidRPr="00C64D00" w:rsidRDefault="00A17D93" w:rsidP="00EE1F6B">
            <w:pPr>
              <w:pStyle w:val="NormalWeb"/>
              <w:jc w:val="center"/>
              <w:rPr>
                <w:sz w:val="18"/>
                <w:szCs w:val="18"/>
              </w:rPr>
            </w:pPr>
            <w:r w:rsidRPr="00C64D00">
              <w:rPr>
                <w:sz w:val="18"/>
                <w:szCs w:val="18"/>
              </w:rPr>
              <w:t>0.08</w:t>
            </w:r>
          </w:p>
        </w:tc>
        <w:tc>
          <w:tcPr>
            <w:tcW w:w="0" w:type="auto"/>
            <w:hideMark/>
          </w:tcPr>
          <w:p w:rsidR="00A17D93" w:rsidRPr="00C64D00" w:rsidRDefault="00A17D93" w:rsidP="00EE1F6B">
            <w:pPr>
              <w:pStyle w:val="NormalWeb"/>
              <w:jc w:val="center"/>
              <w:rPr>
                <w:sz w:val="18"/>
                <w:szCs w:val="18"/>
              </w:rPr>
            </w:pPr>
            <w:r w:rsidRPr="00C64D00">
              <w:rPr>
                <w:sz w:val="18"/>
                <w:szCs w:val="18"/>
              </w:rPr>
              <w:t>12.0</w:t>
            </w:r>
          </w:p>
        </w:tc>
        <w:tc>
          <w:tcPr>
            <w:tcW w:w="0" w:type="auto"/>
            <w:hideMark/>
          </w:tcPr>
          <w:p w:rsidR="00A17D93" w:rsidRPr="00C64D00" w:rsidRDefault="00A17D93" w:rsidP="00EE1F6B">
            <w:pPr>
              <w:pStyle w:val="NormalWeb"/>
              <w:jc w:val="center"/>
              <w:rPr>
                <w:sz w:val="18"/>
                <w:szCs w:val="18"/>
              </w:rPr>
            </w:pPr>
            <w:r w:rsidRPr="00C64D00">
              <w:rPr>
                <w:sz w:val="18"/>
                <w:szCs w:val="18"/>
              </w:rPr>
              <w:t>254,991</w:t>
            </w:r>
          </w:p>
        </w:tc>
        <w:tc>
          <w:tcPr>
            <w:tcW w:w="0" w:type="auto"/>
            <w:hideMark/>
          </w:tcPr>
          <w:p w:rsidR="00A17D93" w:rsidRPr="00C64D00" w:rsidRDefault="00A17D93" w:rsidP="00EE1F6B">
            <w:pPr>
              <w:pStyle w:val="NormalWeb"/>
              <w:jc w:val="center"/>
              <w:rPr>
                <w:sz w:val="18"/>
                <w:szCs w:val="18"/>
              </w:rPr>
            </w:pPr>
            <w:r w:rsidRPr="00C64D00">
              <w:rPr>
                <w:sz w:val="18"/>
                <w:szCs w:val="18"/>
              </w:rPr>
              <w:t>0.10</w:t>
            </w:r>
          </w:p>
        </w:tc>
        <w:tc>
          <w:tcPr>
            <w:tcW w:w="0" w:type="auto"/>
            <w:hideMark/>
          </w:tcPr>
          <w:p w:rsidR="00A17D93" w:rsidRPr="00C64D00" w:rsidRDefault="00A17D93" w:rsidP="00EE1F6B">
            <w:pPr>
              <w:pStyle w:val="NormalWeb"/>
              <w:jc w:val="center"/>
              <w:rPr>
                <w:sz w:val="18"/>
                <w:szCs w:val="18"/>
              </w:rPr>
            </w:pPr>
            <w:r w:rsidRPr="00C64D00">
              <w:rPr>
                <w:sz w:val="18"/>
                <w:szCs w:val="18"/>
              </w:rPr>
              <w:t>50.1</w:t>
            </w:r>
          </w:p>
        </w:tc>
      </w:tr>
      <w:tr w:rsidR="00A17D93" w:rsidRPr="00C64D00" w:rsidTr="00EE1F6B">
        <w:tc>
          <w:tcPr>
            <w:tcW w:w="0" w:type="auto"/>
            <w:hideMark/>
          </w:tcPr>
          <w:p w:rsidR="00A17D93" w:rsidRPr="00C64D00" w:rsidRDefault="00A17D93" w:rsidP="00EE1F6B">
            <w:pPr>
              <w:pStyle w:val="NormalWeb"/>
              <w:rPr>
                <w:sz w:val="18"/>
                <w:szCs w:val="18"/>
              </w:rPr>
            </w:pPr>
            <w:r w:rsidRPr="00C64D00">
              <w:rPr>
                <w:sz w:val="18"/>
                <w:szCs w:val="18"/>
              </w:rPr>
              <w:t>SA</w:t>
            </w:r>
          </w:p>
        </w:tc>
        <w:tc>
          <w:tcPr>
            <w:tcW w:w="0" w:type="auto"/>
            <w:hideMark/>
          </w:tcPr>
          <w:p w:rsidR="00A17D93" w:rsidRPr="00C64D00" w:rsidRDefault="00A17D93" w:rsidP="00EE1F6B">
            <w:pPr>
              <w:pStyle w:val="NormalWeb"/>
              <w:jc w:val="center"/>
              <w:rPr>
                <w:sz w:val="18"/>
                <w:szCs w:val="18"/>
              </w:rPr>
            </w:pPr>
            <w:r w:rsidRPr="00C64D00">
              <w:rPr>
                <w:sz w:val="18"/>
                <w:szCs w:val="18"/>
              </w:rPr>
              <w:t>28,570</w:t>
            </w:r>
          </w:p>
        </w:tc>
        <w:tc>
          <w:tcPr>
            <w:tcW w:w="0" w:type="auto"/>
            <w:hideMark/>
          </w:tcPr>
          <w:p w:rsidR="00A17D93" w:rsidRPr="00C64D00" w:rsidRDefault="00A17D93" w:rsidP="00EE1F6B">
            <w:pPr>
              <w:pStyle w:val="NormalWeb"/>
              <w:jc w:val="center"/>
              <w:rPr>
                <w:sz w:val="18"/>
                <w:szCs w:val="18"/>
              </w:rPr>
            </w:pPr>
            <w:r w:rsidRPr="00C64D00">
              <w:rPr>
                <w:sz w:val="18"/>
                <w:szCs w:val="18"/>
              </w:rPr>
              <w:t>0.09</w:t>
            </w:r>
          </w:p>
        </w:tc>
        <w:tc>
          <w:tcPr>
            <w:tcW w:w="0" w:type="auto"/>
            <w:hideMark/>
          </w:tcPr>
          <w:p w:rsidR="00A17D93" w:rsidRPr="00C64D00" w:rsidRDefault="00A17D93" w:rsidP="00EE1F6B">
            <w:pPr>
              <w:pStyle w:val="NormalWeb"/>
              <w:jc w:val="center"/>
              <w:rPr>
                <w:sz w:val="18"/>
                <w:szCs w:val="18"/>
              </w:rPr>
            </w:pPr>
            <w:r w:rsidRPr="00C64D00">
              <w:rPr>
                <w:sz w:val="18"/>
                <w:szCs w:val="18"/>
              </w:rPr>
              <w:t>16.3</w:t>
            </w:r>
          </w:p>
        </w:tc>
        <w:tc>
          <w:tcPr>
            <w:tcW w:w="0" w:type="auto"/>
            <w:hideMark/>
          </w:tcPr>
          <w:p w:rsidR="00A17D93" w:rsidRPr="00C64D00" w:rsidRDefault="00A17D93" w:rsidP="00EE1F6B">
            <w:pPr>
              <w:pStyle w:val="NormalWeb"/>
              <w:jc w:val="center"/>
              <w:rPr>
                <w:sz w:val="18"/>
                <w:szCs w:val="18"/>
              </w:rPr>
            </w:pPr>
            <w:r w:rsidRPr="00C64D00">
              <w:rPr>
                <w:sz w:val="18"/>
                <w:szCs w:val="18"/>
              </w:rPr>
              <w:t>34,908</w:t>
            </w:r>
          </w:p>
        </w:tc>
        <w:tc>
          <w:tcPr>
            <w:tcW w:w="0" w:type="auto"/>
            <w:hideMark/>
          </w:tcPr>
          <w:p w:rsidR="00A17D93" w:rsidRPr="00C64D00" w:rsidRDefault="00A17D93" w:rsidP="00EE1F6B">
            <w:pPr>
              <w:pStyle w:val="NormalWeb"/>
              <w:jc w:val="center"/>
              <w:rPr>
                <w:sz w:val="18"/>
                <w:szCs w:val="18"/>
              </w:rPr>
            </w:pPr>
            <w:r w:rsidRPr="00C64D00">
              <w:rPr>
                <w:sz w:val="18"/>
                <w:szCs w:val="18"/>
              </w:rPr>
              <w:t>0.02</w:t>
            </w:r>
          </w:p>
        </w:tc>
        <w:tc>
          <w:tcPr>
            <w:tcW w:w="0" w:type="auto"/>
            <w:hideMark/>
          </w:tcPr>
          <w:p w:rsidR="00A17D93" w:rsidRPr="00C64D00" w:rsidRDefault="00A17D93" w:rsidP="00EE1F6B">
            <w:pPr>
              <w:pStyle w:val="NormalWeb"/>
              <w:jc w:val="center"/>
              <w:rPr>
                <w:sz w:val="18"/>
                <w:szCs w:val="18"/>
              </w:rPr>
            </w:pPr>
            <w:r w:rsidRPr="00C64D00">
              <w:rPr>
                <w:sz w:val="18"/>
                <w:szCs w:val="18"/>
              </w:rPr>
              <w:t>19.9</w:t>
            </w:r>
          </w:p>
        </w:tc>
        <w:tc>
          <w:tcPr>
            <w:tcW w:w="0" w:type="auto"/>
            <w:hideMark/>
          </w:tcPr>
          <w:p w:rsidR="00A17D93" w:rsidRPr="00C64D00" w:rsidRDefault="00A17D93" w:rsidP="00EE1F6B">
            <w:pPr>
              <w:pStyle w:val="NormalWeb"/>
              <w:jc w:val="center"/>
              <w:rPr>
                <w:sz w:val="18"/>
                <w:szCs w:val="18"/>
              </w:rPr>
            </w:pPr>
            <w:r w:rsidRPr="00C64D00">
              <w:rPr>
                <w:sz w:val="18"/>
                <w:szCs w:val="18"/>
              </w:rPr>
              <w:t>338,752</w:t>
            </w:r>
          </w:p>
        </w:tc>
        <w:tc>
          <w:tcPr>
            <w:tcW w:w="0" w:type="auto"/>
            <w:hideMark/>
          </w:tcPr>
          <w:p w:rsidR="00A17D93" w:rsidRPr="00C64D00" w:rsidRDefault="00A17D93" w:rsidP="00EE1F6B">
            <w:pPr>
              <w:pStyle w:val="NormalWeb"/>
              <w:jc w:val="center"/>
              <w:rPr>
                <w:sz w:val="18"/>
                <w:szCs w:val="18"/>
              </w:rPr>
            </w:pPr>
            <w:r w:rsidRPr="00C64D00">
              <w:rPr>
                <w:sz w:val="18"/>
                <w:szCs w:val="18"/>
              </w:rPr>
              <w:t>0.03</w:t>
            </w:r>
          </w:p>
        </w:tc>
        <w:tc>
          <w:tcPr>
            <w:tcW w:w="0" w:type="auto"/>
            <w:hideMark/>
          </w:tcPr>
          <w:p w:rsidR="00A17D93" w:rsidRPr="00C64D00" w:rsidRDefault="00A17D93" w:rsidP="00EE1F6B">
            <w:pPr>
              <w:pStyle w:val="NormalWeb"/>
              <w:jc w:val="center"/>
              <w:rPr>
                <w:sz w:val="18"/>
                <w:szCs w:val="18"/>
              </w:rPr>
            </w:pPr>
            <w:r w:rsidRPr="00C64D00">
              <w:rPr>
                <w:sz w:val="18"/>
                <w:szCs w:val="18"/>
              </w:rPr>
              <w:t>193.3</w:t>
            </w:r>
          </w:p>
        </w:tc>
      </w:tr>
      <w:tr w:rsidR="00A17D93" w:rsidRPr="00C64D00" w:rsidTr="00EE1F6B">
        <w:trPr>
          <w:cnfStyle w:val="000000010000" w:firstRow="0" w:lastRow="0" w:firstColumn="0" w:lastColumn="0" w:oddVBand="0" w:evenVBand="0" w:oddHBand="0" w:evenHBand="1" w:firstRowFirstColumn="0" w:firstRowLastColumn="0" w:lastRowFirstColumn="0" w:lastRowLastColumn="0"/>
        </w:trPr>
        <w:tc>
          <w:tcPr>
            <w:tcW w:w="0" w:type="auto"/>
            <w:hideMark/>
          </w:tcPr>
          <w:p w:rsidR="00A17D93" w:rsidRPr="00C64D00" w:rsidRDefault="00A17D93" w:rsidP="00EE1F6B">
            <w:pPr>
              <w:pStyle w:val="NormalWeb"/>
              <w:rPr>
                <w:sz w:val="18"/>
                <w:szCs w:val="18"/>
              </w:rPr>
            </w:pPr>
            <w:r w:rsidRPr="00C64D00">
              <w:rPr>
                <w:sz w:val="18"/>
                <w:szCs w:val="18"/>
              </w:rPr>
              <w:t>Tas.</w:t>
            </w:r>
          </w:p>
        </w:tc>
        <w:tc>
          <w:tcPr>
            <w:tcW w:w="0" w:type="auto"/>
            <w:hideMark/>
          </w:tcPr>
          <w:p w:rsidR="00A17D93" w:rsidRPr="00C64D00" w:rsidRDefault="00A17D93" w:rsidP="00EE1F6B">
            <w:pPr>
              <w:pStyle w:val="NormalWeb"/>
              <w:jc w:val="center"/>
              <w:rPr>
                <w:sz w:val="18"/>
                <w:szCs w:val="18"/>
              </w:rPr>
            </w:pPr>
            <w:r w:rsidRPr="00C64D00">
              <w:rPr>
                <w:sz w:val="18"/>
                <w:szCs w:val="18"/>
              </w:rPr>
              <w:t>7,419</w:t>
            </w:r>
          </w:p>
        </w:tc>
        <w:tc>
          <w:tcPr>
            <w:tcW w:w="0" w:type="auto"/>
            <w:hideMark/>
          </w:tcPr>
          <w:p w:rsidR="00A17D93" w:rsidRPr="00C64D00" w:rsidRDefault="00A17D93" w:rsidP="00EE1F6B">
            <w:pPr>
              <w:pStyle w:val="NormalWeb"/>
              <w:jc w:val="center"/>
              <w:rPr>
                <w:sz w:val="18"/>
                <w:szCs w:val="18"/>
              </w:rPr>
            </w:pPr>
            <w:r w:rsidRPr="00C64D00">
              <w:rPr>
                <w:sz w:val="18"/>
                <w:szCs w:val="18"/>
              </w:rPr>
              <w:t>0.00</w:t>
            </w:r>
          </w:p>
        </w:tc>
        <w:tc>
          <w:tcPr>
            <w:tcW w:w="0" w:type="auto"/>
            <w:hideMark/>
          </w:tcPr>
          <w:p w:rsidR="00A17D93" w:rsidRPr="00C64D00" w:rsidRDefault="00A17D93" w:rsidP="00EE1F6B">
            <w:pPr>
              <w:pStyle w:val="NormalWeb"/>
              <w:jc w:val="center"/>
              <w:rPr>
                <w:sz w:val="18"/>
                <w:szCs w:val="18"/>
              </w:rPr>
            </w:pPr>
            <w:r w:rsidRPr="00C64D00">
              <w:rPr>
                <w:sz w:val="18"/>
                <w:szCs w:val="18"/>
              </w:rPr>
              <w:t>13.9</w:t>
            </w:r>
          </w:p>
        </w:tc>
        <w:tc>
          <w:tcPr>
            <w:tcW w:w="0" w:type="auto"/>
            <w:hideMark/>
          </w:tcPr>
          <w:p w:rsidR="00A17D93" w:rsidRPr="00C64D00" w:rsidRDefault="00A17D93" w:rsidP="00EE1F6B">
            <w:pPr>
              <w:pStyle w:val="NormalWeb"/>
              <w:jc w:val="center"/>
              <w:rPr>
                <w:sz w:val="18"/>
                <w:szCs w:val="18"/>
              </w:rPr>
            </w:pPr>
            <w:r w:rsidRPr="00C64D00">
              <w:rPr>
                <w:sz w:val="18"/>
                <w:szCs w:val="18"/>
              </w:rPr>
              <w:t>9,895</w:t>
            </w:r>
          </w:p>
        </w:tc>
        <w:tc>
          <w:tcPr>
            <w:tcW w:w="0" w:type="auto"/>
            <w:hideMark/>
          </w:tcPr>
          <w:p w:rsidR="00A17D93" w:rsidRPr="00C64D00" w:rsidRDefault="00A17D93" w:rsidP="00EE1F6B">
            <w:pPr>
              <w:pStyle w:val="NormalWeb"/>
              <w:jc w:val="center"/>
              <w:rPr>
                <w:sz w:val="18"/>
                <w:szCs w:val="18"/>
              </w:rPr>
            </w:pPr>
            <w:r w:rsidRPr="00C64D00">
              <w:rPr>
                <w:sz w:val="18"/>
                <w:szCs w:val="18"/>
              </w:rPr>
              <w:t>0.00</w:t>
            </w:r>
          </w:p>
        </w:tc>
        <w:tc>
          <w:tcPr>
            <w:tcW w:w="0" w:type="auto"/>
            <w:hideMark/>
          </w:tcPr>
          <w:p w:rsidR="00A17D93" w:rsidRPr="00C64D00" w:rsidRDefault="00A17D93" w:rsidP="00EE1F6B">
            <w:pPr>
              <w:pStyle w:val="NormalWeb"/>
              <w:jc w:val="center"/>
              <w:rPr>
                <w:sz w:val="18"/>
                <w:szCs w:val="18"/>
              </w:rPr>
            </w:pPr>
            <w:r w:rsidRPr="00C64D00">
              <w:rPr>
                <w:sz w:val="18"/>
                <w:szCs w:val="18"/>
              </w:rPr>
              <w:t>18.5</w:t>
            </w:r>
          </w:p>
        </w:tc>
        <w:tc>
          <w:tcPr>
            <w:tcW w:w="0" w:type="auto"/>
            <w:hideMark/>
          </w:tcPr>
          <w:p w:rsidR="00A17D93" w:rsidRPr="00C64D00" w:rsidRDefault="00A17D93" w:rsidP="00EE1F6B">
            <w:pPr>
              <w:pStyle w:val="NormalWeb"/>
              <w:jc w:val="center"/>
              <w:rPr>
                <w:sz w:val="18"/>
                <w:szCs w:val="18"/>
              </w:rPr>
            </w:pPr>
            <w:r w:rsidRPr="00C64D00">
              <w:rPr>
                <w:sz w:val="18"/>
                <w:szCs w:val="18"/>
              </w:rPr>
              <w:t>59,811</w:t>
            </w:r>
          </w:p>
        </w:tc>
        <w:tc>
          <w:tcPr>
            <w:tcW w:w="0" w:type="auto"/>
            <w:hideMark/>
          </w:tcPr>
          <w:p w:rsidR="00A17D93" w:rsidRPr="00C64D00" w:rsidRDefault="00A17D93" w:rsidP="00EE1F6B">
            <w:pPr>
              <w:pStyle w:val="NormalWeb"/>
              <w:jc w:val="center"/>
              <w:rPr>
                <w:sz w:val="18"/>
                <w:szCs w:val="18"/>
              </w:rPr>
            </w:pPr>
            <w:r w:rsidRPr="00C64D00">
              <w:rPr>
                <w:sz w:val="18"/>
                <w:szCs w:val="18"/>
              </w:rPr>
              <w:t>0.00</w:t>
            </w:r>
          </w:p>
        </w:tc>
        <w:tc>
          <w:tcPr>
            <w:tcW w:w="0" w:type="auto"/>
            <w:hideMark/>
          </w:tcPr>
          <w:p w:rsidR="00A17D93" w:rsidRPr="00C64D00" w:rsidRDefault="00A17D93" w:rsidP="00EE1F6B">
            <w:pPr>
              <w:pStyle w:val="NormalWeb"/>
              <w:jc w:val="center"/>
              <w:rPr>
                <w:sz w:val="18"/>
                <w:szCs w:val="18"/>
              </w:rPr>
            </w:pPr>
            <w:r w:rsidRPr="00C64D00">
              <w:rPr>
                <w:sz w:val="18"/>
                <w:szCs w:val="18"/>
              </w:rPr>
              <w:t>111.9</w:t>
            </w:r>
          </w:p>
        </w:tc>
      </w:tr>
      <w:tr w:rsidR="00A17D93" w:rsidRPr="00C64D00" w:rsidTr="00EE1F6B">
        <w:tc>
          <w:tcPr>
            <w:tcW w:w="0" w:type="auto"/>
            <w:hideMark/>
          </w:tcPr>
          <w:p w:rsidR="00A17D93" w:rsidRPr="00C64D00" w:rsidRDefault="00A17D93" w:rsidP="00EE1F6B">
            <w:pPr>
              <w:pStyle w:val="NormalWeb"/>
              <w:rPr>
                <w:sz w:val="18"/>
                <w:szCs w:val="18"/>
              </w:rPr>
            </w:pPr>
            <w:r w:rsidRPr="00C64D00">
              <w:rPr>
                <w:sz w:val="18"/>
                <w:szCs w:val="18"/>
              </w:rPr>
              <w:t>Vic.</w:t>
            </w:r>
          </w:p>
        </w:tc>
        <w:tc>
          <w:tcPr>
            <w:tcW w:w="0" w:type="auto"/>
            <w:hideMark/>
          </w:tcPr>
          <w:p w:rsidR="00A17D93" w:rsidRPr="00C64D00" w:rsidRDefault="00A17D93" w:rsidP="00EE1F6B">
            <w:pPr>
              <w:pStyle w:val="NormalWeb"/>
              <w:jc w:val="center"/>
              <w:rPr>
                <w:sz w:val="18"/>
                <w:szCs w:val="18"/>
              </w:rPr>
            </w:pPr>
            <w:r w:rsidRPr="00C64D00">
              <w:rPr>
                <w:sz w:val="18"/>
                <w:szCs w:val="18"/>
              </w:rPr>
              <w:t>160,047</w:t>
            </w:r>
          </w:p>
        </w:tc>
        <w:tc>
          <w:tcPr>
            <w:tcW w:w="0" w:type="auto"/>
            <w:hideMark/>
          </w:tcPr>
          <w:p w:rsidR="00A17D93" w:rsidRPr="00C64D00" w:rsidRDefault="00A17D93" w:rsidP="00EE1F6B">
            <w:pPr>
              <w:pStyle w:val="NormalWeb"/>
              <w:jc w:val="center"/>
              <w:rPr>
                <w:sz w:val="18"/>
                <w:szCs w:val="18"/>
              </w:rPr>
            </w:pPr>
            <w:r w:rsidRPr="00C64D00">
              <w:rPr>
                <w:sz w:val="18"/>
                <w:szCs w:val="18"/>
              </w:rPr>
              <w:t>0.01</w:t>
            </w:r>
          </w:p>
        </w:tc>
        <w:tc>
          <w:tcPr>
            <w:tcW w:w="0" w:type="auto"/>
            <w:hideMark/>
          </w:tcPr>
          <w:p w:rsidR="00A17D93" w:rsidRPr="00C64D00" w:rsidRDefault="00A17D93" w:rsidP="00EE1F6B">
            <w:pPr>
              <w:pStyle w:val="NormalWeb"/>
              <w:jc w:val="center"/>
              <w:rPr>
                <w:sz w:val="18"/>
                <w:szCs w:val="18"/>
              </w:rPr>
            </w:pPr>
            <w:r w:rsidRPr="00C64D00">
              <w:rPr>
                <w:sz w:val="18"/>
                <w:szCs w:val="18"/>
              </w:rPr>
              <w:t>24.3</w:t>
            </w:r>
          </w:p>
        </w:tc>
        <w:tc>
          <w:tcPr>
            <w:tcW w:w="0" w:type="auto"/>
            <w:hideMark/>
          </w:tcPr>
          <w:p w:rsidR="00A17D93" w:rsidRPr="00C64D00" w:rsidRDefault="00A17D93" w:rsidP="00EE1F6B">
            <w:pPr>
              <w:pStyle w:val="NormalWeb"/>
              <w:jc w:val="center"/>
              <w:rPr>
                <w:sz w:val="18"/>
                <w:szCs w:val="18"/>
              </w:rPr>
            </w:pPr>
            <w:r w:rsidRPr="00C64D00">
              <w:rPr>
                <w:sz w:val="18"/>
                <w:szCs w:val="18"/>
              </w:rPr>
              <w:t>200,528</w:t>
            </w:r>
          </w:p>
        </w:tc>
        <w:tc>
          <w:tcPr>
            <w:tcW w:w="0" w:type="auto"/>
            <w:hideMark/>
          </w:tcPr>
          <w:p w:rsidR="00A17D93" w:rsidRPr="00C64D00" w:rsidRDefault="00A17D93" w:rsidP="00EE1F6B">
            <w:pPr>
              <w:pStyle w:val="NormalWeb"/>
              <w:jc w:val="center"/>
              <w:rPr>
                <w:sz w:val="18"/>
                <w:szCs w:val="18"/>
              </w:rPr>
            </w:pPr>
            <w:r w:rsidRPr="00C64D00">
              <w:rPr>
                <w:sz w:val="18"/>
                <w:szCs w:val="18"/>
              </w:rPr>
              <w:t>&lt; 0.01</w:t>
            </w:r>
          </w:p>
        </w:tc>
        <w:tc>
          <w:tcPr>
            <w:tcW w:w="0" w:type="auto"/>
            <w:hideMark/>
          </w:tcPr>
          <w:p w:rsidR="00A17D93" w:rsidRPr="00C64D00" w:rsidRDefault="00A17D93" w:rsidP="00EE1F6B">
            <w:pPr>
              <w:pStyle w:val="NormalWeb"/>
              <w:jc w:val="center"/>
              <w:rPr>
                <w:sz w:val="18"/>
                <w:szCs w:val="18"/>
              </w:rPr>
            </w:pPr>
            <w:r w:rsidRPr="00C64D00">
              <w:rPr>
                <w:sz w:val="18"/>
                <w:szCs w:val="18"/>
              </w:rPr>
              <w:t>30.4</w:t>
            </w:r>
          </w:p>
        </w:tc>
        <w:tc>
          <w:tcPr>
            <w:tcW w:w="0" w:type="auto"/>
            <w:hideMark/>
          </w:tcPr>
          <w:p w:rsidR="00A17D93" w:rsidRPr="00C64D00" w:rsidRDefault="00A17D93" w:rsidP="00EE1F6B">
            <w:pPr>
              <w:pStyle w:val="NormalWeb"/>
              <w:jc w:val="center"/>
              <w:rPr>
                <w:sz w:val="18"/>
                <w:szCs w:val="18"/>
              </w:rPr>
            </w:pPr>
            <w:r w:rsidRPr="00C64D00">
              <w:rPr>
                <w:sz w:val="18"/>
                <w:szCs w:val="18"/>
              </w:rPr>
              <w:t>1,705,235</w:t>
            </w:r>
          </w:p>
        </w:tc>
        <w:tc>
          <w:tcPr>
            <w:tcW w:w="0" w:type="auto"/>
            <w:hideMark/>
          </w:tcPr>
          <w:p w:rsidR="00A17D93" w:rsidRPr="00C64D00" w:rsidRDefault="00A17D93" w:rsidP="00EE1F6B">
            <w:pPr>
              <w:pStyle w:val="NormalWeb"/>
              <w:jc w:val="center"/>
              <w:rPr>
                <w:sz w:val="18"/>
                <w:szCs w:val="18"/>
              </w:rPr>
            </w:pPr>
            <w:r w:rsidRPr="00C64D00">
              <w:rPr>
                <w:sz w:val="18"/>
                <w:szCs w:val="18"/>
              </w:rPr>
              <w:t>&lt; 0.01</w:t>
            </w:r>
          </w:p>
        </w:tc>
        <w:tc>
          <w:tcPr>
            <w:tcW w:w="0" w:type="auto"/>
            <w:hideMark/>
          </w:tcPr>
          <w:p w:rsidR="00A17D93" w:rsidRPr="00C64D00" w:rsidRDefault="00A17D93" w:rsidP="00EE1F6B">
            <w:pPr>
              <w:pStyle w:val="NormalWeb"/>
              <w:jc w:val="center"/>
              <w:rPr>
                <w:sz w:val="18"/>
                <w:szCs w:val="18"/>
              </w:rPr>
            </w:pPr>
            <w:r w:rsidRPr="00C64D00">
              <w:rPr>
                <w:sz w:val="18"/>
                <w:szCs w:val="18"/>
              </w:rPr>
              <w:t>258.6</w:t>
            </w:r>
          </w:p>
        </w:tc>
      </w:tr>
      <w:tr w:rsidR="00A17D93" w:rsidRPr="00C64D00" w:rsidTr="00EE1F6B">
        <w:trPr>
          <w:cnfStyle w:val="000000010000" w:firstRow="0" w:lastRow="0" w:firstColumn="0" w:lastColumn="0" w:oddVBand="0" w:evenVBand="0" w:oddHBand="0" w:evenHBand="1" w:firstRowFirstColumn="0" w:firstRowLastColumn="0" w:lastRowFirstColumn="0" w:lastRowLastColumn="0"/>
        </w:trPr>
        <w:tc>
          <w:tcPr>
            <w:tcW w:w="0" w:type="auto"/>
            <w:hideMark/>
          </w:tcPr>
          <w:p w:rsidR="00A17D93" w:rsidRPr="00C64D00" w:rsidRDefault="00A17D93" w:rsidP="00EE1F6B">
            <w:pPr>
              <w:pStyle w:val="NormalWeb"/>
              <w:rPr>
                <w:sz w:val="18"/>
                <w:szCs w:val="18"/>
              </w:rPr>
            </w:pPr>
            <w:r w:rsidRPr="00C64D00">
              <w:rPr>
                <w:sz w:val="18"/>
                <w:szCs w:val="18"/>
              </w:rPr>
              <w:t>WA</w:t>
            </w:r>
          </w:p>
        </w:tc>
        <w:tc>
          <w:tcPr>
            <w:tcW w:w="0" w:type="auto"/>
            <w:hideMark/>
          </w:tcPr>
          <w:p w:rsidR="00A17D93" w:rsidRPr="00C64D00" w:rsidRDefault="00A17D93" w:rsidP="00EE1F6B">
            <w:pPr>
              <w:pStyle w:val="NormalWeb"/>
              <w:jc w:val="center"/>
              <w:rPr>
                <w:sz w:val="18"/>
                <w:szCs w:val="18"/>
              </w:rPr>
            </w:pPr>
            <w:r w:rsidRPr="00C64D00">
              <w:rPr>
                <w:sz w:val="18"/>
                <w:szCs w:val="18"/>
              </w:rPr>
              <w:t>20,516</w:t>
            </w:r>
          </w:p>
        </w:tc>
        <w:tc>
          <w:tcPr>
            <w:tcW w:w="0" w:type="auto"/>
            <w:hideMark/>
          </w:tcPr>
          <w:p w:rsidR="00A17D93" w:rsidRPr="00C64D00" w:rsidRDefault="00A17D93" w:rsidP="00EE1F6B">
            <w:pPr>
              <w:pStyle w:val="NormalWeb"/>
              <w:jc w:val="center"/>
              <w:rPr>
                <w:sz w:val="18"/>
                <w:szCs w:val="18"/>
              </w:rPr>
            </w:pPr>
            <w:r w:rsidRPr="00C64D00">
              <w:rPr>
                <w:sz w:val="18"/>
                <w:szCs w:val="18"/>
              </w:rPr>
              <w:t>0.13</w:t>
            </w:r>
          </w:p>
        </w:tc>
        <w:tc>
          <w:tcPr>
            <w:tcW w:w="0" w:type="auto"/>
            <w:hideMark/>
          </w:tcPr>
          <w:p w:rsidR="00A17D93" w:rsidRPr="00C64D00" w:rsidRDefault="00A17D93" w:rsidP="00EE1F6B">
            <w:pPr>
              <w:pStyle w:val="NormalWeb"/>
              <w:jc w:val="center"/>
              <w:rPr>
                <w:sz w:val="18"/>
                <w:szCs w:val="18"/>
              </w:rPr>
            </w:pPr>
            <w:r w:rsidRPr="00C64D00">
              <w:rPr>
                <w:sz w:val="18"/>
                <w:szCs w:val="18"/>
              </w:rPr>
              <w:t>7.8</w:t>
            </w:r>
          </w:p>
        </w:tc>
        <w:tc>
          <w:tcPr>
            <w:tcW w:w="0" w:type="auto"/>
            <w:hideMark/>
          </w:tcPr>
          <w:p w:rsidR="00A17D93" w:rsidRPr="00C64D00" w:rsidRDefault="00A17D93" w:rsidP="00EE1F6B">
            <w:pPr>
              <w:pStyle w:val="NormalWeb"/>
              <w:jc w:val="center"/>
              <w:rPr>
                <w:sz w:val="18"/>
                <w:szCs w:val="18"/>
              </w:rPr>
            </w:pPr>
            <w:r w:rsidRPr="00C64D00">
              <w:rPr>
                <w:sz w:val="18"/>
                <w:szCs w:val="18"/>
              </w:rPr>
              <w:t>22,201</w:t>
            </w:r>
          </w:p>
        </w:tc>
        <w:tc>
          <w:tcPr>
            <w:tcW w:w="0" w:type="auto"/>
            <w:hideMark/>
          </w:tcPr>
          <w:p w:rsidR="00A17D93" w:rsidRPr="00C64D00" w:rsidRDefault="00A17D93" w:rsidP="00EE1F6B">
            <w:pPr>
              <w:pStyle w:val="NormalWeb"/>
              <w:jc w:val="center"/>
              <w:rPr>
                <w:sz w:val="18"/>
                <w:szCs w:val="18"/>
              </w:rPr>
            </w:pPr>
            <w:r w:rsidRPr="00C64D00">
              <w:rPr>
                <w:sz w:val="18"/>
                <w:szCs w:val="18"/>
              </w:rPr>
              <w:t>0.09</w:t>
            </w:r>
          </w:p>
        </w:tc>
        <w:tc>
          <w:tcPr>
            <w:tcW w:w="0" w:type="auto"/>
            <w:hideMark/>
          </w:tcPr>
          <w:p w:rsidR="00A17D93" w:rsidRPr="00C64D00" w:rsidRDefault="00A17D93" w:rsidP="00EE1F6B">
            <w:pPr>
              <w:pStyle w:val="NormalWeb"/>
              <w:jc w:val="center"/>
              <w:rPr>
                <w:sz w:val="18"/>
                <w:szCs w:val="18"/>
              </w:rPr>
            </w:pPr>
            <w:r w:rsidRPr="00C64D00">
              <w:rPr>
                <w:sz w:val="18"/>
                <w:szCs w:val="18"/>
              </w:rPr>
              <w:t>8.5</w:t>
            </w:r>
          </w:p>
        </w:tc>
        <w:tc>
          <w:tcPr>
            <w:tcW w:w="0" w:type="auto"/>
            <w:hideMark/>
          </w:tcPr>
          <w:p w:rsidR="00A17D93" w:rsidRPr="00C64D00" w:rsidRDefault="00A17D93" w:rsidP="00EE1F6B">
            <w:pPr>
              <w:pStyle w:val="NormalWeb"/>
              <w:jc w:val="center"/>
              <w:rPr>
                <w:sz w:val="18"/>
                <w:szCs w:val="18"/>
              </w:rPr>
            </w:pPr>
            <w:r w:rsidRPr="00C64D00">
              <w:rPr>
                <w:sz w:val="18"/>
                <w:szCs w:val="18"/>
              </w:rPr>
              <w:t>289,664</w:t>
            </w:r>
          </w:p>
        </w:tc>
        <w:tc>
          <w:tcPr>
            <w:tcW w:w="0" w:type="auto"/>
            <w:hideMark/>
          </w:tcPr>
          <w:p w:rsidR="00A17D93" w:rsidRPr="00C64D00" w:rsidRDefault="00A17D93" w:rsidP="00EE1F6B">
            <w:pPr>
              <w:pStyle w:val="NormalWeb"/>
              <w:jc w:val="center"/>
              <w:rPr>
                <w:sz w:val="18"/>
                <w:szCs w:val="18"/>
              </w:rPr>
            </w:pPr>
            <w:r w:rsidRPr="00C64D00">
              <w:rPr>
                <w:sz w:val="18"/>
                <w:szCs w:val="18"/>
              </w:rPr>
              <w:t>0.04</w:t>
            </w:r>
          </w:p>
        </w:tc>
        <w:tc>
          <w:tcPr>
            <w:tcW w:w="0" w:type="auto"/>
            <w:hideMark/>
          </w:tcPr>
          <w:p w:rsidR="00A17D93" w:rsidRPr="00C64D00" w:rsidRDefault="00A17D93" w:rsidP="00EE1F6B">
            <w:pPr>
              <w:pStyle w:val="NormalWeb"/>
              <w:jc w:val="center"/>
              <w:rPr>
                <w:sz w:val="18"/>
                <w:szCs w:val="18"/>
              </w:rPr>
            </w:pPr>
            <w:r w:rsidRPr="00C64D00">
              <w:rPr>
                <w:sz w:val="18"/>
                <w:szCs w:val="18"/>
              </w:rPr>
              <w:t>110.5</w:t>
            </w:r>
          </w:p>
        </w:tc>
      </w:tr>
      <w:tr w:rsidR="00A17D93" w:rsidRPr="00C64D00" w:rsidTr="00EE1F6B">
        <w:tc>
          <w:tcPr>
            <w:tcW w:w="0" w:type="auto"/>
            <w:shd w:val="clear" w:color="auto" w:fill="FDE9D9" w:themeFill="accent6" w:themeFillTint="33"/>
            <w:hideMark/>
          </w:tcPr>
          <w:p w:rsidR="00A17D93" w:rsidRPr="00C64D00" w:rsidRDefault="00A17D93" w:rsidP="00EE1F6B">
            <w:pPr>
              <w:pStyle w:val="NormalWeb"/>
              <w:rPr>
                <w:b/>
                <w:sz w:val="18"/>
                <w:szCs w:val="18"/>
              </w:rPr>
            </w:pPr>
            <w:r w:rsidRPr="00C64D00">
              <w:rPr>
                <w:b/>
                <w:sz w:val="18"/>
                <w:szCs w:val="18"/>
              </w:rPr>
              <w:t>Australia</w:t>
            </w:r>
          </w:p>
        </w:tc>
        <w:tc>
          <w:tcPr>
            <w:tcW w:w="0" w:type="auto"/>
            <w:shd w:val="clear" w:color="auto" w:fill="FDE9D9" w:themeFill="accent6" w:themeFillTint="33"/>
            <w:hideMark/>
          </w:tcPr>
          <w:p w:rsidR="00A17D93" w:rsidRPr="00C64D00" w:rsidRDefault="00A17D93" w:rsidP="00EE1F6B">
            <w:pPr>
              <w:pStyle w:val="NormalWeb"/>
              <w:jc w:val="center"/>
              <w:rPr>
                <w:b/>
                <w:sz w:val="18"/>
                <w:szCs w:val="18"/>
              </w:rPr>
            </w:pPr>
            <w:r w:rsidRPr="00C64D00">
              <w:rPr>
                <w:b/>
                <w:sz w:val="18"/>
                <w:szCs w:val="18"/>
              </w:rPr>
              <w:t>386,510</w:t>
            </w:r>
          </w:p>
        </w:tc>
        <w:tc>
          <w:tcPr>
            <w:tcW w:w="0" w:type="auto"/>
            <w:shd w:val="clear" w:color="auto" w:fill="FDE9D9" w:themeFill="accent6" w:themeFillTint="33"/>
            <w:hideMark/>
          </w:tcPr>
          <w:p w:rsidR="00A17D93" w:rsidRPr="00C64D00" w:rsidRDefault="00A17D93" w:rsidP="00EE1F6B">
            <w:pPr>
              <w:pStyle w:val="NormalWeb"/>
              <w:jc w:val="center"/>
              <w:rPr>
                <w:b/>
                <w:sz w:val="18"/>
                <w:szCs w:val="18"/>
              </w:rPr>
            </w:pPr>
            <w:r w:rsidRPr="00C64D00">
              <w:rPr>
                <w:b/>
                <w:sz w:val="18"/>
                <w:szCs w:val="18"/>
              </w:rPr>
              <w:t>0.05</w:t>
            </w:r>
          </w:p>
        </w:tc>
        <w:tc>
          <w:tcPr>
            <w:tcW w:w="0" w:type="auto"/>
            <w:shd w:val="clear" w:color="auto" w:fill="FDE9D9" w:themeFill="accent6" w:themeFillTint="33"/>
            <w:hideMark/>
          </w:tcPr>
          <w:p w:rsidR="00A17D93" w:rsidRPr="00C64D00" w:rsidRDefault="00A17D93" w:rsidP="00EE1F6B">
            <w:pPr>
              <w:pStyle w:val="NormalWeb"/>
              <w:jc w:val="center"/>
              <w:rPr>
                <w:b/>
                <w:sz w:val="18"/>
                <w:szCs w:val="18"/>
              </w:rPr>
            </w:pPr>
            <w:r w:rsidRPr="00C64D00">
              <w:rPr>
                <w:b/>
                <w:sz w:val="18"/>
                <w:szCs w:val="18"/>
              </w:rPr>
              <w:t>15.0</w:t>
            </w:r>
          </w:p>
        </w:tc>
        <w:tc>
          <w:tcPr>
            <w:tcW w:w="0" w:type="auto"/>
            <w:shd w:val="clear" w:color="auto" w:fill="FDE9D9" w:themeFill="accent6" w:themeFillTint="33"/>
            <w:hideMark/>
          </w:tcPr>
          <w:p w:rsidR="00A17D93" w:rsidRPr="00C64D00" w:rsidRDefault="00A17D93" w:rsidP="00EE1F6B">
            <w:pPr>
              <w:pStyle w:val="NormalWeb"/>
              <w:jc w:val="center"/>
              <w:rPr>
                <w:b/>
                <w:sz w:val="18"/>
                <w:szCs w:val="18"/>
              </w:rPr>
            </w:pPr>
            <w:r w:rsidRPr="00C64D00">
              <w:rPr>
                <w:b/>
                <w:sz w:val="18"/>
                <w:szCs w:val="18"/>
              </w:rPr>
              <w:t>502,541</w:t>
            </w:r>
          </w:p>
        </w:tc>
        <w:tc>
          <w:tcPr>
            <w:tcW w:w="0" w:type="auto"/>
            <w:shd w:val="clear" w:color="auto" w:fill="FDE9D9" w:themeFill="accent6" w:themeFillTint="33"/>
            <w:hideMark/>
          </w:tcPr>
          <w:p w:rsidR="00A17D93" w:rsidRPr="00C64D00" w:rsidRDefault="00A17D93" w:rsidP="00EE1F6B">
            <w:pPr>
              <w:pStyle w:val="NormalWeb"/>
              <w:jc w:val="center"/>
              <w:rPr>
                <w:b/>
                <w:sz w:val="18"/>
                <w:szCs w:val="18"/>
              </w:rPr>
            </w:pPr>
            <w:r w:rsidRPr="00C64D00">
              <w:rPr>
                <w:b/>
                <w:sz w:val="18"/>
                <w:szCs w:val="18"/>
              </w:rPr>
              <w:t>0.02</w:t>
            </w:r>
          </w:p>
        </w:tc>
        <w:tc>
          <w:tcPr>
            <w:tcW w:w="0" w:type="auto"/>
            <w:shd w:val="clear" w:color="auto" w:fill="FDE9D9" w:themeFill="accent6" w:themeFillTint="33"/>
            <w:hideMark/>
          </w:tcPr>
          <w:p w:rsidR="00A17D93" w:rsidRPr="00C64D00" w:rsidRDefault="00A17D93" w:rsidP="00EE1F6B">
            <w:pPr>
              <w:pStyle w:val="NormalWeb"/>
              <w:jc w:val="center"/>
              <w:rPr>
                <w:b/>
                <w:sz w:val="18"/>
                <w:szCs w:val="18"/>
              </w:rPr>
            </w:pPr>
            <w:r w:rsidRPr="00C64D00">
              <w:rPr>
                <w:b/>
                <w:sz w:val="18"/>
                <w:szCs w:val="18"/>
              </w:rPr>
              <w:t>19.6</w:t>
            </w:r>
          </w:p>
        </w:tc>
        <w:tc>
          <w:tcPr>
            <w:tcW w:w="0" w:type="auto"/>
            <w:shd w:val="clear" w:color="auto" w:fill="FDE9D9" w:themeFill="accent6" w:themeFillTint="33"/>
            <w:hideMark/>
          </w:tcPr>
          <w:p w:rsidR="00A17D93" w:rsidRPr="00C64D00" w:rsidRDefault="00A17D93" w:rsidP="00EE1F6B">
            <w:pPr>
              <w:pStyle w:val="NormalWeb"/>
              <w:jc w:val="center"/>
              <w:rPr>
                <w:b/>
                <w:sz w:val="18"/>
                <w:szCs w:val="18"/>
              </w:rPr>
            </w:pPr>
            <w:r w:rsidRPr="00C64D00">
              <w:rPr>
                <w:b/>
                <w:sz w:val="18"/>
                <w:szCs w:val="18"/>
              </w:rPr>
              <w:t>4,208,558</w:t>
            </w:r>
          </w:p>
        </w:tc>
        <w:tc>
          <w:tcPr>
            <w:tcW w:w="0" w:type="auto"/>
            <w:shd w:val="clear" w:color="auto" w:fill="FDE9D9" w:themeFill="accent6" w:themeFillTint="33"/>
            <w:hideMark/>
          </w:tcPr>
          <w:p w:rsidR="00A17D93" w:rsidRPr="00C64D00" w:rsidRDefault="00A17D93" w:rsidP="00EE1F6B">
            <w:pPr>
              <w:pStyle w:val="NormalWeb"/>
              <w:jc w:val="center"/>
              <w:rPr>
                <w:b/>
                <w:sz w:val="18"/>
                <w:szCs w:val="18"/>
              </w:rPr>
            </w:pPr>
            <w:r w:rsidRPr="00C64D00">
              <w:rPr>
                <w:b/>
                <w:sz w:val="18"/>
                <w:szCs w:val="18"/>
              </w:rPr>
              <w:t>0.02</w:t>
            </w:r>
          </w:p>
        </w:tc>
        <w:tc>
          <w:tcPr>
            <w:tcW w:w="0" w:type="auto"/>
            <w:shd w:val="clear" w:color="auto" w:fill="FDE9D9" w:themeFill="accent6" w:themeFillTint="33"/>
            <w:hideMark/>
          </w:tcPr>
          <w:p w:rsidR="00A17D93" w:rsidRPr="00C64D00" w:rsidRDefault="00A17D93" w:rsidP="00EE1F6B">
            <w:pPr>
              <w:pStyle w:val="NormalWeb"/>
              <w:jc w:val="center"/>
              <w:rPr>
                <w:b/>
                <w:sz w:val="18"/>
                <w:szCs w:val="18"/>
              </w:rPr>
            </w:pPr>
            <w:r w:rsidRPr="00C64D00">
              <w:rPr>
                <w:b/>
                <w:sz w:val="18"/>
                <w:szCs w:val="18"/>
              </w:rPr>
              <w:t>163.8</w:t>
            </w:r>
          </w:p>
        </w:tc>
      </w:tr>
    </w:tbl>
    <w:p w:rsidR="00A17D93" w:rsidRDefault="00A17D93" w:rsidP="00A17D93">
      <w:pPr>
        <w:pStyle w:val="CDIfootnotes"/>
        <w:rPr>
          <w:lang w:val="en-GB"/>
        </w:rPr>
      </w:pPr>
      <w:proofErr w:type="spellStart"/>
      <w:proofErr w:type="gramStart"/>
      <w:r>
        <w:rPr>
          <w:lang w:val="en-GB"/>
        </w:rPr>
        <w:t>a</w:t>
      </w:r>
      <w:proofErr w:type="spellEnd"/>
      <w:proofErr w:type="gramEnd"/>
      <w:r>
        <w:rPr>
          <w:lang w:val="en-GB"/>
        </w:rPr>
        <w:tab/>
        <w:t>In order to more accurately reflect positivity rates, numbers of individuals tested is presented rather than total number of tests.</w:t>
      </w:r>
    </w:p>
    <w:p w:rsidR="00A17D93" w:rsidRPr="00A17D93" w:rsidRDefault="00A17D93" w:rsidP="00A17D93">
      <w:pPr>
        <w:pStyle w:val="CDIfootnotes"/>
        <w:rPr>
          <w:lang w:val="en-GB"/>
        </w:rPr>
      </w:pPr>
      <w:proofErr w:type="gramStart"/>
      <w:r>
        <w:rPr>
          <w:lang w:val="en-GB"/>
        </w:rPr>
        <w:t>b</w:t>
      </w:r>
      <w:proofErr w:type="gramEnd"/>
      <w:r>
        <w:rPr>
          <w:lang w:val="en-GB"/>
        </w:rPr>
        <w:tab/>
        <w:t>Population data based on Australian Bureau of Statistics (ABS) Estimated Resident Population (ERP) as at June 2020.</w:t>
      </w:r>
    </w:p>
    <w:p w:rsidR="00E52E78" w:rsidRDefault="00E52E78" w:rsidP="00D151EC">
      <w:r>
        <w:t xml:space="preserve">During this reporting period, 386,510 individuals were tested nationally, with a positivity rate of 0.05%. Jurisdictional testing rates are driven by both current case numbers and numbers of people experiencing symptoms. The low national positivity rate, along with high rates of testing, indicates a low incidence of COVID-19 nationally. </w:t>
      </w:r>
    </w:p>
    <w:p w:rsidR="00E52E78" w:rsidRDefault="00E52E78" w:rsidP="00D151EC">
      <w:r>
        <w:t>For the two-week period ending 23 April 2021, testing rates increased among all age groups (</w:t>
      </w:r>
      <w:r w:rsidR="00A63851">
        <w:t>Figure 6</w:t>
      </w:r>
      <w:r>
        <w:t xml:space="preserve">), except for those over 60 years of age. Testing rates among children and young adults aged 0–19 years tended to be lower than </w:t>
      </w:r>
      <w:r>
        <w:lastRenderedPageBreak/>
        <w:t>those of other age groups, while rates among the 20–39 year age groups have remained high throughou</w:t>
      </w:r>
      <w:r w:rsidR="0051241F">
        <w:t>t the entirety of the pandemic.</w:t>
      </w:r>
    </w:p>
    <w:p w:rsidR="0051241F" w:rsidRDefault="00A63851" w:rsidP="0051241F">
      <w:pPr>
        <w:pStyle w:val="CDIFigures"/>
        <w:rPr>
          <w:lang w:val="en-GB"/>
        </w:rPr>
      </w:pPr>
      <w:r>
        <w:rPr>
          <w:lang w:val="en-GB"/>
        </w:rPr>
        <w:t>Figure 6</w:t>
      </w:r>
      <w:r w:rsidR="0051241F">
        <w:rPr>
          <w:lang w:val="en-GB"/>
        </w:rPr>
        <w:t>: SARS-CoV-2 polymerase chain reaction (PCR) testing rates per 1,000 population per week by age group, Australia, 1 May 2020 – 23 April 2021</w:t>
      </w:r>
      <w:r w:rsidR="0051241F" w:rsidRPr="00136FCB">
        <w:rPr>
          <w:vertAlign w:val="superscript"/>
          <w:lang w:val="en-GB"/>
        </w:rPr>
        <w:t>a</w:t>
      </w:r>
      <w:proofErr w:type="gramStart"/>
      <w:r w:rsidR="0051241F" w:rsidRPr="00136FCB">
        <w:rPr>
          <w:vertAlign w:val="superscript"/>
          <w:lang w:val="en-GB"/>
        </w:rPr>
        <w:t>,b</w:t>
      </w:r>
      <w:proofErr w:type="gramEnd"/>
    </w:p>
    <w:p w:rsidR="0051241F" w:rsidRDefault="0051241F" w:rsidP="0051241F">
      <w:pPr>
        <w:pStyle w:val="NormalWeb"/>
        <w:rPr>
          <w:lang w:val="en-GB"/>
        </w:rPr>
      </w:pPr>
      <w:r>
        <w:rPr>
          <w:lang w:val="en-GB"/>
        </w:rPr>
        <w:t> </w:t>
      </w:r>
    </w:p>
    <w:p w:rsidR="0051241F" w:rsidRDefault="0051241F" w:rsidP="0051241F">
      <w:pPr>
        <w:pStyle w:val="NormalWeb"/>
        <w:rPr>
          <w:lang w:val="en-GB"/>
        </w:rPr>
      </w:pPr>
      <w:r>
        <w:rPr>
          <w:noProof/>
        </w:rPr>
        <w:drawing>
          <wp:inline distT="0" distB="0" distL="0" distR="0" wp14:anchorId="08FEEADF" wp14:editId="36852E5A">
            <wp:extent cx="6658113" cy="4432097"/>
            <wp:effectExtent l="0" t="0" r="0" b="6985"/>
            <wp:docPr id="11" name="Picture 11" descr="A line graph showing the reported SARS-CoV-2 PCR testing rate per 1,000 population each week by age group. Weekly testing rates for all age groups have fluctuated from 1 May 2020 to 26 March 2021, with a broad peak in testing during July and August 2020 and four pronounced spikes in testing in the weeks ending 25 December 2020, 8 January 2021, 19 February 2021 and 2 April 2021. Throughout the second half of 2020 and the start of 2021, the highest testing rate has been seen in the 20–39 year age group, peaking at approximately 30 tests per 1,000 population in the week ending 8 January 202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line graph showing the reported SARS-CoV-2 PCR testing rate per 1,000 population each week by age group. Weekly testing rates for all age groups have fluctuated from 1 May 2020 to 26 March 2021, with a broad peak in testing during July and August 2020 and four pronounced spikes in testing in the weeks ending 25 December 2020, 8 January 2021, 19 February 2021 and 2 April 2021. Throughout the second half of 2020 and the start of 2021, the highest testing rate has been seen in the 20–39 year age group, peaking at approximately 30 tests per 1,000 population in the week ending 8 January 2021. "/>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6663259" cy="4435522"/>
                    </a:xfrm>
                    <a:prstGeom prst="rect">
                      <a:avLst/>
                    </a:prstGeom>
                  </pic:spPr>
                </pic:pic>
              </a:graphicData>
            </a:graphic>
          </wp:inline>
        </w:drawing>
      </w:r>
    </w:p>
    <w:p w:rsidR="0051241F" w:rsidRDefault="0051241F" w:rsidP="0051241F">
      <w:pPr>
        <w:pStyle w:val="CDIfootnotes"/>
        <w:rPr>
          <w:lang w:val="en-GB"/>
        </w:rPr>
      </w:pPr>
      <w:proofErr w:type="gramStart"/>
      <w:r>
        <w:rPr>
          <w:lang w:val="en-GB"/>
        </w:rPr>
        <w:t>a</w:t>
      </w:r>
      <w:proofErr w:type="gramEnd"/>
      <w:r>
        <w:rPr>
          <w:lang w:val="en-GB"/>
        </w:rPr>
        <w:tab/>
        <w:t>Source: Data provided by jurisdictions to the NIR weekly, current up to 26 March 2021.</w:t>
      </w:r>
    </w:p>
    <w:p w:rsidR="0051241F" w:rsidRPr="00AE76B6" w:rsidRDefault="0051241F" w:rsidP="00AE76B6">
      <w:pPr>
        <w:pStyle w:val="CDIfootnotes"/>
        <w:rPr>
          <w:lang w:val="en-GB"/>
        </w:rPr>
      </w:pPr>
      <w:proofErr w:type="gramStart"/>
      <w:r>
        <w:rPr>
          <w:lang w:val="en-GB"/>
        </w:rPr>
        <w:t>b</w:t>
      </w:r>
      <w:proofErr w:type="gramEnd"/>
      <w:r>
        <w:rPr>
          <w:lang w:val="en-GB"/>
        </w:rPr>
        <w:tab/>
        <w:t>The jurisdictions reporting each week (i.e. the denominator population) may vary.</w:t>
      </w:r>
    </w:p>
    <w:p w:rsidR="00E52E78" w:rsidRPr="00D151EC" w:rsidRDefault="00E52E78" w:rsidP="00D151EC">
      <w:pPr>
        <w:pStyle w:val="Heading2"/>
      </w:pPr>
      <w:r w:rsidRPr="00D151EC">
        <w:t xml:space="preserve">Acute respiratory illness </w:t>
      </w:r>
    </w:p>
    <w:p w:rsidR="00E52E78" w:rsidRPr="00623789" w:rsidRDefault="00E52E78" w:rsidP="00D151EC">
      <w:pPr>
        <w:pStyle w:val="Heading3"/>
        <w:rPr>
          <w:i/>
        </w:rPr>
      </w:pPr>
      <w:r w:rsidRPr="00623789">
        <w:rPr>
          <w:i/>
        </w:rPr>
        <w:t xml:space="preserve">(FluTracking and Commonwealth Respiratory Clinics) </w:t>
      </w:r>
    </w:p>
    <w:p w:rsidR="00E52E78" w:rsidRDefault="00E52E78" w:rsidP="00D151EC">
      <w:r>
        <w:t>Based on self-reported FluTracking data</w:t>
      </w:r>
      <w:proofErr w:type="gramStart"/>
      <w:r>
        <w:t>,</w:t>
      </w:r>
      <w:r>
        <w:rPr>
          <w:vertAlign w:val="superscript"/>
        </w:rPr>
        <w:t>19</w:t>
      </w:r>
      <w:proofErr w:type="gramEnd"/>
      <w:r>
        <w:t xml:space="preserve"> prevalence of fever and cough in the community continues to be low nationally, remaining under 0.8% (</w:t>
      </w:r>
      <w:r w:rsidR="00A63851">
        <w:t>Figure 7</w:t>
      </w:r>
      <w:r>
        <w:t xml:space="preserve">). Runny nose and sore throat symptoms in the community increased somewhat during this reporting period compared to the previous four weeks, however the prevalence in the community remains low at less than 1%. </w:t>
      </w:r>
    </w:p>
    <w:p w:rsidR="00E52E78" w:rsidRDefault="00E52E78" w:rsidP="00D151EC">
      <w:r>
        <w:t>In this reporting period, acute respiratory illness was highest in those aged under 10 years old and between the ages of 20 and 39, based on both self-reported FluTracking data and presentations to Commonwealth Respiratory Clinics. Females reported respiratory illness more frequently than males. Rates of fever and cough by jurisdiction ranged from 2.7/1,000 FluTracking participants in South Australia to 7.5/1,000 partici</w:t>
      </w:r>
      <w:r w:rsidR="00C9286B">
        <w:t>pants in the Australian Capital </w:t>
      </w:r>
      <w:r>
        <w:t xml:space="preserve">Territory. </w:t>
      </w:r>
    </w:p>
    <w:p w:rsidR="00DD10A3" w:rsidRDefault="00E52E78" w:rsidP="00D151EC">
      <w:r>
        <w:lastRenderedPageBreak/>
        <w:t xml:space="preserve">FluTracking data indicated that 44.9% of those in the community with ‘fever and cough’ and 18.3% of those with ‘runny nose and sore throat’ were tested for SARS-CoV-2. This represented a slight decrease in testing for ‘fever and </w:t>
      </w:r>
      <w:r w:rsidR="00EE1F6B">
        <w:t>cough’ and a slight increase for ‘sore throat and runny nose’ since the previous reporting period. Testing rates varied by jurisdiction and symptom. For fever and cough, rates were lowest in Western Australia for the four-week reporting period and highest in Queensland for the first two weeks of the reporting period and in Tasmania for the second two weeks. For runny nose and sore throat, there was no testing in the Northern Territory and rates were otherwise lowest in Western Australia. Testing rates were highest for runny nose and sore throat in Queensland for the first two weeks of the reporting period and then in Victoria for the second two weeks. It is important to acknowledge that there may be legitimate reasons why people did not get tested, including barriers to accessing testing. Symptoms reported to Flutracking were not specific to COVID-19 and may also be due to chronic diseases.</w:t>
      </w:r>
    </w:p>
    <w:p w:rsidR="00DD10A3" w:rsidRDefault="00A63851" w:rsidP="00DD10A3">
      <w:pPr>
        <w:pStyle w:val="CDIFigures"/>
        <w:rPr>
          <w:lang w:val="en-GB"/>
        </w:rPr>
      </w:pPr>
      <w:r>
        <w:rPr>
          <w:lang w:val="en-GB"/>
        </w:rPr>
        <w:t>Figure 7</w:t>
      </w:r>
      <w:r w:rsidR="00DD10A3">
        <w:rPr>
          <w:lang w:val="en-GB"/>
        </w:rPr>
        <w:t>: Weekly trends in respiratory illness amongst FluTracking survey participants (age-standardised) compared to the average of the previous five years, Australia, 1 March 2020 – 25 April 2021</w:t>
      </w:r>
      <w:r w:rsidR="00DD10A3" w:rsidRPr="005C41DC">
        <w:rPr>
          <w:vertAlign w:val="superscript"/>
          <w:lang w:val="en-GB"/>
        </w:rPr>
        <w:t>a</w:t>
      </w:r>
    </w:p>
    <w:p w:rsidR="00DD10A3" w:rsidRDefault="00DD10A3" w:rsidP="00DD10A3">
      <w:pPr>
        <w:pStyle w:val="NormalWeb"/>
        <w:rPr>
          <w:lang w:val="en-GB"/>
        </w:rPr>
      </w:pPr>
      <w:r>
        <w:rPr>
          <w:noProof/>
        </w:rPr>
        <w:drawing>
          <wp:inline distT="0" distB="0" distL="0" distR="0" wp14:anchorId="1E061E65" wp14:editId="6BC8CD2C">
            <wp:extent cx="6625742" cy="4310366"/>
            <wp:effectExtent l="0" t="0" r="3810" b="0"/>
            <wp:docPr id="12" name="Picture 12" descr="A line graph comparing weekly fever and cough notifications, as an age-standardised percentage of FluTracking survey participants, since 1 March 2020 with the averaged notifications each week for the years 2015–2019. Fever and cough notifications for much of March last year were around 1.5% but, from April 2020 thereafter, have consistently remained within the range 0.2–0.7%. While in years prior to 2020, FluTracking notifications have only been reported from May onwards, it is evident from the trend of notifications for 2020 and the start of 2021 that they are well below the average for the previous five years, for which the reporting rate is typically between 1.5% and 2.5% across the weeks from the start of May into early October, peaking in August. The runny nose and sore throat notifications (for which there are no FluTracking data from earlier years) reported since April 2020 show a similar weekly trend to the fever and cough notifications during the same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line graph comparing weekly fever and cough notifications, as an age-standardised percentage of FluTracking survey participants, since 1 March 2020 with the averaged notifications each week for the years 2015–2019. Fever and cough notifications for much of March last year were around 1.5% but, from April 2020 thereafter, have consistently remained within the range 0.2–0.7%. While in years prior to 2020, FluTracking notifications have only been reported from May onwards, it is evident from the trend of notifications for 2020 and the start of 2021 that they are well below the average for the previous five years, for which the reporting rate is typically between 1.5% and 2.5% across the weeks from the start of May into early October, peaking in August. The runny nose and sore throat notifications (for which there are no FluTracking data from earlier years) reported since April 2020 show a similar weekly trend to the fever and cough notifications during the same period."/>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6635853" cy="4316944"/>
                    </a:xfrm>
                    <a:prstGeom prst="rect">
                      <a:avLst/>
                    </a:prstGeom>
                  </pic:spPr>
                </pic:pic>
              </a:graphicData>
            </a:graphic>
          </wp:inline>
        </w:drawing>
      </w:r>
    </w:p>
    <w:p w:rsidR="00DD10A3" w:rsidRDefault="00DD10A3" w:rsidP="00DD10A3">
      <w:pPr>
        <w:pStyle w:val="CDIfootnotes"/>
        <w:rPr>
          <w:lang w:val="en-GB"/>
        </w:rPr>
      </w:pPr>
      <w:proofErr w:type="spellStart"/>
      <w:proofErr w:type="gramStart"/>
      <w:r>
        <w:rPr>
          <w:lang w:val="en-GB"/>
        </w:rPr>
        <w:t>a</w:t>
      </w:r>
      <w:proofErr w:type="spellEnd"/>
      <w:proofErr w:type="gramEnd"/>
      <w:r>
        <w:rPr>
          <w:lang w:val="en-GB"/>
        </w:rPr>
        <w:tab/>
        <w:t xml:space="preserve">In years prior to 2020, FluTracking was activated during the main Influenza season from May to October. A historical average beyond the week ending 11 October is therefore not available. In 2020, FluTracking commenced 10 weeks early to capture data for COVID-19. Data on runny nose and sore throat were only collected systematically after 29 March 2020, therefore a historical average for this symptom profile is unavailable. </w:t>
      </w:r>
    </w:p>
    <w:p w:rsidR="00E52E78" w:rsidRDefault="00E52E78" w:rsidP="00D151EC">
      <w:r>
        <w:t xml:space="preserve"> </w:t>
      </w:r>
    </w:p>
    <w:p w:rsidR="00E52E78" w:rsidRDefault="00E52E78" w:rsidP="00D151EC">
      <w:r>
        <w:t xml:space="preserve">During this reporting period, there were 60,625 assessments at Commonwealth Respiratory Clinics with 87–89% tested for SARS-CoV-2. There were no cases reported at these clinics in this reporting period. </w:t>
      </w:r>
    </w:p>
    <w:p w:rsidR="00E52E78" w:rsidRDefault="00E52E78" w:rsidP="00D151EC">
      <w:r>
        <w:lastRenderedPageBreak/>
        <w:t>In patients experiencing influenza-like illness in this reporting period who were tested through the Australian Sentinel Practice Research Network (ASPREN) and Victorian Sentinel Practice Influenza Network (</w:t>
      </w:r>
      <w:proofErr w:type="spellStart"/>
      <w:r>
        <w:t>VicSPIN</w:t>
      </w:r>
      <w:proofErr w:type="spellEnd"/>
      <w:r>
        <w:t xml:space="preserve">) general practitioner (GP) sentinel surveillance systems, the most frequent respiratory viruses detected were rhinoviruses. </w:t>
      </w:r>
    </w:p>
    <w:p w:rsidR="00E52E78" w:rsidRDefault="00E52E78" w:rsidP="00D151EC">
      <w:r>
        <w:t xml:space="preserve">Based on FluTracking data, the rate of self-reported fever and cough among Aboriginal and Torres Strait Islander peoples was similar to that observed in all other participants in the first two weeks of this reporting period, but lower in the last two weeks. The rate for health care worker participants reporting these symptoms during this period was higher than that observed for all other participants for the entire four-week reporting period based on FluTracking data. </w:t>
      </w:r>
    </w:p>
    <w:p w:rsidR="00E52E78" w:rsidRPr="00D151EC" w:rsidRDefault="00E52E78" w:rsidP="00D151EC">
      <w:pPr>
        <w:pStyle w:val="Heading2"/>
      </w:pPr>
      <w:r w:rsidRPr="00D151EC">
        <w:t xml:space="preserve">Severity </w:t>
      </w:r>
    </w:p>
    <w:p w:rsidR="00E52E78" w:rsidRPr="00623789" w:rsidRDefault="00E52E78" w:rsidP="00D151EC">
      <w:pPr>
        <w:pStyle w:val="Heading3"/>
        <w:rPr>
          <w:i/>
        </w:rPr>
      </w:pPr>
      <w:r w:rsidRPr="00623789">
        <w:rPr>
          <w:i/>
        </w:rPr>
        <w:t xml:space="preserve">(NNDSS, FluCAN, SPRINT-SARI) </w:t>
      </w:r>
    </w:p>
    <w:p w:rsidR="00E52E78" w:rsidRPr="00623789" w:rsidRDefault="00E52E78" w:rsidP="00623789">
      <w:pPr>
        <w:pStyle w:val="Heading4"/>
      </w:pPr>
      <w:r w:rsidRPr="00623789">
        <w:t xml:space="preserve">Hospitalisation </w:t>
      </w:r>
    </w:p>
    <w:p w:rsidR="00E52E78" w:rsidRDefault="00E52E78" w:rsidP="00D151EC">
      <w:r>
        <w:t xml:space="preserve">We estimate hospitalisation rates based on data from four states/territories (the Australian Capital Territory, Tasmania, Victoria and Western Australia); these jurisdictions do not hold policies that all cases be routinely hospitalised for isolation purposes and have hospitalisation data that is more than 90% complete. In these states/territories, an estimated 3.7% (9/246) of cases (with hospital data) have been hospitalised in the year to date (to 25 April, 2021); this compares to 12.5% (2,680/21,482) hospitalised in these states/territories in 2020. Comparison of proportions between time frames requires consideration of the differences in epidemic circumstances. While a high percentage of cases diagnosed in 2021 acquired their infection overseas (90%), only 22% of cases recorded overseas-acquired infections in 2020. The 2021 case cohort, largely managed in hotel quarantine, may have been less likely to be admitted to hospital due to being generally younger and more healthy than the 2020 case cohort and because they had been closely monitored with access to medical care in hotel quarantine. </w:t>
      </w:r>
    </w:p>
    <w:p w:rsidR="00E52E78" w:rsidRPr="00623789" w:rsidRDefault="00E52E78" w:rsidP="00623789">
      <w:pPr>
        <w:pStyle w:val="Heading4"/>
      </w:pPr>
      <w:r w:rsidRPr="00623789">
        <w:t xml:space="preserve">Intensive care admission </w:t>
      </w:r>
    </w:p>
    <w:p w:rsidR="00E52E78" w:rsidRDefault="00E52E78" w:rsidP="00D151EC">
      <w:r>
        <w:t>The proportion of those hospitalised who were admitted to an intensive care unit (ICU) has been estimated from Influenza Complications Alert Network (FluCAN)</w:t>
      </w:r>
      <w:r>
        <w:rPr>
          <w:vertAlign w:val="superscript"/>
        </w:rPr>
        <w:t>20</w:t>
      </w:r>
      <w:r>
        <w:t xml:space="preserve"> sentinel surveillance system data at 19% (data for those hospitalised between 29 February 2020 and 28 February 2021). </w:t>
      </w:r>
    </w:p>
    <w:p w:rsidR="00E52E78" w:rsidRDefault="00E52E78" w:rsidP="00D151EC">
      <w:r>
        <w:t>In the year to date (to 25 April 2021), there have been 13 COVID-19 cases admitted to ICUs participating in the sentinel surveillance system, Short Period Incidence Study of Severe Acute Respiratory Infection (SPRINT-SARI),</w:t>
      </w:r>
      <w:r>
        <w:rPr>
          <w:vertAlign w:val="superscript"/>
        </w:rPr>
        <w:t>21</w:t>
      </w:r>
      <w:r>
        <w:t xml:space="preserve"> with four of these admitted during this reporting period (29 March – 25 April 2021). </w:t>
      </w:r>
    </w:p>
    <w:p w:rsidR="00E52E78" w:rsidRPr="00623789" w:rsidRDefault="00E52E78" w:rsidP="00623789">
      <w:pPr>
        <w:pStyle w:val="Heading4"/>
      </w:pPr>
      <w:r w:rsidRPr="00623789">
        <w:t xml:space="preserve">Risk factors for severe disease </w:t>
      </w:r>
    </w:p>
    <w:p w:rsidR="00E52E78" w:rsidRDefault="00E52E78" w:rsidP="00D151EC">
      <w:r>
        <w:t>Comorbidity data (Table 9) have been extracted from SPRINT-SARI and reflect the sickest patients with COVID-19 managed in ICU</w:t>
      </w:r>
      <w:proofErr w:type="gramStart"/>
      <w:r>
        <w:t>;</w:t>
      </w:r>
      <w:r>
        <w:rPr>
          <w:vertAlign w:val="superscript"/>
        </w:rPr>
        <w:t>21</w:t>
      </w:r>
      <w:proofErr w:type="gramEnd"/>
      <w:r>
        <w:t xml:space="preserve"> data are therefore not </w:t>
      </w:r>
      <w:proofErr w:type="spellStart"/>
      <w:r>
        <w:t>generalisable</w:t>
      </w:r>
      <w:proofErr w:type="spellEnd"/>
      <w:r>
        <w:t xml:space="preserve"> to all cases. In patients admitted to ICU with COVID-19 since 27 February 2020, the most prevalent comorbidity was diabetes, particularly amongst those who died while in hospital (44%). Over a quarter of ICU-admitted COVID-19 patients were classified as obese (a body mass index of &gt; 30, or over 120 kg). Mortality rates, amongst those admitted to ICU, increased with rising numbers of comorbidities; however, there were ten deaths (6% of all deaths in ICU) that occurred in patients with none of the listed co-morbidities recorded (these were aged between 42 and 81 years). </w:t>
      </w:r>
    </w:p>
    <w:p w:rsidR="00B153CE" w:rsidRDefault="00B153CE">
      <w:pPr>
        <w:rPr>
          <w:b/>
          <w:lang w:val="en-GB"/>
        </w:rPr>
      </w:pPr>
      <w:r>
        <w:rPr>
          <w:lang w:val="en-GB"/>
        </w:rPr>
        <w:br w:type="page"/>
      </w:r>
    </w:p>
    <w:p w:rsidR="002100F0" w:rsidRDefault="002100F0" w:rsidP="002100F0">
      <w:pPr>
        <w:pStyle w:val="CDIFigures"/>
        <w:rPr>
          <w:lang w:val="en-GB"/>
        </w:rPr>
      </w:pPr>
      <w:r>
        <w:rPr>
          <w:lang w:val="en-GB"/>
        </w:rPr>
        <w:lastRenderedPageBreak/>
        <w:t>Table 9: Comorbidities for adult COVID-19 cases (&gt; 18 years) amongst those admitted to ICU and those who died in ICU from COVID-19, and case fatality rate by comorbidity, Australia, as at 25 April 2021</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9 summarises the occurrence and case fatality of various comorbidities amongst adult COVID-19 cases admitted to an intensive care unit (ICU) of the sentinel facilities within the SPRINT-SARI network, up until 25 April 2021. Of the 509 ICU cases so reported, the most commonly-recorded comorbidities are diabetes (144 cases) and obesity (135 cases), followed by chronic respiratory condition including asthma (105 cases). Case fatality among ICU cases with recognised comorbidities range from 13.5% for obesity to 40% for malignancy, but the generally low numbers of cases must be borne in mind when interpreting these data. Nonetheless, it is clear that case fatality among ICU-admitted cases increases with the number of specified comorbidities: ICU-admitted cases with no comorbidities had a case fatality rate of 6.1%, increasing to 16.4%, 23.3% and 34.9% for those with respectively one, two, or three specified comorbidities."/>
      </w:tblPr>
      <w:tblGrid>
        <w:gridCol w:w="2610"/>
        <w:gridCol w:w="2610"/>
        <w:gridCol w:w="2610"/>
        <w:gridCol w:w="2610"/>
      </w:tblGrid>
      <w:tr w:rsidR="002100F0" w:rsidRPr="00073E61" w:rsidTr="002100F0">
        <w:trPr>
          <w:cnfStyle w:val="100000000000" w:firstRow="1" w:lastRow="0" w:firstColumn="0" w:lastColumn="0" w:oddVBand="0" w:evenVBand="0" w:oddHBand="0" w:evenHBand="0" w:firstRowFirstColumn="0" w:firstRowLastColumn="0" w:lastRowFirstColumn="0" w:lastRowLastColumn="0"/>
          <w:tblHeader/>
        </w:trPr>
        <w:tc>
          <w:tcPr>
            <w:tcW w:w="2610" w:type="dxa"/>
            <w:tcBorders>
              <w:right w:val="single" w:sz="2" w:space="0" w:color="FFFFFF" w:themeColor="background1"/>
            </w:tcBorders>
            <w:hideMark/>
          </w:tcPr>
          <w:p w:rsidR="002100F0" w:rsidRPr="00073E61" w:rsidRDefault="002100F0" w:rsidP="00EE1F6B">
            <w:pPr>
              <w:pStyle w:val="NormalWeb"/>
              <w:rPr>
                <w:color w:val="FFFFFF" w:themeColor="background1"/>
                <w:sz w:val="18"/>
                <w:szCs w:val="18"/>
              </w:rPr>
            </w:pPr>
            <w:r w:rsidRPr="00073E61">
              <w:rPr>
                <w:color w:val="FFFFFF" w:themeColor="background1"/>
                <w:sz w:val="18"/>
                <w:szCs w:val="18"/>
              </w:rPr>
              <w:t>Comorbidity</w:t>
            </w:r>
          </w:p>
        </w:tc>
        <w:tc>
          <w:tcPr>
            <w:tcW w:w="2610" w:type="dxa"/>
            <w:tcBorders>
              <w:left w:val="single" w:sz="2" w:space="0" w:color="FFFFFF" w:themeColor="background1"/>
              <w:right w:val="single" w:sz="2" w:space="0" w:color="FFFFFF" w:themeColor="background1"/>
            </w:tcBorders>
            <w:hideMark/>
          </w:tcPr>
          <w:p w:rsidR="002100F0" w:rsidRPr="00073E61" w:rsidRDefault="002100F0" w:rsidP="002100F0">
            <w:pPr>
              <w:pStyle w:val="NormalWeb"/>
              <w:jc w:val="center"/>
              <w:rPr>
                <w:color w:val="FFFFFF" w:themeColor="background1"/>
                <w:sz w:val="18"/>
                <w:szCs w:val="18"/>
              </w:rPr>
            </w:pPr>
            <w:r w:rsidRPr="00073E61">
              <w:rPr>
                <w:color w:val="FFFFFF" w:themeColor="background1"/>
                <w:sz w:val="18"/>
                <w:szCs w:val="18"/>
              </w:rPr>
              <w:t xml:space="preserve">ICU </w:t>
            </w:r>
            <w:proofErr w:type="spellStart"/>
            <w:proofErr w:type="gramStart"/>
            <w:r w:rsidRPr="00073E61">
              <w:rPr>
                <w:color w:val="FFFFFF" w:themeColor="background1"/>
                <w:sz w:val="18"/>
                <w:szCs w:val="18"/>
              </w:rPr>
              <w:t>cases</w:t>
            </w:r>
            <w:r w:rsidRPr="00073E61">
              <w:rPr>
                <w:color w:val="FFFFFF" w:themeColor="background1"/>
                <w:sz w:val="18"/>
                <w:szCs w:val="18"/>
                <w:vertAlign w:val="superscript"/>
              </w:rPr>
              <w:t>a</w:t>
            </w:r>
            <w:proofErr w:type="spellEnd"/>
            <w:proofErr w:type="gramEnd"/>
            <w:r w:rsidRPr="00073E61">
              <w:rPr>
                <w:color w:val="FFFFFF" w:themeColor="background1"/>
                <w:sz w:val="18"/>
                <w:szCs w:val="18"/>
              </w:rPr>
              <w:br/>
              <w:t>(n = 509)</w:t>
            </w:r>
            <w:r w:rsidRPr="00073E61">
              <w:rPr>
                <w:color w:val="FFFFFF" w:themeColor="background1"/>
                <w:sz w:val="18"/>
                <w:szCs w:val="18"/>
              </w:rPr>
              <w:br/>
              <w:t>(%)</w:t>
            </w:r>
          </w:p>
        </w:tc>
        <w:tc>
          <w:tcPr>
            <w:tcW w:w="2610" w:type="dxa"/>
            <w:tcBorders>
              <w:left w:val="single" w:sz="2" w:space="0" w:color="FFFFFF" w:themeColor="background1"/>
              <w:right w:val="single" w:sz="2" w:space="0" w:color="FFFFFF" w:themeColor="background1"/>
            </w:tcBorders>
            <w:hideMark/>
          </w:tcPr>
          <w:p w:rsidR="002100F0" w:rsidRPr="00073E61" w:rsidRDefault="002100F0" w:rsidP="002100F0">
            <w:pPr>
              <w:pStyle w:val="NormalWeb"/>
              <w:jc w:val="center"/>
              <w:rPr>
                <w:color w:val="FFFFFF" w:themeColor="background1"/>
                <w:sz w:val="18"/>
                <w:szCs w:val="18"/>
              </w:rPr>
            </w:pPr>
            <w:r w:rsidRPr="00073E61">
              <w:rPr>
                <w:color w:val="FFFFFF" w:themeColor="background1"/>
                <w:sz w:val="18"/>
                <w:szCs w:val="18"/>
              </w:rPr>
              <w:t xml:space="preserve">In-ICU </w:t>
            </w:r>
            <w:proofErr w:type="spellStart"/>
            <w:proofErr w:type="gramStart"/>
            <w:r w:rsidRPr="00073E61">
              <w:rPr>
                <w:color w:val="FFFFFF" w:themeColor="background1"/>
                <w:sz w:val="18"/>
                <w:szCs w:val="18"/>
              </w:rPr>
              <w:t>deaths</w:t>
            </w:r>
            <w:r w:rsidRPr="00073E61">
              <w:rPr>
                <w:color w:val="FFFFFF" w:themeColor="background1"/>
                <w:sz w:val="18"/>
                <w:szCs w:val="18"/>
                <w:vertAlign w:val="superscript"/>
              </w:rPr>
              <w:t>a</w:t>
            </w:r>
            <w:proofErr w:type="spellEnd"/>
            <w:proofErr w:type="gramEnd"/>
            <w:r w:rsidRPr="00073E61">
              <w:rPr>
                <w:color w:val="FFFFFF" w:themeColor="background1"/>
                <w:sz w:val="18"/>
                <w:szCs w:val="18"/>
              </w:rPr>
              <w:br/>
              <w:t>(n = 66)</w:t>
            </w:r>
            <w:r w:rsidRPr="00073E61">
              <w:rPr>
                <w:color w:val="FFFFFF" w:themeColor="background1"/>
                <w:sz w:val="18"/>
                <w:szCs w:val="18"/>
              </w:rPr>
              <w:br/>
              <w:t>(%)</w:t>
            </w:r>
          </w:p>
        </w:tc>
        <w:tc>
          <w:tcPr>
            <w:tcW w:w="2610" w:type="dxa"/>
            <w:tcBorders>
              <w:left w:val="single" w:sz="2" w:space="0" w:color="FFFFFF" w:themeColor="background1"/>
            </w:tcBorders>
            <w:hideMark/>
          </w:tcPr>
          <w:p w:rsidR="002100F0" w:rsidRPr="00073E61" w:rsidRDefault="002100F0" w:rsidP="002100F0">
            <w:pPr>
              <w:pStyle w:val="NormalWeb"/>
              <w:jc w:val="center"/>
              <w:rPr>
                <w:color w:val="FFFFFF" w:themeColor="background1"/>
                <w:sz w:val="18"/>
                <w:szCs w:val="18"/>
              </w:rPr>
            </w:pPr>
            <w:r w:rsidRPr="00073E61">
              <w:rPr>
                <w:color w:val="FFFFFF" w:themeColor="background1"/>
                <w:sz w:val="18"/>
                <w:szCs w:val="18"/>
              </w:rPr>
              <w:t xml:space="preserve">Case fatality amongst ICU admissions with hospital </w:t>
            </w:r>
            <w:proofErr w:type="spellStart"/>
            <w:proofErr w:type="gramStart"/>
            <w:r w:rsidRPr="00073E61">
              <w:rPr>
                <w:color w:val="FFFFFF" w:themeColor="background1"/>
                <w:sz w:val="18"/>
                <w:szCs w:val="18"/>
              </w:rPr>
              <w:t>outcome</w:t>
            </w:r>
            <w:r w:rsidRPr="00073E61">
              <w:rPr>
                <w:color w:val="FFFFFF" w:themeColor="background1"/>
                <w:sz w:val="18"/>
                <w:szCs w:val="18"/>
                <w:vertAlign w:val="superscript"/>
              </w:rPr>
              <w:t>a</w:t>
            </w:r>
            <w:proofErr w:type="spellEnd"/>
            <w:proofErr w:type="gramEnd"/>
            <w:r>
              <w:rPr>
                <w:color w:val="FFFFFF" w:themeColor="background1"/>
                <w:sz w:val="18"/>
                <w:szCs w:val="18"/>
              </w:rPr>
              <w:br/>
            </w:r>
            <w:r w:rsidRPr="00073E61">
              <w:rPr>
                <w:color w:val="FFFFFF" w:themeColor="background1"/>
                <w:sz w:val="18"/>
                <w:szCs w:val="18"/>
              </w:rPr>
              <w:t>(n = 506)</w:t>
            </w:r>
            <w:r w:rsidRPr="00073E61">
              <w:rPr>
                <w:color w:val="FFFFFF" w:themeColor="background1"/>
                <w:sz w:val="18"/>
                <w:szCs w:val="18"/>
              </w:rPr>
              <w:br/>
              <w:t>(%)</w:t>
            </w:r>
          </w:p>
        </w:tc>
      </w:tr>
      <w:tr w:rsidR="002100F0" w:rsidRPr="00073E61" w:rsidTr="002100F0">
        <w:tc>
          <w:tcPr>
            <w:tcW w:w="2610" w:type="dxa"/>
            <w:hideMark/>
          </w:tcPr>
          <w:p w:rsidR="002100F0" w:rsidRPr="00073E61" w:rsidRDefault="002100F0" w:rsidP="00EE1F6B">
            <w:pPr>
              <w:pStyle w:val="NormalWeb"/>
              <w:rPr>
                <w:sz w:val="18"/>
                <w:szCs w:val="18"/>
              </w:rPr>
            </w:pPr>
            <w:r w:rsidRPr="00073E61">
              <w:rPr>
                <w:sz w:val="18"/>
                <w:szCs w:val="18"/>
              </w:rPr>
              <w:t>Cardiac disease</w:t>
            </w:r>
          </w:p>
        </w:tc>
        <w:tc>
          <w:tcPr>
            <w:tcW w:w="2610" w:type="dxa"/>
            <w:hideMark/>
          </w:tcPr>
          <w:p w:rsidR="002100F0" w:rsidRPr="00073E61" w:rsidRDefault="002100F0" w:rsidP="002100F0">
            <w:pPr>
              <w:pStyle w:val="NormalWeb"/>
              <w:jc w:val="center"/>
              <w:rPr>
                <w:sz w:val="18"/>
                <w:szCs w:val="18"/>
              </w:rPr>
            </w:pPr>
            <w:r w:rsidRPr="00073E61">
              <w:rPr>
                <w:sz w:val="18"/>
                <w:szCs w:val="18"/>
              </w:rPr>
              <w:t>75 (16)</w:t>
            </w:r>
          </w:p>
        </w:tc>
        <w:tc>
          <w:tcPr>
            <w:tcW w:w="2610" w:type="dxa"/>
            <w:hideMark/>
          </w:tcPr>
          <w:p w:rsidR="002100F0" w:rsidRPr="00073E61" w:rsidRDefault="002100F0" w:rsidP="002100F0">
            <w:pPr>
              <w:pStyle w:val="NormalWeb"/>
              <w:jc w:val="center"/>
              <w:rPr>
                <w:sz w:val="18"/>
                <w:szCs w:val="18"/>
              </w:rPr>
            </w:pPr>
            <w:r w:rsidRPr="00073E61">
              <w:rPr>
                <w:sz w:val="18"/>
                <w:szCs w:val="18"/>
              </w:rPr>
              <w:t>22 (36)</w:t>
            </w:r>
          </w:p>
        </w:tc>
        <w:tc>
          <w:tcPr>
            <w:tcW w:w="2610" w:type="dxa"/>
            <w:hideMark/>
          </w:tcPr>
          <w:p w:rsidR="002100F0" w:rsidRPr="00073E61" w:rsidRDefault="002100F0" w:rsidP="002100F0">
            <w:pPr>
              <w:pStyle w:val="NormalWeb"/>
              <w:jc w:val="center"/>
              <w:rPr>
                <w:sz w:val="18"/>
                <w:szCs w:val="18"/>
              </w:rPr>
            </w:pPr>
            <w:r w:rsidRPr="00073E61">
              <w:rPr>
                <w:sz w:val="18"/>
                <w:szCs w:val="18"/>
              </w:rPr>
              <w:t>29.7</w:t>
            </w:r>
          </w:p>
        </w:tc>
      </w:tr>
      <w:tr w:rsidR="002100F0" w:rsidRPr="00073E61" w:rsidTr="002100F0">
        <w:trPr>
          <w:cnfStyle w:val="000000010000" w:firstRow="0" w:lastRow="0" w:firstColumn="0" w:lastColumn="0" w:oddVBand="0" w:evenVBand="0" w:oddHBand="0" w:evenHBand="1" w:firstRowFirstColumn="0" w:firstRowLastColumn="0" w:lastRowFirstColumn="0" w:lastRowLastColumn="0"/>
        </w:trPr>
        <w:tc>
          <w:tcPr>
            <w:tcW w:w="2610" w:type="dxa"/>
            <w:hideMark/>
          </w:tcPr>
          <w:p w:rsidR="002100F0" w:rsidRPr="00073E61" w:rsidRDefault="002100F0" w:rsidP="00EE1F6B">
            <w:pPr>
              <w:pStyle w:val="NormalWeb"/>
              <w:rPr>
                <w:sz w:val="18"/>
                <w:szCs w:val="18"/>
              </w:rPr>
            </w:pPr>
            <w:r w:rsidRPr="00073E61">
              <w:rPr>
                <w:sz w:val="18"/>
                <w:szCs w:val="18"/>
              </w:rPr>
              <w:t xml:space="preserve">Chronic respiratory </w:t>
            </w:r>
            <w:proofErr w:type="spellStart"/>
            <w:r w:rsidRPr="00073E61">
              <w:rPr>
                <w:sz w:val="18"/>
                <w:szCs w:val="18"/>
              </w:rPr>
              <w:t>condition</w:t>
            </w:r>
            <w:r w:rsidRPr="00073E61">
              <w:rPr>
                <w:sz w:val="18"/>
                <w:szCs w:val="18"/>
                <w:vertAlign w:val="superscript"/>
              </w:rPr>
              <w:t>b</w:t>
            </w:r>
            <w:proofErr w:type="spellEnd"/>
          </w:p>
        </w:tc>
        <w:tc>
          <w:tcPr>
            <w:tcW w:w="2610" w:type="dxa"/>
            <w:hideMark/>
          </w:tcPr>
          <w:p w:rsidR="002100F0" w:rsidRPr="00073E61" w:rsidRDefault="002100F0" w:rsidP="002100F0">
            <w:pPr>
              <w:pStyle w:val="NormalWeb"/>
              <w:jc w:val="center"/>
              <w:rPr>
                <w:sz w:val="18"/>
                <w:szCs w:val="18"/>
              </w:rPr>
            </w:pPr>
            <w:r w:rsidRPr="00073E61">
              <w:rPr>
                <w:sz w:val="18"/>
                <w:szCs w:val="18"/>
              </w:rPr>
              <w:t>105 (22)</w:t>
            </w:r>
          </w:p>
        </w:tc>
        <w:tc>
          <w:tcPr>
            <w:tcW w:w="2610" w:type="dxa"/>
            <w:hideMark/>
          </w:tcPr>
          <w:p w:rsidR="002100F0" w:rsidRPr="00073E61" w:rsidRDefault="002100F0" w:rsidP="002100F0">
            <w:pPr>
              <w:pStyle w:val="NormalWeb"/>
              <w:jc w:val="center"/>
              <w:rPr>
                <w:sz w:val="18"/>
                <w:szCs w:val="18"/>
              </w:rPr>
            </w:pPr>
            <w:r w:rsidRPr="00073E61">
              <w:rPr>
                <w:sz w:val="18"/>
                <w:szCs w:val="18"/>
              </w:rPr>
              <w:t>17 (27)</w:t>
            </w:r>
          </w:p>
        </w:tc>
        <w:tc>
          <w:tcPr>
            <w:tcW w:w="2610" w:type="dxa"/>
            <w:hideMark/>
          </w:tcPr>
          <w:p w:rsidR="002100F0" w:rsidRPr="00073E61" w:rsidRDefault="002100F0" w:rsidP="002100F0">
            <w:pPr>
              <w:pStyle w:val="NormalWeb"/>
              <w:jc w:val="center"/>
              <w:rPr>
                <w:sz w:val="18"/>
                <w:szCs w:val="18"/>
              </w:rPr>
            </w:pPr>
            <w:r w:rsidRPr="00073E61">
              <w:rPr>
                <w:sz w:val="18"/>
                <w:szCs w:val="18"/>
              </w:rPr>
              <w:t>16.5</w:t>
            </w:r>
          </w:p>
        </w:tc>
      </w:tr>
      <w:tr w:rsidR="002100F0" w:rsidRPr="00073E61" w:rsidTr="002100F0">
        <w:tc>
          <w:tcPr>
            <w:tcW w:w="2610" w:type="dxa"/>
            <w:hideMark/>
          </w:tcPr>
          <w:p w:rsidR="002100F0" w:rsidRPr="00073E61" w:rsidRDefault="002100F0" w:rsidP="00EE1F6B">
            <w:pPr>
              <w:pStyle w:val="NormalWeb"/>
              <w:rPr>
                <w:sz w:val="18"/>
                <w:szCs w:val="18"/>
              </w:rPr>
            </w:pPr>
            <w:r w:rsidRPr="00073E61">
              <w:rPr>
                <w:sz w:val="18"/>
                <w:szCs w:val="18"/>
              </w:rPr>
              <w:t>Diabetes</w:t>
            </w:r>
          </w:p>
        </w:tc>
        <w:tc>
          <w:tcPr>
            <w:tcW w:w="2610" w:type="dxa"/>
            <w:hideMark/>
          </w:tcPr>
          <w:p w:rsidR="002100F0" w:rsidRPr="00073E61" w:rsidRDefault="002100F0" w:rsidP="002100F0">
            <w:pPr>
              <w:pStyle w:val="NormalWeb"/>
              <w:jc w:val="center"/>
              <w:rPr>
                <w:sz w:val="18"/>
                <w:szCs w:val="18"/>
              </w:rPr>
            </w:pPr>
            <w:r w:rsidRPr="00073E61">
              <w:rPr>
                <w:sz w:val="18"/>
                <w:szCs w:val="18"/>
              </w:rPr>
              <w:t>144 (30)</w:t>
            </w:r>
          </w:p>
        </w:tc>
        <w:tc>
          <w:tcPr>
            <w:tcW w:w="2610" w:type="dxa"/>
            <w:hideMark/>
          </w:tcPr>
          <w:p w:rsidR="002100F0" w:rsidRPr="00073E61" w:rsidRDefault="002100F0" w:rsidP="002100F0">
            <w:pPr>
              <w:pStyle w:val="NormalWeb"/>
              <w:jc w:val="center"/>
              <w:rPr>
                <w:sz w:val="18"/>
                <w:szCs w:val="18"/>
              </w:rPr>
            </w:pPr>
            <w:r w:rsidRPr="00073E61">
              <w:rPr>
                <w:sz w:val="18"/>
                <w:szCs w:val="18"/>
              </w:rPr>
              <w:t>27 (44)</w:t>
            </w:r>
          </w:p>
        </w:tc>
        <w:tc>
          <w:tcPr>
            <w:tcW w:w="2610" w:type="dxa"/>
            <w:hideMark/>
          </w:tcPr>
          <w:p w:rsidR="002100F0" w:rsidRPr="00073E61" w:rsidRDefault="002100F0" w:rsidP="002100F0">
            <w:pPr>
              <w:pStyle w:val="NormalWeb"/>
              <w:jc w:val="center"/>
              <w:rPr>
                <w:sz w:val="18"/>
                <w:szCs w:val="18"/>
              </w:rPr>
            </w:pPr>
            <w:r w:rsidRPr="00073E61">
              <w:rPr>
                <w:sz w:val="18"/>
                <w:szCs w:val="18"/>
              </w:rPr>
              <w:t>18.9</w:t>
            </w:r>
          </w:p>
        </w:tc>
      </w:tr>
      <w:tr w:rsidR="002100F0" w:rsidRPr="00073E61" w:rsidTr="002100F0">
        <w:trPr>
          <w:cnfStyle w:val="000000010000" w:firstRow="0" w:lastRow="0" w:firstColumn="0" w:lastColumn="0" w:oddVBand="0" w:evenVBand="0" w:oddHBand="0" w:evenHBand="1" w:firstRowFirstColumn="0" w:firstRowLastColumn="0" w:lastRowFirstColumn="0" w:lastRowLastColumn="0"/>
        </w:trPr>
        <w:tc>
          <w:tcPr>
            <w:tcW w:w="2610" w:type="dxa"/>
            <w:hideMark/>
          </w:tcPr>
          <w:p w:rsidR="002100F0" w:rsidRPr="00073E61" w:rsidRDefault="002100F0" w:rsidP="00EE1F6B">
            <w:pPr>
              <w:pStyle w:val="NormalWeb"/>
              <w:rPr>
                <w:sz w:val="18"/>
                <w:szCs w:val="18"/>
              </w:rPr>
            </w:pPr>
            <w:r w:rsidRPr="00073E61">
              <w:rPr>
                <w:sz w:val="18"/>
                <w:szCs w:val="18"/>
              </w:rPr>
              <w:t>Obesity</w:t>
            </w:r>
          </w:p>
        </w:tc>
        <w:tc>
          <w:tcPr>
            <w:tcW w:w="2610" w:type="dxa"/>
            <w:hideMark/>
          </w:tcPr>
          <w:p w:rsidR="002100F0" w:rsidRPr="00073E61" w:rsidRDefault="002100F0" w:rsidP="002100F0">
            <w:pPr>
              <w:pStyle w:val="NormalWeb"/>
              <w:jc w:val="center"/>
              <w:rPr>
                <w:sz w:val="18"/>
                <w:szCs w:val="18"/>
              </w:rPr>
            </w:pPr>
            <w:r w:rsidRPr="00073E61">
              <w:rPr>
                <w:sz w:val="18"/>
                <w:szCs w:val="18"/>
              </w:rPr>
              <w:t>135 (28)</w:t>
            </w:r>
          </w:p>
        </w:tc>
        <w:tc>
          <w:tcPr>
            <w:tcW w:w="2610" w:type="dxa"/>
            <w:hideMark/>
          </w:tcPr>
          <w:p w:rsidR="002100F0" w:rsidRPr="00073E61" w:rsidRDefault="002100F0" w:rsidP="002100F0">
            <w:pPr>
              <w:pStyle w:val="NormalWeb"/>
              <w:jc w:val="center"/>
              <w:rPr>
                <w:sz w:val="18"/>
                <w:szCs w:val="18"/>
              </w:rPr>
            </w:pPr>
            <w:r w:rsidRPr="00073E61">
              <w:rPr>
                <w:sz w:val="18"/>
                <w:szCs w:val="18"/>
              </w:rPr>
              <w:t>18 (29)</w:t>
            </w:r>
          </w:p>
        </w:tc>
        <w:tc>
          <w:tcPr>
            <w:tcW w:w="2610" w:type="dxa"/>
            <w:hideMark/>
          </w:tcPr>
          <w:p w:rsidR="002100F0" w:rsidRPr="00073E61" w:rsidRDefault="002100F0" w:rsidP="002100F0">
            <w:pPr>
              <w:pStyle w:val="NormalWeb"/>
              <w:jc w:val="center"/>
              <w:rPr>
                <w:sz w:val="18"/>
                <w:szCs w:val="18"/>
              </w:rPr>
            </w:pPr>
            <w:r w:rsidRPr="00073E61">
              <w:rPr>
                <w:sz w:val="18"/>
                <w:szCs w:val="18"/>
              </w:rPr>
              <w:t>13.5</w:t>
            </w:r>
          </w:p>
        </w:tc>
      </w:tr>
      <w:tr w:rsidR="002100F0" w:rsidRPr="00073E61" w:rsidTr="002100F0">
        <w:tc>
          <w:tcPr>
            <w:tcW w:w="2610" w:type="dxa"/>
            <w:hideMark/>
          </w:tcPr>
          <w:p w:rsidR="002100F0" w:rsidRPr="00073E61" w:rsidRDefault="002100F0" w:rsidP="00EE1F6B">
            <w:pPr>
              <w:pStyle w:val="NormalWeb"/>
              <w:rPr>
                <w:sz w:val="18"/>
                <w:szCs w:val="18"/>
              </w:rPr>
            </w:pPr>
            <w:r w:rsidRPr="00073E61">
              <w:rPr>
                <w:sz w:val="18"/>
                <w:szCs w:val="18"/>
              </w:rPr>
              <w:t>Chronic renal disease</w:t>
            </w:r>
          </w:p>
        </w:tc>
        <w:tc>
          <w:tcPr>
            <w:tcW w:w="2610" w:type="dxa"/>
            <w:hideMark/>
          </w:tcPr>
          <w:p w:rsidR="002100F0" w:rsidRPr="00073E61" w:rsidRDefault="002100F0" w:rsidP="002100F0">
            <w:pPr>
              <w:pStyle w:val="NormalWeb"/>
              <w:jc w:val="center"/>
              <w:rPr>
                <w:sz w:val="18"/>
                <w:szCs w:val="18"/>
              </w:rPr>
            </w:pPr>
            <w:r w:rsidRPr="00073E61">
              <w:rPr>
                <w:sz w:val="18"/>
                <w:szCs w:val="18"/>
              </w:rPr>
              <w:t>33 (7)</w:t>
            </w:r>
          </w:p>
        </w:tc>
        <w:tc>
          <w:tcPr>
            <w:tcW w:w="2610" w:type="dxa"/>
            <w:hideMark/>
          </w:tcPr>
          <w:p w:rsidR="002100F0" w:rsidRPr="00073E61" w:rsidRDefault="002100F0" w:rsidP="002100F0">
            <w:pPr>
              <w:pStyle w:val="NormalWeb"/>
              <w:jc w:val="center"/>
              <w:rPr>
                <w:sz w:val="18"/>
                <w:szCs w:val="18"/>
              </w:rPr>
            </w:pPr>
            <w:r w:rsidRPr="00073E61">
              <w:rPr>
                <w:sz w:val="18"/>
                <w:szCs w:val="18"/>
              </w:rPr>
              <w:t>12 (19)</w:t>
            </w:r>
          </w:p>
        </w:tc>
        <w:tc>
          <w:tcPr>
            <w:tcW w:w="2610" w:type="dxa"/>
            <w:hideMark/>
          </w:tcPr>
          <w:p w:rsidR="002100F0" w:rsidRPr="00073E61" w:rsidRDefault="002100F0" w:rsidP="002100F0">
            <w:pPr>
              <w:pStyle w:val="NormalWeb"/>
              <w:jc w:val="center"/>
              <w:rPr>
                <w:sz w:val="18"/>
                <w:szCs w:val="18"/>
              </w:rPr>
            </w:pPr>
            <w:r w:rsidRPr="00073E61">
              <w:rPr>
                <w:sz w:val="18"/>
                <w:szCs w:val="18"/>
              </w:rPr>
              <w:t>37.5</w:t>
            </w:r>
          </w:p>
        </w:tc>
      </w:tr>
      <w:tr w:rsidR="002100F0" w:rsidRPr="00073E61" w:rsidTr="002100F0">
        <w:trPr>
          <w:cnfStyle w:val="000000010000" w:firstRow="0" w:lastRow="0" w:firstColumn="0" w:lastColumn="0" w:oddVBand="0" w:evenVBand="0" w:oddHBand="0" w:evenHBand="1" w:firstRowFirstColumn="0" w:firstRowLastColumn="0" w:lastRowFirstColumn="0" w:lastRowLastColumn="0"/>
        </w:trPr>
        <w:tc>
          <w:tcPr>
            <w:tcW w:w="2610" w:type="dxa"/>
            <w:hideMark/>
          </w:tcPr>
          <w:p w:rsidR="002100F0" w:rsidRPr="00073E61" w:rsidRDefault="002100F0" w:rsidP="00EE1F6B">
            <w:pPr>
              <w:pStyle w:val="NormalWeb"/>
              <w:rPr>
                <w:sz w:val="18"/>
                <w:szCs w:val="18"/>
              </w:rPr>
            </w:pPr>
            <w:r w:rsidRPr="00073E61">
              <w:rPr>
                <w:sz w:val="18"/>
                <w:szCs w:val="18"/>
              </w:rPr>
              <w:t>Chronic neurological condition</w:t>
            </w:r>
          </w:p>
        </w:tc>
        <w:tc>
          <w:tcPr>
            <w:tcW w:w="2610" w:type="dxa"/>
            <w:hideMark/>
          </w:tcPr>
          <w:p w:rsidR="002100F0" w:rsidRPr="00073E61" w:rsidRDefault="002100F0" w:rsidP="002100F0">
            <w:pPr>
              <w:pStyle w:val="NormalWeb"/>
              <w:jc w:val="center"/>
              <w:rPr>
                <w:sz w:val="18"/>
                <w:szCs w:val="18"/>
              </w:rPr>
            </w:pPr>
            <w:r w:rsidRPr="00073E61">
              <w:rPr>
                <w:sz w:val="18"/>
                <w:szCs w:val="18"/>
              </w:rPr>
              <w:t>8 (2)</w:t>
            </w:r>
          </w:p>
        </w:tc>
        <w:tc>
          <w:tcPr>
            <w:tcW w:w="2610" w:type="dxa"/>
            <w:hideMark/>
          </w:tcPr>
          <w:p w:rsidR="002100F0" w:rsidRPr="00073E61" w:rsidRDefault="002100F0" w:rsidP="002100F0">
            <w:pPr>
              <w:pStyle w:val="NormalWeb"/>
              <w:jc w:val="center"/>
              <w:rPr>
                <w:sz w:val="18"/>
                <w:szCs w:val="18"/>
              </w:rPr>
            </w:pPr>
            <w:r w:rsidRPr="00073E61">
              <w:rPr>
                <w:sz w:val="18"/>
                <w:szCs w:val="18"/>
              </w:rPr>
              <w:t>3 (5)</w:t>
            </w:r>
          </w:p>
        </w:tc>
        <w:tc>
          <w:tcPr>
            <w:tcW w:w="2610" w:type="dxa"/>
            <w:hideMark/>
          </w:tcPr>
          <w:p w:rsidR="002100F0" w:rsidRPr="00073E61" w:rsidRDefault="002100F0" w:rsidP="002100F0">
            <w:pPr>
              <w:pStyle w:val="NormalWeb"/>
              <w:jc w:val="center"/>
              <w:rPr>
                <w:sz w:val="18"/>
                <w:szCs w:val="18"/>
              </w:rPr>
            </w:pPr>
            <w:r w:rsidRPr="00073E61">
              <w:rPr>
                <w:sz w:val="18"/>
                <w:szCs w:val="18"/>
              </w:rPr>
              <w:t>37.5</w:t>
            </w:r>
          </w:p>
        </w:tc>
      </w:tr>
      <w:tr w:rsidR="002100F0" w:rsidRPr="00073E61" w:rsidTr="002100F0">
        <w:tc>
          <w:tcPr>
            <w:tcW w:w="2610" w:type="dxa"/>
            <w:hideMark/>
          </w:tcPr>
          <w:p w:rsidR="002100F0" w:rsidRPr="00073E61" w:rsidRDefault="002100F0" w:rsidP="00EE1F6B">
            <w:pPr>
              <w:pStyle w:val="NormalWeb"/>
              <w:rPr>
                <w:sz w:val="18"/>
                <w:szCs w:val="18"/>
              </w:rPr>
            </w:pPr>
            <w:r w:rsidRPr="00073E61">
              <w:rPr>
                <w:sz w:val="18"/>
                <w:szCs w:val="18"/>
              </w:rPr>
              <w:t>Malignancy</w:t>
            </w:r>
          </w:p>
        </w:tc>
        <w:tc>
          <w:tcPr>
            <w:tcW w:w="2610" w:type="dxa"/>
            <w:hideMark/>
          </w:tcPr>
          <w:p w:rsidR="002100F0" w:rsidRPr="00073E61" w:rsidRDefault="002100F0" w:rsidP="002100F0">
            <w:pPr>
              <w:pStyle w:val="NormalWeb"/>
              <w:jc w:val="center"/>
              <w:rPr>
                <w:sz w:val="18"/>
                <w:szCs w:val="18"/>
              </w:rPr>
            </w:pPr>
            <w:r w:rsidRPr="00073E61">
              <w:rPr>
                <w:sz w:val="18"/>
                <w:szCs w:val="18"/>
              </w:rPr>
              <w:t>32 (7)</w:t>
            </w:r>
          </w:p>
        </w:tc>
        <w:tc>
          <w:tcPr>
            <w:tcW w:w="2610" w:type="dxa"/>
            <w:hideMark/>
          </w:tcPr>
          <w:p w:rsidR="002100F0" w:rsidRPr="00073E61" w:rsidRDefault="002100F0" w:rsidP="002100F0">
            <w:pPr>
              <w:pStyle w:val="NormalWeb"/>
              <w:jc w:val="center"/>
              <w:rPr>
                <w:sz w:val="18"/>
                <w:szCs w:val="18"/>
              </w:rPr>
            </w:pPr>
            <w:r w:rsidRPr="00073E61">
              <w:rPr>
                <w:sz w:val="18"/>
                <w:szCs w:val="18"/>
              </w:rPr>
              <w:t>12 (20)</w:t>
            </w:r>
          </w:p>
        </w:tc>
        <w:tc>
          <w:tcPr>
            <w:tcW w:w="2610" w:type="dxa"/>
            <w:hideMark/>
          </w:tcPr>
          <w:p w:rsidR="002100F0" w:rsidRPr="00073E61" w:rsidRDefault="002100F0" w:rsidP="002100F0">
            <w:pPr>
              <w:pStyle w:val="NormalWeb"/>
              <w:jc w:val="center"/>
              <w:rPr>
                <w:sz w:val="18"/>
                <w:szCs w:val="18"/>
              </w:rPr>
            </w:pPr>
            <w:r w:rsidRPr="00073E61">
              <w:rPr>
                <w:sz w:val="18"/>
                <w:szCs w:val="18"/>
              </w:rPr>
              <w:t>40.0</w:t>
            </w:r>
          </w:p>
        </w:tc>
      </w:tr>
      <w:tr w:rsidR="002100F0" w:rsidRPr="00073E61" w:rsidTr="002100F0">
        <w:trPr>
          <w:cnfStyle w:val="000000010000" w:firstRow="0" w:lastRow="0" w:firstColumn="0" w:lastColumn="0" w:oddVBand="0" w:evenVBand="0" w:oddHBand="0" w:evenHBand="1" w:firstRowFirstColumn="0" w:firstRowLastColumn="0" w:lastRowFirstColumn="0" w:lastRowLastColumn="0"/>
        </w:trPr>
        <w:tc>
          <w:tcPr>
            <w:tcW w:w="2610" w:type="dxa"/>
            <w:hideMark/>
          </w:tcPr>
          <w:p w:rsidR="002100F0" w:rsidRPr="00073E61" w:rsidRDefault="002100F0" w:rsidP="00EE1F6B">
            <w:pPr>
              <w:pStyle w:val="NormalWeb"/>
              <w:rPr>
                <w:sz w:val="18"/>
                <w:szCs w:val="18"/>
              </w:rPr>
            </w:pPr>
            <w:r w:rsidRPr="00073E61">
              <w:rPr>
                <w:sz w:val="18"/>
                <w:szCs w:val="18"/>
              </w:rPr>
              <w:t>Chronic liver disease</w:t>
            </w:r>
          </w:p>
        </w:tc>
        <w:tc>
          <w:tcPr>
            <w:tcW w:w="2610" w:type="dxa"/>
            <w:hideMark/>
          </w:tcPr>
          <w:p w:rsidR="002100F0" w:rsidRPr="00073E61" w:rsidRDefault="002100F0" w:rsidP="002100F0">
            <w:pPr>
              <w:pStyle w:val="NormalWeb"/>
              <w:jc w:val="center"/>
              <w:rPr>
                <w:sz w:val="18"/>
                <w:szCs w:val="18"/>
              </w:rPr>
            </w:pPr>
            <w:r w:rsidRPr="00073E61">
              <w:rPr>
                <w:sz w:val="18"/>
                <w:szCs w:val="18"/>
              </w:rPr>
              <w:t>17 (4)</w:t>
            </w:r>
          </w:p>
        </w:tc>
        <w:tc>
          <w:tcPr>
            <w:tcW w:w="2610" w:type="dxa"/>
            <w:hideMark/>
          </w:tcPr>
          <w:p w:rsidR="002100F0" w:rsidRPr="00073E61" w:rsidRDefault="002100F0" w:rsidP="002100F0">
            <w:pPr>
              <w:pStyle w:val="NormalWeb"/>
              <w:jc w:val="center"/>
              <w:rPr>
                <w:sz w:val="18"/>
                <w:szCs w:val="18"/>
              </w:rPr>
            </w:pPr>
            <w:r w:rsidRPr="00073E61">
              <w:rPr>
                <w:sz w:val="18"/>
                <w:szCs w:val="18"/>
              </w:rPr>
              <w:t>5 (8)</w:t>
            </w:r>
          </w:p>
        </w:tc>
        <w:tc>
          <w:tcPr>
            <w:tcW w:w="2610" w:type="dxa"/>
            <w:hideMark/>
          </w:tcPr>
          <w:p w:rsidR="002100F0" w:rsidRPr="00073E61" w:rsidRDefault="002100F0" w:rsidP="002100F0">
            <w:pPr>
              <w:pStyle w:val="NormalWeb"/>
              <w:jc w:val="center"/>
              <w:rPr>
                <w:sz w:val="18"/>
                <w:szCs w:val="18"/>
              </w:rPr>
            </w:pPr>
            <w:r w:rsidRPr="00073E61">
              <w:rPr>
                <w:sz w:val="18"/>
                <w:szCs w:val="18"/>
              </w:rPr>
              <w:t>29.4</w:t>
            </w:r>
          </w:p>
        </w:tc>
      </w:tr>
      <w:tr w:rsidR="002100F0" w:rsidRPr="00073E61" w:rsidTr="002100F0">
        <w:tc>
          <w:tcPr>
            <w:tcW w:w="2610" w:type="dxa"/>
            <w:hideMark/>
          </w:tcPr>
          <w:p w:rsidR="002100F0" w:rsidRPr="00073E61" w:rsidRDefault="002100F0" w:rsidP="00EE1F6B">
            <w:pPr>
              <w:pStyle w:val="NormalWeb"/>
              <w:rPr>
                <w:sz w:val="18"/>
                <w:szCs w:val="18"/>
              </w:rPr>
            </w:pPr>
            <w:r w:rsidRPr="00073E61">
              <w:rPr>
                <w:sz w:val="18"/>
                <w:szCs w:val="18"/>
              </w:rPr>
              <w:t>Immunosuppression</w:t>
            </w:r>
          </w:p>
        </w:tc>
        <w:tc>
          <w:tcPr>
            <w:tcW w:w="2610" w:type="dxa"/>
            <w:hideMark/>
          </w:tcPr>
          <w:p w:rsidR="002100F0" w:rsidRPr="00073E61" w:rsidRDefault="002100F0" w:rsidP="002100F0">
            <w:pPr>
              <w:pStyle w:val="NormalWeb"/>
              <w:jc w:val="center"/>
              <w:rPr>
                <w:sz w:val="18"/>
                <w:szCs w:val="18"/>
              </w:rPr>
            </w:pPr>
            <w:r w:rsidRPr="00073E61">
              <w:rPr>
                <w:sz w:val="18"/>
                <w:szCs w:val="18"/>
              </w:rPr>
              <w:t>44 (9)</w:t>
            </w:r>
          </w:p>
        </w:tc>
        <w:tc>
          <w:tcPr>
            <w:tcW w:w="2610" w:type="dxa"/>
            <w:hideMark/>
          </w:tcPr>
          <w:p w:rsidR="002100F0" w:rsidRPr="00073E61" w:rsidRDefault="002100F0" w:rsidP="002100F0">
            <w:pPr>
              <w:pStyle w:val="NormalWeb"/>
              <w:jc w:val="center"/>
              <w:rPr>
                <w:sz w:val="18"/>
                <w:szCs w:val="18"/>
              </w:rPr>
            </w:pPr>
            <w:r w:rsidRPr="00073E61">
              <w:rPr>
                <w:sz w:val="18"/>
                <w:szCs w:val="18"/>
              </w:rPr>
              <w:t>13 (21)</w:t>
            </w:r>
          </w:p>
        </w:tc>
        <w:tc>
          <w:tcPr>
            <w:tcW w:w="2610" w:type="dxa"/>
            <w:hideMark/>
          </w:tcPr>
          <w:p w:rsidR="002100F0" w:rsidRPr="00073E61" w:rsidRDefault="002100F0" w:rsidP="002100F0">
            <w:pPr>
              <w:pStyle w:val="NormalWeb"/>
              <w:jc w:val="center"/>
              <w:rPr>
                <w:sz w:val="18"/>
                <w:szCs w:val="18"/>
              </w:rPr>
            </w:pPr>
            <w:r w:rsidRPr="00073E61">
              <w:rPr>
                <w:sz w:val="18"/>
                <w:szCs w:val="18"/>
              </w:rPr>
              <w:t>31.7</w:t>
            </w:r>
          </w:p>
        </w:tc>
      </w:tr>
      <w:tr w:rsidR="002100F0" w:rsidRPr="009503D9" w:rsidTr="002100F0">
        <w:trPr>
          <w:cnfStyle w:val="000000010000" w:firstRow="0" w:lastRow="0" w:firstColumn="0" w:lastColumn="0" w:oddVBand="0" w:evenVBand="0" w:oddHBand="0" w:evenHBand="1" w:firstRowFirstColumn="0" w:firstRowLastColumn="0" w:lastRowFirstColumn="0" w:lastRowLastColumn="0"/>
        </w:trPr>
        <w:tc>
          <w:tcPr>
            <w:tcW w:w="10440" w:type="dxa"/>
            <w:gridSpan w:val="4"/>
            <w:shd w:val="clear" w:color="auto" w:fill="808080" w:themeFill="background1" w:themeFillShade="80"/>
            <w:hideMark/>
          </w:tcPr>
          <w:p w:rsidR="002100F0" w:rsidRPr="009503D9" w:rsidRDefault="002100F0" w:rsidP="00DE4D37">
            <w:pPr>
              <w:pStyle w:val="NormalWeb"/>
              <w:rPr>
                <w:b/>
                <w:color w:val="FFFFFF" w:themeColor="background1"/>
                <w:sz w:val="18"/>
                <w:szCs w:val="18"/>
              </w:rPr>
            </w:pPr>
            <w:r w:rsidRPr="009503D9">
              <w:rPr>
                <w:b/>
                <w:color w:val="FFFFFF" w:themeColor="background1"/>
                <w:sz w:val="18"/>
                <w:szCs w:val="18"/>
              </w:rPr>
              <w:t xml:space="preserve">Number of specified </w:t>
            </w:r>
            <w:proofErr w:type="spellStart"/>
            <w:r w:rsidRPr="009503D9">
              <w:rPr>
                <w:b/>
                <w:color w:val="FFFFFF" w:themeColor="background1"/>
                <w:sz w:val="18"/>
                <w:szCs w:val="18"/>
              </w:rPr>
              <w:t>comorbidities</w:t>
            </w:r>
            <w:r w:rsidRPr="009503D9">
              <w:rPr>
                <w:b/>
                <w:color w:val="FFFFFF" w:themeColor="background1"/>
                <w:sz w:val="18"/>
                <w:szCs w:val="18"/>
                <w:vertAlign w:val="superscript"/>
              </w:rPr>
              <w:t>c</w:t>
            </w:r>
            <w:proofErr w:type="spellEnd"/>
          </w:p>
        </w:tc>
      </w:tr>
      <w:tr w:rsidR="002100F0" w:rsidRPr="00073E61" w:rsidTr="002100F0">
        <w:tc>
          <w:tcPr>
            <w:tcW w:w="2610" w:type="dxa"/>
            <w:hideMark/>
          </w:tcPr>
          <w:p w:rsidR="002100F0" w:rsidRPr="00073E61" w:rsidRDefault="002100F0" w:rsidP="00EE1F6B">
            <w:pPr>
              <w:pStyle w:val="NormalWeb"/>
              <w:rPr>
                <w:sz w:val="18"/>
                <w:szCs w:val="18"/>
              </w:rPr>
            </w:pPr>
            <w:r w:rsidRPr="00073E61">
              <w:rPr>
                <w:sz w:val="18"/>
                <w:szCs w:val="18"/>
              </w:rPr>
              <w:t>One or more</w:t>
            </w:r>
          </w:p>
        </w:tc>
        <w:tc>
          <w:tcPr>
            <w:tcW w:w="2610" w:type="dxa"/>
            <w:hideMark/>
          </w:tcPr>
          <w:p w:rsidR="002100F0" w:rsidRPr="00073E61" w:rsidRDefault="002100F0" w:rsidP="002100F0">
            <w:pPr>
              <w:pStyle w:val="NormalWeb"/>
              <w:jc w:val="center"/>
              <w:rPr>
                <w:sz w:val="18"/>
                <w:szCs w:val="18"/>
              </w:rPr>
            </w:pPr>
            <w:r w:rsidRPr="00073E61">
              <w:rPr>
                <w:sz w:val="18"/>
                <w:szCs w:val="18"/>
              </w:rPr>
              <w:t>322 (66)</w:t>
            </w:r>
          </w:p>
        </w:tc>
        <w:tc>
          <w:tcPr>
            <w:tcW w:w="2610" w:type="dxa"/>
            <w:hideMark/>
          </w:tcPr>
          <w:p w:rsidR="002100F0" w:rsidRPr="00073E61" w:rsidRDefault="002100F0" w:rsidP="002100F0">
            <w:pPr>
              <w:pStyle w:val="NormalWeb"/>
              <w:jc w:val="center"/>
              <w:rPr>
                <w:sz w:val="18"/>
                <w:szCs w:val="18"/>
              </w:rPr>
            </w:pPr>
            <w:r w:rsidRPr="00073E61">
              <w:rPr>
                <w:sz w:val="18"/>
                <w:szCs w:val="18"/>
              </w:rPr>
              <w:t>52 (84)</w:t>
            </w:r>
          </w:p>
        </w:tc>
        <w:tc>
          <w:tcPr>
            <w:tcW w:w="2610" w:type="dxa"/>
            <w:hideMark/>
          </w:tcPr>
          <w:p w:rsidR="002100F0" w:rsidRPr="00073E61" w:rsidRDefault="002100F0" w:rsidP="002100F0">
            <w:pPr>
              <w:pStyle w:val="NormalWeb"/>
              <w:jc w:val="center"/>
              <w:rPr>
                <w:sz w:val="18"/>
                <w:szCs w:val="18"/>
              </w:rPr>
            </w:pPr>
            <w:r w:rsidRPr="00073E61">
              <w:rPr>
                <w:sz w:val="18"/>
                <w:szCs w:val="18"/>
              </w:rPr>
              <w:t>16.4</w:t>
            </w:r>
          </w:p>
        </w:tc>
      </w:tr>
      <w:tr w:rsidR="002100F0" w:rsidRPr="00073E61" w:rsidTr="002100F0">
        <w:trPr>
          <w:cnfStyle w:val="000000010000" w:firstRow="0" w:lastRow="0" w:firstColumn="0" w:lastColumn="0" w:oddVBand="0" w:evenVBand="0" w:oddHBand="0" w:evenHBand="1" w:firstRowFirstColumn="0" w:firstRowLastColumn="0" w:lastRowFirstColumn="0" w:lastRowLastColumn="0"/>
        </w:trPr>
        <w:tc>
          <w:tcPr>
            <w:tcW w:w="2610" w:type="dxa"/>
            <w:hideMark/>
          </w:tcPr>
          <w:p w:rsidR="002100F0" w:rsidRPr="00073E61" w:rsidRDefault="002100F0" w:rsidP="00EE1F6B">
            <w:pPr>
              <w:pStyle w:val="NormalWeb"/>
              <w:rPr>
                <w:sz w:val="18"/>
                <w:szCs w:val="18"/>
              </w:rPr>
            </w:pPr>
            <w:r w:rsidRPr="00073E61">
              <w:rPr>
                <w:sz w:val="18"/>
                <w:szCs w:val="18"/>
              </w:rPr>
              <w:t>Two or more</w:t>
            </w:r>
          </w:p>
        </w:tc>
        <w:tc>
          <w:tcPr>
            <w:tcW w:w="2610" w:type="dxa"/>
            <w:hideMark/>
          </w:tcPr>
          <w:p w:rsidR="002100F0" w:rsidRPr="00073E61" w:rsidRDefault="002100F0" w:rsidP="002100F0">
            <w:pPr>
              <w:pStyle w:val="NormalWeb"/>
              <w:jc w:val="center"/>
              <w:rPr>
                <w:sz w:val="18"/>
                <w:szCs w:val="18"/>
              </w:rPr>
            </w:pPr>
            <w:r w:rsidRPr="00073E61">
              <w:rPr>
                <w:sz w:val="18"/>
                <w:szCs w:val="18"/>
              </w:rPr>
              <w:t>167 (34)</w:t>
            </w:r>
          </w:p>
        </w:tc>
        <w:tc>
          <w:tcPr>
            <w:tcW w:w="2610" w:type="dxa"/>
            <w:hideMark/>
          </w:tcPr>
          <w:p w:rsidR="002100F0" w:rsidRPr="00073E61" w:rsidRDefault="002100F0" w:rsidP="002100F0">
            <w:pPr>
              <w:pStyle w:val="NormalWeb"/>
              <w:jc w:val="center"/>
              <w:rPr>
                <w:sz w:val="18"/>
                <w:szCs w:val="18"/>
              </w:rPr>
            </w:pPr>
            <w:r w:rsidRPr="00073E61">
              <w:rPr>
                <w:sz w:val="18"/>
                <w:szCs w:val="18"/>
              </w:rPr>
              <w:t>38 (61)</w:t>
            </w:r>
          </w:p>
        </w:tc>
        <w:tc>
          <w:tcPr>
            <w:tcW w:w="2610" w:type="dxa"/>
            <w:hideMark/>
          </w:tcPr>
          <w:p w:rsidR="002100F0" w:rsidRPr="00073E61" w:rsidRDefault="002100F0" w:rsidP="002100F0">
            <w:pPr>
              <w:pStyle w:val="NormalWeb"/>
              <w:jc w:val="center"/>
              <w:rPr>
                <w:sz w:val="18"/>
                <w:szCs w:val="18"/>
              </w:rPr>
            </w:pPr>
            <w:r w:rsidRPr="00073E61">
              <w:rPr>
                <w:sz w:val="18"/>
                <w:szCs w:val="18"/>
              </w:rPr>
              <w:t>23.3</w:t>
            </w:r>
          </w:p>
        </w:tc>
      </w:tr>
      <w:tr w:rsidR="002100F0" w:rsidRPr="00073E61" w:rsidTr="002100F0">
        <w:tc>
          <w:tcPr>
            <w:tcW w:w="2610" w:type="dxa"/>
            <w:hideMark/>
          </w:tcPr>
          <w:p w:rsidR="002100F0" w:rsidRPr="00073E61" w:rsidRDefault="002100F0" w:rsidP="00EE1F6B">
            <w:pPr>
              <w:pStyle w:val="NormalWeb"/>
              <w:rPr>
                <w:sz w:val="18"/>
                <w:szCs w:val="18"/>
              </w:rPr>
            </w:pPr>
            <w:r w:rsidRPr="00073E61">
              <w:rPr>
                <w:sz w:val="18"/>
                <w:szCs w:val="18"/>
              </w:rPr>
              <w:t>Three or more</w:t>
            </w:r>
          </w:p>
        </w:tc>
        <w:tc>
          <w:tcPr>
            <w:tcW w:w="2610" w:type="dxa"/>
            <w:hideMark/>
          </w:tcPr>
          <w:p w:rsidR="002100F0" w:rsidRPr="00073E61" w:rsidRDefault="002100F0" w:rsidP="002100F0">
            <w:pPr>
              <w:pStyle w:val="NormalWeb"/>
              <w:jc w:val="center"/>
              <w:rPr>
                <w:sz w:val="18"/>
                <w:szCs w:val="18"/>
              </w:rPr>
            </w:pPr>
            <w:r w:rsidRPr="00073E61">
              <w:rPr>
                <w:sz w:val="18"/>
                <w:szCs w:val="18"/>
              </w:rPr>
              <w:t>65 (13)</w:t>
            </w:r>
          </w:p>
        </w:tc>
        <w:tc>
          <w:tcPr>
            <w:tcW w:w="2610" w:type="dxa"/>
            <w:hideMark/>
          </w:tcPr>
          <w:p w:rsidR="002100F0" w:rsidRPr="00073E61" w:rsidRDefault="002100F0" w:rsidP="002100F0">
            <w:pPr>
              <w:pStyle w:val="NormalWeb"/>
              <w:jc w:val="center"/>
              <w:rPr>
                <w:sz w:val="18"/>
                <w:szCs w:val="18"/>
              </w:rPr>
            </w:pPr>
            <w:r w:rsidRPr="00073E61">
              <w:rPr>
                <w:sz w:val="18"/>
                <w:szCs w:val="18"/>
              </w:rPr>
              <w:t>22 (35)</w:t>
            </w:r>
          </w:p>
        </w:tc>
        <w:tc>
          <w:tcPr>
            <w:tcW w:w="2610" w:type="dxa"/>
            <w:hideMark/>
          </w:tcPr>
          <w:p w:rsidR="002100F0" w:rsidRPr="00073E61" w:rsidRDefault="002100F0" w:rsidP="002100F0">
            <w:pPr>
              <w:pStyle w:val="NormalWeb"/>
              <w:jc w:val="center"/>
              <w:rPr>
                <w:sz w:val="18"/>
                <w:szCs w:val="18"/>
              </w:rPr>
            </w:pPr>
            <w:r w:rsidRPr="00073E61">
              <w:rPr>
                <w:sz w:val="18"/>
                <w:szCs w:val="18"/>
              </w:rPr>
              <w:t>34.9</w:t>
            </w:r>
          </w:p>
        </w:tc>
      </w:tr>
      <w:tr w:rsidR="002100F0" w:rsidRPr="00073E61" w:rsidTr="002100F0">
        <w:trPr>
          <w:cnfStyle w:val="000000010000" w:firstRow="0" w:lastRow="0" w:firstColumn="0" w:lastColumn="0" w:oddVBand="0" w:evenVBand="0" w:oddHBand="0" w:evenHBand="1" w:firstRowFirstColumn="0" w:firstRowLastColumn="0" w:lastRowFirstColumn="0" w:lastRowLastColumn="0"/>
        </w:trPr>
        <w:tc>
          <w:tcPr>
            <w:tcW w:w="2610" w:type="dxa"/>
            <w:hideMark/>
          </w:tcPr>
          <w:p w:rsidR="002100F0" w:rsidRPr="00073E61" w:rsidRDefault="002100F0" w:rsidP="00EE1F6B">
            <w:pPr>
              <w:pStyle w:val="NormalWeb"/>
              <w:rPr>
                <w:sz w:val="18"/>
                <w:szCs w:val="18"/>
              </w:rPr>
            </w:pPr>
            <w:r w:rsidRPr="00073E61">
              <w:rPr>
                <w:sz w:val="18"/>
                <w:szCs w:val="18"/>
              </w:rPr>
              <w:t>No comorbidities</w:t>
            </w:r>
          </w:p>
        </w:tc>
        <w:tc>
          <w:tcPr>
            <w:tcW w:w="2610" w:type="dxa"/>
            <w:hideMark/>
          </w:tcPr>
          <w:p w:rsidR="002100F0" w:rsidRPr="00073E61" w:rsidRDefault="002100F0" w:rsidP="002100F0">
            <w:pPr>
              <w:pStyle w:val="NormalWeb"/>
              <w:jc w:val="center"/>
              <w:rPr>
                <w:sz w:val="18"/>
                <w:szCs w:val="18"/>
              </w:rPr>
            </w:pPr>
            <w:r w:rsidRPr="00073E61">
              <w:rPr>
                <w:sz w:val="18"/>
                <w:szCs w:val="18"/>
              </w:rPr>
              <w:t>164 (34)</w:t>
            </w:r>
          </w:p>
        </w:tc>
        <w:tc>
          <w:tcPr>
            <w:tcW w:w="2610" w:type="dxa"/>
            <w:hideMark/>
          </w:tcPr>
          <w:p w:rsidR="002100F0" w:rsidRPr="00073E61" w:rsidRDefault="002100F0" w:rsidP="002100F0">
            <w:pPr>
              <w:pStyle w:val="NormalWeb"/>
              <w:jc w:val="center"/>
              <w:rPr>
                <w:sz w:val="18"/>
                <w:szCs w:val="18"/>
              </w:rPr>
            </w:pPr>
            <w:r w:rsidRPr="00073E61">
              <w:rPr>
                <w:sz w:val="18"/>
                <w:szCs w:val="18"/>
              </w:rPr>
              <w:t>10 (16)</w:t>
            </w:r>
          </w:p>
        </w:tc>
        <w:tc>
          <w:tcPr>
            <w:tcW w:w="2610" w:type="dxa"/>
            <w:hideMark/>
          </w:tcPr>
          <w:p w:rsidR="002100F0" w:rsidRPr="00073E61" w:rsidRDefault="002100F0" w:rsidP="002100F0">
            <w:pPr>
              <w:pStyle w:val="NormalWeb"/>
              <w:jc w:val="center"/>
              <w:rPr>
                <w:sz w:val="18"/>
                <w:szCs w:val="18"/>
              </w:rPr>
            </w:pPr>
            <w:r w:rsidRPr="00073E61">
              <w:rPr>
                <w:sz w:val="18"/>
                <w:szCs w:val="18"/>
              </w:rPr>
              <w:t>6.1</w:t>
            </w:r>
          </w:p>
        </w:tc>
      </w:tr>
    </w:tbl>
    <w:p w:rsidR="002100F0" w:rsidRDefault="002100F0" w:rsidP="002100F0">
      <w:pPr>
        <w:pStyle w:val="CDIfootnotes"/>
        <w:rPr>
          <w:lang w:val="en-GB"/>
        </w:rPr>
      </w:pPr>
      <w:r>
        <w:rPr>
          <w:lang w:val="en-GB"/>
        </w:rPr>
        <w:t> </w:t>
      </w:r>
    </w:p>
    <w:p w:rsidR="002100F0" w:rsidRDefault="002100F0" w:rsidP="002100F0">
      <w:pPr>
        <w:pStyle w:val="CDIfootnotes"/>
        <w:rPr>
          <w:lang w:val="en-GB"/>
        </w:rPr>
      </w:pPr>
      <w:proofErr w:type="gramStart"/>
      <w:r>
        <w:rPr>
          <w:lang w:val="en-GB"/>
        </w:rPr>
        <w:t>a</w:t>
      </w:r>
      <w:proofErr w:type="gramEnd"/>
      <w:r>
        <w:rPr>
          <w:lang w:val="en-GB"/>
        </w:rPr>
        <w:tab/>
        <w:t xml:space="preserve">Source: SPRINT-SARI.21 Excludes those with missing data (18–25 cases; 3.5–4.9%) on comorbidities or where comorbidity is unknown (6–16 cases; 1.2–3.1%). </w:t>
      </w:r>
    </w:p>
    <w:p w:rsidR="002100F0" w:rsidRDefault="002100F0" w:rsidP="002100F0">
      <w:pPr>
        <w:pStyle w:val="CDIfootnotes"/>
        <w:rPr>
          <w:lang w:val="en-GB"/>
        </w:rPr>
      </w:pPr>
      <w:proofErr w:type="gramStart"/>
      <w:r>
        <w:rPr>
          <w:lang w:val="en-GB"/>
        </w:rPr>
        <w:t>b</w:t>
      </w:r>
      <w:proofErr w:type="gramEnd"/>
      <w:r>
        <w:rPr>
          <w:lang w:val="en-GB"/>
        </w:rPr>
        <w:tab/>
        <w:t>Includes asthma.</w:t>
      </w:r>
    </w:p>
    <w:p w:rsidR="00F50AA3" w:rsidRPr="002126FA" w:rsidRDefault="002100F0" w:rsidP="002126FA">
      <w:pPr>
        <w:pStyle w:val="CDIfootnotes"/>
        <w:rPr>
          <w:lang w:val="en-GB"/>
        </w:rPr>
      </w:pPr>
      <w:proofErr w:type="gramStart"/>
      <w:r>
        <w:rPr>
          <w:lang w:val="en-GB"/>
        </w:rPr>
        <w:t>c</w:t>
      </w:r>
      <w:proofErr w:type="gramEnd"/>
      <w:r>
        <w:rPr>
          <w:lang w:val="en-GB"/>
        </w:rPr>
        <w:t xml:space="preserve"> </w:t>
      </w:r>
      <w:r>
        <w:rPr>
          <w:lang w:val="en-GB"/>
        </w:rPr>
        <w:tab/>
        <w:t>Includes chronic respiratory conditions, cardiac disease (excluding hypertension), immunosuppressive condition/therapy, diabetes, obesity, liver disease, renal disease and neurological disorder.</w:t>
      </w:r>
    </w:p>
    <w:p w:rsidR="00E52E78" w:rsidRPr="00623789" w:rsidRDefault="00E52E78" w:rsidP="00623789">
      <w:pPr>
        <w:pStyle w:val="Heading4"/>
      </w:pPr>
      <w:r w:rsidRPr="00623789">
        <w:t xml:space="preserve">COVID-19 deaths </w:t>
      </w:r>
    </w:p>
    <w:p w:rsidR="00E52E78" w:rsidRDefault="00E52E78" w:rsidP="00D151EC">
      <w:r>
        <w:t>In the past four weeks there has been one death due to COVID-19 across Australia (Table 10). Overall, the crude case fatality rate (CFR) remains stable at 3.1%. The ratio of deaths to cases in the year to date has decreased in comparison to this time last year, noting su</w:t>
      </w:r>
      <w:r w:rsidR="00936C5E">
        <w:t>bstantially lower case numbers.</w:t>
      </w:r>
    </w:p>
    <w:p w:rsidR="00936C5E" w:rsidRPr="005E295D" w:rsidRDefault="00936C5E" w:rsidP="00936C5E">
      <w:pPr>
        <w:pStyle w:val="CDIFigures"/>
      </w:pPr>
      <w:r w:rsidRPr="005E295D">
        <w:rPr>
          <w:rStyle w:val="Strong"/>
          <w:b/>
          <w:bCs w:val="0"/>
        </w:rPr>
        <w:t>Table 10: Deaths due to COVID-19 as count and case fatality rates by reporting period, Australia, 1 January 2020 to 25 April 2021</w:t>
      </w:r>
      <w:r w:rsidRPr="005E295D">
        <w:rPr>
          <w:rStyle w:val="Strong"/>
          <w:b/>
          <w:bCs w:val="0"/>
          <w:vertAlign w:val="superscript"/>
        </w:rPr>
        <w:t>a</w:t>
      </w:r>
      <w:r w:rsidRPr="005E295D">
        <w:rPr>
          <w:vertAlign w:val="superscript"/>
        </w:rPr>
        <w:t xml:space="preserve">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A table comparing deaths due to COVID-19 in the current four-week reporting period ending 25 April 2021 and for the year to date with deaths during the same period in 2020 (ie., 1 January – 25 April 2020). The current year's only COVID-19 death occurred in the most recent reporting period (a crude case fatality rate of 0.4%, representing one death alongside 243 new cases, for the reporting period, and 0.1% for the year to date). In contrast, there were 101 deaths due to COVID-19 during 1 January to 25 April 2020 (a case fatality rate of 1.4%), while the epidemic to date has seen a total of 910 deaths among 29,550 total cases (a case fatality rate of 3.1%).&#10;"/>
      </w:tblPr>
      <w:tblGrid>
        <w:gridCol w:w="1807"/>
        <w:gridCol w:w="1896"/>
        <w:gridCol w:w="1984"/>
        <w:gridCol w:w="1984"/>
        <w:gridCol w:w="2124"/>
        <w:gridCol w:w="266"/>
      </w:tblGrid>
      <w:tr w:rsidR="00936C5E" w:rsidRPr="009503D9" w:rsidTr="00EE1F6B">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FFFFFF" w:themeColor="background1"/>
            </w:tcBorders>
            <w:hideMark/>
          </w:tcPr>
          <w:p w:rsidR="00936C5E" w:rsidRPr="009503D9" w:rsidRDefault="00936C5E" w:rsidP="00EE1F6B">
            <w:pPr>
              <w:rPr>
                <w:color w:val="FFFFFF" w:themeColor="background1"/>
                <w:sz w:val="18"/>
                <w:szCs w:val="18"/>
                <w:lang w:val="en-GB"/>
              </w:rPr>
            </w:pPr>
          </w:p>
        </w:tc>
        <w:tc>
          <w:tcPr>
            <w:tcW w:w="0" w:type="auto"/>
            <w:tcBorders>
              <w:left w:val="single" w:sz="2" w:space="0" w:color="FFFFFF" w:themeColor="background1"/>
              <w:right w:val="single" w:sz="2" w:space="0" w:color="FFFFFF" w:themeColor="background1"/>
            </w:tcBorders>
            <w:hideMark/>
          </w:tcPr>
          <w:p w:rsidR="00936C5E" w:rsidRPr="009503D9" w:rsidRDefault="00936C5E" w:rsidP="00EE1F6B">
            <w:pPr>
              <w:pStyle w:val="NormalWeb"/>
              <w:jc w:val="center"/>
              <w:rPr>
                <w:color w:val="FFFFFF" w:themeColor="background1"/>
                <w:sz w:val="18"/>
                <w:szCs w:val="18"/>
              </w:rPr>
            </w:pPr>
            <w:r w:rsidRPr="009503D9">
              <w:rPr>
                <w:color w:val="FFFFFF" w:themeColor="background1"/>
                <w:sz w:val="18"/>
                <w:szCs w:val="18"/>
              </w:rPr>
              <w:t>Reporting period</w:t>
            </w:r>
            <w:r w:rsidRPr="009503D9">
              <w:rPr>
                <w:color w:val="FFFFFF" w:themeColor="background1"/>
                <w:sz w:val="18"/>
                <w:szCs w:val="18"/>
              </w:rPr>
              <w:br/>
              <w:t>29 March–25 April 2021</w:t>
            </w:r>
          </w:p>
        </w:tc>
        <w:tc>
          <w:tcPr>
            <w:tcW w:w="0" w:type="auto"/>
            <w:tcBorders>
              <w:left w:val="single" w:sz="2" w:space="0" w:color="FFFFFF" w:themeColor="background1"/>
              <w:right w:val="single" w:sz="2" w:space="0" w:color="FFFFFF" w:themeColor="background1"/>
            </w:tcBorders>
            <w:hideMark/>
          </w:tcPr>
          <w:p w:rsidR="00936C5E" w:rsidRPr="009503D9" w:rsidRDefault="00936C5E" w:rsidP="00EE1F6B">
            <w:pPr>
              <w:pStyle w:val="NormalWeb"/>
              <w:jc w:val="center"/>
              <w:rPr>
                <w:color w:val="FFFFFF" w:themeColor="background1"/>
                <w:sz w:val="18"/>
                <w:szCs w:val="18"/>
              </w:rPr>
            </w:pPr>
            <w:r w:rsidRPr="009503D9">
              <w:rPr>
                <w:color w:val="FFFFFF" w:themeColor="background1"/>
                <w:sz w:val="18"/>
                <w:szCs w:val="18"/>
              </w:rPr>
              <w:t>Year to date (2021)</w:t>
            </w:r>
            <w:r w:rsidRPr="009503D9">
              <w:rPr>
                <w:color w:val="FFFFFF" w:themeColor="background1"/>
                <w:sz w:val="18"/>
                <w:szCs w:val="18"/>
              </w:rPr>
              <w:br/>
              <w:t>1 January – 25 April 2021</w:t>
            </w:r>
            <w:r>
              <w:rPr>
                <w:color w:val="FFFFFF" w:themeColor="background1"/>
                <w:sz w:val="18"/>
                <w:szCs w:val="18"/>
              </w:rPr>
              <w:br/>
            </w:r>
            <w:r w:rsidRPr="009503D9">
              <w:rPr>
                <w:color w:val="FFFFFF" w:themeColor="background1"/>
                <w:sz w:val="18"/>
                <w:szCs w:val="18"/>
              </w:rPr>
              <w:t>Deaths/case numbers</w:t>
            </w:r>
          </w:p>
        </w:tc>
        <w:tc>
          <w:tcPr>
            <w:tcW w:w="0" w:type="auto"/>
            <w:tcBorders>
              <w:left w:val="single" w:sz="2" w:space="0" w:color="FFFFFF" w:themeColor="background1"/>
              <w:right w:val="single" w:sz="2" w:space="0" w:color="FFFFFF" w:themeColor="background1"/>
            </w:tcBorders>
            <w:hideMark/>
          </w:tcPr>
          <w:p w:rsidR="00936C5E" w:rsidRPr="009503D9" w:rsidRDefault="00936C5E" w:rsidP="00EE1F6B">
            <w:pPr>
              <w:pStyle w:val="NormalWeb"/>
              <w:jc w:val="center"/>
              <w:rPr>
                <w:color w:val="FFFFFF" w:themeColor="background1"/>
                <w:sz w:val="18"/>
                <w:szCs w:val="18"/>
              </w:rPr>
            </w:pPr>
            <w:r w:rsidRPr="009503D9">
              <w:rPr>
                <w:color w:val="FFFFFF" w:themeColor="background1"/>
                <w:sz w:val="18"/>
                <w:szCs w:val="18"/>
              </w:rPr>
              <w:t>Year to date (2020)</w:t>
            </w:r>
            <w:r>
              <w:rPr>
                <w:color w:val="FFFFFF" w:themeColor="background1"/>
                <w:sz w:val="18"/>
                <w:szCs w:val="18"/>
              </w:rPr>
              <w:br/>
            </w:r>
            <w:r w:rsidRPr="009503D9">
              <w:rPr>
                <w:color w:val="FFFFFF" w:themeColor="background1"/>
                <w:sz w:val="18"/>
                <w:szCs w:val="18"/>
              </w:rPr>
              <w:t>1 January – 25 April 2020</w:t>
            </w:r>
            <w:r>
              <w:rPr>
                <w:color w:val="FFFFFF" w:themeColor="background1"/>
                <w:sz w:val="18"/>
                <w:szCs w:val="18"/>
              </w:rPr>
              <w:br/>
            </w:r>
            <w:r w:rsidRPr="009503D9">
              <w:rPr>
                <w:color w:val="FFFFFF" w:themeColor="background1"/>
                <w:sz w:val="18"/>
                <w:szCs w:val="18"/>
              </w:rPr>
              <w:t>Deaths/case numbers</w:t>
            </w:r>
          </w:p>
        </w:tc>
        <w:tc>
          <w:tcPr>
            <w:tcW w:w="0" w:type="auto"/>
            <w:gridSpan w:val="2"/>
            <w:tcBorders>
              <w:left w:val="single" w:sz="2" w:space="0" w:color="FFFFFF" w:themeColor="background1"/>
            </w:tcBorders>
            <w:hideMark/>
          </w:tcPr>
          <w:p w:rsidR="00936C5E" w:rsidRPr="009503D9" w:rsidRDefault="00936C5E" w:rsidP="00EE1F6B">
            <w:pPr>
              <w:pStyle w:val="NormalWeb"/>
              <w:jc w:val="center"/>
              <w:rPr>
                <w:color w:val="FFFFFF" w:themeColor="background1"/>
                <w:sz w:val="18"/>
                <w:szCs w:val="18"/>
              </w:rPr>
            </w:pPr>
            <w:r w:rsidRPr="009503D9">
              <w:rPr>
                <w:color w:val="FFFFFF" w:themeColor="background1"/>
                <w:sz w:val="18"/>
                <w:szCs w:val="18"/>
              </w:rPr>
              <w:t>Epidemic to date</w:t>
            </w:r>
            <w:r>
              <w:rPr>
                <w:color w:val="FFFFFF" w:themeColor="background1"/>
                <w:sz w:val="18"/>
                <w:szCs w:val="18"/>
              </w:rPr>
              <w:br/>
            </w:r>
            <w:r w:rsidRPr="009503D9">
              <w:rPr>
                <w:color w:val="FFFFFF" w:themeColor="background1"/>
                <w:sz w:val="18"/>
                <w:szCs w:val="18"/>
              </w:rPr>
              <w:t>1 January 2020 – 25 April 2021</w:t>
            </w:r>
            <w:r>
              <w:rPr>
                <w:color w:val="FFFFFF" w:themeColor="background1"/>
                <w:sz w:val="18"/>
                <w:szCs w:val="18"/>
              </w:rPr>
              <w:br/>
            </w:r>
            <w:r w:rsidRPr="009503D9">
              <w:rPr>
                <w:color w:val="FFFFFF" w:themeColor="background1"/>
                <w:sz w:val="18"/>
                <w:szCs w:val="18"/>
              </w:rPr>
              <w:t>Deaths/case numbers</w:t>
            </w:r>
          </w:p>
        </w:tc>
      </w:tr>
      <w:tr w:rsidR="00936C5E" w:rsidRPr="009503D9" w:rsidTr="00EE1F6B">
        <w:tc>
          <w:tcPr>
            <w:tcW w:w="0" w:type="auto"/>
            <w:hideMark/>
          </w:tcPr>
          <w:p w:rsidR="00936C5E" w:rsidRPr="009503D9" w:rsidRDefault="00936C5E" w:rsidP="00EE1F6B">
            <w:pPr>
              <w:pStyle w:val="NormalWeb"/>
              <w:rPr>
                <w:sz w:val="18"/>
                <w:szCs w:val="18"/>
              </w:rPr>
            </w:pPr>
            <w:r w:rsidRPr="009503D9">
              <w:rPr>
                <w:sz w:val="18"/>
                <w:szCs w:val="18"/>
              </w:rPr>
              <w:t>Number of deaths</w:t>
            </w:r>
          </w:p>
        </w:tc>
        <w:tc>
          <w:tcPr>
            <w:tcW w:w="0" w:type="auto"/>
            <w:hideMark/>
          </w:tcPr>
          <w:p w:rsidR="00936C5E" w:rsidRPr="009503D9" w:rsidRDefault="00936C5E" w:rsidP="00EE1F6B">
            <w:pPr>
              <w:pStyle w:val="NormalWeb"/>
              <w:jc w:val="center"/>
              <w:rPr>
                <w:sz w:val="18"/>
                <w:szCs w:val="18"/>
              </w:rPr>
            </w:pPr>
            <w:r w:rsidRPr="009503D9">
              <w:rPr>
                <w:sz w:val="18"/>
                <w:szCs w:val="18"/>
              </w:rPr>
              <w:t>1/243</w:t>
            </w:r>
          </w:p>
        </w:tc>
        <w:tc>
          <w:tcPr>
            <w:tcW w:w="0" w:type="auto"/>
            <w:hideMark/>
          </w:tcPr>
          <w:p w:rsidR="00936C5E" w:rsidRPr="009503D9" w:rsidRDefault="00936C5E" w:rsidP="00EE1F6B">
            <w:pPr>
              <w:pStyle w:val="NormalWeb"/>
              <w:jc w:val="center"/>
              <w:rPr>
                <w:sz w:val="18"/>
                <w:szCs w:val="18"/>
              </w:rPr>
            </w:pPr>
            <w:r w:rsidRPr="009503D9">
              <w:rPr>
                <w:sz w:val="18"/>
                <w:szCs w:val="18"/>
              </w:rPr>
              <w:t>1/1,082</w:t>
            </w:r>
          </w:p>
        </w:tc>
        <w:tc>
          <w:tcPr>
            <w:tcW w:w="0" w:type="auto"/>
            <w:hideMark/>
          </w:tcPr>
          <w:p w:rsidR="00936C5E" w:rsidRPr="009503D9" w:rsidRDefault="00936C5E" w:rsidP="00EE1F6B">
            <w:pPr>
              <w:pStyle w:val="NormalWeb"/>
              <w:jc w:val="center"/>
              <w:rPr>
                <w:sz w:val="18"/>
                <w:szCs w:val="18"/>
              </w:rPr>
            </w:pPr>
            <w:r w:rsidRPr="009503D9">
              <w:rPr>
                <w:sz w:val="18"/>
                <w:szCs w:val="18"/>
              </w:rPr>
              <w:t>101/6,980</w:t>
            </w:r>
          </w:p>
        </w:tc>
        <w:tc>
          <w:tcPr>
            <w:tcW w:w="0" w:type="auto"/>
            <w:hideMark/>
          </w:tcPr>
          <w:p w:rsidR="00936C5E" w:rsidRPr="009503D9" w:rsidRDefault="00936C5E" w:rsidP="00EE1F6B">
            <w:pPr>
              <w:pStyle w:val="NormalWeb"/>
              <w:jc w:val="center"/>
              <w:rPr>
                <w:sz w:val="18"/>
                <w:szCs w:val="18"/>
              </w:rPr>
            </w:pPr>
            <w:r w:rsidRPr="009503D9">
              <w:rPr>
                <w:sz w:val="18"/>
                <w:szCs w:val="18"/>
              </w:rPr>
              <w:t>910/29,550</w:t>
            </w:r>
          </w:p>
        </w:tc>
        <w:tc>
          <w:tcPr>
            <w:tcW w:w="0" w:type="auto"/>
            <w:hideMark/>
          </w:tcPr>
          <w:p w:rsidR="00936C5E" w:rsidRPr="009503D9" w:rsidRDefault="00936C5E" w:rsidP="00EE1F6B">
            <w:pPr>
              <w:jc w:val="center"/>
              <w:rPr>
                <w:sz w:val="18"/>
                <w:szCs w:val="18"/>
              </w:rPr>
            </w:pPr>
          </w:p>
        </w:tc>
      </w:tr>
      <w:tr w:rsidR="00936C5E" w:rsidRPr="009503D9" w:rsidTr="00EE1F6B">
        <w:trPr>
          <w:cnfStyle w:val="000000010000" w:firstRow="0" w:lastRow="0" w:firstColumn="0" w:lastColumn="0" w:oddVBand="0" w:evenVBand="0" w:oddHBand="0" w:evenHBand="1" w:firstRowFirstColumn="0" w:firstRowLastColumn="0" w:lastRowFirstColumn="0" w:lastRowLastColumn="0"/>
        </w:trPr>
        <w:tc>
          <w:tcPr>
            <w:tcW w:w="0" w:type="auto"/>
            <w:hideMark/>
          </w:tcPr>
          <w:p w:rsidR="00936C5E" w:rsidRPr="009503D9" w:rsidRDefault="00936C5E" w:rsidP="00EE1F6B">
            <w:pPr>
              <w:pStyle w:val="NormalWeb"/>
              <w:rPr>
                <w:sz w:val="18"/>
                <w:szCs w:val="18"/>
              </w:rPr>
            </w:pPr>
            <w:r w:rsidRPr="009503D9">
              <w:rPr>
                <w:sz w:val="18"/>
                <w:szCs w:val="18"/>
              </w:rPr>
              <w:t>Crude case fatality rate</w:t>
            </w:r>
          </w:p>
        </w:tc>
        <w:tc>
          <w:tcPr>
            <w:tcW w:w="0" w:type="auto"/>
            <w:hideMark/>
          </w:tcPr>
          <w:p w:rsidR="00936C5E" w:rsidRPr="009503D9" w:rsidRDefault="00936C5E" w:rsidP="00EE1F6B">
            <w:pPr>
              <w:pStyle w:val="NormalWeb"/>
              <w:jc w:val="center"/>
              <w:rPr>
                <w:sz w:val="18"/>
                <w:szCs w:val="18"/>
              </w:rPr>
            </w:pPr>
            <w:r w:rsidRPr="009503D9">
              <w:rPr>
                <w:sz w:val="18"/>
                <w:szCs w:val="18"/>
              </w:rPr>
              <w:t>0.4%</w:t>
            </w:r>
          </w:p>
        </w:tc>
        <w:tc>
          <w:tcPr>
            <w:tcW w:w="0" w:type="auto"/>
            <w:hideMark/>
          </w:tcPr>
          <w:p w:rsidR="00936C5E" w:rsidRPr="009503D9" w:rsidRDefault="00936C5E" w:rsidP="00EE1F6B">
            <w:pPr>
              <w:pStyle w:val="NormalWeb"/>
              <w:jc w:val="center"/>
              <w:rPr>
                <w:sz w:val="18"/>
                <w:szCs w:val="18"/>
              </w:rPr>
            </w:pPr>
            <w:r w:rsidRPr="009503D9">
              <w:rPr>
                <w:sz w:val="18"/>
                <w:szCs w:val="18"/>
              </w:rPr>
              <w:t>0.1%</w:t>
            </w:r>
          </w:p>
        </w:tc>
        <w:tc>
          <w:tcPr>
            <w:tcW w:w="0" w:type="auto"/>
            <w:hideMark/>
          </w:tcPr>
          <w:p w:rsidR="00936C5E" w:rsidRPr="009503D9" w:rsidRDefault="00936C5E" w:rsidP="00EE1F6B">
            <w:pPr>
              <w:pStyle w:val="NormalWeb"/>
              <w:jc w:val="center"/>
              <w:rPr>
                <w:sz w:val="18"/>
                <w:szCs w:val="18"/>
              </w:rPr>
            </w:pPr>
            <w:r w:rsidRPr="009503D9">
              <w:rPr>
                <w:sz w:val="18"/>
                <w:szCs w:val="18"/>
              </w:rPr>
              <w:t>1.4%</w:t>
            </w:r>
          </w:p>
        </w:tc>
        <w:tc>
          <w:tcPr>
            <w:tcW w:w="0" w:type="auto"/>
            <w:hideMark/>
          </w:tcPr>
          <w:p w:rsidR="00936C5E" w:rsidRPr="009503D9" w:rsidRDefault="00936C5E" w:rsidP="00EE1F6B">
            <w:pPr>
              <w:pStyle w:val="NormalWeb"/>
              <w:jc w:val="center"/>
              <w:rPr>
                <w:sz w:val="18"/>
                <w:szCs w:val="18"/>
              </w:rPr>
            </w:pPr>
            <w:r w:rsidRPr="009503D9">
              <w:rPr>
                <w:sz w:val="18"/>
                <w:szCs w:val="18"/>
              </w:rPr>
              <w:t>3.1%</w:t>
            </w:r>
          </w:p>
        </w:tc>
        <w:tc>
          <w:tcPr>
            <w:tcW w:w="0" w:type="auto"/>
            <w:hideMark/>
          </w:tcPr>
          <w:p w:rsidR="00936C5E" w:rsidRPr="009503D9" w:rsidRDefault="00936C5E" w:rsidP="00EE1F6B">
            <w:pPr>
              <w:jc w:val="center"/>
              <w:rPr>
                <w:sz w:val="18"/>
                <w:szCs w:val="18"/>
              </w:rPr>
            </w:pPr>
          </w:p>
        </w:tc>
      </w:tr>
    </w:tbl>
    <w:p w:rsidR="00936C5E" w:rsidRDefault="00936C5E" w:rsidP="00936C5E">
      <w:pPr>
        <w:pStyle w:val="CDIfootnotes"/>
        <w:rPr>
          <w:lang w:val="en-GB"/>
        </w:rPr>
      </w:pPr>
      <w:proofErr w:type="gramStart"/>
      <w:r>
        <w:rPr>
          <w:lang w:val="en-GB"/>
        </w:rPr>
        <w:t>a</w:t>
      </w:r>
      <w:proofErr w:type="gramEnd"/>
      <w:r>
        <w:rPr>
          <w:lang w:val="en-GB"/>
        </w:rPr>
        <w:tab/>
        <w:t>Source: NNDSS extracted based on diagnosis date.</w:t>
      </w:r>
    </w:p>
    <w:p w:rsidR="00936C5E" w:rsidRDefault="00936C5E" w:rsidP="00936C5E">
      <w:pPr>
        <w:rPr>
          <w:sz w:val="18"/>
          <w:lang w:val="en-GB"/>
        </w:rPr>
      </w:pPr>
      <w:r>
        <w:rPr>
          <w:lang w:val="en-GB"/>
        </w:rPr>
        <w:br w:type="page"/>
      </w:r>
    </w:p>
    <w:p w:rsidR="00E52E78" w:rsidRPr="00D151EC" w:rsidRDefault="00E52E78" w:rsidP="00D151EC">
      <w:pPr>
        <w:pStyle w:val="Heading2"/>
      </w:pPr>
      <w:r w:rsidRPr="00D151EC">
        <w:lastRenderedPageBreak/>
        <w:t xml:space="preserve">Public health response measures </w:t>
      </w:r>
    </w:p>
    <w:p w:rsidR="00291693" w:rsidRDefault="00E52E78">
      <w:r>
        <w:t>Since COVID-19 first emerged internationally, Australia has implemented public health measures informed by the disease’s epidemiology (</w:t>
      </w:r>
      <w:r w:rsidR="00A63851">
        <w:t>Figure 8</w:t>
      </w:r>
      <w:r>
        <w:t>). States and Territories have decision making authority in relation to public health measures and have implemented or eased restrictions at their own pace, depending on the local public health and epidemiological situation, and in line with the ‘Framework for National Reopening’.</w:t>
      </w:r>
      <w:r>
        <w:rPr>
          <w:vertAlign w:val="superscript"/>
        </w:rPr>
        <w:t>3</w:t>
      </w:r>
      <w:r>
        <w:t xml:space="preserve"> Nationwide requirements involving air travel remain including pre-flight testing for travellers entering Australia and requirements to wear face masks when flying domestically or internationally remain in place. The national vaccination rollout of Phase 1a and Phase 1b have continued across jurisdictions this month. During the current reporting period, short-term higher level restriction periods commenced in Queensland and in Western Australia in response to community transmission of cases found to be infected with SARS-CoV-2 </w:t>
      </w:r>
      <w:r w:rsidR="00E2348A">
        <w:t>variants of concern (Table 11).</w:t>
      </w:r>
    </w:p>
    <w:p w:rsidR="00DE4D37" w:rsidRDefault="00DE4D37">
      <w:pPr>
        <w:rPr>
          <w:rStyle w:val="Strong"/>
          <w:bCs w:val="0"/>
        </w:rPr>
      </w:pPr>
      <w:r>
        <w:rPr>
          <w:rStyle w:val="Strong"/>
          <w:b w:val="0"/>
          <w:bCs w:val="0"/>
        </w:rPr>
        <w:br w:type="page"/>
      </w:r>
    </w:p>
    <w:p w:rsidR="00291693" w:rsidRPr="005E295D" w:rsidRDefault="00291693" w:rsidP="00291693">
      <w:pPr>
        <w:pStyle w:val="CDIFigures"/>
      </w:pPr>
      <w:r w:rsidRPr="005E295D">
        <w:rPr>
          <w:rStyle w:val="Strong"/>
          <w:b/>
          <w:bCs w:val="0"/>
        </w:rPr>
        <w:lastRenderedPageBreak/>
        <w:t>Table 11: State and territory changes to COVID-19 restrictions, Australia, 29 March to 25 April 2021</w:t>
      </w:r>
    </w:p>
    <w:tbl>
      <w:tblPr>
        <w:tblStyle w:val="CDI-StandardTable"/>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CellMar>
          <w:top w:w="57" w:type="dxa"/>
          <w:left w:w="57" w:type="dxa"/>
          <w:bottom w:w="57" w:type="dxa"/>
          <w:right w:w="57" w:type="dxa"/>
        </w:tblCellMar>
        <w:tblLook w:val="04A0" w:firstRow="1" w:lastRow="0" w:firstColumn="1" w:lastColumn="0" w:noHBand="0" w:noVBand="1"/>
        <w:tblDescription w:val="Table 11 summarises measures for implementing and easing COVID-19 restrictions, applied during the current four-week reporting period, for Australian states and territories.&#10;"/>
      </w:tblPr>
      <w:tblGrid>
        <w:gridCol w:w="1381"/>
        <w:gridCol w:w="9079"/>
      </w:tblGrid>
      <w:tr w:rsidR="00291693" w:rsidRPr="00DD3784" w:rsidTr="006D0804">
        <w:trPr>
          <w:cnfStyle w:val="100000000000" w:firstRow="1" w:lastRow="0" w:firstColumn="0" w:lastColumn="0" w:oddVBand="0" w:evenVBand="0" w:oddHBand="0" w:evenHBand="0" w:firstRowFirstColumn="0" w:firstRowLastColumn="0" w:lastRowFirstColumn="0" w:lastRowLastColumn="0"/>
          <w:tblHeader/>
        </w:trPr>
        <w:tc>
          <w:tcPr>
            <w:tcW w:w="0" w:type="auto"/>
            <w:hideMark/>
          </w:tcPr>
          <w:p w:rsidR="00291693" w:rsidRPr="00DD3784" w:rsidRDefault="00291693" w:rsidP="00EE1F6B">
            <w:pPr>
              <w:pStyle w:val="NormalWeb"/>
              <w:rPr>
                <w:color w:val="FFFFFF" w:themeColor="background1"/>
                <w:sz w:val="18"/>
                <w:szCs w:val="18"/>
              </w:rPr>
            </w:pPr>
            <w:r w:rsidRPr="00DD3784">
              <w:rPr>
                <w:color w:val="FFFFFF" w:themeColor="background1"/>
                <w:sz w:val="18"/>
                <w:szCs w:val="18"/>
              </w:rPr>
              <w:t>Jurisdiction</w:t>
            </w:r>
          </w:p>
        </w:tc>
        <w:tc>
          <w:tcPr>
            <w:tcW w:w="0" w:type="auto"/>
            <w:hideMark/>
          </w:tcPr>
          <w:p w:rsidR="00291693" w:rsidRPr="00DD3784" w:rsidRDefault="00291693" w:rsidP="00EE1F6B">
            <w:pPr>
              <w:pStyle w:val="NormalWeb"/>
              <w:rPr>
                <w:color w:val="FFFFFF" w:themeColor="background1"/>
                <w:sz w:val="18"/>
                <w:szCs w:val="18"/>
              </w:rPr>
            </w:pPr>
            <w:r w:rsidRPr="00DD3784">
              <w:rPr>
                <w:color w:val="FFFFFF" w:themeColor="background1"/>
                <w:sz w:val="18"/>
                <w:szCs w:val="18"/>
              </w:rPr>
              <w:t>Summary of changes to COVID-19 restrictions</w:t>
            </w:r>
          </w:p>
        </w:tc>
      </w:tr>
      <w:tr w:rsidR="00291693" w:rsidRPr="00DD3784" w:rsidTr="006D0804">
        <w:tc>
          <w:tcPr>
            <w:tcW w:w="0" w:type="auto"/>
            <w:hideMark/>
          </w:tcPr>
          <w:p w:rsidR="00291693" w:rsidRPr="00DD3784" w:rsidRDefault="00291693" w:rsidP="00EE1F6B">
            <w:pPr>
              <w:pStyle w:val="NormalWeb"/>
              <w:rPr>
                <w:sz w:val="18"/>
                <w:szCs w:val="18"/>
              </w:rPr>
            </w:pPr>
            <w:r w:rsidRPr="00DD3784">
              <w:rPr>
                <w:sz w:val="18"/>
                <w:szCs w:val="18"/>
              </w:rPr>
              <w:t>Australian Capital Territory</w:t>
            </w:r>
          </w:p>
        </w:tc>
        <w:tc>
          <w:tcPr>
            <w:tcW w:w="0" w:type="auto"/>
            <w:hideMark/>
          </w:tcPr>
          <w:p w:rsidR="00291693" w:rsidRPr="00DD3784" w:rsidRDefault="00291693" w:rsidP="00EE1F6B">
            <w:pPr>
              <w:pStyle w:val="NormalWeb"/>
              <w:rPr>
                <w:sz w:val="18"/>
                <w:szCs w:val="18"/>
              </w:rPr>
            </w:pPr>
            <w:r w:rsidRPr="00DD3784">
              <w:rPr>
                <w:sz w:val="18"/>
                <w:szCs w:val="18"/>
              </w:rPr>
              <w:t>From 28 March, Australian Capital Territory declared anyone who had been in Greater Brisbane since 11 March must isolate until receiving a negative test result and complete an online declaration form.</w:t>
            </w:r>
            <w:r w:rsidRPr="00DD3784">
              <w:rPr>
                <w:sz w:val="18"/>
                <w:szCs w:val="18"/>
                <w:vertAlign w:val="superscript"/>
              </w:rPr>
              <w:t>22</w:t>
            </w:r>
          </w:p>
          <w:p w:rsidR="00291693" w:rsidRPr="00DD3784" w:rsidRDefault="00291693" w:rsidP="00EE1F6B">
            <w:pPr>
              <w:pStyle w:val="NormalWeb"/>
              <w:rPr>
                <w:sz w:val="18"/>
                <w:szCs w:val="18"/>
              </w:rPr>
            </w:pPr>
            <w:r w:rsidRPr="00DD3784">
              <w:rPr>
                <w:sz w:val="18"/>
                <w:szCs w:val="18"/>
              </w:rPr>
              <w:t>From 29 March, Australian Capital Territory declared that anyone who had been in Greater Brisbane since 15 March, must immediately enter quarantine until Greater Brisbane lifts their period of higher-level restrictions.</w:t>
            </w:r>
            <w:r w:rsidRPr="00DD3784">
              <w:rPr>
                <w:sz w:val="18"/>
                <w:szCs w:val="18"/>
                <w:vertAlign w:val="superscript"/>
              </w:rPr>
              <w:t>23</w:t>
            </w:r>
          </w:p>
          <w:p w:rsidR="00291693" w:rsidRPr="00DD3784" w:rsidRDefault="00291693" w:rsidP="00EE1F6B">
            <w:pPr>
              <w:pStyle w:val="NormalWeb"/>
              <w:rPr>
                <w:sz w:val="18"/>
                <w:szCs w:val="18"/>
              </w:rPr>
            </w:pPr>
            <w:r w:rsidRPr="00DD3784">
              <w:rPr>
                <w:sz w:val="18"/>
                <w:szCs w:val="18"/>
              </w:rPr>
              <w:t>From 14 April, Australian Capital Territory eased the following restrictions:</w:t>
            </w:r>
            <w:r w:rsidRPr="00DD3784">
              <w:rPr>
                <w:sz w:val="18"/>
                <w:szCs w:val="18"/>
                <w:vertAlign w:val="superscript"/>
              </w:rPr>
              <w:t>24</w:t>
            </w:r>
          </w:p>
          <w:p w:rsidR="00291693" w:rsidRPr="00DD3784" w:rsidRDefault="00291693" w:rsidP="00291693">
            <w:pPr>
              <w:numPr>
                <w:ilvl w:val="0"/>
                <w:numId w:val="16"/>
              </w:numPr>
              <w:spacing w:before="100" w:beforeAutospacing="1" w:after="100" w:afterAutospacing="1"/>
              <w:rPr>
                <w:rFonts w:eastAsia="Times New Roman"/>
                <w:sz w:val="18"/>
                <w:szCs w:val="18"/>
              </w:rPr>
            </w:pPr>
            <w:r w:rsidRPr="00DD3784">
              <w:rPr>
                <w:rFonts w:eastAsia="Times New Roman"/>
                <w:sz w:val="18"/>
                <w:szCs w:val="18"/>
              </w:rPr>
              <w:t>Cinemas and movie theatres can sell seated tickets at 100% capacity if operating with an approved COVID Safety Plan; and</w:t>
            </w:r>
          </w:p>
          <w:p w:rsidR="00291693" w:rsidRPr="00DD3784" w:rsidRDefault="00291693" w:rsidP="00291693">
            <w:pPr>
              <w:numPr>
                <w:ilvl w:val="0"/>
                <w:numId w:val="16"/>
              </w:numPr>
              <w:spacing w:before="100" w:beforeAutospacing="1" w:after="100" w:afterAutospacing="1"/>
              <w:rPr>
                <w:rFonts w:eastAsia="Times New Roman"/>
                <w:sz w:val="18"/>
                <w:szCs w:val="18"/>
              </w:rPr>
            </w:pPr>
            <w:r w:rsidRPr="00DD3784">
              <w:rPr>
                <w:rFonts w:eastAsia="Times New Roman"/>
                <w:sz w:val="18"/>
                <w:szCs w:val="18"/>
              </w:rPr>
              <w:t>Large indoor performance venues can have events at 100% capacity if ticketed, seated and operating with an approved COVID Safety Plan.</w:t>
            </w:r>
          </w:p>
          <w:p w:rsidR="00291693" w:rsidRPr="00DD3784" w:rsidRDefault="00291693" w:rsidP="00EE1F6B">
            <w:pPr>
              <w:pStyle w:val="NormalWeb"/>
              <w:rPr>
                <w:sz w:val="18"/>
                <w:szCs w:val="18"/>
              </w:rPr>
            </w:pPr>
            <w:r w:rsidRPr="00DD3784">
              <w:rPr>
                <w:sz w:val="18"/>
                <w:szCs w:val="18"/>
              </w:rPr>
              <w:t>From 24 April, Australian Capital Territory declared that anyone who had been in Perth or Peel regions must immediately isolate until receiving a negative test result and complete a declaration form.</w:t>
            </w:r>
            <w:r w:rsidRPr="00DD3784">
              <w:rPr>
                <w:sz w:val="18"/>
                <w:szCs w:val="18"/>
                <w:vertAlign w:val="superscript"/>
              </w:rPr>
              <w:t>25</w:t>
            </w:r>
          </w:p>
        </w:tc>
      </w:tr>
      <w:tr w:rsidR="00291693" w:rsidRPr="00DD3784" w:rsidTr="006D0804">
        <w:trPr>
          <w:cnfStyle w:val="000000010000" w:firstRow="0" w:lastRow="0" w:firstColumn="0" w:lastColumn="0" w:oddVBand="0" w:evenVBand="0" w:oddHBand="0" w:evenHBand="1" w:firstRowFirstColumn="0" w:firstRowLastColumn="0" w:lastRowFirstColumn="0" w:lastRowLastColumn="0"/>
        </w:trPr>
        <w:tc>
          <w:tcPr>
            <w:tcW w:w="0" w:type="auto"/>
            <w:hideMark/>
          </w:tcPr>
          <w:p w:rsidR="00291693" w:rsidRPr="00DD3784" w:rsidRDefault="00291693" w:rsidP="00EE1F6B">
            <w:pPr>
              <w:pStyle w:val="NormalWeb"/>
              <w:rPr>
                <w:sz w:val="18"/>
                <w:szCs w:val="18"/>
              </w:rPr>
            </w:pPr>
            <w:r w:rsidRPr="00DD3784">
              <w:rPr>
                <w:sz w:val="18"/>
                <w:szCs w:val="18"/>
              </w:rPr>
              <w:t>New South Wales</w:t>
            </w:r>
          </w:p>
        </w:tc>
        <w:tc>
          <w:tcPr>
            <w:tcW w:w="0" w:type="auto"/>
            <w:hideMark/>
          </w:tcPr>
          <w:p w:rsidR="00291693" w:rsidRPr="00DD3784" w:rsidRDefault="00291693" w:rsidP="00EE1F6B">
            <w:pPr>
              <w:pStyle w:val="NormalWeb"/>
              <w:rPr>
                <w:sz w:val="18"/>
                <w:szCs w:val="18"/>
              </w:rPr>
            </w:pPr>
            <w:r w:rsidRPr="00DD3784">
              <w:rPr>
                <w:sz w:val="18"/>
                <w:szCs w:val="18"/>
              </w:rPr>
              <w:t>From 29 March, New South Wales eased the following restrictions:</w:t>
            </w:r>
            <w:r w:rsidRPr="00DD3784">
              <w:rPr>
                <w:sz w:val="18"/>
                <w:szCs w:val="18"/>
                <w:vertAlign w:val="superscript"/>
              </w:rPr>
              <w:t>26</w:t>
            </w:r>
          </w:p>
          <w:p w:rsidR="00291693" w:rsidRPr="00DD3784" w:rsidRDefault="00291693" w:rsidP="00291693">
            <w:pPr>
              <w:numPr>
                <w:ilvl w:val="0"/>
                <w:numId w:val="17"/>
              </w:numPr>
              <w:spacing w:before="100" w:beforeAutospacing="1" w:after="100" w:afterAutospacing="1"/>
              <w:rPr>
                <w:rFonts w:eastAsia="Times New Roman"/>
                <w:sz w:val="18"/>
                <w:szCs w:val="18"/>
              </w:rPr>
            </w:pPr>
            <w:r w:rsidRPr="00DD3784">
              <w:rPr>
                <w:rFonts w:eastAsia="Times New Roman"/>
                <w:sz w:val="18"/>
                <w:szCs w:val="18"/>
              </w:rPr>
              <w:t>No caps on weddings and funerals;</w:t>
            </w:r>
          </w:p>
          <w:p w:rsidR="00291693" w:rsidRPr="00DD3784" w:rsidRDefault="00291693" w:rsidP="00291693">
            <w:pPr>
              <w:numPr>
                <w:ilvl w:val="0"/>
                <w:numId w:val="17"/>
              </w:numPr>
              <w:spacing w:before="100" w:beforeAutospacing="1" w:after="100" w:afterAutospacing="1"/>
              <w:rPr>
                <w:rFonts w:eastAsia="Times New Roman"/>
                <w:sz w:val="18"/>
                <w:szCs w:val="18"/>
              </w:rPr>
            </w:pPr>
            <w:r w:rsidRPr="00DD3784">
              <w:rPr>
                <w:rFonts w:eastAsia="Times New Roman"/>
                <w:sz w:val="18"/>
                <w:szCs w:val="18"/>
              </w:rPr>
              <w:t>No restrictions on singing, including in places of worship;</w:t>
            </w:r>
          </w:p>
          <w:p w:rsidR="00291693" w:rsidRPr="00DD3784" w:rsidRDefault="00291693" w:rsidP="00291693">
            <w:pPr>
              <w:numPr>
                <w:ilvl w:val="0"/>
                <w:numId w:val="17"/>
              </w:numPr>
              <w:spacing w:before="100" w:beforeAutospacing="1" w:after="100" w:afterAutospacing="1"/>
              <w:rPr>
                <w:rFonts w:eastAsia="Times New Roman"/>
                <w:sz w:val="18"/>
                <w:szCs w:val="18"/>
              </w:rPr>
            </w:pPr>
            <w:r w:rsidRPr="00DD3784">
              <w:rPr>
                <w:rFonts w:eastAsia="Times New Roman"/>
                <w:sz w:val="18"/>
                <w:szCs w:val="18"/>
              </w:rPr>
              <w:t>No restrictions on dancing, including at weddings, pubs and nightclubs;</w:t>
            </w:r>
          </w:p>
          <w:p w:rsidR="00291693" w:rsidRPr="00DD3784" w:rsidRDefault="00291693" w:rsidP="00291693">
            <w:pPr>
              <w:numPr>
                <w:ilvl w:val="0"/>
                <w:numId w:val="17"/>
              </w:numPr>
              <w:spacing w:before="100" w:beforeAutospacing="1" w:after="100" w:afterAutospacing="1"/>
              <w:rPr>
                <w:rFonts w:eastAsia="Times New Roman"/>
                <w:sz w:val="18"/>
                <w:szCs w:val="18"/>
              </w:rPr>
            </w:pPr>
            <w:r w:rsidRPr="00DD3784">
              <w:rPr>
                <w:rFonts w:eastAsia="Times New Roman"/>
                <w:sz w:val="18"/>
                <w:szCs w:val="18"/>
              </w:rPr>
              <w:t>No caps on visitors in homes;</w:t>
            </w:r>
          </w:p>
          <w:p w:rsidR="00291693" w:rsidRPr="00DD3784" w:rsidRDefault="00291693" w:rsidP="00291693">
            <w:pPr>
              <w:numPr>
                <w:ilvl w:val="0"/>
                <w:numId w:val="17"/>
              </w:numPr>
              <w:spacing w:before="100" w:beforeAutospacing="1" w:after="100" w:afterAutospacing="1"/>
              <w:rPr>
                <w:rFonts w:eastAsia="Times New Roman"/>
                <w:sz w:val="18"/>
                <w:szCs w:val="18"/>
              </w:rPr>
            </w:pPr>
            <w:r w:rsidRPr="00DD3784">
              <w:rPr>
                <w:rFonts w:eastAsia="Times New Roman"/>
                <w:sz w:val="18"/>
                <w:szCs w:val="18"/>
              </w:rPr>
              <w:t>Up to 200 people allowed for personal outdoor public gatherings;</w:t>
            </w:r>
          </w:p>
          <w:p w:rsidR="00291693" w:rsidRPr="00DD3784" w:rsidRDefault="00291693" w:rsidP="00291693">
            <w:pPr>
              <w:numPr>
                <w:ilvl w:val="0"/>
                <w:numId w:val="17"/>
              </w:numPr>
              <w:spacing w:before="100" w:beforeAutospacing="1" w:after="100" w:afterAutospacing="1"/>
              <w:rPr>
                <w:rFonts w:eastAsia="Times New Roman"/>
                <w:sz w:val="18"/>
                <w:szCs w:val="18"/>
              </w:rPr>
            </w:pPr>
            <w:r w:rsidRPr="00DD3784">
              <w:rPr>
                <w:rFonts w:eastAsia="Times New Roman"/>
                <w:sz w:val="18"/>
                <w:szCs w:val="18"/>
              </w:rPr>
              <w:t xml:space="preserve">All venues to follow 1 person per 2 </w:t>
            </w:r>
            <w:proofErr w:type="spellStart"/>
            <w:r w:rsidRPr="00DD3784">
              <w:rPr>
                <w:rFonts w:eastAsia="Times New Roman"/>
                <w:sz w:val="18"/>
                <w:szCs w:val="18"/>
              </w:rPr>
              <w:t>sqm</w:t>
            </w:r>
            <w:proofErr w:type="spellEnd"/>
            <w:r w:rsidRPr="00DD3784">
              <w:rPr>
                <w:rFonts w:eastAsia="Times New Roman"/>
                <w:sz w:val="18"/>
                <w:szCs w:val="18"/>
              </w:rPr>
              <w:t xml:space="preserve"> rule, density restrictions apply once 25 people or more are within a venue;</w:t>
            </w:r>
          </w:p>
          <w:p w:rsidR="00291693" w:rsidRPr="00DD3784" w:rsidRDefault="00291693" w:rsidP="00291693">
            <w:pPr>
              <w:numPr>
                <w:ilvl w:val="0"/>
                <w:numId w:val="17"/>
              </w:numPr>
              <w:spacing w:before="100" w:beforeAutospacing="1" w:after="100" w:afterAutospacing="1"/>
              <w:rPr>
                <w:rFonts w:eastAsia="Times New Roman"/>
                <w:sz w:val="18"/>
                <w:szCs w:val="18"/>
              </w:rPr>
            </w:pPr>
            <w:r w:rsidRPr="00DD3784">
              <w:rPr>
                <w:rFonts w:eastAsia="Times New Roman"/>
                <w:sz w:val="18"/>
                <w:szCs w:val="18"/>
              </w:rPr>
              <w:t>100% seated capacity at entertainment venues including stadiums and theatres; and</w:t>
            </w:r>
          </w:p>
          <w:p w:rsidR="00291693" w:rsidRPr="00DD3784" w:rsidRDefault="00291693" w:rsidP="00291693">
            <w:pPr>
              <w:numPr>
                <w:ilvl w:val="0"/>
                <w:numId w:val="17"/>
              </w:numPr>
              <w:spacing w:before="100" w:beforeAutospacing="1" w:after="100" w:afterAutospacing="1"/>
              <w:rPr>
                <w:rFonts w:eastAsia="Times New Roman"/>
                <w:sz w:val="18"/>
                <w:szCs w:val="18"/>
              </w:rPr>
            </w:pPr>
            <w:r w:rsidRPr="00DD3784">
              <w:rPr>
                <w:rFonts w:eastAsia="Times New Roman"/>
                <w:sz w:val="18"/>
                <w:szCs w:val="18"/>
              </w:rPr>
              <w:t>Mask use no longer mandatory on public transport, although still strongly recommended.</w:t>
            </w:r>
          </w:p>
          <w:p w:rsidR="00291693" w:rsidRPr="00DD3784" w:rsidRDefault="00291693" w:rsidP="00EE1F6B">
            <w:pPr>
              <w:pStyle w:val="NormalWeb"/>
              <w:rPr>
                <w:sz w:val="18"/>
                <w:szCs w:val="18"/>
              </w:rPr>
            </w:pPr>
            <w:r w:rsidRPr="00DD3784">
              <w:rPr>
                <w:sz w:val="18"/>
                <w:szCs w:val="18"/>
              </w:rPr>
              <w:t>From 29 March, Individuals within New South Wales who have been in Greater Brisbane since 20 March must comply with Greater Brisbane’s stay at home restrictions while in effect.</w:t>
            </w:r>
            <w:r w:rsidRPr="00DD3784">
              <w:rPr>
                <w:sz w:val="18"/>
                <w:szCs w:val="18"/>
                <w:vertAlign w:val="superscript"/>
              </w:rPr>
              <w:t>27</w:t>
            </w:r>
          </w:p>
          <w:p w:rsidR="00291693" w:rsidRPr="00DD3784" w:rsidRDefault="00291693" w:rsidP="00EE1F6B">
            <w:pPr>
              <w:pStyle w:val="NormalWeb"/>
              <w:rPr>
                <w:sz w:val="18"/>
                <w:szCs w:val="18"/>
              </w:rPr>
            </w:pPr>
            <w:r w:rsidRPr="00DD3784">
              <w:rPr>
                <w:sz w:val="18"/>
                <w:szCs w:val="18"/>
              </w:rPr>
              <w:t>From 23 April, Individuals within New South Wales who have been in the Perth and Peel regions of Western Australia since 17 April must comply with Peth and Peel regions stay at home restrictions while in effect.</w:t>
            </w:r>
            <w:r w:rsidRPr="00DD3784">
              <w:rPr>
                <w:sz w:val="18"/>
                <w:szCs w:val="18"/>
                <w:vertAlign w:val="superscript"/>
              </w:rPr>
              <w:t>28</w:t>
            </w:r>
          </w:p>
        </w:tc>
      </w:tr>
      <w:tr w:rsidR="00291693" w:rsidRPr="00DD3784" w:rsidTr="006D0804">
        <w:tc>
          <w:tcPr>
            <w:tcW w:w="0" w:type="auto"/>
            <w:hideMark/>
          </w:tcPr>
          <w:p w:rsidR="00291693" w:rsidRPr="00DD3784" w:rsidRDefault="00291693" w:rsidP="00EE1F6B">
            <w:pPr>
              <w:pStyle w:val="NormalWeb"/>
              <w:rPr>
                <w:sz w:val="18"/>
                <w:szCs w:val="18"/>
              </w:rPr>
            </w:pPr>
            <w:r w:rsidRPr="00DD3784">
              <w:rPr>
                <w:sz w:val="18"/>
                <w:szCs w:val="18"/>
              </w:rPr>
              <w:t>Northern Territory</w:t>
            </w:r>
          </w:p>
        </w:tc>
        <w:tc>
          <w:tcPr>
            <w:tcW w:w="0" w:type="auto"/>
            <w:hideMark/>
          </w:tcPr>
          <w:p w:rsidR="00291693" w:rsidRPr="00DD3784" w:rsidRDefault="00291693" w:rsidP="00EE1F6B">
            <w:pPr>
              <w:pStyle w:val="NormalWeb"/>
              <w:rPr>
                <w:sz w:val="18"/>
                <w:szCs w:val="18"/>
              </w:rPr>
            </w:pPr>
            <w:r w:rsidRPr="00DD3784">
              <w:rPr>
                <w:sz w:val="18"/>
                <w:szCs w:val="18"/>
              </w:rPr>
              <w:t>From 27 March, Northern Territory declared individuals who were in Greater Brisbane from 12 March must self-quarantine until a negative COVID-19 test is returned.</w:t>
            </w:r>
            <w:r w:rsidRPr="00DD3784">
              <w:rPr>
                <w:sz w:val="18"/>
                <w:szCs w:val="18"/>
                <w:vertAlign w:val="superscript"/>
              </w:rPr>
              <w:t>29</w:t>
            </w:r>
          </w:p>
          <w:p w:rsidR="00291693" w:rsidRPr="00DD3784" w:rsidRDefault="00291693" w:rsidP="00EE1F6B">
            <w:pPr>
              <w:pStyle w:val="NormalWeb"/>
              <w:rPr>
                <w:sz w:val="18"/>
                <w:szCs w:val="18"/>
              </w:rPr>
            </w:pPr>
            <w:r w:rsidRPr="00DD3784">
              <w:rPr>
                <w:sz w:val="18"/>
                <w:szCs w:val="18"/>
              </w:rPr>
              <w:t>From 29 March, Northern Territory declared individuals entering from Greater Brisbane must undertake 14 days of mandatory supervised quarantine.</w:t>
            </w:r>
            <w:r w:rsidRPr="00DD3784">
              <w:rPr>
                <w:sz w:val="18"/>
                <w:szCs w:val="18"/>
                <w:vertAlign w:val="superscript"/>
              </w:rPr>
              <w:t>30</w:t>
            </w:r>
          </w:p>
          <w:p w:rsidR="00291693" w:rsidRPr="00DD3784" w:rsidRDefault="00291693" w:rsidP="00EE1F6B">
            <w:pPr>
              <w:pStyle w:val="NormalWeb"/>
              <w:rPr>
                <w:sz w:val="18"/>
                <w:szCs w:val="18"/>
              </w:rPr>
            </w:pPr>
            <w:r w:rsidRPr="00DD3784">
              <w:rPr>
                <w:sz w:val="18"/>
                <w:szCs w:val="18"/>
              </w:rPr>
              <w:t>From 30 March, Northern Territory declared individuals who arrived between 26 March and 30 March from the Byron Shire Council must get tested and self-quarantine for 14 days, irrespective of returning a negative result.</w:t>
            </w:r>
            <w:r w:rsidRPr="00DD3784">
              <w:rPr>
                <w:sz w:val="18"/>
                <w:szCs w:val="18"/>
                <w:vertAlign w:val="superscript"/>
              </w:rPr>
              <w:t>31</w:t>
            </w:r>
          </w:p>
          <w:p w:rsidR="00291693" w:rsidRPr="00DD3784" w:rsidRDefault="00291693" w:rsidP="00EE1F6B">
            <w:pPr>
              <w:pStyle w:val="NormalWeb"/>
              <w:rPr>
                <w:sz w:val="18"/>
                <w:szCs w:val="18"/>
              </w:rPr>
            </w:pPr>
            <w:r w:rsidRPr="00DD3784">
              <w:rPr>
                <w:sz w:val="18"/>
                <w:szCs w:val="18"/>
              </w:rPr>
              <w:t>From 1 April, Northern Territory revoked restrictions in place for travellers from Greater Brisbane and Byron Shire Council.</w:t>
            </w:r>
            <w:r w:rsidRPr="00DD3784">
              <w:rPr>
                <w:sz w:val="18"/>
                <w:szCs w:val="18"/>
                <w:vertAlign w:val="superscript"/>
              </w:rPr>
              <w:t>32,33</w:t>
            </w:r>
          </w:p>
          <w:p w:rsidR="00291693" w:rsidRPr="00DD3784" w:rsidRDefault="00291693" w:rsidP="00EE1F6B">
            <w:pPr>
              <w:pStyle w:val="NormalWeb"/>
              <w:rPr>
                <w:sz w:val="18"/>
                <w:szCs w:val="18"/>
              </w:rPr>
            </w:pPr>
            <w:r w:rsidRPr="00DD3784">
              <w:rPr>
                <w:sz w:val="18"/>
                <w:szCs w:val="18"/>
              </w:rPr>
              <w:t>From 24 April, Northern Territory declared anyone arriving from Perth or Peel regions must undertake 14 days of mandatory supervised quarantine. Individuals who arrived from 17 April to 23 April must self-quarantine until a negative COVID-19 test is returned.</w:t>
            </w:r>
            <w:r w:rsidRPr="00DD3784">
              <w:rPr>
                <w:sz w:val="18"/>
                <w:szCs w:val="18"/>
                <w:vertAlign w:val="superscript"/>
              </w:rPr>
              <w:t>34</w:t>
            </w:r>
          </w:p>
        </w:tc>
      </w:tr>
      <w:tr w:rsidR="00291693" w:rsidRPr="00DD3784" w:rsidTr="006D0804">
        <w:trPr>
          <w:cnfStyle w:val="000000010000" w:firstRow="0" w:lastRow="0" w:firstColumn="0" w:lastColumn="0" w:oddVBand="0" w:evenVBand="0" w:oddHBand="0" w:evenHBand="1" w:firstRowFirstColumn="0" w:firstRowLastColumn="0" w:lastRowFirstColumn="0" w:lastRowLastColumn="0"/>
        </w:trPr>
        <w:tc>
          <w:tcPr>
            <w:tcW w:w="0" w:type="auto"/>
            <w:hideMark/>
          </w:tcPr>
          <w:p w:rsidR="00291693" w:rsidRPr="00DD3784" w:rsidRDefault="00291693" w:rsidP="00EE1F6B">
            <w:pPr>
              <w:pStyle w:val="NormalWeb"/>
              <w:rPr>
                <w:sz w:val="18"/>
                <w:szCs w:val="18"/>
              </w:rPr>
            </w:pPr>
            <w:r w:rsidRPr="00DD3784">
              <w:rPr>
                <w:sz w:val="18"/>
                <w:szCs w:val="18"/>
              </w:rPr>
              <w:t>Queensland</w:t>
            </w:r>
          </w:p>
        </w:tc>
        <w:tc>
          <w:tcPr>
            <w:tcW w:w="0" w:type="auto"/>
            <w:hideMark/>
          </w:tcPr>
          <w:p w:rsidR="00291693" w:rsidRPr="00DD3784" w:rsidRDefault="00291693" w:rsidP="00EE1F6B">
            <w:pPr>
              <w:pStyle w:val="NormalWeb"/>
              <w:rPr>
                <w:sz w:val="18"/>
                <w:szCs w:val="18"/>
              </w:rPr>
            </w:pPr>
            <w:r w:rsidRPr="00DD3784">
              <w:rPr>
                <w:sz w:val="18"/>
                <w:szCs w:val="18"/>
              </w:rPr>
              <w:t>From 29 March, Queensland entered a period of higher level restrictions for Greater Brisbane:</w:t>
            </w:r>
            <w:r w:rsidRPr="00E53D6C">
              <w:rPr>
                <w:sz w:val="18"/>
                <w:szCs w:val="18"/>
                <w:vertAlign w:val="superscript"/>
              </w:rPr>
              <w:t>35</w:t>
            </w:r>
          </w:p>
          <w:p w:rsidR="00291693" w:rsidRPr="00DD3784" w:rsidRDefault="00291693" w:rsidP="00291693">
            <w:pPr>
              <w:numPr>
                <w:ilvl w:val="0"/>
                <w:numId w:val="18"/>
              </w:numPr>
              <w:spacing w:before="100" w:beforeAutospacing="1" w:after="100" w:afterAutospacing="1"/>
              <w:rPr>
                <w:rFonts w:eastAsia="Times New Roman"/>
                <w:sz w:val="18"/>
                <w:szCs w:val="18"/>
              </w:rPr>
            </w:pPr>
            <w:r w:rsidRPr="00DD3784">
              <w:rPr>
                <w:rFonts w:eastAsia="Times New Roman"/>
                <w:sz w:val="18"/>
                <w:szCs w:val="18"/>
              </w:rPr>
              <w:t xml:space="preserve">Individuals must only leave their residence for essential purposes: </w:t>
            </w:r>
          </w:p>
          <w:p w:rsidR="00291693" w:rsidRPr="00DD3784" w:rsidRDefault="00291693" w:rsidP="00291693">
            <w:pPr>
              <w:numPr>
                <w:ilvl w:val="1"/>
                <w:numId w:val="18"/>
              </w:numPr>
              <w:spacing w:before="100" w:beforeAutospacing="1" w:after="100" w:afterAutospacing="1"/>
              <w:rPr>
                <w:rFonts w:eastAsia="Times New Roman"/>
                <w:sz w:val="18"/>
                <w:szCs w:val="18"/>
              </w:rPr>
            </w:pPr>
            <w:r w:rsidRPr="00DD3784">
              <w:rPr>
                <w:rFonts w:eastAsia="Times New Roman"/>
                <w:sz w:val="18"/>
                <w:szCs w:val="18"/>
              </w:rPr>
              <w:t>Obtaining essential goods or services, including healthcare,</w:t>
            </w:r>
          </w:p>
          <w:p w:rsidR="00291693" w:rsidRPr="00DD3784" w:rsidRDefault="00291693" w:rsidP="00291693">
            <w:pPr>
              <w:numPr>
                <w:ilvl w:val="1"/>
                <w:numId w:val="18"/>
              </w:numPr>
              <w:spacing w:before="100" w:beforeAutospacing="1" w:after="100" w:afterAutospacing="1"/>
              <w:rPr>
                <w:rFonts w:eastAsia="Times New Roman"/>
                <w:sz w:val="18"/>
                <w:szCs w:val="18"/>
              </w:rPr>
            </w:pPr>
            <w:r w:rsidRPr="00DD3784">
              <w:rPr>
                <w:rFonts w:eastAsia="Times New Roman"/>
                <w:sz w:val="18"/>
                <w:szCs w:val="18"/>
              </w:rPr>
              <w:t>Exercise with others from the same household group and/or one other person from anther household,</w:t>
            </w:r>
          </w:p>
          <w:p w:rsidR="00291693" w:rsidRPr="00DD3784" w:rsidRDefault="00291693" w:rsidP="00291693">
            <w:pPr>
              <w:numPr>
                <w:ilvl w:val="1"/>
                <w:numId w:val="18"/>
              </w:numPr>
              <w:spacing w:before="100" w:beforeAutospacing="1" w:after="100" w:afterAutospacing="1"/>
              <w:rPr>
                <w:rFonts w:eastAsia="Times New Roman"/>
                <w:sz w:val="18"/>
                <w:szCs w:val="18"/>
              </w:rPr>
            </w:pPr>
            <w:r w:rsidRPr="00DD3784">
              <w:rPr>
                <w:rFonts w:eastAsia="Times New Roman"/>
                <w:sz w:val="18"/>
                <w:szCs w:val="18"/>
              </w:rPr>
              <w:t>Attending essential work or childcare, and</w:t>
            </w:r>
          </w:p>
          <w:p w:rsidR="00291693" w:rsidRPr="00DD3784" w:rsidRDefault="00291693" w:rsidP="00291693">
            <w:pPr>
              <w:numPr>
                <w:ilvl w:val="0"/>
                <w:numId w:val="18"/>
              </w:numPr>
              <w:spacing w:before="100" w:beforeAutospacing="1" w:after="100" w:afterAutospacing="1"/>
              <w:rPr>
                <w:rFonts w:eastAsia="Times New Roman"/>
                <w:sz w:val="18"/>
                <w:szCs w:val="18"/>
              </w:rPr>
            </w:pPr>
            <w:r w:rsidRPr="00DD3784">
              <w:rPr>
                <w:rFonts w:eastAsia="Times New Roman"/>
                <w:sz w:val="18"/>
                <w:szCs w:val="18"/>
              </w:rPr>
              <w:t>Assisting vulnerable persons;</w:t>
            </w:r>
          </w:p>
          <w:p w:rsidR="00291693" w:rsidRPr="00DD3784" w:rsidRDefault="00291693" w:rsidP="00291693">
            <w:pPr>
              <w:numPr>
                <w:ilvl w:val="0"/>
                <w:numId w:val="18"/>
              </w:numPr>
              <w:spacing w:before="100" w:beforeAutospacing="1" w:after="100" w:afterAutospacing="1"/>
              <w:rPr>
                <w:rFonts w:eastAsia="Times New Roman"/>
                <w:sz w:val="18"/>
                <w:szCs w:val="18"/>
              </w:rPr>
            </w:pPr>
            <w:r w:rsidRPr="00DD3784">
              <w:rPr>
                <w:rFonts w:eastAsia="Times New Roman"/>
                <w:sz w:val="18"/>
                <w:szCs w:val="18"/>
              </w:rPr>
              <w:lastRenderedPageBreak/>
              <w:t>Individuals must not have more than two visitors to their residence per day;</w:t>
            </w:r>
          </w:p>
          <w:p w:rsidR="00291693" w:rsidRPr="00DD3784" w:rsidRDefault="00291693" w:rsidP="00291693">
            <w:pPr>
              <w:numPr>
                <w:ilvl w:val="0"/>
                <w:numId w:val="18"/>
              </w:numPr>
              <w:spacing w:before="100" w:beforeAutospacing="1" w:after="100" w:afterAutospacing="1"/>
              <w:rPr>
                <w:rFonts w:eastAsia="Times New Roman"/>
                <w:sz w:val="18"/>
                <w:szCs w:val="18"/>
              </w:rPr>
            </w:pPr>
            <w:r w:rsidRPr="00DD3784">
              <w:rPr>
                <w:rFonts w:eastAsia="Times New Roman"/>
                <w:sz w:val="18"/>
                <w:szCs w:val="18"/>
              </w:rPr>
              <w:t>Visitor restrictions put in place for aged care facilities, disability accommodation services, hospital and correctional facilities;</w:t>
            </w:r>
          </w:p>
          <w:p w:rsidR="00291693" w:rsidRPr="00DD3784" w:rsidRDefault="00291693" w:rsidP="00291693">
            <w:pPr>
              <w:numPr>
                <w:ilvl w:val="0"/>
                <w:numId w:val="18"/>
              </w:numPr>
              <w:spacing w:before="100" w:beforeAutospacing="1" w:after="100" w:afterAutospacing="1"/>
              <w:rPr>
                <w:rFonts w:eastAsia="Times New Roman"/>
                <w:sz w:val="18"/>
                <w:szCs w:val="18"/>
              </w:rPr>
            </w:pPr>
            <w:r w:rsidRPr="00DD3784">
              <w:rPr>
                <w:rFonts w:eastAsia="Times New Roman"/>
                <w:sz w:val="18"/>
                <w:szCs w:val="18"/>
              </w:rPr>
              <w:t>Non-essential businesses are not permitted to operate;</w:t>
            </w:r>
          </w:p>
          <w:p w:rsidR="00291693" w:rsidRPr="00DD3784" w:rsidRDefault="00291693" w:rsidP="00291693">
            <w:pPr>
              <w:numPr>
                <w:ilvl w:val="0"/>
                <w:numId w:val="18"/>
              </w:numPr>
              <w:spacing w:before="100" w:beforeAutospacing="1" w:after="100" w:afterAutospacing="1"/>
              <w:rPr>
                <w:rFonts w:eastAsia="Times New Roman"/>
                <w:sz w:val="18"/>
                <w:szCs w:val="18"/>
              </w:rPr>
            </w:pPr>
            <w:r w:rsidRPr="00DD3784">
              <w:rPr>
                <w:rFonts w:eastAsia="Times New Roman"/>
                <w:sz w:val="18"/>
                <w:szCs w:val="18"/>
              </w:rPr>
              <w:t>Retail, food services, entertainment venues and high risk businesses must only open for seated eating and drinking, takeaway and delivery;</w:t>
            </w:r>
          </w:p>
          <w:p w:rsidR="00291693" w:rsidRPr="00DD3784" w:rsidRDefault="00291693" w:rsidP="00291693">
            <w:pPr>
              <w:numPr>
                <w:ilvl w:val="0"/>
                <w:numId w:val="18"/>
              </w:numPr>
              <w:spacing w:before="100" w:beforeAutospacing="1" w:after="100" w:afterAutospacing="1"/>
              <w:rPr>
                <w:rFonts w:eastAsia="Times New Roman"/>
                <w:sz w:val="18"/>
                <w:szCs w:val="18"/>
              </w:rPr>
            </w:pPr>
            <w:r w:rsidRPr="00DD3784">
              <w:rPr>
                <w:rFonts w:eastAsia="Times New Roman"/>
                <w:sz w:val="18"/>
                <w:szCs w:val="18"/>
              </w:rPr>
              <w:t xml:space="preserve">A face mask must be carried at all times, mandatory to wear within indoor spaces: </w:t>
            </w:r>
          </w:p>
          <w:p w:rsidR="00291693" w:rsidRPr="00DD3784" w:rsidRDefault="00291693" w:rsidP="00291693">
            <w:pPr>
              <w:numPr>
                <w:ilvl w:val="1"/>
                <w:numId w:val="18"/>
              </w:numPr>
              <w:spacing w:before="100" w:beforeAutospacing="1" w:after="100" w:afterAutospacing="1"/>
              <w:rPr>
                <w:rFonts w:eastAsia="Times New Roman"/>
                <w:sz w:val="18"/>
                <w:szCs w:val="18"/>
              </w:rPr>
            </w:pPr>
            <w:r w:rsidRPr="00DD3784">
              <w:rPr>
                <w:rFonts w:eastAsia="Times New Roman"/>
                <w:sz w:val="18"/>
                <w:szCs w:val="18"/>
              </w:rPr>
              <w:t>Shopping centres and supermarkets,</w:t>
            </w:r>
          </w:p>
          <w:p w:rsidR="00291693" w:rsidRPr="00DD3784" w:rsidRDefault="00291693" w:rsidP="00291693">
            <w:pPr>
              <w:numPr>
                <w:ilvl w:val="1"/>
                <w:numId w:val="18"/>
              </w:numPr>
              <w:spacing w:before="100" w:beforeAutospacing="1" w:after="100" w:afterAutospacing="1"/>
              <w:rPr>
                <w:rFonts w:eastAsia="Times New Roman"/>
                <w:sz w:val="18"/>
                <w:szCs w:val="18"/>
              </w:rPr>
            </w:pPr>
            <w:r w:rsidRPr="00DD3784">
              <w:rPr>
                <w:rFonts w:eastAsia="Times New Roman"/>
                <w:sz w:val="18"/>
                <w:szCs w:val="18"/>
              </w:rPr>
              <w:t>Hospitals and aged care facilities,</w:t>
            </w:r>
          </w:p>
          <w:p w:rsidR="00291693" w:rsidRPr="00DD3784" w:rsidRDefault="00291693" w:rsidP="00291693">
            <w:pPr>
              <w:numPr>
                <w:ilvl w:val="1"/>
                <w:numId w:val="18"/>
              </w:numPr>
              <w:spacing w:before="100" w:beforeAutospacing="1" w:after="100" w:afterAutospacing="1"/>
              <w:rPr>
                <w:rFonts w:eastAsia="Times New Roman"/>
                <w:sz w:val="18"/>
                <w:szCs w:val="18"/>
              </w:rPr>
            </w:pPr>
            <w:r w:rsidRPr="00DD3784">
              <w:rPr>
                <w:rFonts w:eastAsia="Times New Roman"/>
                <w:sz w:val="18"/>
                <w:szCs w:val="18"/>
              </w:rPr>
              <w:t>Indoor workplaces,</w:t>
            </w:r>
          </w:p>
          <w:p w:rsidR="00291693" w:rsidRPr="00DD3784" w:rsidRDefault="00291693" w:rsidP="00291693">
            <w:pPr>
              <w:numPr>
                <w:ilvl w:val="1"/>
                <w:numId w:val="18"/>
              </w:numPr>
              <w:spacing w:before="100" w:beforeAutospacing="1" w:after="100" w:afterAutospacing="1"/>
              <w:rPr>
                <w:rFonts w:eastAsia="Times New Roman"/>
                <w:sz w:val="18"/>
                <w:szCs w:val="18"/>
              </w:rPr>
            </w:pPr>
            <w:r w:rsidRPr="00DD3784">
              <w:rPr>
                <w:rFonts w:eastAsia="Times New Roman"/>
                <w:sz w:val="18"/>
                <w:szCs w:val="18"/>
              </w:rPr>
              <w:t>Public transport, taxis and rideshare, and in queues for this transport, and</w:t>
            </w:r>
          </w:p>
          <w:p w:rsidR="00291693" w:rsidRPr="00DD3784" w:rsidRDefault="00291693" w:rsidP="00291693">
            <w:pPr>
              <w:numPr>
                <w:ilvl w:val="1"/>
                <w:numId w:val="18"/>
              </w:numPr>
              <w:spacing w:before="100" w:beforeAutospacing="1" w:after="100" w:afterAutospacing="1"/>
              <w:rPr>
                <w:rFonts w:eastAsia="Times New Roman"/>
                <w:sz w:val="18"/>
                <w:szCs w:val="18"/>
              </w:rPr>
            </w:pPr>
            <w:r w:rsidRPr="00DD3784">
              <w:rPr>
                <w:rFonts w:eastAsia="Times New Roman"/>
                <w:sz w:val="18"/>
                <w:szCs w:val="18"/>
              </w:rPr>
              <w:t>Airports and travelling on planes; and</w:t>
            </w:r>
          </w:p>
          <w:p w:rsidR="00291693" w:rsidRPr="00DD3784" w:rsidRDefault="00291693" w:rsidP="00291693">
            <w:pPr>
              <w:numPr>
                <w:ilvl w:val="0"/>
                <w:numId w:val="18"/>
              </w:numPr>
              <w:spacing w:before="100" w:beforeAutospacing="1" w:after="100" w:afterAutospacing="1"/>
              <w:rPr>
                <w:rFonts w:eastAsia="Times New Roman"/>
                <w:sz w:val="18"/>
                <w:szCs w:val="18"/>
              </w:rPr>
            </w:pPr>
            <w:r w:rsidRPr="00DD3784">
              <w:rPr>
                <w:rFonts w:eastAsia="Times New Roman"/>
                <w:sz w:val="18"/>
                <w:szCs w:val="18"/>
              </w:rPr>
              <w:t>Guest capacities reduced to 20 people for funerals and 10 people for weddings, including staff.</w:t>
            </w:r>
          </w:p>
          <w:p w:rsidR="00291693" w:rsidRPr="00DD3784" w:rsidRDefault="00291693" w:rsidP="00EE1F6B">
            <w:pPr>
              <w:pStyle w:val="NormalWeb"/>
              <w:rPr>
                <w:sz w:val="18"/>
                <w:szCs w:val="18"/>
              </w:rPr>
            </w:pPr>
            <w:r w:rsidRPr="00DD3784">
              <w:rPr>
                <w:sz w:val="18"/>
                <w:szCs w:val="18"/>
              </w:rPr>
              <w:t>From 1 April, Queensland lifted the following higher level restrictions:</w:t>
            </w:r>
            <w:r w:rsidRPr="00DD3784">
              <w:rPr>
                <w:sz w:val="18"/>
                <w:szCs w:val="18"/>
                <w:vertAlign w:val="superscript"/>
              </w:rPr>
              <w:t>36</w:t>
            </w:r>
          </w:p>
          <w:p w:rsidR="00291693" w:rsidRPr="00DD3784" w:rsidRDefault="00291693" w:rsidP="00291693">
            <w:pPr>
              <w:numPr>
                <w:ilvl w:val="0"/>
                <w:numId w:val="19"/>
              </w:numPr>
              <w:spacing w:before="100" w:beforeAutospacing="1" w:after="100" w:afterAutospacing="1"/>
              <w:rPr>
                <w:rFonts w:eastAsia="Times New Roman"/>
                <w:sz w:val="18"/>
                <w:szCs w:val="18"/>
              </w:rPr>
            </w:pPr>
            <w:r w:rsidRPr="00DD3784">
              <w:rPr>
                <w:rFonts w:eastAsia="Times New Roman"/>
                <w:sz w:val="18"/>
                <w:szCs w:val="18"/>
              </w:rPr>
              <w:t>Individuals can now leave their residence for any purpose;</w:t>
            </w:r>
          </w:p>
          <w:p w:rsidR="00291693" w:rsidRPr="00DD3784" w:rsidRDefault="00291693" w:rsidP="00291693">
            <w:pPr>
              <w:numPr>
                <w:ilvl w:val="0"/>
                <w:numId w:val="19"/>
              </w:numPr>
              <w:spacing w:before="100" w:beforeAutospacing="1" w:after="100" w:afterAutospacing="1"/>
              <w:rPr>
                <w:rFonts w:eastAsia="Times New Roman"/>
                <w:sz w:val="18"/>
                <w:szCs w:val="18"/>
              </w:rPr>
            </w:pPr>
            <w:r w:rsidRPr="00DD3784">
              <w:rPr>
                <w:rFonts w:eastAsia="Times New Roman"/>
                <w:sz w:val="18"/>
                <w:szCs w:val="18"/>
              </w:rPr>
              <w:t>Up to 30 people can gather within a residence;</w:t>
            </w:r>
          </w:p>
          <w:p w:rsidR="00291693" w:rsidRPr="00DD3784" w:rsidRDefault="00291693" w:rsidP="00291693">
            <w:pPr>
              <w:numPr>
                <w:ilvl w:val="0"/>
                <w:numId w:val="19"/>
              </w:numPr>
              <w:spacing w:before="100" w:beforeAutospacing="1" w:after="100" w:afterAutospacing="1"/>
              <w:rPr>
                <w:rFonts w:eastAsia="Times New Roman"/>
                <w:sz w:val="18"/>
                <w:szCs w:val="18"/>
              </w:rPr>
            </w:pPr>
            <w:r w:rsidRPr="00DD3784">
              <w:rPr>
                <w:rFonts w:eastAsia="Times New Roman"/>
                <w:sz w:val="18"/>
                <w:szCs w:val="18"/>
              </w:rPr>
              <w:t>Up to 500 people can gather outside in a public space;</w:t>
            </w:r>
          </w:p>
          <w:p w:rsidR="00291693" w:rsidRPr="00DD3784" w:rsidRDefault="00291693" w:rsidP="00291693">
            <w:pPr>
              <w:numPr>
                <w:ilvl w:val="0"/>
                <w:numId w:val="19"/>
              </w:numPr>
              <w:spacing w:before="100" w:beforeAutospacing="1" w:after="100" w:afterAutospacing="1"/>
              <w:rPr>
                <w:rFonts w:eastAsia="Times New Roman"/>
                <w:sz w:val="18"/>
                <w:szCs w:val="18"/>
              </w:rPr>
            </w:pPr>
            <w:r w:rsidRPr="00DD3784">
              <w:rPr>
                <w:rFonts w:eastAsia="Times New Roman"/>
                <w:sz w:val="18"/>
                <w:szCs w:val="18"/>
              </w:rPr>
              <w:t xml:space="preserve">Businesses can now open following the 1 person per 2 </w:t>
            </w:r>
            <w:proofErr w:type="spellStart"/>
            <w:r w:rsidRPr="00DD3784">
              <w:rPr>
                <w:rFonts w:eastAsia="Times New Roman"/>
                <w:sz w:val="18"/>
                <w:szCs w:val="18"/>
              </w:rPr>
              <w:t>sqm</w:t>
            </w:r>
            <w:proofErr w:type="spellEnd"/>
            <w:r w:rsidRPr="00DD3784">
              <w:rPr>
                <w:rFonts w:eastAsia="Times New Roman"/>
                <w:sz w:val="18"/>
                <w:szCs w:val="18"/>
              </w:rPr>
              <w:t xml:space="preserve"> density restrictions;</w:t>
            </w:r>
          </w:p>
          <w:p w:rsidR="00291693" w:rsidRPr="00DD3784" w:rsidRDefault="00291693" w:rsidP="00291693">
            <w:pPr>
              <w:numPr>
                <w:ilvl w:val="0"/>
                <w:numId w:val="19"/>
              </w:numPr>
              <w:spacing w:before="100" w:beforeAutospacing="1" w:after="100" w:afterAutospacing="1"/>
              <w:rPr>
                <w:rFonts w:eastAsia="Times New Roman"/>
                <w:sz w:val="18"/>
                <w:szCs w:val="18"/>
              </w:rPr>
            </w:pPr>
            <w:r w:rsidRPr="00DD3784">
              <w:rPr>
                <w:rFonts w:eastAsia="Times New Roman"/>
                <w:sz w:val="18"/>
                <w:szCs w:val="18"/>
              </w:rPr>
              <w:t xml:space="preserve">Wedding ceremonies and funerals can have 200 people in attendance or 1 person per 2 </w:t>
            </w:r>
            <w:proofErr w:type="spellStart"/>
            <w:r w:rsidRPr="00DD3784">
              <w:rPr>
                <w:rFonts w:eastAsia="Times New Roman"/>
                <w:sz w:val="18"/>
                <w:szCs w:val="18"/>
              </w:rPr>
              <w:t>sqm</w:t>
            </w:r>
            <w:proofErr w:type="spellEnd"/>
            <w:r w:rsidRPr="00DD3784">
              <w:rPr>
                <w:rFonts w:eastAsia="Times New Roman"/>
                <w:sz w:val="18"/>
                <w:szCs w:val="18"/>
              </w:rPr>
              <w:t xml:space="preserve"> whichever is greatest;</w:t>
            </w:r>
          </w:p>
          <w:p w:rsidR="00291693" w:rsidRPr="00DD3784" w:rsidRDefault="00291693" w:rsidP="00291693">
            <w:pPr>
              <w:numPr>
                <w:ilvl w:val="0"/>
                <w:numId w:val="19"/>
              </w:numPr>
              <w:spacing w:before="100" w:beforeAutospacing="1" w:after="100" w:afterAutospacing="1"/>
              <w:rPr>
                <w:rFonts w:eastAsia="Times New Roman"/>
                <w:sz w:val="18"/>
                <w:szCs w:val="18"/>
              </w:rPr>
            </w:pPr>
            <w:r w:rsidRPr="00DD3784">
              <w:rPr>
                <w:rFonts w:eastAsia="Times New Roman"/>
                <w:sz w:val="18"/>
                <w:szCs w:val="18"/>
              </w:rPr>
              <w:t>100% capacity at venues which are ticketed and seated; and</w:t>
            </w:r>
          </w:p>
          <w:p w:rsidR="00291693" w:rsidRDefault="00291693" w:rsidP="00291693">
            <w:pPr>
              <w:numPr>
                <w:ilvl w:val="0"/>
                <w:numId w:val="19"/>
              </w:numPr>
              <w:spacing w:before="100" w:beforeAutospacing="1" w:after="100" w:afterAutospacing="1"/>
              <w:rPr>
                <w:rFonts w:eastAsia="Times New Roman"/>
                <w:sz w:val="18"/>
                <w:szCs w:val="18"/>
              </w:rPr>
            </w:pPr>
            <w:r w:rsidRPr="00DD3784">
              <w:rPr>
                <w:rFonts w:eastAsia="Times New Roman"/>
                <w:sz w:val="18"/>
                <w:szCs w:val="18"/>
              </w:rPr>
              <w:t>Dancing is only permitted outdoors.</w:t>
            </w:r>
          </w:p>
          <w:p w:rsidR="000C4E61" w:rsidRPr="00DD3784" w:rsidRDefault="000C4E61" w:rsidP="000C4E61">
            <w:pPr>
              <w:pStyle w:val="NormalWeb"/>
              <w:rPr>
                <w:sz w:val="18"/>
                <w:szCs w:val="18"/>
              </w:rPr>
            </w:pPr>
            <w:r w:rsidRPr="00DD3784">
              <w:rPr>
                <w:sz w:val="18"/>
                <w:szCs w:val="18"/>
              </w:rPr>
              <w:t>From 15 April, the following restrictions were lifted:</w:t>
            </w:r>
            <w:r w:rsidRPr="00DD3784">
              <w:rPr>
                <w:sz w:val="18"/>
                <w:szCs w:val="18"/>
                <w:vertAlign w:val="superscript"/>
              </w:rPr>
              <w:t>37</w:t>
            </w:r>
          </w:p>
          <w:p w:rsidR="000C4E61" w:rsidRPr="00DD3784" w:rsidRDefault="000C4E61" w:rsidP="000C4E61">
            <w:pPr>
              <w:numPr>
                <w:ilvl w:val="0"/>
                <w:numId w:val="20"/>
              </w:numPr>
              <w:spacing w:before="100" w:beforeAutospacing="1" w:after="100" w:afterAutospacing="1" w:line="276" w:lineRule="auto"/>
              <w:rPr>
                <w:rFonts w:eastAsia="Times New Roman"/>
                <w:sz w:val="18"/>
                <w:szCs w:val="18"/>
              </w:rPr>
            </w:pPr>
            <w:r w:rsidRPr="00DD3784">
              <w:rPr>
                <w:rFonts w:eastAsia="Times New Roman"/>
                <w:sz w:val="18"/>
                <w:szCs w:val="18"/>
              </w:rPr>
              <w:t>Face masks are only mandatory in certain settings;</w:t>
            </w:r>
          </w:p>
          <w:p w:rsidR="000C4E61" w:rsidRPr="00DD3784" w:rsidRDefault="000C4E61" w:rsidP="000C4E61">
            <w:pPr>
              <w:numPr>
                <w:ilvl w:val="0"/>
                <w:numId w:val="20"/>
              </w:numPr>
              <w:spacing w:before="100" w:beforeAutospacing="1" w:after="100" w:afterAutospacing="1" w:line="276" w:lineRule="auto"/>
              <w:rPr>
                <w:rFonts w:eastAsia="Times New Roman"/>
                <w:sz w:val="18"/>
                <w:szCs w:val="18"/>
              </w:rPr>
            </w:pPr>
            <w:r w:rsidRPr="00DD3784">
              <w:rPr>
                <w:rFonts w:eastAsia="Times New Roman"/>
                <w:sz w:val="18"/>
                <w:szCs w:val="18"/>
              </w:rPr>
              <w:t>Gatherings at private residences cap increased to 100 people;</w:t>
            </w:r>
          </w:p>
          <w:p w:rsidR="000C4E61" w:rsidRPr="00DD3784" w:rsidRDefault="000C4E61" w:rsidP="000C4E61">
            <w:pPr>
              <w:numPr>
                <w:ilvl w:val="0"/>
                <w:numId w:val="20"/>
              </w:numPr>
              <w:spacing w:before="100" w:beforeAutospacing="1" w:after="100" w:afterAutospacing="1" w:line="276" w:lineRule="auto"/>
              <w:rPr>
                <w:rFonts w:eastAsia="Times New Roman"/>
                <w:sz w:val="18"/>
                <w:szCs w:val="18"/>
              </w:rPr>
            </w:pPr>
            <w:r w:rsidRPr="00DD3784">
              <w:rPr>
                <w:rFonts w:eastAsia="Times New Roman"/>
                <w:sz w:val="18"/>
                <w:szCs w:val="18"/>
              </w:rPr>
              <w:t>No restriction on gatherings outside in a public space;</w:t>
            </w:r>
          </w:p>
          <w:p w:rsidR="000C4E61" w:rsidRPr="00DD3784" w:rsidRDefault="000C4E61" w:rsidP="000C4E61">
            <w:pPr>
              <w:numPr>
                <w:ilvl w:val="0"/>
                <w:numId w:val="20"/>
              </w:numPr>
              <w:spacing w:before="100" w:beforeAutospacing="1" w:after="100" w:afterAutospacing="1" w:line="276" w:lineRule="auto"/>
              <w:rPr>
                <w:rFonts w:eastAsia="Times New Roman"/>
                <w:sz w:val="18"/>
                <w:szCs w:val="18"/>
              </w:rPr>
            </w:pPr>
            <w:r w:rsidRPr="00DD3784">
              <w:rPr>
                <w:rFonts w:eastAsia="Times New Roman"/>
                <w:sz w:val="18"/>
                <w:szCs w:val="18"/>
              </w:rPr>
              <w:t>Outdoor events do not need an Approved COVID Safe Plan or Checklist, unless the event is a music festival and/or involves dancing;</w:t>
            </w:r>
          </w:p>
          <w:p w:rsidR="000C4E61" w:rsidRPr="00DD3784" w:rsidRDefault="000C4E61" w:rsidP="000C4E61">
            <w:pPr>
              <w:numPr>
                <w:ilvl w:val="0"/>
                <w:numId w:val="20"/>
              </w:numPr>
              <w:spacing w:before="100" w:beforeAutospacing="1" w:after="100" w:afterAutospacing="1" w:line="276" w:lineRule="auto"/>
              <w:rPr>
                <w:rFonts w:eastAsia="Times New Roman"/>
                <w:sz w:val="18"/>
                <w:szCs w:val="18"/>
              </w:rPr>
            </w:pPr>
            <w:r w:rsidRPr="00DD3784">
              <w:rPr>
                <w:rFonts w:eastAsia="Times New Roman"/>
                <w:sz w:val="18"/>
                <w:szCs w:val="18"/>
              </w:rPr>
              <w:t xml:space="preserve">All businesses must continue the 1 person per 2 </w:t>
            </w:r>
            <w:proofErr w:type="spellStart"/>
            <w:r w:rsidRPr="00DD3784">
              <w:rPr>
                <w:rFonts w:eastAsia="Times New Roman"/>
                <w:sz w:val="18"/>
                <w:szCs w:val="18"/>
              </w:rPr>
              <w:t>sqm</w:t>
            </w:r>
            <w:proofErr w:type="spellEnd"/>
            <w:r w:rsidRPr="00DD3784">
              <w:rPr>
                <w:rFonts w:eastAsia="Times New Roman"/>
                <w:sz w:val="18"/>
                <w:szCs w:val="18"/>
              </w:rPr>
              <w:t xml:space="preserve"> rule for dance areas; and</w:t>
            </w:r>
          </w:p>
          <w:p w:rsidR="000C4E61" w:rsidRPr="00DD3784" w:rsidRDefault="000C4E61" w:rsidP="000C4E61">
            <w:pPr>
              <w:numPr>
                <w:ilvl w:val="0"/>
                <w:numId w:val="20"/>
              </w:numPr>
              <w:spacing w:before="100" w:beforeAutospacing="1" w:after="100" w:afterAutospacing="1" w:line="276" w:lineRule="auto"/>
              <w:rPr>
                <w:rFonts w:eastAsia="Times New Roman"/>
                <w:sz w:val="18"/>
                <w:szCs w:val="18"/>
              </w:rPr>
            </w:pPr>
            <w:r w:rsidRPr="00DD3784">
              <w:rPr>
                <w:rFonts w:eastAsia="Times New Roman"/>
                <w:sz w:val="18"/>
                <w:szCs w:val="18"/>
              </w:rPr>
              <w:t>Wedding ceremonies and funerals held outdoors do not have to collect contact details and are not subject to a limit on number of attendees.</w:t>
            </w:r>
          </w:p>
          <w:p w:rsidR="000C4E61" w:rsidRPr="00DD3784" w:rsidRDefault="000C4E61" w:rsidP="000C4E61">
            <w:pPr>
              <w:pStyle w:val="NormalWeb"/>
              <w:rPr>
                <w:sz w:val="18"/>
                <w:szCs w:val="18"/>
              </w:rPr>
            </w:pPr>
            <w:r w:rsidRPr="00DD3784">
              <w:rPr>
                <w:sz w:val="18"/>
                <w:szCs w:val="18"/>
              </w:rPr>
              <w:t>From 23 April, anyone who has entered Queensland and been to the Perth or Peel regions since 17 April must remain home until receiving a negative COVID-19 test result.</w:t>
            </w:r>
            <w:r w:rsidRPr="00DD3784">
              <w:rPr>
                <w:sz w:val="18"/>
                <w:szCs w:val="18"/>
                <w:vertAlign w:val="superscript"/>
              </w:rPr>
              <w:t>37</w:t>
            </w:r>
          </w:p>
          <w:p w:rsidR="000C4E61" w:rsidRPr="00DD3784" w:rsidRDefault="000C4E61" w:rsidP="000C4E61">
            <w:pPr>
              <w:spacing w:before="100" w:beforeAutospacing="1" w:after="100" w:afterAutospacing="1"/>
              <w:rPr>
                <w:rFonts w:eastAsia="Times New Roman"/>
                <w:sz w:val="18"/>
                <w:szCs w:val="18"/>
              </w:rPr>
            </w:pPr>
            <w:r w:rsidRPr="00DD3784">
              <w:rPr>
                <w:sz w:val="18"/>
                <w:szCs w:val="18"/>
              </w:rPr>
              <w:t>From 24 April, those entering Queensland who have been to the Perth or Peel regions since 17 April must enter hotel quarantine for 14 days, non-residents require an exemption to enter the state.</w:t>
            </w:r>
            <w:r w:rsidRPr="00DD3784">
              <w:rPr>
                <w:sz w:val="18"/>
                <w:szCs w:val="18"/>
                <w:vertAlign w:val="superscript"/>
              </w:rPr>
              <w:t>37</w:t>
            </w:r>
          </w:p>
        </w:tc>
      </w:tr>
      <w:tr w:rsidR="00291693" w:rsidRPr="00DD3784" w:rsidTr="006D0804">
        <w:tc>
          <w:tcPr>
            <w:tcW w:w="0" w:type="auto"/>
            <w:hideMark/>
          </w:tcPr>
          <w:p w:rsidR="00291693" w:rsidRPr="00DD3784" w:rsidRDefault="00291693" w:rsidP="00EE1F6B">
            <w:pPr>
              <w:pStyle w:val="NormalWeb"/>
              <w:rPr>
                <w:sz w:val="18"/>
                <w:szCs w:val="18"/>
              </w:rPr>
            </w:pPr>
            <w:r w:rsidRPr="00DD3784">
              <w:rPr>
                <w:sz w:val="18"/>
                <w:szCs w:val="18"/>
              </w:rPr>
              <w:lastRenderedPageBreak/>
              <w:t>South Australia</w:t>
            </w:r>
          </w:p>
        </w:tc>
        <w:tc>
          <w:tcPr>
            <w:tcW w:w="0" w:type="auto"/>
            <w:hideMark/>
          </w:tcPr>
          <w:p w:rsidR="00291693" w:rsidRPr="00DD3784" w:rsidRDefault="00291693" w:rsidP="00EE1F6B">
            <w:pPr>
              <w:pStyle w:val="NormalWeb"/>
              <w:rPr>
                <w:sz w:val="18"/>
                <w:szCs w:val="18"/>
              </w:rPr>
            </w:pPr>
            <w:r w:rsidRPr="00DD3784">
              <w:rPr>
                <w:sz w:val="18"/>
                <w:szCs w:val="18"/>
              </w:rPr>
              <w:t>From 27 March, South Australia stated individuals who had visited Greater Brisbane since 20 March must isolate until returning a negative test result and get further tests on day 5 and day 13.</w:t>
            </w:r>
            <w:r w:rsidRPr="00DD3784">
              <w:rPr>
                <w:sz w:val="18"/>
                <w:szCs w:val="18"/>
                <w:vertAlign w:val="superscript"/>
              </w:rPr>
              <w:t>38</w:t>
            </w:r>
          </w:p>
          <w:p w:rsidR="00291693" w:rsidRPr="00DD3784" w:rsidRDefault="00291693" w:rsidP="00EE1F6B">
            <w:pPr>
              <w:pStyle w:val="NormalWeb"/>
              <w:rPr>
                <w:sz w:val="18"/>
                <w:szCs w:val="18"/>
              </w:rPr>
            </w:pPr>
            <w:r w:rsidRPr="00DD3784">
              <w:rPr>
                <w:sz w:val="18"/>
                <w:szCs w:val="18"/>
              </w:rPr>
              <w:t>From 24 April, South Australia stated individuals who had visited the Perth or Peel regions since 17 April must isolate until returning a negative test result and get further tests on day 5 and day 13. Non-essential travel from Perth or Peel regions not permitted without an exemption.</w:t>
            </w:r>
            <w:r w:rsidRPr="00DD3784">
              <w:rPr>
                <w:sz w:val="18"/>
                <w:szCs w:val="18"/>
                <w:vertAlign w:val="superscript"/>
              </w:rPr>
              <w:t>39</w:t>
            </w:r>
          </w:p>
        </w:tc>
      </w:tr>
      <w:tr w:rsidR="00291693" w:rsidRPr="00DD3784" w:rsidTr="006D0804">
        <w:trPr>
          <w:cnfStyle w:val="000000010000" w:firstRow="0" w:lastRow="0" w:firstColumn="0" w:lastColumn="0" w:oddVBand="0" w:evenVBand="0" w:oddHBand="0" w:evenHBand="1" w:firstRowFirstColumn="0" w:firstRowLastColumn="0" w:lastRowFirstColumn="0" w:lastRowLastColumn="0"/>
        </w:trPr>
        <w:tc>
          <w:tcPr>
            <w:tcW w:w="0" w:type="auto"/>
            <w:hideMark/>
          </w:tcPr>
          <w:p w:rsidR="00291693" w:rsidRPr="00DD3784" w:rsidRDefault="00291693" w:rsidP="00EE1F6B">
            <w:pPr>
              <w:pStyle w:val="NormalWeb"/>
              <w:rPr>
                <w:sz w:val="18"/>
                <w:szCs w:val="18"/>
              </w:rPr>
            </w:pPr>
            <w:r w:rsidRPr="00DD3784">
              <w:rPr>
                <w:sz w:val="18"/>
                <w:szCs w:val="18"/>
              </w:rPr>
              <w:t>Tasmania</w:t>
            </w:r>
          </w:p>
        </w:tc>
        <w:tc>
          <w:tcPr>
            <w:tcW w:w="0" w:type="auto"/>
            <w:hideMark/>
          </w:tcPr>
          <w:p w:rsidR="00291693" w:rsidRPr="00DD3784" w:rsidRDefault="00291693" w:rsidP="00EE1F6B">
            <w:pPr>
              <w:pStyle w:val="NormalWeb"/>
              <w:rPr>
                <w:sz w:val="18"/>
                <w:szCs w:val="18"/>
              </w:rPr>
            </w:pPr>
            <w:r w:rsidRPr="00DD3784">
              <w:rPr>
                <w:sz w:val="18"/>
                <w:szCs w:val="18"/>
              </w:rPr>
              <w:t>From 23 April, Tasmania declared the Perth and Peel regions high risk. Tas-e-Travel pass must be applied for prior to entering the state, those granted entry must quarantine for 14 days.</w:t>
            </w:r>
            <w:r w:rsidRPr="00DD3784">
              <w:rPr>
                <w:sz w:val="18"/>
                <w:szCs w:val="18"/>
                <w:vertAlign w:val="superscript"/>
              </w:rPr>
              <w:t>40</w:t>
            </w:r>
          </w:p>
        </w:tc>
      </w:tr>
      <w:tr w:rsidR="00291693" w:rsidRPr="00DD3784" w:rsidTr="006D0804">
        <w:tc>
          <w:tcPr>
            <w:tcW w:w="0" w:type="auto"/>
            <w:hideMark/>
          </w:tcPr>
          <w:p w:rsidR="00291693" w:rsidRPr="00DD3784" w:rsidRDefault="00291693" w:rsidP="00EE1F6B">
            <w:pPr>
              <w:pStyle w:val="NormalWeb"/>
              <w:rPr>
                <w:sz w:val="18"/>
                <w:szCs w:val="18"/>
              </w:rPr>
            </w:pPr>
            <w:r w:rsidRPr="00DD3784">
              <w:rPr>
                <w:sz w:val="18"/>
                <w:szCs w:val="18"/>
              </w:rPr>
              <w:t>Victoria</w:t>
            </w:r>
          </w:p>
        </w:tc>
        <w:tc>
          <w:tcPr>
            <w:tcW w:w="0" w:type="auto"/>
            <w:hideMark/>
          </w:tcPr>
          <w:p w:rsidR="00291693" w:rsidRPr="00DD3784" w:rsidRDefault="00291693" w:rsidP="00EE1F6B">
            <w:pPr>
              <w:pStyle w:val="NormalWeb"/>
              <w:rPr>
                <w:sz w:val="18"/>
                <w:szCs w:val="18"/>
              </w:rPr>
            </w:pPr>
            <w:r w:rsidRPr="00DD3784">
              <w:rPr>
                <w:sz w:val="18"/>
                <w:szCs w:val="18"/>
              </w:rPr>
              <w:t>From 29 March, Victoria declared Greater Brisbane a red zone and the Gladstone Region and Byron Shire as orange zones under Victoria’s travel permit system.</w:t>
            </w:r>
            <w:r w:rsidRPr="00DD3784">
              <w:rPr>
                <w:sz w:val="18"/>
                <w:szCs w:val="18"/>
                <w:vertAlign w:val="superscript"/>
              </w:rPr>
              <w:t>41</w:t>
            </w:r>
          </w:p>
          <w:p w:rsidR="00291693" w:rsidRPr="00DD3784" w:rsidRDefault="00291693" w:rsidP="00EE1F6B">
            <w:pPr>
              <w:pStyle w:val="NormalWeb"/>
              <w:rPr>
                <w:sz w:val="18"/>
                <w:szCs w:val="18"/>
              </w:rPr>
            </w:pPr>
            <w:r w:rsidRPr="00DD3784">
              <w:rPr>
                <w:sz w:val="18"/>
                <w:szCs w:val="18"/>
              </w:rPr>
              <w:t>From 1 April, Victoria declared Greater Brisbane an orange zone under Victoria’s travel permit system, while the Gladstone Region and Byron Shire remain as orange zones.</w:t>
            </w:r>
            <w:r w:rsidRPr="00DD3784">
              <w:rPr>
                <w:sz w:val="18"/>
                <w:szCs w:val="18"/>
                <w:vertAlign w:val="superscript"/>
              </w:rPr>
              <w:t>41</w:t>
            </w:r>
          </w:p>
          <w:p w:rsidR="00291693" w:rsidRPr="00DD3784" w:rsidRDefault="00291693" w:rsidP="00EE1F6B">
            <w:pPr>
              <w:pStyle w:val="NormalWeb"/>
              <w:rPr>
                <w:sz w:val="18"/>
                <w:szCs w:val="18"/>
              </w:rPr>
            </w:pPr>
            <w:r w:rsidRPr="00DD3784">
              <w:rPr>
                <w:sz w:val="18"/>
                <w:szCs w:val="18"/>
              </w:rPr>
              <w:lastRenderedPageBreak/>
              <w:t>From 12 April, Victoria declared Greater Brisbane, Gladstone Region and Byron Shire as green zones under Victoria’s travel permit system.</w:t>
            </w:r>
            <w:r w:rsidRPr="00DD3784">
              <w:rPr>
                <w:sz w:val="18"/>
                <w:szCs w:val="18"/>
                <w:vertAlign w:val="superscript"/>
              </w:rPr>
              <w:t>41</w:t>
            </w:r>
          </w:p>
          <w:p w:rsidR="00291693" w:rsidRPr="00DD3784" w:rsidRDefault="00291693" w:rsidP="00EE1F6B">
            <w:pPr>
              <w:pStyle w:val="NormalWeb"/>
              <w:rPr>
                <w:sz w:val="18"/>
                <w:szCs w:val="18"/>
              </w:rPr>
            </w:pPr>
            <w:r w:rsidRPr="00DD3784">
              <w:rPr>
                <w:sz w:val="18"/>
                <w:szCs w:val="18"/>
              </w:rPr>
              <w:t>From 24 April, Victoria declared Metropolitan Perth and Peel regions a red zone under Victoria’s travel permit system.</w:t>
            </w:r>
            <w:r w:rsidRPr="00DD3784">
              <w:rPr>
                <w:sz w:val="18"/>
                <w:szCs w:val="18"/>
                <w:vertAlign w:val="superscript"/>
              </w:rPr>
              <w:t>41</w:t>
            </w:r>
          </w:p>
        </w:tc>
      </w:tr>
      <w:tr w:rsidR="00291693" w:rsidRPr="00DD3784" w:rsidTr="006D0804">
        <w:trPr>
          <w:cnfStyle w:val="000000010000" w:firstRow="0" w:lastRow="0" w:firstColumn="0" w:lastColumn="0" w:oddVBand="0" w:evenVBand="0" w:oddHBand="0" w:evenHBand="1" w:firstRowFirstColumn="0" w:firstRowLastColumn="0" w:lastRowFirstColumn="0" w:lastRowLastColumn="0"/>
        </w:trPr>
        <w:tc>
          <w:tcPr>
            <w:tcW w:w="0" w:type="auto"/>
            <w:hideMark/>
          </w:tcPr>
          <w:p w:rsidR="00291693" w:rsidRPr="00DD3784" w:rsidRDefault="00291693" w:rsidP="00EE1F6B">
            <w:pPr>
              <w:pStyle w:val="NormalWeb"/>
              <w:rPr>
                <w:sz w:val="18"/>
                <w:szCs w:val="18"/>
              </w:rPr>
            </w:pPr>
            <w:r w:rsidRPr="00DD3784">
              <w:rPr>
                <w:sz w:val="18"/>
                <w:szCs w:val="18"/>
              </w:rPr>
              <w:lastRenderedPageBreak/>
              <w:t>Western Australia</w:t>
            </w:r>
          </w:p>
        </w:tc>
        <w:tc>
          <w:tcPr>
            <w:tcW w:w="0" w:type="auto"/>
            <w:hideMark/>
          </w:tcPr>
          <w:p w:rsidR="00291693" w:rsidRPr="00DD3784" w:rsidRDefault="00291693" w:rsidP="00EE1F6B">
            <w:pPr>
              <w:pStyle w:val="NormalWeb"/>
              <w:rPr>
                <w:sz w:val="18"/>
                <w:szCs w:val="18"/>
              </w:rPr>
            </w:pPr>
            <w:r w:rsidRPr="00DD3784">
              <w:rPr>
                <w:sz w:val="18"/>
                <w:szCs w:val="18"/>
              </w:rPr>
              <w:t>From 30 March, Western Australia declared Queensland ‘medium risk’. Travel from Queensland into Western Australia is not permitted without an exemption.</w:t>
            </w:r>
            <w:r w:rsidRPr="00DD3784">
              <w:rPr>
                <w:sz w:val="18"/>
                <w:szCs w:val="18"/>
                <w:vertAlign w:val="superscript"/>
              </w:rPr>
              <w:t>42</w:t>
            </w:r>
          </w:p>
          <w:p w:rsidR="00291693" w:rsidRPr="00DD3784" w:rsidRDefault="00291693" w:rsidP="00EE1F6B">
            <w:pPr>
              <w:pStyle w:val="NormalWeb"/>
              <w:rPr>
                <w:sz w:val="18"/>
                <w:szCs w:val="18"/>
              </w:rPr>
            </w:pPr>
            <w:r w:rsidRPr="00DD3784">
              <w:rPr>
                <w:sz w:val="18"/>
                <w:szCs w:val="18"/>
              </w:rPr>
              <w:t>From 7 April, Western Australia declared Queensland ‘low risk’. All arrivals from Queensland must self-quarantine for 14 days and present for a COVID-19 test on day 11.</w:t>
            </w:r>
            <w:r w:rsidRPr="00DD3784">
              <w:rPr>
                <w:sz w:val="18"/>
                <w:szCs w:val="18"/>
                <w:vertAlign w:val="superscript"/>
              </w:rPr>
              <w:t>43</w:t>
            </w:r>
          </w:p>
          <w:p w:rsidR="00291693" w:rsidRPr="00DD3784" w:rsidRDefault="00291693" w:rsidP="00EE1F6B">
            <w:pPr>
              <w:pStyle w:val="NormalWeb"/>
              <w:rPr>
                <w:sz w:val="18"/>
                <w:szCs w:val="18"/>
              </w:rPr>
            </w:pPr>
            <w:r w:rsidRPr="00DD3784">
              <w:rPr>
                <w:sz w:val="18"/>
                <w:szCs w:val="18"/>
              </w:rPr>
              <w:t>From 10 April, Western Australia eased the following restrictions:</w:t>
            </w:r>
            <w:r w:rsidRPr="00DD3784">
              <w:rPr>
                <w:sz w:val="18"/>
                <w:szCs w:val="18"/>
                <w:vertAlign w:val="superscript"/>
              </w:rPr>
              <w:t>44</w:t>
            </w:r>
          </w:p>
          <w:p w:rsidR="00291693" w:rsidRPr="00DD3784" w:rsidRDefault="00291693" w:rsidP="00291693">
            <w:pPr>
              <w:numPr>
                <w:ilvl w:val="0"/>
                <w:numId w:val="21"/>
              </w:numPr>
              <w:spacing w:before="100" w:beforeAutospacing="1" w:after="100" w:afterAutospacing="1"/>
              <w:rPr>
                <w:rFonts w:eastAsia="Times New Roman"/>
                <w:sz w:val="18"/>
                <w:szCs w:val="18"/>
              </w:rPr>
            </w:pPr>
            <w:r w:rsidRPr="00DD3784">
              <w:rPr>
                <w:rFonts w:eastAsia="Times New Roman"/>
                <w:sz w:val="18"/>
                <w:szCs w:val="18"/>
              </w:rPr>
              <w:t>Certain indoor and outdoor seated entertainment spaces can operate at 100% capacity; and</w:t>
            </w:r>
          </w:p>
          <w:p w:rsidR="00291693" w:rsidRPr="00DD3784" w:rsidRDefault="00291693" w:rsidP="00291693">
            <w:pPr>
              <w:numPr>
                <w:ilvl w:val="0"/>
                <w:numId w:val="21"/>
              </w:numPr>
              <w:spacing w:before="100" w:beforeAutospacing="1" w:after="100" w:afterAutospacing="1"/>
              <w:rPr>
                <w:rFonts w:eastAsia="Times New Roman"/>
                <w:sz w:val="18"/>
                <w:szCs w:val="18"/>
              </w:rPr>
            </w:pPr>
            <w:r w:rsidRPr="00DD3784">
              <w:rPr>
                <w:rFonts w:eastAsia="Times New Roman"/>
                <w:sz w:val="18"/>
                <w:szCs w:val="18"/>
              </w:rPr>
              <w:t>Places of worship can have 100% capacity.</w:t>
            </w:r>
          </w:p>
          <w:p w:rsidR="00291693" w:rsidRPr="00DD3784" w:rsidRDefault="00291693" w:rsidP="00EE1F6B">
            <w:pPr>
              <w:pStyle w:val="NormalWeb"/>
              <w:rPr>
                <w:sz w:val="18"/>
                <w:szCs w:val="18"/>
              </w:rPr>
            </w:pPr>
            <w:r w:rsidRPr="00DD3784">
              <w:rPr>
                <w:sz w:val="18"/>
                <w:szCs w:val="18"/>
              </w:rPr>
              <w:t>From 19 April, Western Australia declared Queensland ‘very-low risk’. Individuals are able to enter Western Australia from Queensland without quarantining, subject to meeting certain conditions.</w:t>
            </w:r>
            <w:r w:rsidRPr="00DD3784">
              <w:rPr>
                <w:sz w:val="18"/>
                <w:szCs w:val="18"/>
                <w:vertAlign w:val="superscript"/>
              </w:rPr>
              <w:t>45</w:t>
            </w:r>
          </w:p>
          <w:p w:rsidR="00291693" w:rsidRPr="00DD3784" w:rsidRDefault="00291693" w:rsidP="00EE1F6B">
            <w:pPr>
              <w:pStyle w:val="NormalWeb"/>
              <w:rPr>
                <w:sz w:val="18"/>
                <w:szCs w:val="18"/>
              </w:rPr>
            </w:pPr>
            <w:r w:rsidRPr="00DD3784">
              <w:rPr>
                <w:sz w:val="18"/>
                <w:szCs w:val="18"/>
              </w:rPr>
              <w:t>From 24 April, Western Australia entered into a period of higher-level restrictions for the Perth and Peel regions including:</w:t>
            </w:r>
            <w:r w:rsidRPr="00DD3784">
              <w:rPr>
                <w:sz w:val="18"/>
                <w:szCs w:val="18"/>
                <w:vertAlign w:val="superscript"/>
              </w:rPr>
              <w:t>46</w:t>
            </w:r>
          </w:p>
          <w:p w:rsidR="00291693" w:rsidRPr="00DD3784" w:rsidRDefault="00291693" w:rsidP="00291693">
            <w:pPr>
              <w:numPr>
                <w:ilvl w:val="0"/>
                <w:numId w:val="22"/>
              </w:numPr>
              <w:spacing w:before="100" w:beforeAutospacing="1" w:after="100" w:afterAutospacing="1"/>
              <w:rPr>
                <w:rFonts w:eastAsia="Times New Roman"/>
                <w:sz w:val="18"/>
                <w:szCs w:val="18"/>
              </w:rPr>
            </w:pPr>
            <w:r w:rsidRPr="00DD3784">
              <w:rPr>
                <w:rFonts w:eastAsia="Times New Roman"/>
                <w:sz w:val="18"/>
                <w:szCs w:val="18"/>
              </w:rPr>
              <w:t xml:space="preserve">Individuals must only leave their residence for essential purposes: </w:t>
            </w:r>
          </w:p>
          <w:p w:rsidR="00291693" w:rsidRPr="00DD3784" w:rsidRDefault="00291693" w:rsidP="00291693">
            <w:pPr>
              <w:numPr>
                <w:ilvl w:val="1"/>
                <w:numId w:val="22"/>
              </w:numPr>
              <w:spacing w:before="100" w:beforeAutospacing="1" w:after="100" w:afterAutospacing="1"/>
              <w:rPr>
                <w:rFonts w:eastAsia="Times New Roman"/>
                <w:sz w:val="18"/>
                <w:szCs w:val="18"/>
              </w:rPr>
            </w:pPr>
            <w:r w:rsidRPr="00DD3784">
              <w:rPr>
                <w:rFonts w:eastAsia="Times New Roman"/>
                <w:sz w:val="18"/>
                <w:szCs w:val="18"/>
              </w:rPr>
              <w:t>Essential work,</w:t>
            </w:r>
          </w:p>
          <w:p w:rsidR="00291693" w:rsidRPr="00DD3784" w:rsidRDefault="00291693" w:rsidP="00291693">
            <w:pPr>
              <w:numPr>
                <w:ilvl w:val="1"/>
                <w:numId w:val="22"/>
              </w:numPr>
              <w:spacing w:before="100" w:beforeAutospacing="1" w:after="100" w:afterAutospacing="1"/>
              <w:rPr>
                <w:rFonts w:eastAsia="Times New Roman"/>
                <w:sz w:val="18"/>
                <w:szCs w:val="18"/>
              </w:rPr>
            </w:pPr>
            <w:r w:rsidRPr="00DD3784">
              <w:rPr>
                <w:rFonts w:eastAsia="Times New Roman"/>
                <w:sz w:val="18"/>
                <w:szCs w:val="18"/>
              </w:rPr>
              <w:t>To shop for essential supplies,</w:t>
            </w:r>
          </w:p>
          <w:p w:rsidR="00291693" w:rsidRPr="00DD3784" w:rsidRDefault="00291693" w:rsidP="00291693">
            <w:pPr>
              <w:numPr>
                <w:ilvl w:val="1"/>
                <w:numId w:val="22"/>
              </w:numPr>
              <w:spacing w:before="100" w:beforeAutospacing="1" w:after="100" w:afterAutospacing="1"/>
              <w:rPr>
                <w:rFonts w:eastAsia="Times New Roman"/>
                <w:sz w:val="18"/>
                <w:szCs w:val="18"/>
              </w:rPr>
            </w:pPr>
            <w:r w:rsidRPr="00DD3784">
              <w:rPr>
                <w:rFonts w:eastAsia="Times New Roman"/>
                <w:sz w:val="18"/>
                <w:szCs w:val="18"/>
              </w:rPr>
              <w:t>Accessing medical or health care,</w:t>
            </w:r>
          </w:p>
          <w:p w:rsidR="00291693" w:rsidRPr="00DD3784" w:rsidRDefault="00291693" w:rsidP="00291693">
            <w:pPr>
              <w:numPr>
                <w:ilvl w:val="1"/>
                <w:numId w:val="22"/>
              </w:numPr>
              <w:spacing w:before="100" w:beforeAutospacing="1" w:after="100" w:afterAutospacing="1"/>
              <w:rPr>
                <w:rFonts w:eastAsia="Times New Roman"/>
                <w:sz w:val="18"/>
                <w:szCs w:val="18"/>
              </w:rPr>
            </w:pPr>
            <w:r w:rsidRPr="00DD3784">
              <w:rPr>
                <w:rFonts w:eastAsia="Times New Roman"/>
                <w:sz w:val="18"/>
                <w:szCs w:val="18"/>
              </w:rPr>
              <w:t>Providing care or support to another individual, and</w:t>
            </w:r>
          </w:p>
          <w:p w:rsidR="00291693" w:rsidRPr="00DD3784" w:rsidRDefault="00291693" w:rsidP="00291693">
            <w:pPr>
              <w:numPr>
                <w:ilvl w:val="1"/>
                <w:numId w:val="22"/>
              </w:numPr>
              <w:spacing w:before="100" w:beforeAutospacing="1" w:after="100" w:afterAutospacing="1"/>
              <w:rPr>
                <w:rFonts w:eastAsia="Times New Roman"/>
                <w:sz w:val="18"/>
                <w:szCs w:val="18"/>
              </w:rPr>
            </w:pPr>
            <w:r w:rsidRPr="00DD3784">
              <w:rPr>
                <w:rFonts w:eastAsia="Times New Roman"/>
                <w:sz w:val="18"/>
                <w:szCs w:val="18"/>
              </w:rPr>
              <w:t>Exercise for up to 1 hour per day;</w:t>
            </w:r>
          </w:p>
          <w:p w:rsidR="00291693" w:rsidRPr="00DD3784" w:rsidRDefault="00291693" w:rsidP="00291693">
            <w:pPr>
              <w:numPr>
                <w:ilvl w:val="0"/>
                <w:numId w:val="22"/>
              </w:numPr>
              <w:spacing w:before="100" w:beforeAutospacing="1" w:after="100" w:afterAutospacing="1"/>
              <w:rPr>
                <w:rFonts w:eastAsia="Times New Roman"/>
                <w:sz w:val="18"/>
                <w:szCs w:val="18"/>
              </w:rPr>
            </w:pPr>
            <w:r w:rsidRPr="00DD3784">
              <w:rPr>
                <w:rFonts w:eastAsia="Times New Roman"/>
                <w:sz w:val="18"/>
                <w:szCs w:val="18"/>
              </w:rPr>
              <w:t>Face masks are mandatory when leaving place of residence;</w:t>
            </w:r>
          </w:p>
          <w:p w:rsidR="00291693" w:rsidRPr="00DD3784" w:rsidRDefault="00291693" w:rsidP="00291693">
            <w:pPr>
              <w:numPr>
                <w:ilvl w:val="0"/>
                <w:numId w:val="22"/>
              </w:numPr>
              <w:spacing w:before="100" w:beforeAutospacing="1" w:after="100" w:afterAutospacing="1"/>
              <w:rPr>
                <w:rFonts w:eastAsia="Times New Roman"/>
                <w:sz w:val="18"/>
                <w:szCs w:val="18"/>
              </w:rPr>
            </w:pPr>
            <w:r w:rsidRPr="00DD3784">
              <w:rPr>
                <w:rFonts w:eastAsia="Times New Roman"/>
                <w:sz w:val="18"/>
                <w:szCs w:val="18"/>
              </w:rPr>
              <w:t>Restaurants, cafes, pubs and bars to provide take-away services only;</w:t>
            </w:r>
          </w:p>
          <w:p w:rsidR="00291693" w:rsidRPr="00DD3784" w:rsidRDefault="00291693" w:rsidP="00291693">
            <w:pPr>
              <w:numPr>
                <w:ilvl w:val="0"/>
                <w:numId w:val="22"/>
              </w:numPr>
              <w:spacing w:before="100" w:beforeAutospacing="1" w:after="100" w:afterAutospacing="1"/>
              <w:rPr>
                <w:rFonts w:eastAsia="Times New Roman"/>
                <w:sz w:val="18"/>
                <w:szCs w:val="18"/>
              </w:rPr>
            </w:pPr>
            <w:r w:rsidRPr="00DD3784">
              <w:rPr>
                <w:rFonts w:eastAsia="Times New Roman"/>
                <w:sz w:val="18"/>
                <w:szCs w:val="18"/>
              </w:rPr>
              <w:t>Entertainment and nightclub venues to close;</w:t>
            </w:r>
          </w:p>
          <w:p w:rsidR="00291693" w:rsidRPr="00DD3784" w:rsidRDefault="00291693" w:rsidP="00291693">
            <w:pPr>
              <w:numPr>
                <w:ilvl w:val="0"/>
                <w:numId w:val="22"/>
              </w:numPr>
              <w:spacing w:before="100" w:beforeAutospacing="1" w:after="100" w:afterAutospacing="1"/>
              <w:rPr>
                <w:rFonts w:eastAsia="Times New Roman"/>
                <w:sz w:val="18"/>
                <w:szCs w:val="18"/>
              </w:rPr>
            </w:pPr>
            <w:r w:rsidRPr="00DD3784">
              <w:rPr>
                <w:rFonts w:eastAsia="Times New Roman"/>
                <w:sz w:val="18"/>
                <w:szCs w:val="18"/>
              </w:rPr>
              <w:t>Community sports, events and functions are not permitted; and</w:t>
            </w:r>
          </w:p>
          <w:p w:rsidR="00291693" w:rsidRPr="00DD3784" w:rsidRDefault="00291693" w:rsidP="00291693">
            <w:pPr>
              <w:numPr>
                <w:ilvl w:val="0"/>
                <w:numId w:val="22"/>
              </w:numPr>
              <w:spacing w:before="100" w:beforeAutospacing="1" w:after="100" w:afterAutospacing="1"/>
              <w:rPr>
                <w:rFonts w:eastAsia="Times New Roman"/>
                <w:sz w:val="18"/>
                <w:szCs w:val="18"/>
              </w:rPr>
            </w:pPr>
            <w:r w:rsidRPr="00DD3784">
              <w:rPr>
                <w:rFonts w:eastAsia="Times New Roman"/>
                <w:sz w:val="18"/>
                <w:szCs w:val="18"/>
              </w:rPr>
              <w:t>No visitors allowed to homes, hospitals or residential aged care or disability facilities.</w:t>
            </w:r>
          </w:p>
        </w:tc>
      </w:tr>
    </w:tbl>
    <w:p w:rsidR="00291693" w:rsidRDefault="00291693">
      <w:pPr>
        <w:sectPr w:rsidR="00291693" w:rsidSect="00A30C37">
          <w:headerReference w:type="default" r:id="rId16"/>
          <w:footerReference w:type="default" r:id="rId17"/>
          <w:footerReference w:type="first" r:id="rId18"/>
          <w:pgSz w:w="11906" w:h="16838"/>
          <w:pgMar w:top="720" w:right="720" w:bottom="1134" w:left="720" w:header="709" w:footer="284" w:gutter="0"/>
          <w:cols w:space="708"/>
          <w:titlePg/>
          <w:docGrid w:linePitch="360"/>
        </w:sectPr>
      </w:pPr>
    </w:p>
    <w:p w:rsidR="00E2348A" w:rsidRPr="00E2348A" w:rsidRDefault="00A63851" w:rsidP="00E2348A">
      <w:pPr>
        <w:pStyle w:val="CDIFigures"/>
      </w:pPr>
      <w:r>
        <w:lastRenderedPageBreak/>
        <w:t>Figure 8</w:t>
      </w:r>
      <w:r w:rsidR="00E2348A" w:rsidRPr="00E2348A">
        <w:t>: COVID-19 notifications in Australia by week of diagnosis and jurisdiction, 1 January – 25 April 2021</w:t>
      </w:r>
      <w:proofErr w:type="gramStart"/>
      <w:r w:rsidR="00E2348A" w:rsidRPr="00E2348A">
        <w:t>,a</w:t>
      </w:r>
      <w:proofErr w:type="gramEnd"/>
      <w:r w:rsidR="00E2348A" w:rsidRPr="00E2348A">
        <w:t xml:space="preserve"> with timing of key public health measures</w:t>
      </w:r>
    </w:p>
    <w:p w:rsidR="00E2348A" w:rsidRDefault="00E2348A" w:rsidP="00E2348A">
      <w:pPr>
        <w:pStyle w:val="NormalWeb"/>
        <w:rPr>
          <w:lang w:val="en-GB"/>
        </w:rPr>
      </w:pPr>
      <w:r>
        <w:rPr>
          <w:noProof/>
        </w:rPr>
        <w:drawing>
          <wp:inline distT="0" distB="0" distL="0" distR="0" wp14:anchorId="7BD90292" wp14:editId="4F449672">
            <wp:extent cx="9113539" cy="5138938"/>
            <wp:effectExtent l="0" t="0" r="0" b="5080"/>
            <wp:docPr id="13" name="Picture 13" descr="A bar chart showing COVID-19 notifications by week of diagnosis and jurisdiction, for cases reported to NNDSS during the current calendar year. Notifications for the cases shown have diagnosis weeks ending from 3 January 2021 to 25 April 2021. The chart also highlights the timing of key public health measures such as quarantine and self-isolation advice and restrictions on gatherings and tra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bar chart showing COVID-19 notifications by week of diagnosis and jurisdiction, for cases reported to NNDSS during the current calendar year. Notifications for the cases shown have diagnosis weeks ending from 3 January 2021 to 25 April 2021. The chart also highlights the timing of key public health measures such as quarantine and self-isolation advice and restrictions on gatherings and travel."/>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9113539" cy="5138938"/>
                    </a:xfrm>
                    <a:prstGeom prst="rect">
                      <a:avLst/>
                    </a:prstGeom>
                  </pic:spPr>
                </pic:pic>
              </a:graphicData>
            </a:graphic>
          </wp:inline>
        </w:drawing>
      </w:r>
    </w:p>
    <w:p w:rsidR="00E2348A" w:rsidRDefault="00E2348A" w:rsidP="00E2348A">
      <w:pPr>
        <w:pStyle w:val="CDIfootnotes"/>
        <w:rPr>
          <w:lang w:val="en-GB"/>
        </w:rPr>
      </w:pPr>
      <w:proofErr w:type="gramStart"/>
      <w:r>
        <w:rPr>
          <w:lang w:val="en-GB"/>
        </w:rPr>
        <w:t>a</w:t>
      </w:r>
      <w:proofErr w:type="gramEnd"/>
      <w:r>
        <w:rPr>
          <w:lang w:val="en-GB"/>
        </w:rPr>
        <w:t xml:space="preserve"> </w:t>
      </w:r>
      <w:r>
        <w:rPr>
          <w:lang w:val="en-GB"/>
        </w:rPr>
        <w:tab/>
        <w:t xml:space="preserve">Notifications throughout this period are predominantly overseas-acquired, with such cases representing a majority in each week of the indicated period (see also </w:t>
      </w:r>
      <w:r w:rsidR="00A63851">
        <w:rPr>
          <w:lang w:val="en-GB"/>
        </w:rPr>
        <w:t>Figure 2</w:t>
      </w:r>
      <w:r>
        <w:rPr>
          <w:lang w:val="en-GB"/>
        </w:rPr>
        <w:t xml:space="preserve">). </w:t>
      </w:r>
    </w:p>
    <w:p w:rsidR="00E2348A" w:rsidRPr="00E2348A" w:rsidRDefault="00E2348A" w:rsidP="00E2348A">
      <w:pPr>
        <w:tabs>
          <w:tab w:val="left" w:pos="1843"/>
        </w:tabs>
        <w:sectPr w:rsidR="00E2348A" w:rsidRPr="00E2348A" w:rsidSect="00E2348A">
          <w:pgSz w:w="16838" w:h="11906" w:orient="landscape"/>
          <w:pgMar w:top="720" w:right="720" w:bottom="720" w:left="1134" w:header="709" w:footer="284" w:gutter="0"/>
          <w:cols w:space="708"/>
          <w:titlePg/>
          <w:docGrid w:linePitch="360"/>
        </w:sectPr>
      </w:pPr>
      <w:r>
        <w:tab/>
      </w:r>
    </w:p>
    <w:p w:rsidR="00E2348A" w:rsidRPr="00F50AA3" w:rsidRDefault="00E2348A"/>
    <w:p w:rsidR="00E52E78" w:rsidRPr="00D151EC" w:rsidRDefault="00E52E78" w:rsidP="00D151EC">
      <w:pPr>
        <w:pStyle w:val="Heading2"/>
      </w:pPr>
      <w:r w:rsidRPr="00D151EC">
        <w:t xml:space="preserve">Countries and territories in Australia’s near region </w:t>
      </w:r>
    </w:p>
    <w:p w:rsidR="00E52E78" w:rsidRDefault="00E52E78" w:rsidP="002126FA">
      <w:r>
        <w:t>According to the World Health Organization (WHO), 46 countries and territories in the South East Asian (SEARO) and Western Pacific (WPRO) regions reported 5,823,305 newly-confirmed cases and 42,082 deaths in the four-week period from 29 March to 25 April 2021, bringing the cumulative cases in the two regions to over 23 million and 297,605 cumulative deaths.</w:t>
      </w:r>
      <w:r>
        <w:rPr>
          <w:vertAlign w:val="superscript"/>
        </w:rPr>
        <w:t>47</w:t>
      </w:r>
      <w:r>
        <w:t xml:space="preserve"> In the Western Pacific, case numbers (477,543 new cases) and new deaths (4,861 new deaths) both doubled in comparison to the previous four-week period. In South East Asia, there was an almost five-fold surge in reported new cases (5,345,762 new cases) while new deaths increased almost fourfold (37,221 new deaths) compared to the preceding four-week period. Countries and territories that experienced the greatest rate of increase in new cases were: </w:t>
      </w:r>
    </w:p>
    <w:p w:rsidR="00E52E78" w:rsidRPr="00530754" w:rsidRDefault="00E52E78" w:rsidP="00530754">
      <w:pPr>
        <w:pStyle w:val="ListParagraph"/>
        <w:numPr>
          <w:ilvl w:val="0"/>
          <w:numId w:val="29"/>
        </w:numPr>
        <w:rPr>
          <w:rFonts w:eastAsia="Times New Roman"/>
        </w:rPr>
      </w:pPr>
      <w:r w:rsidRPr="00530754">
        <w:rPr>
          <w:rFonts w:eastAsia="Times New Roman"/>
        </w:rPr>
        <w:t xml:space="preserve">Lao PDR (5,410% or a 54-fold increase); </w:t>
      </w:r>
    </w:p>
    <w:p w:rsidR="00E52E78" w:rsidRPr="00530754" w:rsidRDefault="00E52E78" w:rsidP="00530754">
      <w:pPr>
        <w:pStyle w:val="ListParagraph"/>
        <w:numPr>
          <w:ilvl w:val="0"/>
          <w:numId w:val="29"/>
        </w:numPr>
        <w:rPr>
          <w:rFonts w:eastAsia="Times New Roman"/>
        </w:rPr>
      </w:pPr>
      <w:r w:rsidRPr="00530754">
        <w:rPr>
          <w:rFonts w:eastAsia="Times New Roman"/>
        </w:rPr>
        <w:t xml:space="preserve">Thailand (914%); </w:t>
      </w:r>
    </w:p>
    <w:p w:rsidR="00E52E78" w:rsidRPr="00530754" w:rsidRDefault="00E52E78" w:rsidP="00530754">
      <w:pPr>
        <w:pStyle w:val="ListParagraph"/>
        <w:numPr>
          <w:ilvl w:val="0"/>
          <w:numId w:val="29"/>
        </w:numPr>
        <w:rPr>
          <w:rFonts w:eastAsia="Times New Roman"/>
        </w:rPr>
      </w:pPr>
      <w:r w:rsidRPr="00530754">
        <w:rPr>
          <w:rFonts w:eastAsia="Times New Roman"/>
        </w:rPr>
        <w:t xml:space="preserve">India (623%); </w:t>
      </w:r>
    </w:p>
    <w:p w:rsidR="00E52E78" w:rsidRPr="00530754" w:rsidRDefault="00E52E78" w:rsidP="00530754">
      <w:pPr>
        <w:pStyle w:val="ListParagraph"/>
        <w:numPr>
          <w:ilvl w:val="0"/>
          <w:numId w:val="29"/>
        </w:numPr>
        <w:rPr>
          <w:rFonts w:eastAsia="Times New Roman"/>
        </w:rPr>
      </w:pPr>
      <w:r w:rsidRPr="00530754">
        <w:rPr>
          <w:rFonts w:eastAsia="Times New Roman"/>
        </w:rPr>
        <w:t xml:space="preserve">Timor-Leste (496%); and </w:t>
      </w:r>
    </w:p>
    <w:p w:rsidR="00E52E78" w:rsidRPr="00530754" w:rsidRDefault="00E52E78" w:rsidP="00530754">
      <w:pPr>
        <w:pStyle w:val="ListParagraph"/>
        <w:numPr>
          <w:ilvl w:val="0"/>
          <w:numId w:val="29"/>
        </w:numPr>
        <w:rPr>
          <w:rFonts w:eastAsia="Times New Roman"/>
        </w:rPr>
      </w:pPr>
      <w:r w:rsidRPr="00530754">
        <w:rPr>
          <w:rFonts w:eastAsia="Times New Roman"/>
        </w:rPr>
        <w:t>Bangladesh (438%).</w:t>
      </w:r>
      <w:r w:rsidRPr="00530754">
        <w:rPr>
          <w:rFonts w:eastAsia="Times New Roman"/>
          <w:vertAlign w:val="superscript"/>
        </w:rPr>
        <w:t xml:space="preserve">48 </w:t>
      </w:r>
    </w:p>
    <w:p w:rsidR="00E52E78" w:rsidRDefault="00E52E78" w:rsidP="00D151EC">
      <w:r>
        <w:t xml:space="preserve">Trends in new cases and deaths reported has increased significantly in the South East Asia and the Western Pacific regions due to the outbreaks occurring in India and the Philippines. The new cases and deaths reported for each country have skewed the total figures for the respective regions. </w:t>
      </w:r>
    </w:p>
    <w:p w:rsidR="00E52E78" w:rsidRDefault="00E52E78" w:rsidP="00D151EC">
      <w:r>
        <w:t xml:space="preserve">Fifteen Pacific Island countries reported no new cases in the past month. </w:t>
      </w:r>
    </w:p>
    <w:p w:rsidR="00E52E78" w:rsidRDefault="00E52E78" w:rsidP="00D151EC">
      <w:r>
        <w:t>Table 12 outlines the current transmission classification set by WHO for Australia’s near region. Under WHO’s classification, Australia has a transmission classif</w:t>
      </w:r>
      <w:r w:rsidR="005F5419">
        <w:t>ication of ‘clusters of cases’.</w:t>
      </w:r>
    </w:p>
    <w:p w:rsidR="005F5419" w:rsidRDefault="005F5419">
      <w:pPr>
        <w:rPr>
          <w:rStyle w:val="Strong"/>
          <w:bCs w:val="0"/>
        </w:rPr>
      </w:pPr>
      <w:r>
        <w:rPr>
          <w:rStyle w:val="Strong"/>
          <w:b w:val="0"/>
          <w:bCs w:val="0"/>
        </w:rPr>
        <w:br w:type="page"/>
      </w:r>
    </w:p>
    <w:p w:rsidR="005F5419" w:rsidRPr="00B54E77" w:rsidRDefault="005F5419" w:rsidP="005F5419">
      <w:pPr>
        <w:pStyle w:val="CDIFigures"/>
      </w:pPr>
      <w:r w:rsidRPr="00B54E77">
        <w:rPr>
          <w:rStyle w:val="Strong"/>
          <w:b/>
          <w:bCs w:val="0"/>
        </w:rPr>
        <w:lastRenderedPageBreak/>
        <w:t>Table 12: Transmission patterns for countries in Australia’s near region according to WHO, 25 April 2021</w:t>
      </w:r>
      <w:r w:rsidRPr="00B54E77">
        <w:rPr>
          <w:rStyle w:val="Strong"/>
          <w:b/>
          <w:bCs w:val="0"/>
          <w:vertAlign w:val="superscript"/>
        </w:rPr>
        <w:t>a</w:t>
      </w:r>
      <w:proofErr w:type="gramStart"/>
      <w:r w:rsidRPr="00B54E77">
        <w:rPr>
          <w:rStyle w:val="Strong"/>
          <w:b/>
          <w:bCs w:val="0"/>
          <w:vertAlign w:val="superscript"/>
        </w:rPr>
        <w:t>,b</w:t>
      </w:r>
      <w:proofErr w:type="gramEnd"/>
    </w:p>
    <w:tbl>
      <w:tblPr>
        <w:tblStyle w:val="CDI-StandardTable"/>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CellMar>
          <w:top w:w="57" w:type="dxa"/>
          <w:left w:w="57" w:type="dxa"/>
          <w:bottom w:w="57" w:type="dxa"/>
          <w:right w:w="57" w:type="dxa"/>
        </w:tblCellMar>
        <w:tblLook w:val="04A0" w:firstRow="1" w:lastRow="0" w:firstColumn="1" w:lastColumn="0" w:noHBand="0" w:noVBand="1"/>
        <w:tblDescription w:val="A table summarising transmission patterns (comprising: no cases; sporadic cases; clusters of cases; and community transmission) among the countries in Australia’s near region. Several smaller Western Pacific nations are currently exhibiting no cases or only sporadic cases. Five countries in the near region have current community transmission, according to World Health Organization classifications as of the end of the current reporting period: Bangladesh, Indonesia, Malaysia, Papua New Guinea and the Philippines.&#10;"/>
      </w:tblPr>
      <w:tblGrid>
        <w:gridCol w:w="5518"/>
        <w:gridCol w:w="4942"/>
      </w:tblGrid>
      <w:tr w:rsidR="005F5419" w:rsidRPr="00CE68D5" w:rsidTr="00AF3004">
        <w:trPr>
          <w:cnfStyle w:val="100000000000" w:firstRow="1" w:lastRow="0" w:firstColumn="0" w:lastColumn="0" w:oddVBand="0" w:evenVBand="0" w:oddHBand="0" w:evenHBand="0" w:firstRowFirstColumn="0" w:firstRowLastColumn="0" w:lastRowFirstColumn="0" w:lastRowLastColumn="0"/>
          <w:tblHeader/>
        </w:trPr>
        <w:tc>
          <w:tcPr>
            <w:tcW w:w="0" w:type="auto"/>
            <w:hideMark/>
          </w:tcPr>
          <w:p w:rsidR="005F5419" w:rsidRPr="00CE68D5" w:rsidRDefault="005F5419" w:rsidP="00EE1F6B">
            <w:pPr>
              <w:pStyle w:val="NormalWeb"/>
              <w:rPr>
                <w:color w:val="FFFFFF" w:themeColor="background1"/>
                <w:sz w:val="18"/>
                <w:szCs w:val="18"/>
              </w:rPr>
            </w:pPr>
            <w:r w:rsidRPr="00CE68D5">
              <w:rPr>
                <w:color w:val="FFFFFF" w:themeColor="background1"/>
                <w:sz w:val="18"/>
                <w:szCs w:val="18"/>
              </w:rPr>
              <w:t>Category</w:t>
            </w:r>
          </w:p>
        </w:tc>
        <w:tc>
          <w:tcPr>
            <w:tcW w:w="0" w:type="auto"/>
            <w:hideMark/>
          </w:tcPr>
          <w:p w:rsidR="005F5419" w:rsidRPr="00CE68D5" w:rsidRDefault="005F5419" w:rsidP="00EE1F6B">
            <w:pPr>
              <w:pStyle w:val="NormalWeb"/>
              <w:rPr>
                <w:color w:val="FFFFFF" w:themeColor="background1"/>
                <w:sz w:val="18"/>
                <w:szCs w:val="18"/>
              </w:rPr>
            </w:pPr>
            <w:r w:rsidRPr="00CE68D5">
              <w:rPr>
                <w:color w:val="FFFFFF" w:themeColor="background1"/>
                <w:sz w:val="18"/>
                <w:szCs w:val="18"/>
              </w:rPr>
              <w:t>Country</w:t>
            </w:r>
          </w:p>
        </w:tc>
      </w:tr>
      <w:tr w:rsidR="005F5419" w:rsidRPr="00CE68D5" w:rsidTr="00AF3004">
        <w:tc>
          <w:tcPr>
            <w:tcW w:w="0" w:type="auto"/>
            <w:hideMark/>
          </w:tcPr>
          <w:p w:rsidR="005F5419" w:rsidRPr="00CE68D5" w:rsidRDefault="005F5419" w:rsidP="00EE1F6B">
            <w:pPr>
              <w:pStyle w:val="NormalWeb"/>
              <w:rPr>
                <w:sz w:val="18"/>
                <w:szCs w:val="18"/>
              </w:rPr>
            </w:pPr>
            <w:r w:rsidRPr="00CE68D5">
              <w:rPr>
                <w:sz w:val="18"/>
                <w:szCs w:val="18"/>
              </w:rPr>
              <w:t>No cases</w:t>
            </w:r>
          </w:p>
          <w:p w:rsidR="005F5419" w:rsidRPr="00CE68D5" w:rsidRDefault="005F5419" w:rsidP="00EE1F6B">
            <w:pPr>
              <w:pStyle w:val="NormalWeb"/>
              <w:rPr>
                <w:sz w:val="18"/>
                <w:szCs w:val="18"/>
              </w:rPr>
            </w:pPr>
            <w:r w:rsidRPr="00CE68D5">
              <w:rPr>
                <w:sz w:val="18"/>
                <w:szCs w:val="18"/>
              </w:rPr>
              <w:t>Countries/territories/areas with no cases</w:t>
            </w:r>
          </w:p>
        </w:tc>
        <w:tc>
          <w:tcPr>
            <w:tcW w:w="0" w:type="auto"/>
            <w:hideMark/>
          </w:tcPr>
          <w:p w:rsidR="005F5419" w:rsidRPr="00CE68D5" w:rsidRDefault="005F5419" w:rsidP="00EE1F6B">
            <w:pPr>
              <w:pStyle w:val="NormalWeb"/>
              <w:rPr>
                <w:sz w:val="18"/>
                <w:szCs w:val="18"/>
              </w:rPr>
            </w:pPr>
            <w:r w:rsidRPr="00CE68D5">
              <w:rPr>
                <w:sz w:val="18"/>
                <w:szCs w:val="18"/>
              </w:rPr>
              <w:t>American Samoa, Cook Islands, Democratic People’s Republic of Korea, Kiribati, Marshall Islands, Federated States of Micronesia, Nauru, Niue, Palau, Pitcairn Islands, Samoa, Solomon Islands, Tokelau, Tonga, Tuvalu and Vanuatu</w:t>
            </w:r>
          </w:p>
        </w:tc>
      </w:tr>
      <w:tr w:rsidR="005F5419" w:rsidRPr="00CE68D5" w:rsidTr="00AF3004">
        <w:trPr>
          <w:cnfStyle w:val="000000010000" w:firstRow="0" w:lastRow="0" w:firstColumn="0" w:lastColumn="0" w:oddVBand="0" w:evenVBand="0" w:oddHBand="0" w:evenHBand="1" w:firstRowFirstColumn="0" w:firstRowLastColumn="0" w:lastRowFirstColumn="0" w:lastRowLastColumn="0"/>
        </w:trPr>
        <w:tc>
          <w:tcPr>
            <w:tcW w:w="0" w:type="auto"/>
            <w:hideMark/>
          </w:tcPr>
          <w:p w:rsidR="005F5419" w:rsidRPr="00CE68D5" w:rsidRDefault="005F5419" w:rsidP="00EE1F6B">
            <w:pPr>
              <w:pStyle w:val="NormalWeb"/>
              <w:rPr>
                <w:sz w:val="18"/>
                <w:szCs w:val="18"/>
              </w:rPr>
            </w:pPr>
            <w:r w:rsidRPr="00CE68D5">
              <w:rPr>
                <w:sz w:val="18"/>
                <w:szCs w:val="18"/>
              </w:rPr>
              <w:t>Sporadic cases</w:t>
            </w:r>
          </w:p>
          <w:p w:rsidR="005F5419" w:rsidRPr="00CE68D5" w:rsidRDefault="005F5419" w:rsidP="00EE1F6B">
            <w:pPr>
              <w:pStyle w:val="NormalWeb"/>
              <w:rPr>
                <w:sz w:val="18"/>
                <w:szCs w:val="18"/>
              </w:rPr>
            </w:pPr>
            <w:r w:rsidRPr="00CE68D5">
              <w:rPr>
                <w:sz w:val="18"/>
                <w:szCs w:val="18"/>
              </w:rPr>
              <w:t>Countries/territories/areas with one or more cases, imported or locally detected</w:t>
            </w:r>
          </w:p>
        </w:tc>
        <w:tc>
          <w:tcPr>
            <w:tcW w:w="0" w:type="auto"/>
            <w:hideMark/>
          </w:tcPr>
          <w:p w:rsidR="005F5419" w:rsidRPr="00CE68D5" w:rsidRDefault="005F5419" w:rsidP="00EE1F6B">
            <w:pPr>
              <w:pStyle w:val="NormalWeb"/>
              <w:rPr>
                <w:sz w:val="18"/>
                <w:szCs w:val="18"/>
              </w:rPr>
            </w:pPr>
            <w:r w:rsidRPr="00CE68D5">
              <w:rPr>
                <w:sz w:val="18"/>
                <w:szCs w:val="18"/>
              </w:rPr>
              <w:t>Bhutan, Brunei Darussalam, Cambodia, Fiji, French Polynesia, Lao PDR, New Caledonia, Singapore, Wallis and Futuna</w:t>
            </w:r>
          </w:p>
        </w:tc>
      </w:tr>
      <w:tr w:rsidR="005F5419" w:rsidRPr="00CE68D5" w:rsidTr="00AF3004">
        <w:tc>
          <w:tcPr>
            <w:tcW w:w="0" w:type="auto"/>
            <w:hideMark/>
          </w:tcPr>
          <w:p w:rsidR="005F5419" w:rsidRPr="00CE68D5" w:rsidRDefault="005F5419" w:rsidP="00EE1F6B">
            <w:pPr>
              <w:pStyle w:val="NormalWeb"/>
              <w:rPr>
                <w:sz w:val="18"/>
                <w:szCs w:val="18"/>
              </w:rPr>
            </w:pPr>
            <w:r w:rsidRPr="00CE68D5">
              <w:rPr>
                <w:sz w:val="18"/>
                <w:szCs w:val="18"/>
              </w:rPr>
              <w:t>Clusters of cases</w:t>
            </w:r>
          </w:p>
          <w:p w:rsidR="005F5419" w:rsidRPr="00CE68D5" w:rsidRDefault="005F5419" w:rsidP="00EE1F6B">
            <w:pPr>
              <w:pStyle w:val="NormalWeb"/>
              <w:rPr>
                <w:sz w:val="18"/>
                <w:szCs w:val="18"/>
              </w:rPr>
            </w:pPr>
            <w:r w:rsidRPr="00CE68D5">
              <w:rPr>
                <w:sz w:val="18"/>
                <w:szCs w:val="18"/>
              </w:rPr>
              <w:t>Countries/territories/areas experiencing cases, clustered in time, geographic location and/or by common exposures</w:t>
            </w:r>
          </w:p>
        </w:tc>
        <w:tc>
          <w:tcPr>
            <w:tcW w:w="0" w:type="auto"/>
            <w:hideMark/>
          </w:tcPr>
          <w:p w:rsidR="005F5419" w:rsidRPr="00CE68D5" w:rsidRDefault="005F5419" w:rsidP="00EE1F6B">
            <w:pPr>
              <w:pStyle w:val="NormalWeb"/>
              <w:rPr>
                <w:sz w:val="18"/>
                <w:szCs w:val="18"/>
              </w:rPr>
            </w:pPr>
            <w:r w:rsidRPr="00CE68D5">
              <w:rPr>
                <w:sz w:val="18"/>
                <w:szCs w:val="18"/>
              </w:rPr>
              <w:t>Australia, China, Guam, India, Japan, Maldives, Mongolia, Myanmar, Nepal, New Zealand, Republic of Korea, Sri Lanka, Thailand, Timor-Leste and Vietnam</w:t>
            </w:r>
          </w:p>
        </w:tc>
      </w:tr>
      <w:tr w:rsidR="005F5419" w:rsidRPr="00CE68D5" w:rsidTr="00AF3004">
        <w:trPr>
          <w:cnfStyle w:val="000000010000" w:firstRow="0" w:lastRow="0" w:firstColumn="0" w:lastColumn="0" w:oddVBand="0" w:evenVBand="0" w:oddHBand="0" w:evenHBand="1" w:firstRowFirstColumn="0" w:firstRowLastColumn="0" w:lastRowFirstColumn="0" w:lastRowLastColumn="0"/>
        </w:trPr>
        <w:tc>
          <w:tcPr>
            <w:tcW w:w="0" w:type="auto"/>
            <w:hideMark/>
          </w:tcPr>
          <w:p w:rsidR="005F5419" w:rsidRPr="00CE68D5" w:rsidRDefault="005F5419" w:rsidP="00EE1F6B">
            <w:pPr>
              <w:pStyle w:val="NormalWeb"/>
              <w:rPr>
                <w:sz w:val="18"/>
                <w:szCs w:val="18"/>
              </w:rPr>
            </w:pPr>
            <w:r w:rsidRPr="00CE68D5">
              <w:rPr>
                <w:sz w:val="18"/>
                <w:szCs w:val="18"/>
              </w:rPr>
              <w:t>Community transmission</w:t>
            </w:r>
          </w:p>
          <w:p w:rsidR="005F5419" w:rsidRPr="00CE68D5" w:rsidRDefault="005F5419" w:rsidP="00EE1F6B">
            <w:pPr>
              <w:pStyle w:val="NormalWeb"/>
              <w:rPr>
                <w:sz w:val="18"/>
                <w:szCs w:val="18"/>
              </w:rPr>
            </w:pPr>
            <w:r w:rsidRPr="00CE68D5">
              <w:rPr>
                <w:sz w:val="18"/>
                <w:szCs w:val="18"/>
              </w:rPr>
              <w:t>Countries /territories/areas experiencing larger outbreaks of local transmission defined through an assessment of factors including, but not limited to:</w:t>
            </w:r>
          </w:p>
          <w:p w:rsidR="005F5419" w:rsidRPr="00CE68D5" w:rsidRDefault="005F5419" w:rsidP="005F5419">
            <w:pPr>
              <w:numPr>
                <w:ilvl w:val="0"/>
                <w:numId w:val="23"/>
              </w:numPr>
              <w:spacing w:before="100" w:beforeAutospacing="1" w:after="100" w:afterAutospacing="1"/>
              <w:rPr>
                <w:rFonts w:eastAsia="Times New Roman"/>
                <w:sz w:val="18"/>
                <w:szCs w:val="18"/>
              </w:rPr>
            </w:pPr>
            <w:r w:rsidRPr="00CE68D5">
              <w:rPr>
                <w:rFonts w:eastAsia="Times New Roman"/>
                <w:sz w:val="18"/>
                <w:szCs w:val="18"/>
              </w:rPr>
              <w:t>large numbers of cases not linkable to transmission chains</w:t>
            </w:r>
          </w:p>
          <w:p w:rsidR="005F5419" w:rsidRPr="00CE68D5" w:rsidRDefault="005F5419" w:rsidP="005F5419">
            <w:pPr>
              <w:numPr>
                <w:ilvl w:val="0"/>
                <w:numId w:val="23"/>
              </w:numPr>
              <w:spacing w:before="100" w:beforeAutospacing="1" w:after="100" w:afterAutospacing="1"/>
              <w:rPr>
                <w:rFonts w:eastAsia="Times New Roman"/>
                <w:sz w:val="18"/>
                <w:szCs w:val="18"/>
              </w:rPr>
            </w:pPr>
            <w:r w:rsidRPr="00CE68D5">
              <w:rPr>
                <w:rFonts w:eastAsia="Times New Roman"/>
                <w:sz w:val="18"/>
                <w:szCs w:val="18"/>
              </w:rPr>
              <w:t>large numbers of cases from sentinel lab surveillance or increasing positive tests through sentinel samples (routine systematic testing of respiratory samples from established laboratories)</w:t>
            </w:r>
          </w:p>
          <w:p w:rsidR="005F5419" w:rsidRPr="00CE68D5" w:rsidRDefault="005F5419" w:rsidP="005F5419">
            <w:pPr>
              <w:numPr>
                <w:ilvl w:val="0"/>
                <w:numId w:val="23"/>
              </w:numPr>
              <w:spacing w:before="100" w:beforeAutospacing="1" w:after="100" w:afterAutospacing="1"/>
              <w:rPr>
                <w:rFonts w:eastAsia="Times New Roman"/>
                <w:sz w:val="18"/>
                <w:szCs w:val="18"/>
              </w:rPr>
            </w:pPr>
            <w:proofErr w:type="gramStart"/>
            <w:r w:rsidRPr="00CE68D5">
              <w:rPr>
                <w:rFonts w:eastAsia="Times New Roman"/>
                <w:sz w:val="18"/>
                <w:szCs w:val="18"/>
              </w:rPr>
              <w:t>multiple</w:t>
            </w:r>
            <w:proofErr w:type="gramEnd"/>
            <w:r w:rsidRPr="00CE68D5">
              <w:rPr>
                <w:rFonts w:eastAsia="Times New Roman"/>
                <w:sz w:val="18"/>
                <w:szCs w:val="18"/>
              </w:rPr>
              <w:t xml:space="preserve"> unrelated clusters in several areas of the country/territory/area.</w:t>
            </w:r>
          </w:p>
        </w:tc>
        <w:tc>
          <w:tcPr>
            <w:tcW w:w="0" w:type="auto"/>
            <w:hideMark/>
          </w:tcPr>
          <w:p w:rsidR="005F5419" w:rsidRPr="00CE68D5" w:rsidRDefault="005F5419" w:rsidP="00EE1F6B">
            <w:pPr>
              <w:pStyle w:val="NormalWeb"/>
              <w:rPr>
                <w:sz w:val="18"/>
                <w:szCs w:val="18"/>
              </w:rPr>
            </w:pPr>
            <w:r w:rsidRPr="00CE68D5">
              <w:rPr>
                <w:sz w:val="18"/>
                <w:szCs w:val="18"/>
              </w:rPr>
              <w:t>Bangladesh, Indonesia, Malaysia, Papua New Guinea and Philippines</w:t>
            </w:r>
          </w:p>
        </w:tc>
      </w:tr>
    </w:tbl>
    <w:p w:rsidR="005F5419" w:rsidRDefault="005F5419" w:rsidP="005F5419">
      <w:pPr>
        <w:pStyle w:val="CDIfootnotes"/>
        <w:rPr>
          <w:lang w:val="en-GB"/>
        </w:rPr>
      </w:pPr>
      <w:proofErr w:type="gramStart"/>
      <w:r>
        <w:rPr>
          <w:lang w:val="en-GB"/>
        </w:rPr>
        <w:t>a</w:t>
      </w:r>
      <w:proofErr w:type="gramEnd"/>
      <w:r>
        <w:rPr>
          <w:lang w:val="en-GB"/>
        </w:rPr>
        <w:tab/>
        <w:t>Source: World Health Organization Coronavirus (COVID-19) Dashboard, accessed 28 April 2021.</w:t>
      </w:r>
    </w:p>
    <w:p w:rsidR="005F5419" w:rsidRPr="005F5419" w:rsidRDefault="005F5419" w:rsidP="005F5419">
      <w:pPr>
        <w:pStyle w:val="CDIfootnotes"/>
        <w:rPr>
          <w:lang w:val="en-GB"/>
        </w:rPr>
      </w:pPr>
      <w:proofErr w:type="gramStart"/>
      <w:r>
        <w:rPr>
          <w:lang w:val="en-GB"/>
        </w:rPr>
        <w:t>b</w:t>
      </w:r>
      <w:proofErr w:type="gramEnd"/>
      <w:r>
        <w:rPr>
          <w:lang w:val="en-GB"/>
        </w:rPr>
        <w:tab/>
        <w:t>Classifications according to WHO.</w:t>
      </w:r>
    </w:p>
    <w:p w:rsidR="00E52E78" w:rsidRDefault="00E52E78" w:rsidP="00D151EC">
      <w:r>
        <w:t xml:space="preserve">Globally, reported new cases and deaths increased by 69.7% and 46.6% respectively in the four weeks since 28 March 2021 (21,919,785 reported new cases; 357,129 new deaths) with a global case fatality rate (CFR) of 1.8%. The global case increase was driven by significant increases in South East Asia (482.9%) and the Western Pacific (121.6%). To date, over 146 million COVID-19 cases and 3.1 million deaths have been reported globally. The three regions reporting the largest burden of disease over the past four weeks were Europe (31.9% of all new cases reported), South East Asia (29.3%) and the Region of the Americas (28.2%). The highest number of newly-reported cases in the four-week period 29 March to 25 April 2021 were in: </w:t>
      </w:r>
    </w:p>
    <w:p w:rsidR="00E52E78" w:rsidRPr="00530754" w:rsidRDefault="00E52E78" w:rsidP="00530754">
      <w:pPr>
        <w:pStyle w:val="ListParagraph"/>
        <w:numPr>
          <w:ilvl w:val="0"/>
          <w:numId w:val="30"/>
        </w:numPr>
        <w:rPr>
          <w:rFonts w:eastAsia="Times New Roman"/>
        </w:rPr>
      </w:pPr>
      <w:r w:rsidRPr="00530754">
        <w:rPr>
          <w:rFonts w:eastAsia="Times New Roman"/>
        </w:rPr>
        <w:t xml:space="preserve">India – experiencing clusters of cases (reported 6,025,643 new cases, an over 500% increase); </w:t>
      </w:r>
    </w:p>
    <w:p w:rsidR="00E52E78" w:rsidRPr="00530754" w:rsidRDefault="00E52E78" w:rsidP="00530754">
      <w:pPr>
        <w:pStyle w:val="ListParagraph"/>
        <w:numPr>
          <w:ilvl w:val="0"/>
          <w:numId w:val="30"/>
        </w:numPr>
        <w:rPr>
          <w:rFonts w:eastAsia="Times New Roman"/>
        </w:rPr>
      </w:pPr>
      <w:r w:rsidRPr="00530754">
        <w:rPr>
          <w:rFonts w:eastAsia="Times New Roman"/>
        </w:rPr>
        <w:t xml:space="preserve">Brazil – experiencing community transmission (1,965,009 new cases, representing a 0.8% increase); </w:t>
      </w:r>
    </w:p>
    <w:p w:rsidR="00E52E78" w:rsidRPr="00530754" w:rsidRDefault="00E52E78" w:rsidP="00530754">
      <w:pPr>
        <w:pStyle w:val="ListParagraph"/>
        <w:numPr>
          <w:ilvl w:val="0"/>
          <w:numId w:val="30"/>
        </w:numPr>
        <w:rPr>
          <w:rFonts w:eastAsia="Times New Roman"/>
        </w:rPr>
      </w:pPr>
      <w:r w:rsidRPr="00530754">
        <w:rPr>
          <w:rFonts w:eastAsia="Times New Roman"/>
        </w:rPr>
        <w:t xml:space="preserve">United States of America – experiencing community transmission (1,923,669 which represents a 14.2% increase in cases); </w:t>
      </w:r>
    </w:p>
    <w:p w:rsidR="00E52E78" w:rsidRPr="00530754" w:rsidRDefault="00E52E78" w:rsidP="00530754">
      <w:pPr>
        <w:pStyle w:val="ListParagraph"/>
        <w:numPr>
          <w:ilvl w:val="0"/>
          <w:numId w:val="30"/>
        </w:numPr>
        <w:rPr>
          <w:rFonts w:eastAsia="Times New Roman"/>
        </w:rPr>
      </w:pPr>
      <w:r w:rsidRPr="00530754">
        <w:rPr>
          <w:rFonts w:eastAsia="Times New Roman"/>
        </w:rPr>
        <w:t xml:space="preserve">Turkey – experiencing community transmission (1,531,467 new cases reported, representing an increase of 165.7%); </w:t>
      </w:r>
    </w:p>
    <w:p w:rsidR="00E52E78" w:rsidRPr="00530754" w:rsidRDefault="00E52E78" w:rsidP="00530754">
      <w:pPr>
        <w:pStyle w:val="ListParagraph"/>
        <w:numPr>
          <w:ilvl w:val="0"/>
          <w:numId w:val="30"/>
        </w:numPr>
        <w:rPr>
          <w:rFonts w:eastAsia="Times New Roman"/>
        </w:rPr>
      </w:pPr>
      <w:r w:rsidRPr="00530754">
        <w:rPr>
          <w:rFonts w:eastAsia="Times New Roman"/>
        </w:rPr>
        <w:t xml:space="preserve">France – experiencing community transmission (763,849 new cases, representing a 40.2% increase). </w:t>
      </w:r>
    </w:p>
    <w:p w:rsidR="00E52E78" w:rsidRDefault="00E52E78" w:rsidP="00D151EC">
      <w:r>
        <w:t xml:space="preserve">The Region of the Americas accounted for 45.4% of new deaths reported, followed by Europe at 32.2%. The highest number of deaths from COVID-19 in the last four weeks were reported in: </w:t>
      </w:r>
    </w:p>
    <w:p w:rsidR="00E52E78" w:rsidRPr="00530754" w:rsidRDefault="00E52E78" w:rsidP="00530754">
      <w:pPr>
        <w:pStyle w:val="ListParagraph"/>
        <w:numPr>
          <w:ilvl w:val="0"/>
          <w:numId w:val="31"/>
        </w:numPr>
        <w:rPr>
          <w:rFonts w:eastAsia="Times New Roman"/>
        </w:rPr>
      </w:pPr>
      <w:r w:rsidRPr="00530754">
        <w:rPr>
          <w:rFonts w:eastAsia="Times New Roman"/>
        </w:rPr>
        <w:t xml:space="preserve">Brazil (84,824 deaths, representing a 56.3% increase in deaths); </w:t>
      </w:r>
    </w:p>
    <w:p w:rsidR="00E52E78" w:rsidRPr="00530754" w:rsidRDefault="00E52E78" w:rsidP="00530754">
      <w:pPr>
        <w:pStyle w:val="ListParagraph"/>
        <w:numPr>
          <w:ilvl w:val="0"/>
          <w:numId w:val="31"/>
        </w:numPr>
        <w:rPr>
          <w:rFonts w:eastAsia="Times New Roman"/>
        </w:rPr>
      </w:pPr>
      <w:r w:rsidRPr="00530754">
        <w:rPr>
          <w:rFonts w:eastAsia="Times New Roman"/>
        </w:rPr>
        <w:lastRenderedPageBreak/>
        <w:t xml:space="preserve">India (39,635 deaths, representing an over 700% increase); </w:t>
      </w:r>
    </w:p>
    <w:p w:rsidR="00E52E78" w:rsidRPr="00530754" w:rsidRDefault="00E52E78" w:rsidP="00530754">
      <w:pPr>
        <w:pStyle w:val="ListParagraph"/>
        <w:numPr>
          <w:ilvl w:val="0"/>
          <w:numId w:val="31"/>
        </w:numPr>
        <w:rPr>
          <w:rFonts w:eastAsia="Times New Roman"/>
        </w:rPr>
      </w:pPr>
      <w:r w:rsidRPr="00530754">
        <w:rPr>
          <w:rFonts w:eastAsia="Times New Roman"/>
        </w:rPr>
        <w:t xml:space="preserve">United States of America (24,324 deaths, representing 32.9% fewer deaths); </w:t>
      </w:r>
    </w:p>
    <w:p w:rsidR="00E52E78" w:rsidRPr="00530754" w:rsidRDefault="00E52E78" w:rsidP="00530754">
      <w:pPr>
        <w:pStyle w:val="ListParagraph"/>
        <w:numPr>
          <w:ilvl w:val="0"/>
          <w:numId w:val="31"/>
        </w:numPr>
        <w:rPr>
          <w:rFonts w:eastAsia="Times New Roman"/>
        </w:rPr>
      </w:pPr>
      <w:r w:rsidRPr="00530754">
        <w:rPr>
          <w:rFonts w:eastAsia="Times New Roman"/>
        </w:rPr>
        <w:t xml:space="preserve">Poland (14,649 deaths, representing an 80.5% increase); </w:t>
      </w:r>
    </w:p>
    <w:p w:rsidR="00E52E78" w:rsidRPr="00530754" w:rsidRDefault="00E52E78" w:rsidP="00530754">
      <w:pPr>
        <w:pStyle w:val="ListParagraph"/>
        <w:numPr>
          <w:ilvl w:val="0"/>
          <w:numId w:val="31"/>
        </w:numPr>
        <w:rPr>
          <w:rFonts w:eastAsia="Times New Roman"/>
        </w:rPr>
      </w:pPr>
      <w:r w:rsidRPr="00530754">
        <w:rPr>
          <w:rFonts w:eastAsia="Times New Roman"/>
        </w:rPr>
        <w:t xml:space="preserve">Mexico (14,251 deaths, representing 13% fewer deaths). </w:t>
      </w:r>
    </w:p>
    <w:p w:rsidR="00E52E78" w:rsidRDefault="00E52E78" w:rsidP="00D23910">
      <w:r>
        <w:t>For many countries, vaccine rollout began in December 2020 but global distribution remains significantly uneven and well below 50% coverage in countries of high transmission.</w:t>
      </w:r>
      <w:r>
        <w:rPr>
          <w:vertAlign w:val="superscript"/>
        </w:rPr>
        <w:t xml:space="preserve">49 </w:t>
      </w:r>
      <w:r>
        <w:t>Public health prevention measures and periods of restriction of community mobility remain the primary means to reduce transmission, particularly as new strains emerge and circulate simultaneously.</w:t>
      </w:r>
      <w:r>
        <w:rPr>
          <w:vertAlign w:val="superscript"/>
        </w:rPr>
        <w:t>50</w:t>
      </w:r>
      <w:r>
        <w:t xml:space="preserve"> An international summary by WHO Region can be found in the WHO Epidemiological Update dated 31 March 2021.</w:t>
      </w:r>
      <w:r>
        <w:rPr>
          <w:vertAlign w:val="superscript"/>
        </w:rPr>
        <w:t xml:space="preserve">18,48 </w:t>
      </w:r>
    </w:p>
    <w:p w:rsidR="00E52E78" w:rsidRPr="00D23910" w:rsidRDefault="00E52E78" w:rsidP="00D23910">
      <w:pPr>
        <w:pStyle w:val="Heading1"/>
      </w:pPr>
      <w:r w:rsidRPr="00D23910">
        <w:t xml:space="preserve">Acknowledgements </w:t>
      </w:r>
    </w:p>
    <w:p w:rsidR="00E52E78" w:rsidRDefault="00E52E78" w:rsidP="00D23910">
      <w:r>
        <w:t xml:space="preserve">We thank public health staff from incident emergency operations centres and public health units in state and territory health departments, and the Australian Government Department of Health, along with state and territory public health laboratories. We thank those who have provided data from surveillance systems, such as Commonwealth respiratory clinics, ASPREN, Flutracking, FluCAN, Communicable Disease Genomics Network, </w:t>
      </w:r>
      <w:proofErr w:type="spellStart"/>
      <w:r>
        <w:t>AusTrakka</w:t>
      </w:r>
      <w:proofErr w:type="spellEnd"/>
      <w:r>
        <w:t xml:space="preserve"> and jurisdictional sequencing laboratories. </w:t>
      </w:r>
    </w:p>
    <w:p w:rsidR="00E52E78" w:rsidRPr="00D23910" w:rsidRDefault="00E52E78" w:rsidP="00D23910">
      <w:pPr>
        <w:pStyle w:val="Heading1"/>
      </w:pPr>
      <w:r w:rsidRPr="00D23910">
        <w:t xml:space="preserve">Author details </w:t>
      </w:r>
    </w:p>
    <w:p w:rsidR="00E52E78" w:rsidRPr="00D23910" w:rsidRDefault="00E52E78" w:rsidP="00D23910">
      <w:pPr>
        <w:pStyle w:val="Heading2"/>
      </w:pPr>
      <w:r w:rsidRPr="00D23910">
        <w:t xml:space="preserve">Corresponding author </w:t>
      </w:r>
    </w:p>
    <w:p w:rsidR="00E52E78" w:rsidRDefault="00E52E78" w:rsidP="00EB7C5E">
      <w:pPr>
        <w:pStyle w:val="NoSpacing"/>
      </w:pPr>
      <w:r>
        <w:t xml:space="preserve">COVID-19 National Incident Room Surveillance Team </w:t>
      </w:r>
    </w:p>
    <w:p w:rsidR="00E52E78" w:rsidRDefault="00E52E78" w:rsidP="00EB7C5E">
      <w:pPr>
        <w:pStyle w:val="NoSpacing"/>
      </w:pPr>
      <w:r>
        <w:t xml:space="preserve">Australian Government Department of Health, GPO Box 9484, MDP 14, Canberra, ACT 2601. </w:t>
      </w:r>
    </w:p>
    <w:p w:rsidR="00E52E78" w:rsidRDefault="00E52E78" w:rsidP="00EB7C5E">
      <w:pPr>
        <w:pStyle w:val="NoSpacing"/>
      </w:pPr>
      <w:r>
        <w:t xml:space="preserve">Email: epi.coronavirus@health.gov.au </w:t>
      </w:r>
    </w:p>
    <w:p w:rsidR="00C27770" w:rsidRDefault="00C27770">
      <w:pPr>
        <w:rPr>
          <w:rFonts w:asciiTheme="majorHAnsi" w:eastAsiaTheme="majorEastAsia" w:hAnsiTheme="majorHAnsi" w:cstheme="majorBidi"/>
          <w:b/>
          <w:bCs/>
          <w:sz w:val="32"/>
          <w:szCs w:val="28"/>
        </w:rPr>
      </w:pPr>
      <w:r>
        <w:br w:type="page"/>
      </w:r>
    </w:p>
    <w:p w:rsidR="00E52E78" w:rsidRPr="00D23910" w:rsidRDefault="00E52E78" w:rsidP="00D23910">
      <w:pPr>
        <w:pStyle w:val="Heading1"/>
      </w:pPr>
      <w:r w:rsidRPr="00D23910">
        <w:lastRenderedPageBreak/>
        <w:t xml:space="preserve">References </w:t>
      </w:r>
    </w:p>
    <w:p w:rsidR="00E52E78" w:rsidRPr="00D23910" w:rsidRDefault="00E52E78" w:rsidP="00D23910">
      <w:pPr>
        <w:pStyle w:val="ListParagraph"/>
        <w:numPr>
          <w:ilvl w:val="0"/>
          <w:numId w:val="14"/>
        </w:numPr>
        <w:rPr>
          <w:rFonts w:eastAsia="Times New Roman"/>
        </w:rPr>
      </w:pPr>
      <w:r w:rsidRPr="00D23910">
        <w:rPr>
          <w:rFonts w:eastAsia="Times New Roman"/>
        </w:rPr>
        <w:t xml:space="preserve">COVID-19 National Incident Room Surveillance Team. COVID-19 Australia: Epidemiology Report 39: Reporting period ending 11 April 2021. </w:t>
      </w:r>
      <w:proofErr w:type="spellStart"/>
      <w:r w:rsidRPr="00824E08">
        <w:rPr>
          <w:rStyle w:val="Emphasis"/>
          <w:rFonts w:eastAsia="Times New Roman"/>
          <w:b w:val="0"/>
        </w:rPr>
        <w:t>Commun</w:t>
      </w:r>
      <w:proofErr w:type="spellEnd"/>
      <w:r w:rsidRPr="00824E08">
        <w:rPr>
          <w:rStyle w:val="Emphasis"/>
          <w:rFonts w:eastAsia="Times New Roman"/>
          <w:b w:val="0"/>
        </w:rPr>
        <w:t xml:space="preserve"> Dis </w:t>
      </w:r>
      <w:proofErr w:type="spellStart"/>
      <w:r w:rsidRPr="00824E08">
        <w:rPr>
          <w:rStyle w:val="Emphasis"/>
          <w:rFonts w:eastAsia="Times New Roman"/>
          <w:b w:val="0"/>
        </w:rPr>
        <w:t>Intell</w:t>
      </w:r>
      <w:proofErr w:type="spellEnd"/>
      <w:r w:rsidRPr="00824E08">
        <w:rPr>
          <w:rStyle w:val="Emphasis"/>
          <w:rFonts w:eastAsia="Times New Roman"/>
          <w:b w:val="0"/>
        </w:rPr>
        <w:t xml:space="preserve"> (2018)</w:t>
      </w:r>
      <w:r w:rsidRPr="00D23910">
        <w:rPr>
          <w:rFonts w:eastAsia="Times New Roman"/>
        </w:rPr>
        <w:t>. 2021</w:t>
      </w:r>
      <w:proofErr w:type="gramStart"/>
      <w:r w:rsidRPr="00D23910">
        <w:rPr>
          <w:rFonts w:eastAsia="Times New Roman"/>
        </w:rPr>
        <w:t>;45</w:t>
      </w:r>
      <w:proofErr w:type="gramEnd"/>
      <w:r w:rsidRPr="00D23910">
        <w:rPr>
          <w:rFonts w:eastAsia="Times New Roman"/>
        </w:rPr>
        <w:t xml:space="preserve">. </w:t>
      </w:r>
      <w:proofErr w:type="spellStart"/>
      <w:proofErr w:type="gramStart"/>
      <w:r w:rsidRPr="00D23910">
        <w:rPr>
          <w:rFonts w:eastAsia="Times New Roman"/>
        </w:rPr>
        <w:t>doi</w:t>
      </w:r>
      <w:proofErr w:type="spellEnd"/>
      <w:proofErr w:type="gramEnd"/>
      <w:r w:rsidRPr="00D23910">
        <w:rPr>
          <w:rFonts w:eastAsia="Times New Roman"/>
        </w:rPr>
        <w:t xml:space="preserve">: https://doi.org/10.33321/cdi.2021.45.20. </w:t>
      </w:r>
    </w:p>
    <w:p w:rsidR="00E52E78" w:rsidRPr="00D23910" w:rsidRDefault="00E52E78" w:rsidP="00D23910">
      <w:pPr>
        <w:pStyle w:val="ListParagraph"/>
        <w:numPr>
          <w:ilvl w:val="0"/>
          <w:numId w:val="14"/>
        </w:numPr>
        <w:rPr>
          <w:rFonts w:eastAsia="Times New Roman"/>
        </w:rPr>
      </w:pPr>
      <w:r w:rsidRPr="00D23910">
        <w:rPr>
          <w:rFonts w:eastAsia="Times New Roman"/>
        </w:rPr>
        <w:t xml:space="preserve">World Health Organization (WHO). Coronavirus disease (COVID-19). Timeline: WHO’s COVID-19 </w:t>
      </w:r>
      <w:proofErr w:type="gramStart"/>
      <w:r w:rsidRPr="00D23910">
        <w:rPr>
          <w:rFonts w:eastAsia="Times New Roman"/>
        </w:rPr>
        <w:t>response.</w:t>
      </w:r>
      <w:proofErr w:type="gramEnd"/>
      <w:r w:rsidRPr="00D23910">
        <w:rPr>
          <w:rFonts w:eastAsia="Times New Roman"/>
        </w:rPr>
        <w:t xml:space="preserve"> [Webpage.] Geneva: WHO; 2021. [Accessed on 30 April 2021.] Available from: https://www.who.int/emergencies/diseases/novel-coronavirus-2019/interactive-timeline#</w:t>
      </w:r>
      <w:proofErr w:type="gramStart"/>
      <w:r w:rsidRPr="00D23910">
        <w:rPr>
          <w:rFonts w:eastAsia="Times New Roman"/>
        </w:rPr>
        <w:t>!.</w:t>
      </w:r>
      <w:proofErr w:type="gramEnd"/>
      <w:r w:rsidRPr="00D23910">
        <w:rPr>
          <w:rFonts w:eastAsia="Times New Roman"/>
        </w:rPr>
        <w:t xml:space="preserve"> </w:t>
      </w:r>
    </w:p>
    <w:p w:rsidR="00E52E78" w:rsidRPr="00D23910" w:rsidRDefault="00E52E78" w:rsidP="00D23910">
      <w:pPr>
        <w:pStyle w:val="ListParagraph"/>
        <w:numPr>
          <w:ilvl w:val="0"/>
          <w:numId w:val="14"/>
        </w:numPr>
        <w:rPr>
          <w:rFonts w:eastAsia="Times New Roman"/>
        </w:rPr>
      </w:pPr>
      <w:r w:rsidRPr="00D23910">
        <w:rPr>
          <w:rFonts w:eastAsia="Times New Roman"/>
        </w:rPr>
        <w:t xml:space="preserve">Australian Government Department of Health. Framework for national reopening – October 2020. [Internet.] Canberra: Australian Government Department of Health; 23 October 2020. [Accessed on 10 November 2020.] Available from: https://www.health.gov.au/resources/publications/framework-for-national-reopening-october-2020. </w:t>
      </w:r>
    </w:p>
    <w:p w:rsidR="00E52E78" w:rsidRPr="00D23910" w:rsidRDefault="00E52E78" w:rsidP="00D23910">
      <w:pPr>
        <w:pStyle w:val="ListParagraph"/>
        <w:numPr>
          <w:ilvl w:val="0"/>
          <w:numId w:val="14"/>
        </w:numPr>
        <w:rPr>
          <w:rFonts w:eastAsia="Times New Roman"/>
        </w:rPr>
      </w:pPr>
      <w:r w:rsidRPr="00D23910">
        <w:rPr>
          <w:rFonts w:eastAsia="Times New Roman"/>
        </w:rPr>
        <w:t xml:space="preserve">Australian Government Department of the Prime Minister and Cabinet. Update on coronavirus measures. Media statement. [Internet.] Canberra: Australian Government Department of Prime Minister and Cabinet; 20 March 2020. [Accessed on 29 April 2021.] Available from: https://www.pm.gov.au/media/update-coronavirus-measures-0. </w:t>
      </w:r>
    </w:p>
    <w:p w:rsidR="00E52E78" w:rsidRPr="00D23910" w:rsidRDefault="00E52E78" w:rsidP="00D23910">
      <w:pPr>
        <w:pStyle w:val="ListParagraph"/>
        <w:numPr>
          <w:ilvl w:val="0"/>
          <w:numId w:val="14"/>
        </w:numPr>
        <w:rPr>
          <w:rFonts w:eastAsia="Times New Roman"/>
        </w:rPr>
      </w:pPr>
      <w:r w:rsidRPr="00D23910">
        <w:rPr>
          <w:rFonts w:eastAsia="Times New Roman"/>
        </w:rPr>
        <w:t xml:space="preserve">Australian Government Department of the Prime Minister and Cabinet. Safe travel zone with New Zealand. Media release. [Internet.] Canberra: Australian Government Department of Prime Minister and Cabinet; 2 October 2020. [Accessed on 29 April 2021.] Available from: https://www.pm.gov.au/media/safe-travel-zone-new-zealand. </w:t>
      </w:r>
    </w:p>
    <w:p w:rsidR="00E52E78" w:rsidRPr="00D23910" w:rsidRDefault="00E52E78" w:rsidP="00D23910">
      <w:pPr>
        <w:pStyle w:val="ListParagraph"/>
        <w:numPr>
          <w:ilvl w:val="0"/>
          <w:numId w:val="14"/>
        </w:numPr>
        <w:rPr>
          <w:rFonts w:eastAsia="Times New Roman"/>
        </w:rPr>
      </w:pPr>
      <w:r w:rsidRPr="00D23910">
        <w:rPr>
          <w:rFonts w:eastAsia="Times New Roman"/>
        </w:rPr>
        <w:t xml:space="preserve">Australian Government Department of the Prime Minister and Cabinet. Update on coronavirus measures. Media statement. [Internet.] Canberra: Australian Government Department of Prime Minister and Cabinet; 24 March 2020. [Accessed on 29 April 2021.] Available from: https://www.pm.gov.au/media/update-coronavirus-measures-24-March-2020. </w:t>
      </w:r>
    </w:p>
    <w:p w:rsidR="00E52E78" w:rsidRPr="00D23910" w:rsidRDefault="00E52E78" w:rsidP="00D23910">
      <w:pPr>
        <w:pStyle w:val="ListParagraph"/>
        <w:numPr>
          <w:ilvl w:val="0"/>
          <w:numId w:val="14"/>
        </w:numPr>
        <w:rPr>
          <w:rFonts w:eastAsia="Times New Roman"/>
        </w:rPr>
      </w:pPr>
      <w:r w:rsidRPr="00D23910">
        <w:rPr>
          <w:rFonts w:eastAsia="Times New Roman"/>
        </w:rPr>
        <w:t xml:space="preserve">Australian Government Department of the Prime Minister and Cabinet. Update on coronavirus measures. Media statement. [Internet.] Canberra: Australian Government Department of Prime Minister and Cabinet; 27 March 2020. [Accessed on 29 April 2021.] Available from: https://www.pm.gov.au/media/update-coronavirus-measures-270320. </w:t>
      </w:r>
    </w:p>
    <w:p w:rsidR="00E52E78" w:rsidRPr="00D23910" w:rsidRDefault="00E52E78" w:rsidP="00D23910">
      <w:pPr>
        <w:pStyle w:val="ListParagraph"/>
        <w:numPr>
          <w:ilvl w:val="0"/>
          <w:numId w:val="14"/>
        </w:numPr>
        <w:rPr>
          <w:rFonts w:eastAsia="Times New Roman"/>
        </w:rPr>
      </w:pPr>
      <w:r w:rsidRPr="00D23910">
        <w:rPr>
          <w:rFonts w:eastAsia="Times New Roman"/>
        </w:rPr>
        <w:t xml:space="preserve">Australian Government Department of the Prime Minister and Cabinet. National Cabinet statement. Media statement. [Internet.] Canberra: Australian Government Department of Prime Minister and Cabinet; 29 March 2020. [Accessed on 29 April 2021.] Available from: https://www.pm.gov.au/media/national-cabinet-statement. </w:t>
      </w:r>
    </w:p>
    <w:p w:rsidR="00E52E78" w:rsidRPr="00D23910" w:rsidRDefault="00E52E78" w:rsidP="00D23910">
      <w:pPr>
        <w:pStyle w:val="ListParagraph"/>
        <w:numPr>
          <w:ilvl w:val="0"/>
          <w:numId w:val="14"/>
        </w:numPr>
        <w:rPr>
          <w:rFonts w:eastAsia="Times New Roman"/>
        </w:rPr>
      </w:pPr>
      <w:r w:rsidRPr="00D23910">
        <w:rPr>
          <w:rFonts w:eastAsia="Times New Roman"/>
        </w:rPr>
        <w:t xml:space="preserve">Australian Government Department of the Prime Minister and Cabinet. Elective surgery. Media release. [Internet.] Canberra: Australian Government Department of Prime Minister and Cabinet; 25 March 2020. [Accessed on 29 April 2021.] Available from: https://www.pm.gov.au/media/elective-surgery. </w:t>
      </w:r>
    </w:p>
    <w:p w:rsidR="00E52E78" w:rsidRPr="00D23910" w:rsidRDefault="00E52E78" w:rsidP="00D23910">
      <w:pPr>
        <w:pStyle w:val="ListParagraph"/>
        <w:numPr>
          <w:ilvl w:val="0"/>
          <w:numId w:val="14"/>
        </w:numPr>
        <w:rPr>
          <w:rFonts w:eastAsia="Times New Roman"/>
        </w:rPr>
      </w:pPr>
      <w:r w:rsidRPr="00D23910">
        <w:rPr>
          <w:rFonts w:eastAsia="Times New Roman"/>
        </w:rPr>
        <w:t xml:space="preserve">Australian Government Department of the Prime Minister and Cabinet. Update on coronavirus measures. Media statement. [Internet.] Canberra: Australian Government Department of Prime Minister and Cabinet; 22 March 2020. [Accessed on 29 April 2021.] Available from: https://www.pm.gov.au/media/update-coronavirus-measures-220320. </w:t>
      </w:r>
    </w:p>
    <w:p w:rsidR="00E52E78" w:rsidRPr="00D23910" w:rsidRDefault="00E52E78" w:rsidP="00D23910">
      <w:pPr>
        <w:pStyle w:val="ListParagraph"/>
        <w:numPr>
          <w:ilvl w:val="0"/>
          <w:numId w:val="14"/>
        </w:numPr>
        <w:rPr>
          <w:rFonts w:eastAsia="Times New Roman"/>
        </w:rPr>
      </w:pPr>
      <w:r w:rsidRPr="00D23910">
        <w:rPr>
          <w:rFonts w:eastAsia="Times New Roman"/>
        </w:rPr>
        <w:t xml:space="preserve">Australian Government Department of the Prime Minister and Cabinet. Update on coronavirus measures. Media statement. [Internet.] Canberra: Australian Government Department of Prime Minister and Cabinet; 18 March 2020. [Accessed on 29 April 2021.] Available from: https://www.pm.gov.au/media/update-coronavirus-measures. </w:t>
      </w:r>
    </w:p>
    <w:p w:rsidR="00E52E78" w:rsidRPr="00D23910" w:rsidRDefault="00E52E78" w:rsidP="00D23910">
      <w:pPr>
        <w:pStyle w:val="ListParagraph"/>
        <w:numPr>
          <w:ilvl w:val="0"/>
          <w:numId w:val="14"/>
        </w:numPr>
        <w:rPr>
          <w:rFonts w:eastAsia="Times New Roman"/>
        </w:rPr>
      </w:pPr>
      <w:r w:rsidRPr="00D23910">
        <w:rPr>
          <w:rFonts w:eastAsia="Times New Roman"/>
        </w:rPr>
        <w:t xml:space="preserve">Australian Government Department of Health. </w:t>
      </w:r>
      <w:proofErr w:type="spellStart"/>
      <w:r w:rsidRPr="00D23910">
        <w:rPr>
          <w:rFonts w:eastAsia="Times New Roman"/>
        </w:rPr>
        <w:t>COVIDSafe</w:t>
      </w:r>
      <w:proofErr w:type="spellEnd"/>
      <w:r w:rsidRPr="00D23910">
        <w:rPr>
          <w:rFonts w:eastAsia="Times New Roman"/>
        </w:rPr>
        <w:t xml:space="preserve"> app. [Internet.] Canberra: Australian Government Department of Health; 15 December 2020. [Accessed on 29 April 2021.] Available from: https://www.health.gov.au/resources/apps-and-tools/covidsafe-app. </w:t>
      </w:r>
    </w:p>
    <w:p w:rsidR="00E52E78" w:rsidRPr="00D23910" w:rsidRDefault="00E52E78" w:rsidP="00D23910">
      <w:pPr>
        <w:pStyle w:val="ListParagraph"/>
        <w:numPr>
          <w:ilvl w:val="0"/>
          <w:numId w:val="14"/>
        </w:numPr>
        <w:rPr>
          <w:rFonts w:eastAsia="Times New Roman"/>
        </w:rPr>
      </w:pPr>
      <w:r w:rsidRPr="00D23910">
        <w:rPr>
          <w:rFonts w:eastAsia="Times New Roman"/>
        </w:rPr>
        <w:lastRenderedPageBreak/>
        <w:t xml:space="preserve">Australian Government Department of Health. Masks: wearing a mask can help protect you and those around you. [Internet.] Canberra: Australian Government Department of Health; 18 March 2021. [Accessed on 29 April 2021.] Available from: https://www.health.gov.au/news/health-alerts/novel-coronavirus-2019-ncov-health-alert/how-to-protect-yourself-and-others-from-coronavirus-covid-19/masks. </w:t>
      </w:r>
    </w:p>
    <w:p w:rsidR="00E52E78" w:rsidRPr="00D23910" w:rsidRDefault="00E52E78" w:rsidP="00D23910">
      <w:pPr>
        <w:pStyle w:val="ListParagraph"/>
        <w:numPr>
          <w:ilvl w:val="0"/>
          <w:numId w:val="14"/>
        </w:numPr>
        <w:rPr>
          <w:rFonts w:eastAsia="Times New Roman"/>
        </w:rPr>
      </w:pPr>
      <w:r w:rsidRPr="00D23910">
        <w:rPr>
          <w:rFonts w:eastAsia="Times New Roman"/>
        </w:rPr>
        <w:t xml:space="preserve">COVID-19 National Incident Room Surveillance Team. Technical supplement. COVID-19 Australia: Epidemiology reporting. </w:t>
      </w:r>
      <w:proofErr w:type="spellStart"/>
      <w:r w:rsidRPr="00824E08">
        <w:rPr>
          <w:rStyle w:val="Emphasis"/>
          <w:rFonts w:eastAsia="Times New Roman"/>
          <w:b w:val="0"/>
        </w:rPr>
        <w:t>Commun</w:t>
      </w:r>
      <w:proofErr w:type="spellEnd"/>
      <w:r w:rsidRPr="00824E08">
        <w:rPr>
          <w:rStyle w:val="Emphasis"/>
          <w:rFonts w:eastAsia="Times New Roman"/>
          <w:b w:val="0"/>
        </w:rPr>
        <w:t xml:space="preserve"> Dis </w:t>
      </w:r>
      <w:proofErr w:type="spellStart"/>
      <w:r w:rsidRPr="00824E08">
        <w:rPr>
          <w:rStyle w:val="Emphasis"/>
          <w:rFonts w:eastAsia="Times New Roman"/>
          <w:b w:val="0"/>
        </w:rPr>
        <w:t>Intell</w:t>
      </w:r>
      <w:proofErr w:type="spellEnd"/>
      <w:r w:rsidRPr="00824E08">
        <w:rPr>
          <w:rStyle w:val="Emphasis"/>
          <w:rFonts w:eastAsia="Times New Roman"/>
          <w:b w:val="0"/>
        </w:rPr>
        <w:t xml:space="preserve"> (2018)</w:t>
      </w:r>
      <w:r w:rsidRPr="00D23910">
        <w:rPr>
          <w:rFonts w:eastAsia="Times New Roman"/>
        </w:rPr>
        <w:t>. 2021</w:t>
      </w:r>
      <w:proofErr w:type="gramStart"/>
      <w:r w:rsidRPr="00D23910">
        <w:rPr>
          <w:rFonts w:eastAsia="Times New Roman"/>
        </w:rPr>
        <w:t>;45</w:t>
      </w:r>
      <w:proofErr w:type="gramEnd"/>
      <w:r w:rsidRPr="00D23910">
        <w:rPr>
          <w:rFonts w:eastAsia="Times New Roman"/>
        </w:rPr>
        <w:t xml:space="preserve">. </w:t>
      </w:r>
      <w:proofErr w:type="spellStart"/>
      <w:proofErr w:type="gramStart"/>
      <w:r w:rsidRPr="00D23910">
        <w:rPr>
          <w:rFonts w:eastAsia="Times New Roman"/>
        </w:rPr>
        <w:t>doi</w:t>
      </w:r>
      <w:proofErr w:type="spellEnd"/>
      <w:proofErr w:type="gramEnd"/>
      <w:r w:rsidRPr="00D23910">
        <w:rPr>
          <w:rFonts w:eastAsia="Times New Roman"/>
        </w:rPr>
        <w:t xml:space="preserve">: https://doi.org/10.33321/cdi.2021.45.2. </w:t>
      </w:r>
    </w:p>
    <w:p w:rsidR="00E52E78" w:rsidRPr="00D23910" w:rsidRDefault="00E52E78" w:rsidP="00D23910">
      <w:pPr>
        <w:pStyle w:val="ListParagraph"/>
        <w:numPr>
          <w:ilvl w:val="0"/>
          <w:numId w:val="14"/>
        </w:numPr>
        <w:rPr>
          <w:rFonts w:eastAsia="Times New Roman"/>
        </w:rPr>
      </w:pPr>
      <w:r w:rsidRPr="00D23910">
        <w:rPr>
          <w:rFonts w:eastAsia="Times New Roman"/>
        </w:rPr>
        <w:t xml:space="preserve">Australian Government Department of Health. Getting vaccinated for COVID-19: Australia’s vaccine rollout. [Internet.] Canberra: Australian Government Department of Health; 30 March 2021. [Accessed on 29 April 2021.] Available from: https://www.health.gov.au/initiatives-and-programs/covid-19-vaccines/getting-vaccinated-for-covid-19#australias-vaccine-rollout. </w:t>
      </w:r>
    </w:p>
    <w:p w:rsidR="00E52E78" w:rsidRPr="00D23910" w:rsidRDefault="00E52E78" w:rsidP="00D23910">
      <w:pPr>
        <w:pStyle w:val="ListParagraph"/>
        <w:numPr>
          <w:ilvl w:val="0"/>
          <w:numId w:val="14"/>
        </w:numPr>
        <w:rPr>
          <w:rFonts w:eastAsia="Times New Roman"/>
        </w:rPr>
      </w:pPr>
      <w:r w:rsidRPr="00D23910">
        <w:rPr>
          <w:rFonts w:eastAsia="Times New Roman"/>
        </w:rPr>
        <w:t xml:space="preserve">Australian Government Department of Health. ATAGI statement on AstraZeneca vaccine in response to new vaccine safety concerns. [Internet.] Canberra: Australian Government Department of Health, Australian Technical Advisory Group on Immunisation; 8 April 2021. [Accessed 29 April 2021.] Available from: https://www.health.gov.au/news/atagi-statement-on-astrazeneca-vaccine-in-response-to-new-vaccine-safety-concerns. </w:t>
      </w:r>
    </w:p>
    <w:p w:rsidR="00E52E78" w:rsidRPr="00D23910" w:rsidRDefault="00E52E78" w:rsidP="00D23910">
      <w:pPr>
        <w:pStyle w:val="ListParagraph"/>
        <w:numPr>
          <w:ilvl w:val="0"/>
          <w:numId w:val="14"/>
        </w:numPr>
        <w:rPr>
          <w:rFonts w:eastAsia="Times New Roman"/>
        </w:rPr>
      </w:pPr>
      <w:r w:rsidRPr="00D23910">
        <w:rPr>
          <w:rFonts w:eastAsia="Times New Roman"/>
        </w:rPr>
        <w:t xml:space="preserve">Communicable Diseases Genomics Network (CDGN). </w:t>
      </w:r>
      <w:proofErr w:type="spellStart"/>
      <w:r w:rsidRPr="00D23910">
        <w:rPr>
          <w:rFonts w:eastAsia="Times New Roman"/>
        </w:rPr>
        <w:t>AusTrakka</w:t>
      </w:r>
      <w:proofErr w:type="spellEnd"/>
      <w:r w:rsidRPr="00D23910">
        <w:rPr>
          <w:rFonts w:eastAsia="Times New Roman"/>
        </w:rPr>
        <w:t xml:space="preserve">. [Website.] Melbourne: CDGN; 2020. Available from: https://www.cdgn.org.au/austrakka. </w:t>
      </w:r>
    </w:p>
    <w:p w:rsidR="00E52E78" w:rsidRPr="00D23910" w:rsidRDefault="00E52E78" w:rsidP="00D23910">
      <w:pPr>
        <w:pStyle w:val="ListParagraph"/>
        <w:numPr>
          <w:ilvl w:val="0"/>
          <w:numId w:val="14"/>
        </w:numPr>
        <w:rPr>
          <w:rFonts w:eastAsia="Times New Roman"/>
        </w:rPr>
      </w:pPr>
      <w:r w:rsidRPr="00D23910">
        <w:rPr>
          <w:rFonts w:eastAsia="Times New Roman"/>
        </w:rPr>
        <w:t xml:space="preserve">WHO. Coronavirus disease (COVID-19) weekly epidemiological update and weekly operational update. [Internet.] Geneva: WHO; 30 March 2021. [Accessed on 30 March 2021.] Available from: https://www.who.int/emergencies/diseases/novel-coronavirus-2019/situation-reports/. </w:t>
      </w:r>
    </w:p>
    <w:p w:rsidR="00E52E78" w:rsidRPr="00D23910" w:rsidRDefault="00E52E78" w:rsidP="00D23910">
      <w:pPr>
        <w:pStyle w:val="ListParagraph"/>
        <w:numPr>
          <w:ilvl w:val="0"/>
          <w:numId w:val="14"/>
        </w:numPr>
        <w:rPr>
          <w:rFonts w:eastAsia="Times New Roman"/>
        </w:rPr>
      </w:pPr>
      <w:r w:rsidRPr="00D23910">
        <w:rPr>
          <w:rFonts w:eastAsia="Times New Roman"/>
        </w:rPr>
        <w:t xml:space="preserve">Dalton C, Durrheim D, </w:t>
      </w:r>
      <w:proofErr w:type="spellStart"/>
      <w:r w:rsidRPr="00D23910">
        <w:rPr>
          <w:rFonts w:eastAsia="Times New Roman"/>
        </w:rPr>
        <w:t>Fejsa</w:t>
      </w:r>
      <w:proofErr w:type="spellEnd"/>
      <w:r w:rsidRPr="00D23910">
        <w:rPr>
          <w:rFonts w:eastAsia="Times New Roman"/>
        </w:rPr>
        <w:t xml:space="preserve"> J, Francis L, Carlson S, </w:t>
      </w:r>
      <w:proofErr w:type="spellStart"/>
      <w:r w:rsidRPr="00D23910">
        <w:rPr>
          <w:rFonts w:eastAsia="Times New Roman"/>
        </w:rPr>
        <w:t>d’Espaignet</w:t>
      </w:r>
      <w:proofErr w:type="spellEnd"/>
      <w:r w:rsidRPr="00D23910">
        <w:rPr>
          <w:rFonts w:eastAsia="Times New Roman"/>
        </w:rPr>
        <w:t xml:space="preserve"> ET </w:t>
      </w:r>
      <w:proofErr w:type="spellStart"/>
      <w:r w:rsidRPr="00D23910">
        <w:rPr>
          <w:rFonts w:eastAsia="Times New Roman"/>
        </w:rPr>
        <w:t>et</w:t>
      </w:r>
      <w:proofErr w:type="spellEnd"/>
      <w:r w:rsidRPr="00D23910">
        <w:rPr>
          <w:rFonts w:eastAsia="Times New Roman"/>
        </w:rPr>
        <w:t xml:space="preserve"> al. Flutracking: a weekly Australian community online survey of influenza-like illness in 2006, 2007 and 2008. </w:t>
      </w:r>
      <w:proofErr w:type="spellStart"/>
      <w:r w:rsidRPr="00824E08">
        <w:rPr>
          <w:rStyle w:val="Emphasis"/>
          <w:rFonts w:eastAsia="Times New Roman"/>
          <w:b w:val="0"/>
        </w:rPr>
        <w:t>Commun</w:t>
      </w:r>
      <w:proofErr w:type="spellEnd"/>
      <w:r w:rsidRPr="00824E08">
        <w:rPr>
          <w:rStyle w:val="Emphasis"/>
          <w:rFonts w:eastAsia="Times New Roman"/>
          <w:b w:val="0"/>
        </w:rPr>
        <w:t xml:space="preserve"> Dis </w:t>
      </w:r>
      <w:proofErr w:type="spellStart"/>
      <w:r w:rsidRPr="00824E08">
        <w:rPr>
          <w:rStyle w:val="Emphasis"/>
          <w:rFonts w:eastAsia="Times New Roman"/>
          <w:b w:val="0"/>
        </w:rPr>
        <w:t>Intell</w:t>
      </w:r>
      <w:proofErr w:type="spellEnd"/>
      <w:r w:rsidRPr="00824E08">
        <w:rPr>
          <w:rStyle w:val="Emphasis"/>
          <w:rFonts w:eastAsia="Times New Roman"/>
          <w:b w:val="0"/>
        </w:rPr>
        <w:t xml:space="preserve"> Q Rep</w:t>
      </w:r>
      <w:r w:rsidRPr="00D23910">
        <w:rPr>
          <w:rFonts w:eastAsia="Times New Roman"/>
        </w:rPr>
        <w:t>. 2009</w:t>
      </w:r>
      <w:proofErr w:type="gramStart"/>
      <w:r w:rsidRPr="00D23910">
        <w:rPr>
          <w:rFonts w:eastAsia="Times New Roman"/>
        </w:rPr>
        <w:t>;33</w:t>
      </w:r>
      <w:proofErr w:type="gramEnd"/>
      <w:r w:rsidRPr="00D23910">
        <w:rPr>
          <w:rFonts w:eastAsia="Times New Roman"/>
        </w:rPr>
        <w:t xml:space="preserve">(3):316–22. </w:t>
      </w:r>
    </w:p>
    <w:p w:rsidR="00E52E78" w:rsidRPr="00D23910" w:rsidRDefault="00E52E78" w:rsidP="00D23910">
      <w:pPr>
        <w:pStyle w:val="ListParagraph"/>
        <w:numPr>
          <w:ilvl w:val="0"/>
          <w:numId w:val="14"/>
        </w:numPr>
        <w:rPr>
          <w:rFonts w:eastAsia="Times New Roman"/>
        </w:rPr>
      </w:pPr>
      <w:r w:rsidRPr="00D23910">
        <w:rPr>
          <w:rFonts w:eastAsia="Times New Roman"/>
        </w:rPr>
        <w:t xml:space="preserve">Monash Health. FluCAN (Influenza surveillance): FluCAN (The Influenza Complications Alert Network). [Internet.] Melbourne: Monash Health; 2020. Available from: https://monashhealth.org/services/monash-infectious-diseases/research/influenza-research/flucan-influenza-surveillance-2/. </w:t>
      </w:r>
    </w:p>
    <w:p w:rsidR="00E52E78" w:rsidRPr="00D23910" w:rsidRDefault="00E52E78" w:rsidP="00D23910">
      <w:pPr>
        <w:pStyle w:val="ListParagraph"/>
        <w:numPr>
          <w:ilvl w:val="0"/>
          <w:numId w:val="14"/>
        </w:numPr>
        <w:rPr>
          <w:rFonts w:eastAsia="Times New Roman"/>
        </w:rPr>
      </w:pPr>
      <w:r w:rsidRPr="00D23910">
        <w:rPr>
          <w:rFonts w:eastAsia="Times New Roman"/>
        </w:rPr>
        <w:t xml:space="preserve">Australian and New Zealand Intensive Care Society (ANZICS). SPRINT-SARI: Short period incidence study of severe acute respiratory infection. [Internet.] Camberwell: ANZICS; 2020. Available from: https://www.anzics.com.au/current-active-endorsed-research/sprint-sari/. </w:t>
      </w:r>
    </w:p>
    <w:p w:rsidR="00E52E78" w:rsidRPr="00D23910" w:rsidRDefault="00E52E78" w:rsidP="00D23910">
      <w:pPr>
        <w:pStyle w:val="ListParagraph"/>
        <w:numPr>
          <w:ilvl w:val="0"/>
          <w:numId w:val="14"/>
        </w:numPr>
        <w:rPr>
          <w:rFonts w:eastAsia="Times New Roman"/>
        </w:rPr>
      </w:pPr>
      <w:r w:rsidRPr="00D23910">
        <w:rPr>
          <w:rFonts w:eastAsia="Times New Roman"/>
        </w:rPr>
        <w:t xml:space="preserve">Australian Capital Territory Government. COVID-19: Update for travel advice for Greater Brisbane. [Internet.] Canberra: Australian Capital Territory Government; 28 March 2021. [Accessed on 28 April 2021.] Available from: https://www.covid19.act.gov.au/news-articles/update-for-travel-advice-for-greater-brisbane. </w:t>
      </w:r>
    </w:p>
    <w:p w:rsidR="00E52E78" w:rsidRPr="00D23910" w:rsidRDefault="00E52E78" w:rsidP="00D23910">
      <w:pPr>
        <w:pStyle w:val="ListParagraph"/>
        <w:numPr>
          <w:ilvl w:val="0"/>
          <w:numId w:val="14"/>
        </w:numPr>
        <w:rPr>
          <w:rFonts w:eastAsia="Times New Roman"/>
        </w:rPr>
      </w:pPr>
      <w:r w:rsidRPr="00D23910">
        <w:rPr>
          <w:rFonts w:eastAsia="Times New Roman"/>
        </w:rPr>
        <w:t xml:space="preserve">Australian Capital Territory Government. COVID-19: New travel restrictions for people travelling from Greater Brisbane. [Internet.] Canberra: Australian Capital Territory Government; 29 March 2021. [Accessed on 28 April 2021.] Available from: https://www.covid19.act.gov.au/news-articles/new-travel-restrictions-for-people-travelling-from-greater-brisbane. </w:t>
      </w:r>
    </w:p>
    <w:p w:rsidR="00E52E78" w:rsidRPr="00D23910" w:rsidRDefault="00E52E78" w:rsidP="00D23910">
      <w:pPr>
        <w:pStyle w:val="ListParagraph"/>
        <w:numPr>
          <w:ilvl w:val="0"/>
          <w:numId w:val="14"/>
        </w:numPr>
        <w:rPr>
          <w:rFonts w:eastAsia="Times New Roman"/>
        </w:rPr>
      </w:pPr>
      <w:r w:rsidRPr="00D23910">
        <w:rPr>
          <w:rFonts w:eastAsia="Times New Roman"/>
        </w:rPr>
        <w:t xml:space="preserve">Australian Capital Territory Government. COVID-19: ‘COVID-normal’ restrictions in effect today. [Internet.] Canberra: Australian Capital Territory Government; 14 April 2021. [Accessed on 28 April 2021.] Available from: https://www.covid19.act.gov.au/news-articles/covid-normal-restrictions-in-effect-today. </w:t>
      </w:r>
    </w:p>
    <w:p w:rsidR="00E52E78" w:rsidRPr="00D23910" w:rsidRDefault="00E52E78" w:rsidP="00D23910">
      <w:pPr>
        <w:pStyle w:val="ListParagraph"/>
        <w:numPr>
          <w:ilvl w:val="0"/>
          <w:numId w:val="14"/>
        </w:numPr>
        <w:rPr>
          <w:rFonts w:eastAsia="Times New Roman"/>
        </w:rPr>
      </w:pPr>
      <w:r w:rsidRPr="00D23910">
        <w:rPr>
          <w:rFonts w:eastAsia="Times New Roman"/>
        </w:rPr>
        <w:t xml:space="preserve">Australian Capital Territory Government. COVID-19: New travel requirements to ACT due to Perth and Peel lockdown. [Internet.] Canberra: Australian Capital Territory Government; 24 April 2021. [Accessed on 28 April 2021.] Available from: https://www.covid19.act.gov.au/news-articles/new-travel-requirements-to-act-due-to-perth-and-peel-lockdown. </w:t>
      </w:r>
    </w:p>
    <w:p w:rsidR="00E52E78" w:rsidRPr="00D23910" w:rsidRDefault="00E52E78" w:rsidP="00D23910">
      <w:pPr>
        <w:pStyle w:val="ListParagraph"/>
        <w:numPr>
          <w:ilvl w:val="0"/>
          <w:numId w:val="14"/>
        </w:numPr>
        <w:rPr>
          <w:rFonts w:eastAsia="Times New Roman"/>
        </w:rPr>
      </w:pPr>
      <w:r w:rsidRPr="00D23910">
        <w:rPr>
          <w:rFonts w:eastAsia="Times New Roman"/>
        </w:rPr>
        <w:t xml:space="preserve">Government of New South Wales. COVID-19 restrictions to ease but compliance must increase. [Internet.] Sydney: Government of New South Wales; 24 March 2021. [Accessed on 9 April 2021.] Available from: https://www.nsw.gov.au/media-releases/covid-19-restrictions-to-ease-but-compliance-must-increase. </w:t>
      </w:r>
    </w:p>
    <w:p w:rsidR="00E52E78" w:rsidRPr="00D23910" w:rsidRDefault="00E52E78" w:rsidP="00D23910">
      <w:pPr>
        <w:pStyle w:val="ListParagraph"/>
        <w:numPr>
          <w:ilvl w:val="0"/>
          <w:numId w:val="14"/>
        </w:numPr>
        <w:rPr>
          <w:rFonts w:eastAsia="Times New Roman"/>
        </w:rPr>
      </w:pPr>
      <w:r w:rsidRPr="00D23910">
        <w:rPr>
          <w:rFonts w:eastAsia="Times New Roman"/>
        </w:rPr>
        <w:lastRenderedPageBreak/>
        <w:t xml:space="preserve">Government of New South Wales Department of Health. Public health alert - Stay at home restrictions. [Internet.] Sydney: Government of New South Wales Department of Health; 29 March 2021. [Accessed on 27 April 2021.] Available from: https://www.health.nsw.gov.au/news/pages/20210329_02.aspx. </w:t>
      </w:r>
    </w:p>
    <w:p w:rsidR="00E52E78" w:rsidRPr="00D23910" w:rsidRDefault="00E52E78" w:rsidP="00D23910">
      <w:pPr>
        <w:pStyle w:val="ListParagraph"/>
        <w:numPr>
          <w:ilvl w:val="0"/>
          <w:numId w:val="14"/>
        </w:numPr>
        <w:rPr>
          <w:rFonts w:eastAsia="Times New Roman"/>
        </w:rPr>
      </w:pPr>
      <w:r w:rsidRPr="00D23910">
        <w:rPr>
          <w:rFonts w:eastAsia="Times New Roman"/>
        </w:rPr>
        <w:t xml:space="preserve">Government of New South Wales Department of Health. Public health alert - Western Australia. [Internet.] Sydney: Government of New South Wales Department of Health; 23 April 2021. [Accessed on 27 April 2021.] Available from: https://www.health.nsw.gov.au/news/pages/20210423_01.aspx. </w:t>
      </w:r>
    </w:p>
    <w:p w:rsidR="00E52E78" w:rsidRPr="00D23910" w:rsidRDefault="00E52E78" w:rsidP="00D23910">
      <w:pPr>
        <w:pStyle w:val="ListParagraph"/>
        <w:numPr>
          <w:ilvl w:val="0"/>
          <w:numId w:val="14"/>
        </w:numPr>
        <w:rPr>
          <w:rFonts w:eastAsia="Times New Roman"/>
        </w:rPr>
      </w:pPr>
      <w:r w:rsidRPr="00D23910">
        <w:rPr>
          <w:rFonts w:eastAsia="Times New Roman"/>
        </w:rPr>
        <w:t xml:space="preserve">Northern Territory Government. Coronavirus (COVID-19): COVID-19 Update: Additional Testing Requirements for Brisbane. [Internet.] Darwin: Northern Territory Government; 27 March 2021. [Accessed on 28 April 2021.] Available from: https://coronavirus.nt.gov.au/updates/items/2021-03-27-covid-19-update-additional-testing-requirements-for-brisbane. </w:t>
      </w:r>
    </w:p>
    <w:p w:rsidR="00E52E78" w:rsidRPr="00D23910" w:rsidRDefault="00E52E78" w:rsidP="00D23910">
      <w:pPr>
        <w:pStyle w:val="ListParagraph"/>
        <w:numPr>
          <w:ilvl w:val="0"/>
          <w:numId w:val="14"/>
        </w:numPr>
        <w:rPr>
          <w:rFonts w:eastAsia="Times New Roman"/>
        </w:rPr>
      </w:pPr>
      <w:r w:rsidRPr="00D23910">
        <w:rPr>
          <w:rFonts w:eastAsia="Times New Roman"/>
        </w:rPr>
        <w:t xml:space="preserve">Northern Territory Government. Coronavirus (COVID-19): Hotspots declared across Queensland. [Internet.] Darwin: Northern Territory Government; 29 March 2021. [Accessed on 28 April 2021.] Available from: https://coronavirus.nt.gov.au/updates/items/2021-03-29-hotspots-declared-across-queensland. </w:t>
      </w:r>
    </w:p>
    <w:p w:rsidR="00E52E78" w:rsidRPr="00D23910" w:rsidRDefault="00E52E78" w:rsidP="00D23910">
      <w:pPr>
        <w:pStyle w:val="ListParagraph"/>
        <w:numPr>
          <w:ilvl w:val="0"/>
          <w:numId w:val="14"/>
        </w:numPr>
        <w:rPr>
          <w:rFonts w:eastAsia="Times New Roman"/>
        </w:rPr>
      </w:pPr>
      <w:r w:rsidRPr="00D23910">
        <w:rPr>
          <w:rFonts w:eastAsia="Times New Roman"/>
        </w:rPr>
        <w:t xml:space="preserve">Northern Territory Government. Coronavirus (COVID-19): Byron Bay Hotspot and Watch and Wait over Gold Coast. [Internet.] Darwin: Northern Territory Government; 30 March 2021. [Accessed on 28 April 2021.] Available from: https://coronavirus.nt.gov.au/updates/items/2021-03-31-byron-bay-hotspot-and-watch-and-wait-over-gold-coast. </w:t>
      </w:r>
    </w:p>
    <w:p w:rsidR="00E52E78" w:rsidRPr="00D23910" w:rsidRDefault="00E52E78" w:rsidP="00D23910">
      <w:pPr>
        <w:pStyle w:val="ListParagraph"/>
        <w:numPr>
          <w:ilvl w:val="0"/>
          <w:numId w:val="14"/>
        </w:numPr>
        <w:rPr>
          <w:rFonts w:eastAsia="Times New Roman"/>
        </w:rPr>
      </w:pPr>
      <w:r w:rsidRPr="00D23910">
        <w:rPr>
          <w:rFonts w:eastAsia="Times New Roman"/>
        </w:rPr>
        <w:t xml:space="preserve">Northern Territory Government. Coronavirus (COVID-19): Queensland Hotspots Revoked. [Internet.] Darwin: Northern Territory Government; 1 April 2021. [Accessed on 28 April 2021.] Available from: https://coronavirus.nt.gov.au/updates/items/2021-04-01-queensland-hotspots-revoked. </w:t>
      </w:r>
    </w:p>
    <w:p w:rsidR="00E52E78" w:rsidRPr="00D23910" w:rsidRDefault="00E52E78" w:rsidP="00D23910">
      <w:pPr>
        <w:pStyle w:val="ListParagraph"/>
        <w:numPr>
          <w:ilvl w:val="0"/>
          <w:numId w:val="14"/>
        </w:numPr>
        <w:rPr>
          <w:rFonts w:eastAsia="Times New Roman"/>
        </w:rPr>
      </w:pPr>
      <w:r w:rsidRPr="00D23910">
        <w:rPr>
          <w:rFonts w:eastAsia="Times New Roman"/>
        </w:rPr>
        <w:t xml:space="preserve">Northern Territory Government. Coronavirus (COVID-19): Byron Shire Council Hotspot Revoked, Northern NSW Testing Mandated. [Internet.] Darwin: Northern Territory Government; 1 April 2021. [Accessed on 28 April 2021.] Available from: https://coronavirus.nt.gov.au/updates/items/2021-04-1-byron-shire-council-hotspot-revoked,-northern-nsw-testing-mandated. </w:t>
      </w:r>
    </w:p>
    <w:p w:rsidR="00E52E78" w:rsidRPr="00D23910" w:rsidRDefault="00E52E78" w:rsidP="00D23910">
      <w:pPr>
        <w:pStyle w:val="ListParagraph"/>
        <w:numPr>
          <w:ilvl w:val="0"/>
          <w:numId w:val="14"/>
        </w:numPr>
        <w:rPr>
          <w:rFonts w:eastAsia="Times New Roman"/>
        </w:rPr>
      </w:pPr>
      <w:r w:rsidRPr="00D23910">
        <w:rPr>
          <w:rFonts w:eastAsia="Times New Roman"/>
        </w:rPr>
        <w:t xml:space="preserve">Northern Territory Government. Coronavirus (COVID-19): COVID-19 Update: Metropolitan Perth and Peel Region Hotspots Declared. [Internet.] Darwin: Northern Territory Government; 23 April 2021. [Accessed on 28 April 2021.] Available from: https://coronavirus.nt.gov.au/updates/items/2021-04-23-covid-19-update-metropolitan-perth-and-peel-region-hotspots-declared. </w:t>
      </w:r>
    </w:p>
    <w:p w:rsidR="00E52E78" w:rsidRPr="00D23910" w:rsidRDefault="00E52E78" w:rsidP="00D23910">
      <w:pPr>
        <w:pStyle w:val="ListParagraph"/>
        <w:numPr>
          <w:ilvl w:val="0"/>
          <w:numId w:val="14"/>
        </w:numPr>
        <w:rPr>
          <w:rFonts w:eastAsia="Times New Roman"/>
        </w:rPr>
      </w:pPr>
      <w:r w:rsidRPr="00D23910">
        <w:rPr>
          <w:rFonts w:eastAsia="Times New Roman"/>
        </w:rPr>
        <w:t xml:space="preserve">Queensland Government. The Queensland Cabinet and Ministerial Directory: media statements. Greater Brisbane lockdown and Queensland restrictions. [Internet.] Brisbane: Queensland Government; 29 March 2021. [Accessed on 27 April 2021.] Available from: https://statements.qld.gov.au/statements/91825. </w:t>
      </w:r>
    </w:p>
    <w:p w:rsidR="00E52E78" w:rsidRPr="00D23910" w:rsidRDefault="00E52E78" w:rsidP="00D23910">
      <w:pPr>
        <w:pStyle w:val="ListParagraph"/>
        <w:numPr>
          <w:ilvl w:val="0"/>
          <w:numId w:val="14"/>
        </w:numPr>
        <w:rPr>
          <w:rFonts w:eastAsia="Times New Roman"/>
        </w:rPr>
      </w:pPr>
      <w:r w:rsidRPr="00D23910">
        <w:rPr>
          <w:rFonts w:eastAsia="Times New Roman"/>
        </w:rPr>
        <w:t xml:space="preserve">Queensland Government. Queensland’s COVID safe future. Update: easing of restrictions for greater Brisbane. Brisbane: Queensland Government; 2021. [Accessed on 27 April 2021.] Available from: https://www.covid19.qld.gov.au/__data/assets/pdf_file/0016/127150/DPC7309-COVID-19-Restrictions-roadmap.pdf. </w:t>
      </w:r>
    </w:p>
    <w:p w:rsidR="00E52E78" w:rsidRPr="00D23910" w:rsidRDefault="00E52E78" w:rsidP="00D23910">
      <w:pPr>
        <w:pStyle w:val="ListParagraph"/>
        <w:numPr>
          <w:ilvl w:val="0"/>
          <w:numId w:val="14"/>
        </w:numPr>
        <w:rPr>
          <w:rFonts w:eastAsia="Times New Roman"/>
        </w:rPr>
      </w:pPr>
      <w:r w:rsidRPr="00D23910">
        <w:rPr>
          <w:rFonts w:eastAsia="Times New Roman"/>
        </w:rPr>
        <w:t xml:space="preserve">Queensland Health. COVID-19 update: Queensland COVID-19 statistics. [Internet.] Brisbane: Queensland Government, Queensland Health; 2021. [Accessed on 27 April 2021.] Available from: https://www.qld.gov.au/health/conditions/health-alerts/coronavirus-covid-19/current-status/urgent-covid-19-update. </w:t>
      </w:r>
    </w:p>
    <w:p w:rsidR="00E52E78" w:rsidRPr="00D23910" w:rsidRDefault="00E52E78" w:rsidP="00D23910">
      <w:pPr>
        <w:pStyle w:val="ListParagraph"/>
        <w:numPr>
          <w:ilvl w:val="0"/>
          <w:numId w:val="14"/>
        </w:numPr>
        <w:rPr>
          <w:rFonts w:eastAsia="Times New Roman"/>
        </w:rPr>
      </w:pPr>
      <w:r w:rsidRPr="00D23910">
        <w:rPr>
          <w:rFonts w:eastAsia="Times New Roman"/>
        </w:rPr>
        <w:t xml:space="preserve">Government of South Australia. Latest news: COVID-19 Update 27 March. [Internet.] Adelaide: Government of South Australia; 27 March 2021. [Accessed on 28 April 2021.] Available from: https://www.covid-19.sa.gov.au/latest-news/covid-19-update-27-march. </w:t>
      </w:r>
    </w:p>
    <w:p w:rsidR="00E52E78" w:rsidRPr="00D23910" w:rsidRDefault="00E52E78" w:rsidP="00D23910">
      <w:pPr>
        <w:pStyle w:val="ListParagraph"/>
        <w:numPr>
          <w:ilvl w:val="0"/>
          <w:numId w:val="14"/>
        </w:numPr>
        <w:rPr>
          <w:rFonts w:eastAsia="Times New Roman"/>
        </w:rPr>
      </w:pPr>
      <w:r w:rsidRPr="00D23910">
        <w:rPr>
          <w:rFonts w:eastAsia="Times New Roman"/>
        </w:rPr>
        <w:t xml:space="preserve">Government of South Australia. Latest news: COVID-19 Update 24 April 2021. [Internet.] Adelaide: Government of South Australia; 24 April 2021. [Accessed on 28 April 2021.] Available from: https://www.covid-19.sa.gov.au/latest-news/covid-19-update-24-april-2021. </w:t>
      </w:r>
    </w:p>
    <w:p w:rsidR="00E52E78" w:rsidRPr="00D23910" w:rsidRDefault="00E52E78" w:rsidP="00D23910">
      <w:pPr>
        <w:pStyle w:val="ListParagraph"/>
        <w:numPr>
          <w:ilvl w:val="0"/>
          <w:numId w:val="14"/>
        </w:numPr>
        <w:rPr>
          <w:rFonts w:eastAsia="Times New Roman"/>
        </w:rPr>
      </w:pPr>
      <w:r w:rsidRPr="00D23910">
        <w:rPr>
          <w:rFonts w:eastAsia="Times New Roman"/>
        </w:rPr>
        <w:lastRenderedPageBreak/>
        <w:t xml:space="preserve">Tasmanian Government. Coronavirus disease (COVID-19). Important community updates: Western Australia update. [Internet.] Hobart: Tasmanian Government; 23 April 2021. [Accessed on 28 April 2021.] Available from: https://coronavirus.tas.gov.au/facts/important-community-updates. </w:t>
      </w:r>
    </w:p>
    <w:p w:rsidR="00E52E78" w:rsidRPr="00D23910" w:rsidRDefault="00E52E78" w:rsidP="00D23910">
      <w:pPr>
        <w:pStyle w:val="ListParagraph"/>
        <w:numPr>
          <w:ilvl w:val="0"/>
          <w:numId w:val="14"/>
        </w:numPr>
        <w:rPr>
          <w:rFonts w:eastAsia="Times New Roman"/>
        </w:rPr>
      </w:pPr>
      <w:r w:rsidRPr="00D23910">
        <w:rPr>
          <w:rFonts w:eastAsia="Times New Roman"/>
        </w:rPr>
        <w:t xml:space="preserve">Victoria State Government Department of Health and Human Services (DHHS). Updates: updates about the outbreak of the coronavirus disease (COVID-19). [Internet.] Melbourne: Victoria State Government, DHHS; April 2021. [Accessed on 27 April 2021.] Available from: https://www.dhhs.vic.gov.au/coronavirus/updates. </w:t>
      </w:r>
    </w:p>
    <w:p w:rsidR="00E52E78" w:rsidRPr="00D23910" w:rsidRDefault="00E52E78" w:rsidP="00D23910">
      <w:pPr>
        <w:pStyle w:val="ListParagraph"/>
        <w:numPr>
          <w:ilvl w:val="0"/>
          <w:numId w:val="14"/>
        </w:numPr>
        <w:rPr>
          <w:rFonts w:eastAsia="Times New Roman"/>
        </w:rPr>
      </w:pPr>
      <w:r w:rsidRPr="00D23910">
        <w:rPr>
          <w:rFonts w:eastAsia="Times New Roman"/>
        </w:rPr>
        <w:t xml:space="preserve">Government of Western Australia. WA introduces hard border with Queensland. [Internet.] Perth: Government of Western Australia; 29 March 2021. [Accessed on 27 April 2021.] Available from: https://www.wa.gov.au/government/announcements/wa-introduces-hard-border-queensland. </w:t>
      </w:r>
    </w:p>
    <w:p w:rsidR="00E52E78" w:rsidRPr="00D23910" w:rsidRDefault="00E52E78" w:rsidP="00D23910">
      <w:pPr>
        <w:pStyle w:val="ListParagraph"/>
        <w:numPr>
          <w:ilvl w:val="0"/>
          <w:numId w:val="14"/>
        </w:numPr>
        <w:rPr>
          <w:rFonts w:eastAsia="Times New Roman"/>
        </w:rPr>
      </w:pPr>
      <w:r w:rsidRPr="00D23910">
        <w:rPr>
          <w:rFonts w:eastAsia="Times New Roman"/>
        </w:rPr>
        <w:t xml:space="preserve">Government of Western Australia. Queensland to transition to ‘low risk’ state. [Internet.] Perth: Government of Western Australia; 6 April 2021. [Accessed on 27 April 2021.] Available from: https://www.wa.gov.au/government/announcements/queensland-transition-low-risk-state. </w:t>
      </w:r>
    </w:p>
    <w:p w:rsidR="00E52E78" w:rsidRPr="00D23910" w:rsidRDefault="00E52E78" w:rsidP="00D23910">
      <w:pPr>
        <w:pStyle w:val="ListParagraph"/>
        <w:numPr>
          <w:ilvl w:val="0"/>
          <w:numId w:val="14"/>
        </w:numPr>
        <w:rPr>
          <w:rFonts w:eastAsia="Times New Roman"/>
        </w:rPr>
      </w:pPr>
      <w:r w:rsidRPr="00D23910">
        <w:rPr>
          <w:rFonts w:eastAsia="Times New Roman"/>
        </w:rPr>
        <w:t xml:space="preserve">Government of Western Australia. WA’s strong position allows for more positive changes. [Internet.] Perth: Government of Western Australia; 9 April 2021. [Accessed on 27 April 2021.] Available from: https://www.wa.gov.au/government/announcements/was-strong-position-allows-more-positive-changes. </w:t>
      </w:r>
    </w:p>
    <w:p w:rsidR="00E52E78" w:rsidRPr="00D23910" w:rsidRDefault="00E52E78" w:rsidP="00D23910">
      <w:pPr>
        <w:pStyle w:val="ListParagraph"/>
        <w:numPr>
          <w:ilvl w:val="0"/>
          <w:numId w:val="14"/>
        </w:numPr>
        <w:rPr>
          <w:rFonts w:eastAsia="Times New Roman"/>
        </w:rPr>
      </w:pPr>
      <w:r w:rsidRPr="00D23910">
        <w:rPr>
          <w:rFonts w:eastAsia="Times New Roman"/>
        </w:rPr>
        <w:t xml:space="preserve">Government of Western Australia. Controlled interstate border changes - Queensland. [Internet.] Perth: Government of Western Australia; 9 April 2021. [Accessed on 27 April 2021.] Available from: https://www.wa.gov.au/government/announcements/controlled-interstate-border-changes-queensland. </w:t>
      </w:r>
    </w:p>
    <w:p w:rsidR="00E52E78" w:rsidRPr="00D23910" w:rsidRDefault="00E52E78" w:rsidP="00D23910">
      <w:pPr>
        <w:pStyle w:val="ListParagraph"/>
        <w:numPr>
          <w:ilvl w:val="0"/>
          <w:numId w:val="14"/>
        </w:numPr>
        <w:rPr>
          <w:rFonts w:eastAsia="Times New Roman"/>
        </w:rPr>
      </w:pPr>
      <w:r w:rsidRPr="00D23910">
        <w:rPr>
          <w:rFonts w:eastAsia="Times New Roman"/>
        </w:rPr>
        <w:t xml:space="preserve">Government of Western Australia. Perth metro and Peel to enter a 3-day lockdown. [Internet.] Perth: Government of Western Australia; 23 April 2021. [Accessed on 27 April 2021.] Available from: https://www.wa.gov.au/government/announcements/perth-metro-and-peel-enter-3-day-lockdown. </w:t>
      </w:r>
    </w:p>
    <w:p w:rsidR="00E52E78" w:rsidRPr="00D23910" w:rsidRDefault="00E52E78" w:rsidP="00D23910">
      <w:pPr>
        <w:pStyle w:val="ListParagraph"/>
        <w:numPr>
          <w:ilvl w:val="0"/>
          <w:numId w:val="14"/>
        </w:numPr>
        <w:rPr>
          <w:rFonts w:eastAsia="Times New Roman"/>
        </w:rPr>
      </w:pPr>
      <w:r w:rsidRPr="00D23910">
        <w:rPr>
          <w:rFonts w:eastAsia="Times New Roman"/>
        </w:rPr>
        <w:t xml:space="preserve">WHO. Weekly epidemiological update on COVID-19 – 27 April 2021. [Internet.] Geneva: WHO; 27 April 2021. [Accessed on 29 April 2021.] Available from: https://www.who.int/publications/m/item/weekly-epidemiological-update-on-covid-19---27-april-2021. </w:t>
      </w:r>
    </w:p>
    <w:p w:rsidR="00E52E78" w:rsidRPr="00D23910" w:rsidRDefault="00E52E78" w:rsidP="00D23910">
      <w:pPr>
        <w:pStyle w:val="ListParagraph"/>
        <w:numPr>
          <w:ilvl w:val="0"/>
          <w:numId w:val="14"/>
        </w:numPr>
        <w:rPr>
          <w:rFonts w:eastAsia="Times New Roman"/>
        </w:rPr>
      </w:pPr>
      <w:r w:rsidRPr="00D23910">
        <w:rPr>
          <w:rFonts w:eastAsia="Times New Roman"/>
        </w:rPr>
        <w:t xml:space="preserve">Our World in Data. Statistics and research: Coronavirus Pandemic (COVID-19). [Internet.] Oxford: University of Oxford, Our World in Data; 2021. [Accessed on 29 April 2021.] Available from: https://ourworldindata.org/coronavirus. </w:t>
      </w:r>
    </w:p>
    <w:p w:rsidR="00E52E78" w:rsidRPr="00D23910" w:rsidRDefault="00E52E78" w:rsidP="00D23910">
      <w:pPr>
        <w:pStyle w:val="ListParagraph"/>
        <w:numPr>
          <w:ilvl w:val="0"/>
          <w:numId w:val="14"/>
        </w:numPr>
        <w:rPr>
          <w:rFonts w:eastAsia="Times New Roman"/>
        </w:rPr>
      </w:pPr>
      <w:r w:rsidRPr="00D23910">
        <w:rPr>
          <w:rFonts w:eastAsia="Times New Roman"/>
        </w:rPr>
        <w:t xml:space="preserve">Our World in Data. Statistics and research: coronavirus (COVID-19) vaccinations. [Internet.] Oxford: University of Oxford, Our World in Data; 2021. [Accessed on 29 April 2021.] Available from: https://ourworldindata.org/covid-vaccinations. </w:t>
      </w:r>
    </w:p>
    <w:p w:rsidR="00E52E78" w:rsidRPr="00D23910" w:rsidRDefault="00E52E78" w:rsidP="00D23910">
      <w:pPr>
        <w:pStyle w:val="ListParagraph"/>
        <w:numPr>
          <w:ilvl w:val="0"/>
          <w:numId w:val="14"/>
        </w:numPr>
        <w:rPr>
          <w:rFonts w:eastAsia="Times New Roman"/>
        </w:rPr>
      </w:pPr>
      <w:r w:rsidRPr="00D23910">
        <w:rPr>
          <w:rFonts w:eastAsia="Times New Roman"/>
        </w:rPr>
        <w:t>Public Health England. Impact of COVID-19 vaccines on mortality in England: December 2020 to February 2021. London: Public Health England; 2021. [Accessed on 30 March 2021.] Available from: https://assets.publishing.service.gov.uk/government/uploads/system/uploads/attachment_data/file/972592/COVID-19_vaccine_impact_on_mortality_240321.pdf.</w:t>
      </w:r>
    </w:p>
    <w:p w:rsidR="00CA3A13" w:rsidRDefault="00CA3A13">
      <w:pPr>
        <w:rPr>
          <w:rFonts w:asciiTheme="majorHAnsi" w:eastAsiaTheme="majorEastAsia" w:hAnsiTheme="majorHAnsi" w:cstheme="majorBidi"/>
          <w:b/>
          <w:bCs/>
          <w:sz w:val="32"/>
          <w:szCs w:val="28"/>
        </w:rPr>
      </w:pPr>
      <w:r>
        <w:br w:type="page"/>
      </w:r>
    </w:p>
    <w:p w:rsidR="00E52E78" w:rsidRPr="00D23910" w:rsidRDefault="00E52E78" w:rsidP="00D23910">
      <w:pPr>
        <w:pStyle w:val="Heading1"/>
      </w:pPr>
      <w:r w:rsidRPr="00D23910">
        <w:lastRenderedPageBreak/>
        <w:t>Appendix A: Supplementary figures and tables</w:t>
      </w:r>
    </w:p>
    <w:p w:rsidR="00835970" w:rsidRPr="00B54E77" w:rsidRDefault="00835970" w:rsidP="00835970">
      <w:pPr>
        <w:pStyle w:val="CDIFigures"/>
      </w:pPr>
      <w:r w:rsidRPr="00B54E77">
        <w:rPr>
          <w:rStyle w:val="Strong"/>
          <w:b/>
          <w:bCs w:val="0"/>
        </w:rPr>
        <w:t>Table A.1: COVID-19 case notifications and rates per 100,000 population, by age group and sex, Australia, 25</w:t>
      </w:r>
      <w:r>
        <w:rPr>
          <w:rStyle w:val="Strong"/>
          <w:b/>
          <w:bCs w:val="0"/>
        </w:rPr>
        <w:t> </w:t>
      </w:r>
      <w:r w:rsidRPr="00B54E77">
        <w:rPr>
          <w:rStyle w:val="Strong"/>
          <w:b/>
          <w:bCs w:val="0"/>
        </w:rPr>
        <w:t>April</w:t>
      </w:r>
      <w:r>
        <w:rPr>
          <w:rStyle w:val="Strong"/>
          <w:b/>
          <w:bCs w:val="0"/>
        </w:rPr>
        <w:t> </w:t>
      </w:r>
      <w:r w:rsidRPr="00B54E77">
        <w:rPr>
          <w:rStyle w:val="Strong"/>
          <w:b/>
          <w:bCs w:val="0"/>
        </w:rPr>
        <w:t>2021</w:t>
      </w:r>
      <w:r w:rsidRPr="00B54E77">
        <w:t xml:space="preserve"> </w:t>
      </w:r>
    </w:p>
    <w:tbl>
      <w:tblPr>
        <w:tblStyle w:val="CDI-StandardTable"/>
        <w:tblW w:w="0" w:type="auto"/>
        <w:tblCellMar>
          <w:top w:w="113" w:type="dxa"/>
          <w:left w:w="57" w:type="dxa"/>
          <w:bottom w:w="113" w:type="dxa"/>
          <w:right w:w="57" w:type="dxa"/>
        </w:tblCellMar>
        <w:tblLook w:val="04A0" w:firstRow="1" w:lastRow="0" w:firstColumn="1" w:lastColumn="0" w:noHBand="0" w:noVBand="1"/>
        <w:tblDescription w:val="This table summarises cumulative and four-weekly confirmed cases and rates per 100,000 population, as a function of age group and sex.&#10;"/>
      </w:tblPr>
      <w:tblGrid>
        <w:gridCol w:w="982"/>
        <w:gridCol w:w="783"/>
        <w:gridCol w:w="783"/>
        <w:gridCol w:w="783"/>
        <w:gridCol w:w="784"/>
        <w:gridCol w:w="783"/>
        <w:gridCol w:w="783"/>
        <w:gridCol w:w="783"/>
        <w:gridCol w:w="784"/>
        <w:gridCol w:w="783"/>
        <w:gridCol w:w="783"/>
        <w:gridCol w:w="783"/>
        <w:gridCol w:w="784"/>
      </w:tblGrid>
      <w:tr w:rsidR="00835970" w:rsidRPr="001D4886" w:rsidTr="00D64527">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rsidR="00835970" w:rsidRPr="001D4886" w:rsidRDefault="00835970" w:rsidP="00EE1F6B">
            <w:pPr>
              <w:pStyle w:val="NormalWeb"/>
              <w:rPr>
                <w:color w:val="FFFFFF" w:themeColor="background1"/>
                <w:sz w:val="18"/>
                <w:szCs w:val="18"/>
              </w:rPr>
            </w:pPr>
            <w:r w:rsidRPr="001D4886">
              <w:rPr>
                <w:color w:val="FFFFFF" w:themeColor="background1"/>
                <w:sz w:val="18"/>
                <w:szCs w:val="18"/>
              </w:rPr>
              <w:t>Age group</w:t>
            </w:r>
          </w:p>
        </w:tc>
        <w:tc>
          <w:tcPr>
            <w:tcW w:w="4699" w:type="dxa"/>
            <w:gridSpan w:val="6"/>
            <w:tcBorders>
              <w:left w:val="single" w:sz="2" w:space="0" w:color="FFFFFF" w:themeColor="background1"/>
              <w:bottom w:val="single" w:sz="2" w:space="0" w:color="FFFFFF" w:themeColor="background1"/>
              <w:right w:val="single" w:sz="2" w:space="0" w:color="FFFFFF" w:themeColor="background1"/>
            </w:tcBorders>
            <w:hideMark/>
          </w:tcPr>
          <w:p w:rsidR="00835970" w:rsidRPr="001D4886" w:rsidRDefault="00835970" w:rsidP="00CA3A13">
            <w:pPr>
              <w:pStyle w:val="NormalWeb"/>
              <w:jc w:val="center"/>
              <w:rPr>
                <w:color w:val="FFFFFF" w:themeColor="background1"/>
                <w:sz w:val="18"/>
                <w:szCs w:val="18"/>
              </w:rPr>
            </w:pPr>
            <w:r w:rsidRPr="001D4886">
              <w:rPr>
                <w:color w:val="FFFFFF" w:themeColor="background1"/>
                <w:sz w:val="18"/>
                <w:szCs w:val="18"/>
              </w:rPr>
              <w:t>This reporting period</w:t>
            </w:r>
            <w:r w:rsidRPr="001D4886">
              <w:rPr>
                <w:color w:val="FFFFFF" w:themeColor="background1"/>
                <w:sz w:val="18"/>
                <w:szCs w:val="18"/>
              </w:rPr>
              <w:br/>
              <w:t>12–25 April 2021</w:t>
            </w:r>
          </w:p>
        </w:tc>
        <w:tc>
          <w:tcPr>
            <w:tcW w:w="4700" w:type="dxa"/>
            <w:gridSpan w:val="6"/>
            <w:tcBorders>
              <w:left w:val="single" w:sz="2" w:space="0" w:color="FFFFFF" w:themeColor="background1"/>
              <w:bottom w:val="single" w:sz="2" w:space="0" w:color="FFFFFF" w:themeColor="background1"/>
            </w:tcBorders>
            <w:hideMark/>
          </w:tcPr>
          <w:p w:rsidR="00835970" w:rsidRPr="001D4886" w:rsidRDefault="00835970" w:rsidP="00CA3A13">
            <w:pPr>
              <w:pStyle w:val="NormalWeb"/>
              <w:jc w:val="center"/>
              <w:rPr>
                <w:color w:val="FFFFFF" w:themeColor="background1"/>
                <w:sz w:val="18"/>
                <w:szCs w:val="18"/>
              </w:rPr>
            </w:pPr>
            <w:r w:rsidRPr="001D4886">
              <w:rPr>
                <w:color w:val="FFFFFF" w:themeColor="background1"/>
                <w:sz w:val="18"/>
                <w:szCs w:val="18"/>
              </w:rPr>
              <w:t>Cumulative</w:t>
            </w:r>
            <w:r w:rsidRPr="001D4886">
              <w:rPr>
                <w:color w:val="FFFFFF" w:themeColor="background1"/>
                <w:sz w:val="18"/>
                <w:szCs w:val="18"/>
              </w:rPr>
              <w:br/>
              <w:t>23 January 2020 – 25 April 2021</w:t>
            </w:r>
          </w:p>
        </w:tc>
      </w:tr>
      <w:tr w:rsidR="00835970" w:rsidRPr="001D4886" w:rsidTr="00D64527">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bottom w:val="single" w:sz="2" w:space="0" w:color="FFFFFF" w:themeColor="background1"/>
              <w:right w:val="single" w:sz="2" w:space="0" w:color="FFFFFF" w:themeColor="background1"/>
            </w:tcBorders>
            <w:hideMark/>
          </w:tcPr>
          <w:p w:rsidR="00835970" w:rsidRPr="001D4886" w:rsidRDefault="00835970" w:rsidP="00EE1F6B">
            <w:pPr>
              <w:rPr>
                <w:color w:val="FFFFFF" w:themeColor="background1"/>
                <w:sz w:val="18"/>
                <w:szCs w:val="18"/>
              </w:rPr>
            </w:pPr>
          </w:p>
        </w:tc>
        <w:tc>
          <w:tcPr>
            <w:tcW w:w="2349"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rsidR="00835970" w:rsidRPr="001D4886" w:rsidRDefault="00835970" w:rsidP="00CA3A13">
            <w:pPr>
              <w:pStyle w:val="NormalWeb"/>
              <w:jc w:val="center"/>
              <w:rPr>
                <w:color w:val="FFFFFF" w:themeColor="background1"/>
                <w:sz w:val="18"/>
                <w:szCs w:val="18"/>
              </w:rPr>
            </w:pPr>
            <w:r w:rsidRPr="001D4886">
              <w:rPr>
                <w:color w:val="FFFFFF" w:themeColor="background1"/>
                <w:sz w:val="18"/>
                <w:szCs w:val="18"/>
              </w:rPr>
              <w:t>Cases</w:t>
            </w:r>
          </w:p>
        </w:tc>
        <w:tc>
          <w:tcPr>
            <w:tcW w:w="2350"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rsidR="00835970" w:rsidRPr="001D4886" w:rsidRDefault="00835970" w:rsidP="00CA3A13">
            <w:pPr>
              <w:pStyle w:val="NormalWeb"/>
              <w:jc w:val="center"/>
              <w:rPr>
                <w:color w:val="FFFFFF" w:themeColor="background1"/>
                <w:sz w:val="18"/>
                <w:szCs w:val="18"/>
              </w:rPr>
            </w:pPr>
            <w:r w:rsidRPr="001D4886">
              <w:rPr>
                <w:color w:val="FFFFFF" w:themeColor="background1"/>
                <w:sz w:val="18"/>
                <w:szCs w:val="18"/>
              </w:rPr>
              <w:t xml:space="preserve">Rate per 100,000 </w:t>
            </w:r>
            <w:proofErr w:type="spellStart"/>
            <w:r w:rsidRPr="001D4886">
              <w:rPr>
                <w:color w:val="FFFFFF" w:themeColor="background1"/>
                <w:sz w:val="18"/>
                <w:szCs w:val="18"/>
              </w:rPr>
              <w:t>population</w:t>
            </w:r>
            <w:r w:rsidRPr="001D4886">
              <w:rPr>
                <w:color w:val="FFFFFF" w:themeColor="background1"/>
                <w:sz w:val="18"/>
                <w:szCs w:val="18"/>
                <w:vertAlign w:val="superscript"/>
              </w:rPr>
              <w:t>a</w:t>
            </w:r>
            <w:proofErr w:type="spellEnd"/>
          </w:p>
        </w:tc>
        <w:tc>
          <w:tcPr>
            <w:tcW w:w="2350"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rsidR="00835970" w:rsidRPr="001D4886" w:rsidRDefault="00835970" w:rsidP="00CA3A13">
            <w:pPr>
              <w:pStyle w:val="NormalWeb"/>
              <w:jc w:val="center"/>
              <w:rPr>
                <w:color w:val="FFFFFF" w:themeColor="background1"/>
                <w:sz w:val="18"/>
                <w:szCs w:val="18"/>
              </w:rPr>
            </w:pPr>
            <w:r w:rsidRPr="001D4886">
              <w:rPr>
                <w:color w:val="FFFFFF" w:themeColor="background1"/>
                <w:sz w:val="18"/>
                <w:szCs w:val="18"/>
              </w:rPr>
              <w:t>Cases</w:t>
            </w:r>
          </w:p>
        </w:tc>
        <w:tc>
          <w:tcPr>
            <w:tcW w:w="2350" w:type="dxa"/>
            <w:gridSpan w:val="3"/>
            <w:tcBorders>
              <w:top w:val="single" w:sz="2" w:space="0" w:color="FFFFFF" w:themeColor="background1"/>
              <w:left w:val="single" w:sz="2" w:space="0" w:color="FFFFFF" w:themeColor="background1"/>
              <w:bottom w:val="single" w:sz="2" w:space="0" w:color="FFFFFF" w:themeColor="background1"/>
            </w:tcBorders>
            <w:hideMark/>
          </w:tcPr>
          <w:p w:rsidR="00835970" w:rsidRPr="001D4886" w:rsidRDefault="00835970" w:rsidP="00CA3A13">
            <w:pPr>
              <w:pStyle w:val="NormalWeb"/>
              <w:jc w:val="center"/>
              <w:rPr>
                <w:color w:val="FFFFFF" w:themeColor="background1"/>
                <w:sz w:val="18"/>
                <w:szCs w:val="18"/>
              </w:rPr>
            </w:pPr>
            <w:r w:rsidRPr="001D4886">
              <w:rPr>
                <w:color w:val="FFFFFF" w:themeColor="background1"/>
                <w:sz w:val="18"/>
                <w:szCs w:val="18"/>
              </w:rPr>
              <w:t xml:space="preserve">Rate per 100,000 </w:t>
            </w:r>
            <w:proofErr w:type="spellStart"/>
            <w:r w:rsidRPr="001D4886">
              <w:rPr>
                <w:color w:val="FFFFFF" w:themeColor="background1"/>
                <w:sz w:val="18"/>
                <w:szCs w:val="18"/>
              </w:rPr>
              <w:t>population</w:t>
            </w:r>
            <w:r w:rsidRPr="001D4886">
              <w:rPr>
                <w:color w:val="FFFFFF" w:themeColor="background1"/>
                <w:sz w:val="18"/>
                <w:szCs w:val="18"/>
                <w:vertAlign w:val="superscript"/>
              </w:rPr>
              <w:t>a</w:t>
            </w:r>
            <w:proofErr w:type="spellEnd"/>
          </w:p>
        </w:tc>
      </w:tr>
      <w:tr w:rsidR="00CA3A13" w:rsidRPr="001D4886" w:rsidTr="00D64527">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rsidR="00835970" w:rsidRPr="001D4886" w:rsidRDefault="00835970" w:rsidP="00EE1F6B">
            <w:pPr>
              <w:rPr>
                <w:color w:val="FFFFFF" w:themeColor="background1"/>
                <w:sz w:val="18"/>
                <w:szCs w:val="18"/>
              </w:rPr>
            </w:pPr>
          </w:p>
        </w:tc>
        <w:tc>
          <w:tcPr>
            <w:tcW w:w="783" w:type="dxa"/>
            <w:tcBorders>
              <w:top w:val="single" w:sz="2" w:space="0" w:color="FFFFFF" w:themeColor="background1"/>
              <w:left w:val="single" w:sz="2" w:space="0" w:color="FFFFFF" w:themeColor="background1"/>
              <w:right w:val="single" w:sz="2" w:space="0" w:color="FFFFFF" w:themeColor="background1"/>
            </w:tcBorders>
            <w:hideMark/>
          </w:tcPr>
          <w:p w:rsidR="00835970" w:rsidRPr="001D4886" w:rsidRDefault="00835970" w:rsidP="00CA3A13">
            <w:pPr>
              <w:pStyle w:val="NormalWeb"/>
              <w:jc w:val="center"/>
              <w:rPr>
                <w:color w:val="FFFFFF" w:themeColor="background1"/>
                <w:sz w:val="18"/>
                <w:szCs w:val="18"/>
              </w:rPr>
            </w:pPr>
            <w:r w:rsidRPr="001D4886">
              <w:rPr>
                <w:color w:val="FFFFFF" w:themeColor="background1"/>
                <w:sz w:val="18"/>
                <w:szCs w:val="18"/>
              </w:rPr>
              <w:t>Male</w:t>
            </w:r>
          </w:p>
        </w:tc>
        <w:tc>
          <w:tcPr>
            <w:tcW w:w="783" w:type="dxa"/>
            <w:tcBorders>
              <w:top w:val="single" w:sz="2" w:space="0" w:color="FFFFFF" w:themeColor="background1"/>
              <w:left w:val="single" w:sz="2" w:space="0" w:color="FFFFFF" w:themeColor="background1"/>
              <w:right w:val="single" w:sz="2" w:space="0" w:color="FFFFFF" w:themeColor="background1"/>
            </w:tcBorders>
            <w:hideMark/>
          </w:tcPr>
          <w:p w:rsidR="00835970" w:rsidRPr="001D4886" w:rsidRDefault="00835970" w:rsidP="00CA3A13">
            <w:pPr>
              <w:pStyle w:val="NormalWeb"/>
              <w:jc w:val="center"/>
              <w:rPr>
                <w:color w:val="FFFFFF" w:themeColor="background1"/>
                <w:sz w:val="18"/>
                <w:szCs w:val="18"/>
              </w:rPr>
            </w:pPr>
            <w:r w:rsidRPr="001D4886">
              <w:rPr>
                <w:color w:val="FFFFFF" w:themeColor="background1"/>
                <w:sz w:val="18"/>
                <w:szCs w:val="18"/>
              </w:rPr>
              <w:t>Female</w:t>
            </w:r>
          </w:p>
        </w:tc>
        <w:tc>
          <w:tcPr>
            <w:tcW w:w="783" w:type="dxa"/>
            <w:tcBorders>
              <w:top w:val="single" w:sz="2" w:space="0" w:color="FFFFFF" w:themeColor="background1"/>
              <w:left w:val="single" w:sz="2" w:space="0" w:color="FFFFFF" w:themeColor="background1"/>
              <w:right w:val="single" w:sz="2" w:space="0" w:color="FFFFFF" w:themeColor="background1"/>
            </w:tcBorders>
            <w:hideMark/>
          </w:tcPr>
          <w:p w:rsidR="00835970" w:rsidRPr="001D4886" w:rsidRDefault="00835970" w:rsidP="00CA3A13">
            <w:pPr>
              <w:pStyle w:val="NormalWeb"/>
              <w:jc w:val="center"/>
              <w:rPr>
                <w:color w:val="FFFFFF" w:themeColor="background1"/>
                <w:sz w:val="18"/>
                <w:szCs w:val="18"/>
              </w:rPr>
            </w:pPr>
            <w:r w:rsidRPr="001D4886">
              <w:rPr>
                <w:color w:val="FFFFFF" w:themeColor="background1"/>
                <w:sz w:val="18"/>
                <w:szCs w:val="18"/>
              </w:rPr>
              <w:t>People</w:t>
            </w:r>
          </w:p>
        </w:tc>
        <w:tc>
          <w:tcPr>
            <w:tcW w:w="784" w:type="dxa"/>
            <w:tcBorders>
              <w:top w:val="single" w:sz="2" w:space="0" w:color="FFFFFF" w:themeColor="background1"/>
              <w:left w:val="single" w:sz="2" w:space="0" w:color="FFFFFF" w:themeColor="background1"/>
              <w:right w:val="single" w:sz="2" w:space="0" w:color="FFFFFF" w:themeColor="background1"/>
            </w:tcBorders>
            <w:hideMark/>
          </w:tcPr>
          <w:p w:rsidR="00835970" w:rsidRPr="001D4886" w:rsidRDefault="00835970" w:rsidP="00CA3A13">
            <w:pPr>
              <w:pStyle w:val="NormalWeb"/>
              <w:jc w:val="center"/>
              <w:rPr>
                <w:color w:val="FFFFFF" w:themeColor="background1"/>
                <w:sz w:val="18"/>
                <w:szCs w:val="18"/>
              </w:rPr>
            </w:pPr>
            <w:r w:rsidRPr="001D4886">
              <w:rPr>
                <w:color w:val="FFFFFF" w:themeColor="background1"/>
                <w:sz w:val="18"/>
                <w:szCs w:val="18"/>
              </w:rPr>
              <w:t>Male</w:t>
            </w:r>
          </w:p>
        </w:tc>
        <w:tc>
          <w:tcPr>
            <w:tcW w:w="783" w:type="dxa"/>
            <w:tcBorders>
              <w:top w:val="single" w:sz="2" w:space="0" w:color="FFFFFF" w:themeColor="background1"/>
              <w:left w:val="single" w:sz="2" w:space="0" w:color="FFFFFF" w:themeColor="background1"/>
              <w:right w:val="single" w:sz="2" w:space="0" w:color="FFFFFF" w:themeColor="background1"/>
            </w:tcBorders>
            <w:hideMark/>
          </w:tcPr>
          <w:p w:rsidR="00835970" w:rsidRPr="001D4886" w:rsidRDefault="00835970" w:rsidP="00CA3A13">
            <w:pPr>
              <w:pStyle w:val="NormalWeb"/>
              <w:jc w:val="center"/>
              <w:rPr>
                <w:color w:val="FFFFFF" w:themeColor="background1"/>
                <w:sz w:val="18"/>
                <w:szCs w:val="18"/>
              </w:rPr>
            </w:pPr>
            <w:r w:rsidRPr="001D4886">
              <w:rPr>
                <w:color w:val="FFFFFF" w:themeColor="background1"/>
                <w:sz w:val="18"/>
                <w:szCs w:val="18"/>
              </w:rPr>
              <w:t>Female</w:t>
            </w:r>
          </w:p>
        </w:tc>
        <w:tc>
          <w:tcPr>
            <w:tcW w:w="783" w:type="dxa"/>
            <w:tcBorders>
              <w:top w:val="single" w:sz="2" w:space="0" w:color="FFFFFF" w:themeColor="background1"/>
              <w:left w:val="single" w:sz="2" w:space="0" w:color="FFFFFF" w:themeColor="background1"/>
              <w:right w:val="single" w:sz="2" w:space="0" w:color="FFFFFF" w:themeColor="background1"/>
            </w:tcBorders>
            <w:hideMark/>
          </w:tcPr>
          <w:p w:rsidR="00835970" w:rsidRPr="001D4886" w:rsidRDefault="00835970" w:rsidP="00CA3A13">
            <w:pPr>
              <w:pStyle w:val="NormalWeb"/>
              <w:jc w:val="center"/>
              <w:rPr>
                <w:color w:val="FFFFFF" w:themeColor="background1"/>
                <w:sz w:val="18"/>
                <w:szCs w:val="18"/>
              </w:rPr>
            </w:pPr>
            <w:r w:rsidRPr="001D4886">
              <w:rPr>
                <w:color w:val="FFFFFF" w:themeColor="background1"/>
                <w:sz w:val="18"/>
                <w:szCs w:val="18"/>
              </w:rPr>
              <w:t>People</w:t>
            </w:r>
          </w:p>
        </w:tc>
        <w:tc>
          <w:tcPr>
            <w:tcW w:w="783" w:type="dxa"/>
            <w:tcBorders>
              <w:top w:val="single" w:sz="2" w:space="0" w:color="FFFFFF" w:themeColor="background1"/>
              <w:left w:val="single" w:sz="2" w:space="0" w:color="FFFFFF" w:themeColor="background1"/>
              <w:right w:val="single" w:sz="2" w:space="0" w:color="FFFFFF" w:themeColor="background1"/>
            </w:tcBorders>
            <w:hideMark/>
          </w:tcPr>
          <w:p w:rsidR="00835970" w:rsidRPr="001D4886" w:rsidRDefault="00835970" w:rsidP="00CA3A13">
            <w:pPr>
              <w:pStyle w:val="NormalWeb"/>
              <w:jc w:val="center"/>
              <w:rPr>
                <w:color w:val="FFFFFF" w:themeColor="background1"/>
                <w:sz w:val="18"/>
                <w:szCs w:val="18"/>
              </w:rPr>
            </w:pPr>
            <w:r w:rsidRPr="001D4886">
              <w:rPr>
                <w:color w:val="FFFFFF" w:themeColor="background1"/>
                <w:sz w:val="18"/>
                <w:szCs w:val="18"/>
              </w:rPr>
              <w:t>Male</w:t>
            </w:r>
          </w:p>
        </w:tc>
        <w:tc>
          <w:tcPr>
            <w:tcW w:w="784" w:type="dxa"/>
            <w:tcBorders>
              <w:top w:val="single" w:sz="2" w:space="0" w:color="FFFFFF" w:themeColor="background1"/>
              <w:left w:val="single" w:sz="2" w:space="0" w:color="FFFFFF" w:themeColor="background1"/>
              <w:right w:val="single" w:sz="2" w:space="0" w:color="FFFFFF" w:themeColor="background1"/>
            </w:tcBorders>
            <w:hideMark/>
          </w:tcPr>
          <w:p w:rsidR="00835970" w:rsidRPr="001D4886" w:rsidRDefault="00835970" w:rsidP="00CA3A13">
            <w:pPr>
              <w:pStyle w:val="NormalWeb"/>
              <w:jc w:val="center"/>
              <w:rPr>
                <w:color w:val="FFFFFF" w:themeColor="background1"/>
                <w:sz w:val="18"/>
                <w:szCs w:val="18"/>
              </w:rPr>
            </w:pPr>
            <w:r w:rsidRPr="001D4886">
              <w:rPr>
                <w:color w:val="FFFFFF" w:themeColor="background1"/>
                <w:sz w:val="18"/>
                <w:szCs w:val="18"/>
              </w:rPr>
              <w:t>Female</w:t>
            </w:r>
          </w:p>
        </w:tc>
        <w:tc>
          <w:tcPr>
            <w:tcW w:w="783" w:type="dxa"/>
            <w:tcBorders>
              <w:top w:val="single" w:sz="2" w:space="0" w:color="FFFFFF" w:themeColor="background1"/>
              <w:left w:val="single" w:sz="2" w:space="0" w:color="FFFFFF" w:themeColor="background1"/>
              <w:right w:val="single" w:sz="2" w:space="0" w:color="FFFFFF" w:themeColor="background1"/>
            </w:tcBorders>
            <w:hideMark/>
          </w:tcPr>
          <w:p w:rsidR="00835970" w:rsidRPr="001D4886" w:rsidRDefault="00835970" w:rsidP="00CA3A13">
            <w:pPr>
              <w:pStyle w:val="NormalWeb"/>
              <w:jc w:val="center"/>
              <w:rPr>
                <w:color w:val="FFFFFF" w:themeColor="background1"/>
                <w:sz w:val="18"/>
                <w:szCs w:val="18"/>
              </w:rPr>
            </w:pPr>
            <w:r w:rsidRPr="001D4886">
              <w:rPr>
                <w:color w:val="FFFFFF" w:themeColor="background1"/>
                <w:sz w:val="18"/>
                <w:szCs w:val="18"/>
              </w:rPr>
              <w:t>People</w:t>
            </w:r>
          </w:p>
        </w:tc>
        <w:tc>
          <w:tcPr>
            <w:tcW w:w="783" w:type="dxa"/>
            <w:tcBorders>
              <w:top w:val="single" w:sz="2" w:space="0" w:color="FFFFFF" w:themeColor="background1"/>
              <w:left w:val="single" w:sz="2" w:space="0" w:color="FFFFFF" w:themeColor="background1"/>
              <w:right w:val="single" w:sz="2" w:space="0" w:color="FFFFFF" w:themeColor="background1"/>
            </w:tcBorders>
            <w:hideMark/>
          </w:tcPr>
          <w:p w:rsidR="00835970" w:rsidRPr="001D4886" w:rsidRDefault="00835970" w:rsidP="00CA3A13">
            <w:pPr>
              <w:pStyle w:val="NormalWeb"/>
              <w:jc w:val="center"/>
              <w:rPr>
                <w:color w:val="FFFFFF" w:themeColor="background1"/>
                <w:sz w:val="18"/>
                <w:szCs w:val="18"/>
              </w:rPr>
            </w:pPr>
            <w:r w:rsidRPr="001D4886">
              <w:rPr>
                <w:color w:val="FFFFFF" w:themeColor="background1"/>
                <w:sz w:val="18"/>
                <w:szCs w:val="18"/>
              </w:rPr>
              <w:t>Male</w:t>
            </w:r>
          </w:p>
        </w:tc>
        <w:tc>
          <w:tcPr>
            <w:tcW w:w="783" w:type="dxa"/>
            <w:tcBorders>
              <w:top w:val="single" w:sz="2" w:space="0" w:color="FFFFFF" w:themeColor="background1"/>
              <w:left w:val="single" w:sz="2" w:space="0" w:color="FFFFFF" w:themeColor="background1"/>
              <w:right w:val="single" w:sz="2" w:space="0" w:color="FFFFFF" w:themeColor="background1"/>
            </w:tcBorders>
            <w:hideMark/>
          </w:tcPr>
          <w:p w:rsidR="00835970" w:rsidRPr="001D4886" w:rsidRDefault="00835970" w:rsidP="00CA3A13">
            <w:pPr>
              <w:pStyle w:val="NormalWeb"/>
              <w:jc w:val="center"/>
              <w:rPr>
                <w:color w:val="FFFFFF" w:themeColor="background1"/>
                <w:sz w:val="18"/>
                <w:szCs w:val="18"/>
              </w:rPr>
            </w:pPr>
            <w:r w:rsidRPr="001D4886">
              <w:rPr>
                <w:color w:val="FFFFFF" w:themeColor="background1"/>
                <w:sz w:val="18"/>
                <w:szCs w:val="18"/>
              </w:rPr>
              <w:t>Female</w:t>
            </w:r>
          </w:p>
        </w:tc>
        <w:tc>
          <w:tcPr>
            <w:tcW w:w="784" w:type="dxa"/>
            <w:tcBorders>
              <w:top w:val="single" w:sz="2" w:space="0" w:color="FFFFFF" w:themeColor="background1"/>
              <w:left w:val="single" w:sz="2" w:space="0" w:color="FFFFFF" w:themeColor="background1"/>
            </w:tcBorders>
            <w:hideMark/>
          </w:tcPr>
          <w:p w:rsidR="00835970" w:rsidRPr="001D4886" w:rsidRDefault="00835970" w:rsidP="00CA3A13">
            <w:pPr>
              <w:pStyle w:val="NormalWeb"/>
              <w:jc w:val="center"/>
              <w:rPr>
                <w:color w:val="FFFFFF" w:themeColor="background1"/>
                <w:sz w:val="18"/>
                <w:szCs w:val="18"/>
              </w:rPr>
            </w:pPr>
            <w:r w:rsidRPr="001D4886">
              <w:rPr>
                <w:color w:val="FFFFFF" w:themeColor="background1"/>
                <w:sz w:val="18"/>
                <w:szCs w:val="18"/>
              </w:rPr>
              <w:t>People</w:t>
            </w:r>
          </w:p>
        </w:tc>
      </w:tr>
      <w:tr w:rsidR="00835970" w:rsidRPr="001D4886" w:rsidTr="00D64527">
        <w:tc>
          <w:tcPr>
            <w:tcW w:w="0" w:type="auto"/>
            <w:hideMark/>
          </w:tcPr>
          <w:p w:rsidR="00835970" w:rsidRPr="001D4886" w:rsidRDefault="00835970" w:rsidP="00EE1F6B">
            <w:pPr>
              <w:pStyle w:val="NormalWeb"/>
              <w:rPr>
                <w:sz w:val="18"/>
                <w:szCs w:val="18"/>
              </w:rPr>
            </w:pPr>
            <w:r w:rsidRPr="001D4886">
              <w:rPr>
                <w:sz w:val="18"/>
                <w:szCs w:val="18"/>
              </w:rPr>
              <w:t>0 to 9</w:t>
            </w:r>
          </w:p>
        </w:tc>
        <w:tc>
          <w:tcPr>
            <w:tcW w:w="783" w:type="dxa"/>
            <w:hideMark/>
          </w:tcPr>
          <w:p w:rsidR="00835970" w:rsidRPr="001D4886" w:rsidRDefault="00835970" w:rsidP="00CA3A13">
            <w:pPr>
              <w:pStyle w:val="NormalWeb"/>
              <w:jc w:val="center"/>
              <w:rPr>
                <w:sz w:val="18"/>
                <w:szCs w:val="18"/>
              </w:rPr>
            </w:pPr>
            <w:r w:rsidRPr="001D4886">
              <w:rPr>
                <w:sz w:val="18"/>
                <w:szCs w:val="18"/>
              </w:rPr>
              <w:t>18</w:t>
            </w:r>
          </w:p>
        </w:tc>
        <w:tc>
          <w:tcPr>
            <w:tcW w:w="783" w:type="dxa"/>
            <w:hideMark/>
          </w:tcPr>
          <w:p w:rsidR="00835970" w:rsidRPr="001D4886" w:rsidRDefault="00835970" w:rsidP="00CA3A13">
            <w:pPr>
              <w:pStyle w:val="NormalWeb"/>
              <w:jc w:val="center"/>
              <w:rPr>
                <w:sz w:val="18"/>
                <w:szCs w:val="18"/>
              </w:rPr>
            </w:pPr>
            <w:r w:rsidRPr="001D4886">
              <w:rPr>
                <w:sz w:val="18"/>
                <w:szCs w:val="18"/>
              </w:rPr>
              <w:t>19</w:t>
            </w:r>
          </w:p>
        </w:tc>
        <w:tc>
          <w:tcPr>
            <w:tcW w:w="783" w:type="dxa"/>
            <w:hideMark/>
          </w:tcPr>
          <w:p w:rsidR="00835970" w:rsidRPr="001D4886" w:rsidRDefault="00835970" w:rsidP="00CA3A13">
            <w:pPr>
              <w:pStyle w:val="NormalWeb"/>
              <w:jc w:val="center"/>
              <w:rPr>
                <w:sz w:val="18"/>
                <w:szCs w:val="18"/>
              </w:rPr>
            </w:pPr>
            <w:r w:rsidRPr="001D4886">
              <w:rPr>
                <w:sz w:val="18"/>
                <w:szCs w:val="18"/>
              </w:rPr>
              <w:t>37</w:t>
            </w:r>
          </w:p>
        </w:tc>
        <w:tc>
          <w:tcPr>
            <w:tcW w:w="784" w:type="dxa"/>
            <w:hideMark/>
          </w:tcPr>
          <w:p w:rsidR="00835970" w:rsidRPr="001D4886" w:rsidRDefault="00835970" w:rsidP="00CA3A13">
            <w:pPr>
              <w:pStyle w:val="NormalWeb"/>
              <w:jc w:val="center"/>
              <w:rPr>
                <w:sz w:val="18"/>
                <w:szCs w:val="18"/>
              </w:rPr>
            </w:pPr>
            <w:r w:rsidRPr="001D4886">
              <w:rPr>
                <w:sz w:val="18"/>
                <w:szCs w:val="18"/>
              </w:rPr>
              <w:t>1.1</w:t>
            </w:r>
          </w:p>
        </w:tc>
        <w:tc>
          <w:tcPr>
            <w:tcW w:w="783" w:type="dxa"/>
            <w:hideMark/>
          </w:tcPr>
          <w:p w:rsidR="00835970" w:rsidRPr="001D4886" w:rsidRDefault="00835970" w:rsidP="00CA3A13">
            <w:pPr>
              <w:pStyle w:val="NormalWeb"/>
              <w:jc w:val="center"/>
              <w:rPr>
                <w:sz w:val="18"/>
                <w:szCs w:val="18"/>
              </w:rPr>
            </w:pPr>
            <w:r w:rsidRPr="001D4886">
              <w:rPr>
                <w:sz w:val="18"/>
                <w:szCs w:val="18"/>
              </w:rPr>
              <w:t>1.2</w:t>
            </w:r>
          </w:p>
        </w:tc>
        <w:tc>
          <w:tcPr>
            <w:tcW w:w="783" w:type="dxa"/>
            <w:hideMark/>
          </w:tcPr>
          <w:p w:rsidR="00835970" w:rsidRPr="001D4886" w:rsidRDefault="00835970" w:rsidP="00CA3A13">
            <w:pPr>
              <w:pStyle w:val="NormalWeb"/>
              <w:jc w:val="center"/>
              <w:rPr>
                <w:sz w:val="18"/>
                <w:szCs w:val="18"/>
              </w:rPr>
            </w:pPr>
            <w:r w:rsidRPr="001D4886">
              <w:rPr>
                <w:sz w:val="18"/>
                <w:szCs w:val="18"/>
              </w:rPr>
              <w:t>1.2</w:t>
            </w:r>
          </w:p>
        </w:tc>
        <w:tc>
          <w:tcPr>
            <w:tcW w:w="783" w:type="dxa"/>
            <w:hideMark/>
          </w:tcPr>
          <w:p w:rsidR="00835970" w:rsidRPr="001D4886" w:rsidRDefault="00835970" w:rsidP="00CA3A13">
            <w:pPr>
              <w:pStyle w:val="NormalWeb"/>
              <w:jc w:val="center"/>
              <w:rPr>
                <w:sz w:val="18"/>
                <w:szCs w:val="18"/>
              </w:rPr>
            </w:pPr>
            <w:r w:rsidRPr="001D4886">
              <w:rPr>
                <w:sz w:val="18"/>
                <w:szCs w:val="18"/>
              </w:rPr>
              <w:t>837</w:t>
            </w:r>
          </w:p>
        </w:tc>
        <w:tc>
          <w:tcPr>
            <w:tcW w:w="784" w:type="dxa"/>
            <w:hideMark/>
          </w:tcPr>
          <w:p w:rsidR="00835970" w:rsidRPr="001D4886" w:rsidRDefault="00835970" w:rsidP="00CA3A13">
            <w:pPr>
              <w:pStyle w:val="NormalWeb"/>
              <w:jc w:val="center"/>
              <w:rPr>
                <w:sz w:val="18"/>
                <w:szCs w:val="18"/>
              </w:rPr>
            </w:pPr>
            <w:r w:rsidRPr="001D4886">
              <w:rPr>
                <w:sz w:val="18"/>
                <w:szCs w:val="18"/>
              </w:rPr>
              <w:t>759</w:t>
            </w:r>
          </w:p>
        </w:tc>
        <w:tc>
          <w:tcPr>
            <w:tcW w:w="783" w:type="dxa"/>
            <w:hideMark/>
          </w:tcPr>
          <w:p w:rsidR="00835970" w:rsidRPr="001D4886" w:rsidRDefault="00835970" w:rsidP="00CA3A13">
            <w:pPr>
              <w:pStyle w:val="NormalWeb"/>
              <w:jc w:val="center"/>
              <w:rPr>
                <w:sz w:val="18"/>
                <w:szCs w:val="18"/>
              </w:rPr>
            </w:pPr>
            <w:r w:rsidRPr="001D4886">
              <w:rPr>
                <w:sz w:val="18"/>
                <w:szCs w:val="18"/>
              </w:rPr>
              <w:t>1,596</w:t>
            </w:r>
          </w:p>
        </w:tc>
        <w:tc>
          <w:tcPr>
            <w:tcW w:w="783" w:type="dxa"/>
            <w:hideMark/>
          </w:tcPr>
          <w:p w:rsidR="00835970" w:rsidRPr="001D4886" w:rsidRDefault="00835970" w:rsidP="00CA3A13">
            <w:pPr>
              <w:pStyle w:val="NormalWeb"/>
              <w:jc w:val="center"/>
              <w:rPr>
                <w:sz w:val="18"/>
                <w:szCs w:val="18"/>
              </w:rPr>
            </w:pPr>
            <w:r w:rsidRPr="001D4886">
              <w:rPr>
                <w:sz w:val="18"/>
                <w:szCs w:val="18"/>
              </w:rPr>
              <w:t>51.1</w:t>
            </w:r>
          </w:p>
        </w:tc>
        <w:tc>
          <w:tcPr>
            <w:tcW w:w="783" w:type="dxa"/>
            <w:hideMark/>
          </w:tcPr>
          <w:p w:rsidR="00835970" w:rsidRPr="001D4886" w:rsidRDefault="00835970" w:rsidP="00CA3A13">
            <w:pPr>
              <w:pStyle w:val="NormalWeb"/>
              <w:jc w:val="center"/>
              <w:rPr>
                <w:sz w:val="18"/>
                <w:szCs w:val="18"/>
              </w:rPr>
            </w:pPr>
            <w:r w:rsidRPr="001D4886">
              <w:rPr>
                <w:sz w:val="18"/>
                <w:szCs w:val="18"/>
              </w:rPr>
              <w:t>49.0</w:t>
            </w:r>
          </w:p>
        </w:tc>
        <w:tc>
          <w:tcPr>
            <w:tcW w:w="784" w:type="dxa"/>
            <w:hideMark/>
          </w:tcPr>
          <w:p w:rsidR="00835970" w:rsidRPr="001D4886" w:rsidRDefault="00835970" w:rsidP="00CA3A13">
            <w:pPr>
              <w:pStyle w:val="NormalWeb"/>
              <w:jc w:val="center"/>
              <w:rPr>
                <w:sz w:val="18"/>
                <w:szCs w:val="18"/>
              </w:rPr>
            </w:pPr>
            <w:r w:rsidRPr="001D4886">
              <w:rPr>
                <w:sz w:val="18"/>
                <w:szCs w:val="18"/>
              </w:rPr>
              <w:t>50.1</w:t>
            </w:r>
          </w:p>
        </w:tc>
      </w:tr>
      <w:tr w:rsidR="00CA3A13" w:rsidRPr="001D4886" w:rsidTr="00D64527">
        <w:trPr>
          <w:cnfStyle w:val="000000010000" w:firstRow="0" w:lastRow="0" w:firstColumn="0" w:lastColumn="0" w:oddVBand="0" w:evenVBand="0" w:oddHBand="0" w:evenHBand="1" w:firstRowFirstColumn="0" w:firstRowLastColumn="0" w:lastRowFirstColumn="0" w:lastRowLastColumn="0"/>
        </w:trPr>
        <w:tc>
          <w:tcPr>
            <w:tcW w:w="0" w:type="auto"/>
            <w:hideMark/>
          </w:tcPr>
          <w:p w:rsidR="00835970" w:rsidRPr="001D4886" w:rsidRDefault="00835970" w:rsidP="00EE1F6B">
            <w:pPr>
              <w:pStyle w:val="NormalWeb"/>
              <w:rPr>
                <w:sz w:val="18"/>
                <w:szCs w:val="18"/>
              </w:rPr>
            </w:pPr>
            <w:r w:rsidRPr="001D4886">
              <w:rPr>
                <w:sz w:val="18"/>
                <w:szCs w:val="18"/>
              </w:rPr>
              <w:t>10 to 19</w:t>
            </w:r>
          </w:p>
        </w:tc>
        <w:tc>
          <w:tcPr>
            <w:tcW w:w="783" w:type="dxa"/>
            <w:hideMark/>
          </w:tcPr>
          <w:p w:rsidR="00835970" w:rsidRPr="001D4886" w:rsidRDefault="00835970" w:rsidP="00CA3A13">
            <w:pPr>
              <w:pStyle w:val="NormalWeb"/>
              <w:jc w:val="center"/>
              <w:rPr>
                <w:sz w:val="18"/>
                <w:szCs w:val="18"/>
              </w:rPr>
            </w:pPr>
            <w:r w:rsidRPr="001D4886">
              <w:rPr>
                <w:sz w:val="18"/>
                <w:szCs w:val="18"/>
              </w:rPr>
              <w:t>6</w:t>
            </w:r>
          </w:p>
        </w:tc>
        <w:tc>
          <w:tcPr>
            <w:tcW w:w="783" w:type="dxa"/>
            <w:hideMark/>
          </w:tcPr>
          <w:p w:rsidR="00835970" w:rsidRPr="001D4886" w:rsidRDefault="00835970" w:rsidP="00CA3A13">
            <w:pPr>
              <w:pStyle w:val="NormalWeb"/>
              <w:jc w:val="center"/>
              <w:rPr>
                <w:sz w:val="18"/>
                <w:szCs w:val="18"/>
              </w:rPr>
            </w:pPr>
            <w:r w:rsidRPr="001D4886">
              <w:rPr>
                <w:sz w:val="18"/>
                <w:szCs w:val="18"/>
              </w:rPr>
              <w:t>3</w:t>
            </w:r>
          </w:p>
        </w:tc>
        <w:tc>
          <w:tcPr>
            <w:tcW w:w="783" w:type="dxa"/>
            <w:hideMark/>
          </w:tcPr>
          <w:p w:rsidR="00835970" w:rsidRPr="001D4886" w:rsidRDefault="00835970" w:rsidP="00CA3A13">
            <w:pPr>
              <w:pStyle w:val="NormalWeb"/>
              <w:jc w:val="center"/>
              <w:rPr>
                <w:sz w:val="18"/>
                <w:szCs w:val="18"/>
              </w:rPr>
            </w:pPr>
            <w:r w:rsidRPr="001D4886">
              <w:rPr>
                <w:sz w:val="18"/>
                <w:szCs w:val="18"/>
              </w:rPr>
              <w:t>9</w:t>
            </w:r>
          </w:p>
        </w:tc>
        <w:tc>
          <w:tcPr>
            <w:tcW w:w="784" w:type="dxa"/>
            <w:hideMark/>
          </w:tcPr>
          <w:p w:rsidR="00835970" w:rsidRPr="001D4886" w:rsidRDefault="00835970" w:rsidP="00CA3A13">
            <w:pPr>
              <w:pStyle w:val="NormalWeb"/>
              <w:jc w:val="center"/>
              <w:rPr>
                <w:sz w:val="18"/>
                <w:szCs w:val="18"/>
              </w:rPr>
            </w:pPr>
            <w:r w:rsidRPr="001D4886">
              <w:rPr>
                <w:sz w:val="18"/>
                <w:szCs w:val="18"/>
              </w:rPr>
              <w:t>0.4</w:t>
            </w:r>
          </w:p>
        </w:tc>
        <w:tc>
          <w:tcPr>
            <w:tcW w:w="783" w:type="dxa"/>
            <w:hideMark/>
          </w:tcPr>
          <w:p w:rsidR="00835970" w:rsidRPr="001D4886" w:rsidRDefault="00835970" w:rsidP="00CA3A13">
            <w:pPr>
              <w:pStyle w:val="NormalWeb"/>
              <w:jc w:val="center"/>
              <w:rPr>
                <w:sz w:val="18"/>
                <w:szCs w:val="18"/>
              </w:rPr>
            </w:pPr>
            <w:r w:rsidRPr="001D4886">
              <w:rPr>
                <w:sz w:val="18"/>
                <w:szCs w:val="18"/>
              </w:rPr>
              <w:t>0.2</w:t>
            </w:r>
          </w:p>
        </w:tc>
        <w:tc>
          <w:tcPr>
            <w:tcW w:w="783" w:type="dxa"/>
            <w:hideMark/>
          </w:tcPr>
          <w:p w:rsidR="00835970" w:rsidRPr="001D4886" w:rsidRDefault="00835970" w:rsidP="00CA3A13">
            <w:pPr>
              <w:pStyle w:val="NormalWeb"/>
              <w:jc w:val="center"/>
              <w:rPr>
                <w:sz w:val="18"/>
                <w:szCs w:val="18"/>
              </w:rPr>
            </w:pPr>
            <w:r w:rsidRPr="001D4886">
              <w:rPr>
                <w:sz w:val="18"/>
                <w:szCs w:val="18"/>
              </w:rPr>
              <w:t>0.3</w:t>
            </w:r>
          </w:p>
        </w:tc>
        <w:tc>
          <w:tcPr>
            <w:tcW w:w="783" w:type="dxa"/>
            <w:hideMark/>
          </w:tcPr>
          <w:p w:rsidR="00835970" w:rsidRPr="001D4886" w:rsidRDefault="00835970" w:rsidP="00CA3A13">
            <w:pPr>
              <w:pStyle w:val="NormalWeb"/>
              <w:jc w:val="center"/>
              <w:rPr>
                <w:sz w:val="18"/>
                <w:szCs w:val="18"/>
              </w:rPr>
            </w:pPr>
            <w:r w:rsidRPr="001D4886">
              <w:rPr>
                <w:sz w:val="18"/>
                <w:szCs w:val="18"/>
              </w:rPr>
              <w:t>1,282</w:t>
            </w:r>
          </w:p>
        </w:tc>
        <w:tc>
          <w:tcPr>
            <w:tcW w:w="784" w:type="dxa"/>
            <w:hideMark/>
          </w:tcPr>
          <w:p w:rsidR="00835970" w:rsidRPr="001D4886" w:rsidRDefault="00835970" w:rsidP="00CA3A13">
            <w:pPr>
              <w:pStyle w:val="NormalWeb"/>
              <w:jc w:val="center"/>
              <w:rPr>
                <w:sz w:val="18"/>
                <w:szCs w:val="18"/>
              </w:rPr>
            </w:pPr>
            <w:r w:rsidRPr="001D4886">
              <w:rPr>
                <w:sz w:val="18"/>
                <w:szCs w:val="18"/>
              </w:rPr>
              <w:t>1,219</w:t>
            </w:r>
          </w:p>
        </w:tc>
        <w:tc>
          <w:tcPr>
            <w:tcW w:w="783" w:type="dxa"/>
            <w:hideMark/>
          </w:tcPr>
          <w:p w:rsidR="00835970" w:rsidRPr="001D4886" w:rsidRDefault="00835970" w:rsidP="00CA3A13">
            <w:pPr>
              <w:pStyle w:val="NormalWeb"/>
              <w:jc w:val="center"/>
              <w:rPr>
                <w:sz w:val="18"/>
                <w:szCs w:val="18"/>
              </w:rPr>
            </w:pPr>
            <w:r w:rsidRPr="001D4886">
              <w:rPr>
                <w:sz w:val="18"/>
                <w:szCs w:val="18"/>
              </w:rPr>
              <w:t>2,501</w:t>
            </w:r>
          </w:p>
        </w:tc>
        <w:tc>
          <w:tcPr>
            <w:tcW w:w="783" w:type="dxa"/>
            <w:hideMark/>
          </w:tcPr>
          <w:p w:rsidR="00835970" w:rsidRPr="001D4886" w:rsidRDefault="00835970" w:rsidP="00CA3A13">
            <w:pPr>
              <w:pStyle w:val="NormalWeb"/>
              <w:jc w:val="center"/>
              <w:rPr>
                <w:sz w:val="18"/>
                <w:szCs w:val="18"/>
              </w:rPr>
            </w:pPr>
            <w:r w:rsidRPr="001D4886">
              <w:rPr>
                <w:sz w:val="18"/>
                <w:szCs w:val="18"/>
              </w:rPr>
              <w:t>80.8</w:t>
            </w:r>
          </w:p>
        </w:tc>
        <w:tc>
          <w:tcPr>
            <w:tcW w:w="783" w:type="dxa"/>
            <w:hideMark/>
          </w:tcPr>
          <w:p w:rsidR="00835970" w:rsidRPr="001D4886" w:rsidRDefault="00835970" w:rsidP="00CA3A13">
            <w:pPr>
              <w:pStyle w:val="NormalWeb"/>
              <w:jc w:val="center"/>
              <w:rPr>
                <w:sz w:val="18"/>
                <w:szCs w:val="18"/>
              </w:rPr>
            </w:pPr>
            <w:r w:rsidRPr="001D4886">
              <w:rPr>
                <w:sz w:val="18"/>
                <w:szCs w:val="18"/>
              </w:rPr>
              <w:t>81.2</w:t>
            </w:r>
          </w:p>
        </w:tc>
        <w:tc>
          <w:tcPr>
            <w:tcW w:w="784" w:type="dxa"/>
            <w:hideMark/>
          </w:tcPr>
          <w:p w:rsidR="00835970" w:rsidRPr="001D4886" w:rsidRDefault="00835970" w:rsidP="00CA3A13">
            <w:pPr>
              <w:pStyle w:val="NormalWeb"/>
              <w:jc w:val="center"/>
              <w:rPr>
                <w:sz w:val="18"/>
                <w:szCs w:val="18"/>
              </w:rPr>
            </w:pPr>
            <w:r w:rsidRPr="001D4886">
              <w:rPr>
                <w:sz w:val="18"/>
                <w:szCs w:val="18"/>
              </w:rPr>
              <w:t>81.0</w:t>
            </w:r>
          </w:p>
        </w:tc>
      </w:tr>
      <w:tr w:rsidR="00835970" w:rsidRPr="001D4886" w:rsidTr="00D64527">
        <w:tc>
          <w:tcPr>
            <w:tcW w:w="0" w:type="auto"/>
            <w:hideMark/>
          </w:tcPr>
          <w:p w:rsidR="00835970" w:rsidRPr="001D4886" w:rsidRDefault="00835970" w:rsidP="00EE1F6B">
            <w:pPr>
              <w:pStyle w:val="NormalWeb"/>
              <w:rPr>
                <w:sz w:val="18"/>
                <w:szCs w:val="18"/>
              </w:rPr>
            </w:pPr>
            <w:r w:rsidRPr="001D4886">
              <w:rPr>
                <w:sz w:val="18"/>
                <w:szCs w:val="18"/>
              </w:rPr>
              <w:t>20 to 29</w:t>
            </w:r>
          </w:p>
        </w:tc>
        <w:tc>
          <w:tcPr>
            <w:tcW w:w="783" w:type="dxa"/>
            <w:hideMark/>
          </w:tcPr>
          <w:p w:rsidR="00835970" w:rsidRPr="001D4886" w:rsidRDefault="00835970" w:rsidP="00CA3A13">
            <w:pPr>
              <w:pStyle w:val="NormalWeb"/>
              <w:jc w:val="center"/>
              <w:rPr>
                <w:sz w:val="18"/>
                <w:szCs w:val="18"/>
              </w:rPr>
            </w:pPr>
            <w:r w:rsidRPr="001D4886">
              <w:rPr>
                <w:sz w:val="18"/>
                <w:szCs w:val="18"/>
              </w:rPr>
              <w:t>19</w:t>
            </w:r>
          </w:p>
        </w:tc>
        <w:tc>
          <w:tcPr>
            <w:tcW w:w="783" w:type="dxa"/>
            <w:hideMark/>
          </w:tcPr>
          <w:p w:rsidR="00835970" w:rsidRPr="001D4886" w:rsidRDefault="00835970" w:rsidP="00CA3A13">
            <w:pPr>
              <w:pStyle w:val="NormalWeb"/>
              <w:jc w:val="center"/>
              <w:rPr>
                <w:sz w:val="18"/>
                <w:szCs w:val="18"/>
              </w:rPr>
            </w:pPr>
            <w:r w:rsidRPr="001D4886">
              <w:rPr>
                <w:sz w:val="18"/>
                <w:szCs w:val="18"/>
              </w:rPr>
              <w:t>25</w:t>
            </w:r>
          </w:p>
        </w:tc>
        <w:tc>
          <w:tcPr>
            <w:tcW w:w="783" w:type="dxa"/>
            <w:hideMark/>
          </w:tcPr>
          <w:p w:rsidR="00835970" w:rsidRPr="001D4886" w:rsidRDefault="00835970" w:rsidP="00CA3A13">
            <w:pPr>
              <w:pStyle w:val="NormalWeb"/>
              <w:jc w:val="center"/>
              <w:rPr>
                <w:sz w:val="18"/>
                <w:szCs w:val="18"/>
              </w:rPr>
            </w:pPr>
            <w:r w:rsidRPr="001D4886">
              <w:rPr>
                <w:sz w:val="18"/>
                <w:szCs w:val="18"/>
              </w:rPr>
              <w:t>44</w:t>
            </w:r>
          </w:p>
        </w:tc>
        <w:tc>
          <w:tcPr>
            <w:tcW w:w="784" w:type="dxa"/>
            <w:hideMark/>
          </w:tcPr>
          <w:p w:rsidR="00835970" w:rsidRPr="001D4886" w:rsidRDefault="00835970" w:rsidP="00CA3A13">
            <w:pPr>
              <w:pStyle w:val="NormalWeb"/>
              <w:jc w:val="center"/>
              <w:rPr>
                <w:sz w:val="18"/>
                <w:szCs w:val="18"/>
              </w:rPr>
            </w:pPr>
            <w:r w:rsidRPr="001D4886">
              <w:rPr>
                <w:sz w:val="18"/>
                <w:szCs w:val="18"/>
              </w:rPr>
              <w:t>1.0</w:t>
            </w:r>
          </w:p>
        </w:tc>
        <w:tc>
          <w:tcPr>
            <w:tcW w:w="783" w:type="dxa"/>
            <w:hideMark/>
          </w:tcPr>
          <w:p w:rsidR="00835970" w:rsidRPr="001D4886" w:rsidRDefault="00835970" w:rsidP="00CA3A13">
            <w:pPr>
              <w:pStyle w:val="NormalWeb"/>
              <w:jc w:val="center"/>
              <w:rPr>
                <w:sz w:val="18"/>
                <w:szCs w:val="18"/>
              </w:rPr>
            </w:pPr>
            <w:r w:rsidRPr="001D4886">
              <w:rPr>
                <w:sz w:val="18"/>
                <w:szCs w:val="18"/>
              </w:rPr>
              <w:t>1.4</w:t>
            </w:r>
          </w:p>
        </w:tc>
        <w:tc>
          <w:tcPr>
            <w:tcW w:w="783" w:type="dxa"/>
            <w:hideMark/>
          </w:tcPr>
          <w:p w:rsidR="00835970" w:rsidRPr="001D4886" w:rsidRDefault="00835970" w:rsidP="00CA3A13">
            <w:pPr>
              <w:pStyle w:val="NormalWeb"/>
              <w:jc w:val="center"/>
              <w:rPr>
                <w:sz w:val="18"/>
                <w:szCs w:val="18"/>
              </w:rPr>
            </w:pPr>
            <w:r w:rsidRPr="001D4886">
              <w:rPr>
                <w:sz w:val="18"/>
                <w:szCs w:val="18"/>
              </w:rPr>
              <w:t>1.2</w:t>
            </w:r>
          </w:p>
        </w:tc>
        <w:tc>
          <w:tcPr>
            <w:tcW w:w="783" w:type="dxa"/>
            <w:hideMark/>
          </w:tcPr>
          <w:p w:rsidR="00835970" w:rsidRPr="001D4886" w:rsidRDefault="00835970" w:rsidP="00CA3A13">
            <w:pPr>
              <w:pStyle w:val="NormalWeb"/>
              <w:jc w:val="center"/>
              <w:rPr>
                <w:sz w:val="18"/>
                <w:szCs w:val="18"/>
              </w:rPr>
            </w:pPr>
            <w:r w:rsidRPr="001D4886">
              <w:rPr>
                <w:sz w:val="18"/>
                <w:szCs w:val="18"/>
              </w:rPr>
              <w:t>3,144</w:t>
            </w:r>
          </w:p>
        </w:tc>
        <w:tc>
          <w:tcPr>
            <w:tcW w:w="784" w:type="dxa"/>
            <w:hideMark/>
          </w:tcPr>
          <w:p w:rsidR="00835970" w:rsidRPr="001D4886" w:rsidRDefault="00835970" w:rsidP="00CA3A13">
            <w:pPr>
              <w:pStyle w:val="NormalWeb"/>
              <w:jc w:val="center"/>
              <w:rPr>
                <w:sz w:val="18"/>
                <w:szCs w:val="18"/>
              </w:rPr>
            </w:pPr>
            <w:r w:rsidRPr="001D4886">
              <w:rPr>
                <w:sz w:val="18"/>
                <w:szCs w:val="18"/>
              </w:rPr>
              <w:t>3,461</w:t>
            </w:r>
          </w:p>
        </w:tc>
        <w:tc>
          <w:tcPr>
            <w:tcW w:w="783" w:type="dxa"/>
            <w:hideMark/>
          </w:tcPr>
          <w:p w:rsidR="00835970" w:rsidRPr="001D4886" w:rsidRDefault="00835970" w:rsidP="00CA3A13">
            <w:pPr>
              <w:pStyle w:val="NormalWeb"/>
              <w:jc w:val="center"/>
              <w:rPr>
                <w:sz w:val="18"/>
                <w:szCs w:val="18"/>
              </w:rPr>
            </w:pPr>
            <w:r w:rsidRPr="001D4886">
              <w:rPr>
                <w:sz w:val="18"/>
                <w:szCs w:val="18"/>
              </w:rPr>
              <w:t>6,605</w:t>
            </w:r>
          </w:p>
        </w:tc>
        <w:tc>
          <w:tcPr>
            <w:tcW w:w="783" w:type="dxa"/>
            <w:hideMark/>
          </w:tcPr>
          <w:p w:rsidR="00835970" w:rsidRPr="001D4886" w:rsidRDefault="00835970" w:rsidP="00CA3A13">
            <w:pPr>
              <w:pStyle w:val="NormalWeb"/>
              <w:jc w:val="center"/>
              <w:rPr>
                <w:sz w:val="18"/>
                <w:szCs w:val="18"/>
              </w:rPr>
            </w:pPr>
            <w:r w:rsidRPr="001D4886">
              <w:rPr>
                <w:sz w:val="18"/>
                <w:szCs w:val="18"/>
              </w:rPr>
              <w:t>170.8</w:t>
            </w:r>
          </w:p>
        </w:tc>
        <w:tc>
          <w:tcPr>
            <w:tcW w:w="783" w:type="dxa"/>
            <w:hideMark/>
          </w:tcPr>
          <w:p w:rsidR="00835970" w:rsidRPr="001D4886" w:rsidRDefault="00835970" w:rsidP="00CA3A13">
            <w:pPr>
              <w:pStyle w:val="NormalWeb"/>
              <w:jc w:val="center"/>
              <w:rPr>
                <w:sz w:val="18"/>
                <w:szCs w:val="18"/>
              </w:rPr>
            </w:pPr>
            <w:r w:rsidRPr="001D4886">
              <w:rPr>
                <w:sz w:val="18"/>
                <w:szCs w:val="18"/>
              </w:rPr>
              <w:t>194.7</w:t>
            </w:r>
          </w:p>
        </w:tc>
        <w:tc>
          <w:tcPr>
            <w:tcW w:w="784" w:type="dxa"/>
            <w:hideMark/>
          </w:tcPr>
          <w:p w:rsidR="00835970" w:rsidRPr="001D4886" w:rsidRDefault="00835970" w:rsidP="00CA3A13">
            <w:pPr>
              <w:pStyle w:val="NormalWeb"/>
              <w:jc w:val="center"/>
              <w:rPr>
                <w:sz w:val="18"/>
                <w:szCs w:val="18"/>
              </w:rPr>
            </w:pPr>
            <w:r w:rsidRPr="001D4886">
              <w:rPr>
                <w:sz w:val="18"/>
                <w:szCs w:val="18"/>
              </w:rPr>
              <w:t>182.5</w:t>
            </w:r>
          </w:p>
        </w:tc>
      </w:tr>
      <w:tr w:rsidR="00CA3A13" w:rsidRPr="001D4886" w:rsidTr="00D64527">
        <w:trPr>
          <w:cnfStyle w:val="000000010000" w:firstRow="0" w:lastRow="0" w:firstColumn="0" w:lastColumn="0" w:oddVBand="0" w:evenVBand="0" w:oddHBand="0" w:evenHBand="1" w:firstRowFirstColumn="0" w:firstRowLastColumn="0" w:lastRowFirstColumn="0" w:lastRowLastColumn="0"/>
        </w:trPr>
        <w:tc>
          <w:tcPr>
            <w:tcW w:w="0" w:type="auto"/>
            <w:hideMark/>
          </w:tcPr>
          <w:p w:rsidR="00835970" w:rsidRPr="001D4886" w:rsidRDefault="00835970" w:rsidP="00EE1F6B">
            <w:pPr>
              <w:pStyle w:val="NormalWeb"/>
              <w:rPr>
                <w:sz w:val="18"/>
                <w:szCs w:val="18"/>
              </w:rPr>
            </w:pPr>
            <w:r w:rsidRPr="001D4886">
              <w:rPr>
                <w:sz w:val="18"/>
                <w:szCs w:val="18"/>
              </w:rPr>
              <w:t>30 to 39</w:t>
            </w:r>
          </w:p>
        </w:tc>
        <w:tc>
          <w:tcPr>
            <w:tcW w:w="783" w:type="dxa"/>
            <w:hideMark/>
          </w:tcPr>
          <w:p w:rsidR="00835970" w:rsidRPr="001D4886" w:rsidRDefault="00835970" w:rsidP="00CA3A13">
            <w:pPr>
              <w:pStyle w:val="NormalWeb"/>
              <w:jc w:val="center"/>
              <w:rPr>
                <w:sz w:val="18"/>
                <w:szCs w:val="18"/>
              </w:rPr>
            </w:pPr>
            <w:r w:rsidRPr="001D4886">
              <w:rPr>
                <w:sz w:val="18"/>
                <w:szCs w:val="18"/>
              </w:rPr>
              <w:t>42</w:t>
            </w:r>
          </w:p>
        </w:tc>
        <w:tc>
          <w:tcPr>
            <w:tcW w:w="783" w:type="dxa"/>
            <w:hideMark/>
          </w:tcPr>
          <w:p w:rsidR="00835970" w:rsidRPr="001D4886" w:rsidRDefault="00835970" w:rsidP="00CA3A13">
            <w:pPr>
              <w:pStyle w:val="NormalWeb"/>
              <w:jc w:val="center"/>
              <w:rPr>
                <w:sz w:val="18"/>
                <w:szCs w:val="18"/>
              </w:rPr>
            </w:pPr>
            <w:r w:rsidRPr="001D4886">
              <w:rPr>
                <w:sz w:val="18"/>
                <w:szCs w:val="18"/>
              </w:rPr>
              <w:t>32</w:t>
            </w:r>
          </w:p>
        </w:tc>
        <w:tc>
          <w:tcPr>
            <w:tcW w:w="783" w:type="dxa"/>
            <w:hideMark/>
          </w:tcPr>
          <w:p w:rsidR="00835970" w:rsidRPr="001D4886" w:rsidRDefault="00835970" w:rsidP="00CA3A13">
            <w:pPr>
              <w:pStyle w:val="NormalWeb"/>
              <w:jc w:val="center"/>
              <w:rPr>
                <w:sz w:val="18"/>
                <w:szCs w:val="18"/>
              </w:rPr>
            </w:pPr>
            <w:r w:rsidRPr="001D4886">
              <w:rPr>
                <w:sz w:val="18"/>
                <w:szCs w:val="18"/>
              </w:rPr>
              <w:t>74</w:t>
            </w:r>
          </w:p>
        </w:tc>
        <w:tc>
          <w:tcPr>
            <w:tcW w:w="784" w:type="dxa"/>
            <w:hideMark/>
          </w:tcPr>
          <w:p w:rsidR="00835970" w:rsidRPr="001D4886" w:rsidRDefault="00835970" w:rsidP="00CA3A13">
            <w:pPr>
              <w:pStyle w:val="NormalWeb"/>
              <w:jc w:val="center"/>
              <w:rPr>
                <w:sz w:val="18"/>
                <w:szCs w:val="18"/>
              </w:rPr>
            </w:pPr>
            <w:r w:rsidRPr="001D4886">
              <w:rPr>
                <w:sz w:val="18"/>
                <w:szCs w:val="18"/>
              </w:rPr>
              <w:t>2.3</w:t>
            </w:r>
          </w:p>
        </w:tc>
        <w:tc>
          <w:tcPr>
            <w:tcW w:w="783" w:type="dxa"/>
            <w:hideMark/>
          </w:tcPr>
          <w:p w:rsidR="00835970" w:rsidRPr="001D4886" w:rsidRDefault="00835970" w:rsidP="00CA3A13">
            <w:pPr>
              <w:pStyle w:val="NormalWeb"/>
              <w:jc w:val="center"/>
              <w:rPr>
                <w:sz w:val="18"/>
                <w:szCs w:val="18"/>
              </w:rPr>
            </w:pPr>
            <w:r w:rsidRPr="001D4886">
              <w:rPr>
                <w:sz w:val="18"/>
                <w:szCs w:val="18"/>
              </w:rPr>
              <w:t>1.7</w:t>
            </w:r>
          </w:p>
        </w:tc>
        <w:tc>
          <w:tcPr>
            <w:tcW w:w="783" w:type="dxa"/>
            <w:hideMark/>
          </w:tcPr>
          <w:p w:rsidR="00835970" w:rsidRPr="001D4886" w:rsidRDefault="00835970" w:rsidP="00CA3A13">
            <w:pPr>
              <w:pStyle w:val="NormalWeb"/>
              <w:jc w:val="center"/>
              <w:rPr>
                <w:sz w:val="18"/>
                <w:szCs w:val="18"/>
              </w:rPr>
            </w:pPr>
            <w:r w:rsidRPr="001D4886">
              <w:rPr>
                <w:sz w:val="18"/>
                <w:szCs w:val="18"/>
              </w:rPr>
              <w:t>2.0</w:t>
            </w:r>
          </w:p>
        </w:tc>
        <w:tc>
          <w:tcPr>
            <w:tcW w:w="783" w:type="dxa"/>
            <w:hideMark/>
          </w:tcPr>
          <w:p w:rsidR="00835970" w:rsidRPr="001D4886" w:rsidRDefault="00835970" w:rsidP="00CA3A13">
            <w:pPr>
              <w:pStyle w:val="NormalWeb"/>
              <w:jc w:val="center"/>
              <w:rPr>
                <w:sz w:val="18"/>
                <w:szCs w:val="18"/>
              </w:rPr>
            </w:pPr>
            <w:r w:rsidRPr="001D4886">
              <w:rPr>
                <w:sz w:val="18"/>
                <w:szCs w:val="18"/>
              </w:rPr>
              <w:t>2,708</w:t>
            </w:r>
          </w:p>
        </w:tc>
        <w:tc>
          <w:tcPr>
            <w:tcW w:w="784" w:type="dxa"/>
            <w:hideMark/>
          </w:tcPr>
          <w:p w:rsidR="00835970" w:rsidRPr="001D4886" w:rsidRDefault="00835970" w:rsidP="00CA3A13">
            <w:pPr>
              <w:pStyle w:val="NormalWeb"/>
              <w:jc w:val="center"/>
              <w:rPr>
                <w:sz w:val="18"/>
                <w:szCs w:val="18"/>
              </w:rPr>
            </w:pPr>
            <w:r w:rsidRPr="001D4886">
              <w:rPr>
                <w:sz w:val="18"/>
                <w:szCs w:val="18"/>
              </w:rPr>
              <w:t>2,595</w:t>
            </w:r>
          </w:p>
        </w:tc>
        <w:tc>
          <w:tcPr>
            <w:tcW w:w="783" w:type="dxa"/>
            <w:hideMark/>
          </w:tcPr>
          <w:p w:rsidR="00835970" w:rsidRPr="001D4886" w:rsidRDefault="00835970" w:rsidP="00CA3A13">
            <w:pPr>
              <w:pStyle w:val="NormalWeb"/>
              <w:jc w:val="center"/>
              <w:rPr>
                <w:sz w:val="18"/>
                <w:szCs w:val="18"/>
              </w:rPr>
            </w:pPr>
            <w:r w:rsidRPr="001D4886">
              <w:rPr>
                <w:sz w:val="18"/>
                <w:szCs w:val="18"/>
              </w:rPr>
              <w:t>5,303</w:t>
            </w:r>
          </w:p>
        </w:tc>
        <w:tc>
          <w:tcPr>
            <w:tcW w:w="783" w:type="dxa"/>
            <w:hideMark/>
          </w:tcPr>
          <w:p w:rsidR="00835970" w:rsidRPr="001D4886" w:rsidRDefault="00835970" w:rsidP="00CA3A13">
            <w:pPr>
              <w:pStyle w:val="NormalWeb"/>
              <w:jc w:val="center"/>
              <w:rPr>
                <w:sz w:val="18"/>
                <w:szCs w:val="18"/>
              </w:rPr>
            </w:pPr>
            <w:r w:rsidRPr="001D4886">
              <w:rPr>
                <w:sz w:val="18"/>
                <w:szCs w:val="18"/>
              </w:rPr>
              <w:t>145.8</w:t>
            </w:r>
          </w:p>
        </w:tc>
        <w:tc>
          <w:tcPr>
            <w:tcW w:w="783" w:type="dxa"/>
            <w:hideMark/>
          </w:tcPr>
          <w:p w:rsidR="00835970" w:rsidRPr="001D4886" w:rsidRDefault="00835970" w:rsidP="00CA3A13">
            <w:pPr>
              <w:pStyle w:val="NormalWeb"/>
              <w:jc w:val="center"/>
              <w:rPr>
                <w:sz w:val="18"/>
                <w:szCs w:val="18"/>
              </w:rPr>
            </w:pPr>
            <w:r w:rsidRPr="001D4886">
              <w:rPr>
                <w:sz w:val="18"/>
                <w:szCs w:val="18"/>
              </w:rPr>
              <w:t>136.4</w:t>
            </w:r>
          </w:p>
        </w:tc>
        <w:tc>
          <w:tcPr>
            <w:tcW w:w="784" w:type="dxa"/>
            <w:hideMark/>
          </w:tcPr>
          <w:p w:rsidR="00835970" w:rsidRPr="001D4886" w:rsidRDefault="00835970" w:rsidP="00CA3A13">
            <w:pPr>
              <w:pStyle w:val="NormalWeb"/>
              <w:jc w:val="center"/>
              <w:rPr>
                <w:sz w:val="18"/>
                <w:szCs w:val="18"/>
              </w:rPr>
            </w:pPr>
            <w:r w:rsidRPr="001D4886">
              <w:rPr>
                <w:sz w:val="18"/>
                <w:szCs w:val="18"/>
              </w:rPr>
              <w:t>141.1</w:t>
            </w:r>
          </w:p>
        </w:tc>
      </w:tr>
      <w:tr w:rsidR="00835970" w:rsidRPr="001D4886" w:rsidTr="00D64527">
        <w:tc>
          <w:tcPr>
            <w:tcW w:w="0" w:type="auto"/>
            <w:hideMark/>
          </w:tcPr>
          <w:p w:rsidR="00835970" w:rsidRPr="001D4886" w:rsidRDefault="00835970" w:rsidP="00EE1F6B">
            <w:pPr>
              <w:pStyle w:val="NormalWeb"/>
              <w:rPr>
                <w:sz w:val="18"/>
                <w:szCs w:val="18"/>
              </w:rPr>
            </w:pPr>
            <w:r w:rsidRPr="001D4886">
              <w:rPr>
                <w:sz w:val="18"/>
                <w:szCs w:val="18"/>
              </w:rPr>
              <w:t>40 to 49</w:t>
            </w:r>
          </w:p>
        </w:tc>
        <w:tc>
          <w:tcPr>
            <w:tcW w:w="783" w:type="dxa"/>
            <w:hideMark/>
          </w:tcPr>
          <w:p w:rsidR="00835970" w:rsidRPr="001D4886" w:rsidRDefault="00835970" w:rsidP="00CA3A13">
            <w:pPr>
              <w:pStyle w:val="NormalWeb"/>
              <w:jc w:val="center"/>
              <w:rPr>
                <w:sz w:val="18"/>
                <w:szCs w:val="18"/>
              </w:rPr>
            </w:pPr>
            <w:r w:rsidRPr="001D4886">
              <w:rPr>
                <w:sz w:val="18"/>
                <w:szCs w:val="18"/>
              </w:rPr>
              <w:t>31</w:t>
            </w:r>
          </w:p>
        </w:tc>
        <w:tc>
          <w:tcPr>
            <w:tcW w:w="783" w:type="dxa"/>
            <w:hideMark/>
          </w:tcPr>
          <w:p w:rsidR="00835970" w:rsidRPr="001D4886" w:rsidRDefault="00835970" w:rsidP="00CA3A13">
            <w:pPr>
              <w:pStyle w:val="NormalWeb"/>
              <w:jc w:val="center"/>
              <w:rPr>
                <w:sz w:val="18"/>
                <w:szCs w:val="18"/>
              </w:rPr>
            </w:pPr>
            <w:r w:rsidRPr="001D4886">
              <w:rPr>
                <w:sz w:val="18"/>
                <w:szCs w:val="18"/>
              </w:rPr>
              <w:t>14</w:t>
            </w:r>
          </w:p>
        </w:tc>
        <w:tc>
          <w:tcPr>
            <w:tcW w:w="783" w:type="dxa"/>
            <w:hideMark/>
          </w:tcPr>
          <w:p w:rsidR="00835970" w:rsidRPr="001D4886" w:rsidRDefault="00835970" w:rsidP="00CA3A13">
            <w:pPr>
              <w:pStyle w:val="NormalWeb"/>
              <w:jc w:val="center"/>
              <w:rPr>
                <w:sz w:val="18"/>
                <w:szCs w:val="18"/>
              </w:rPr>
            </w:pPr>
            <w:r w:rsidRPr="001D4886">
              <w:rPr>
                <w:sz w:val="18"/>
                <w:szCs w:val="18"/>
              </w:rPr>
              <w:t>45</w:t>
            </w:r>
          </w:p>
        </w:tc>
        <w:tc>
          <w:tcPr>
            <w:tcW w:w="784" w:type="dxa"/>
            <w:hideMark/>
          </w:tcPr>
          <w:p w:rsidR="00835970" w:rsidRPr="001D4886" w:rsidRDefault="00835970" w:rsidP="00CA3A13">
            <w:pPr>
              <w:pStyle w:val="NormalWeb"/>
              <w:jc w:val="center"/>
              <w:rPr>
                <w:sz w:val="18"/>
                <w:szCs w:val="18"/>
              </w:rPr>
            </w:pPr>
            <w:r w:rsidRPr="001D4886">
              <w:rPr>
                <w:sz w:val="18"/>
                <w:szCs w:val="18"/>
              </w:rPr>
              <w:t>1.9</w:t>
            </w:r>
          </w:p>
        </w:tc>
        <w:tc>
          <w:tcPr>
            <w:tcW w:w="783" w:type="dxa"/>
            <w:hideMark/>
          </w:tcPr>
          <w:p w:rsidR="00835970" w:rsidRPr="001D4886" w:rsidRDefault="00835970" w:rsidP="00CA3A13">
            <w:pPr>
              <w:pStyle w:val="NormalWeb"/>
              <w:jc w:val="center"/>
              <w:rPr>
                <w:sz w:val="18"/>
                <w:szCs w:val="18"/>
              </w:rPr>
            </w:pPr>
            <w:r w:rsidRPr="001D4886">
              <w:rPr>
                <w:sz w:val="18"/>
                <w:szCs w:val="18"/>
              </w:rPr>
              <w:t>0.8</w:t>
            </w:r>
          </w:p>
        </w:tc>
        <w:tc>
          <w:tcPr>
            <w:tcW w:w="783" w:type="dxa"/>
            <w:hideMark/>
          </w:tcPr>
          <w:p w:rsidR="00835970" w:rsidRPr="001D4886" w:rsidRDefault="00835970" w:rsidP="00CA3A13">
            <w:pPr>
              <w:pStyle w:val="NormalWeb"/>
              <w:jc w:val="center"/>
              <w:rPr>
                <w:sz w:val="18"/>
                <w:szCs w:val="18"/>
              </w:rPr>
            </w:pPr>
            <w:r w:rsidRPr="001D4886">
              <w:rPr>
                <w:sz w:val="18"/>
                <w:szCs w:val="18"/>
              </w:rPr>
              <w:t>1.4</w:t>
            </w:r>
          </w:p>
        </w:tc>
        <w:tc>
          <w:tcPr>
            <w:tcW w:w="783" w:type="dxa"/>
            <w:hideMark/>
          </w:tcPr>
          <w:p w:rsidR="00835970" w:rsidRPr="001D4886" w:rsidRDefault="00835970" w:rsidP="00CA3A13">
            <w:pPr>
              <w:pStyle w:val="NormalWeb"/>
              <w:jc w:val="center"/>
              <w:rPr>
                <w:sz w:val="18"/>
                <w:szCs w:val="18"/>
              </w:rPr>
            </w:pPr>
            <w:r w:rsidRPr="001D4886">
              <w:rPr>
                <w:sz w:val="18"/>
                <w:szCs w:val="18"/>
              </w:rPr>
              <w:t>1,992</w:t>
            </w:r>
          </w:p>
        </w:tc>
        <w:tc>
          <w:tcPr>
            <w:tcW w:w="784" w:type="dxa"/>
            <w:hideMark/>
          </w:tcPr>
          <w:p w:rsidR="00835970" w:rsidRPr="001D4886" w:rsidRDefault="00835970" w:rsidP="00CA3A13">
            <w:pPr>
              <w:pStyle w:val="NormalWeb"/>
              <w:jc w:val="center"/>
              <w:rPr>
                <w:sz w:val="18"/>
                <w:szCs w:val="18"/>
              </w:rPr>
            </w:pPr>
            <w:r w:rsidRPr="001D4886">
              <w:rPr>
                <w:sz w:val="18"/>
                <w:szCs w:val="18"/>
              </w:rPr>
              <w:t>1,827</w:t>
            </w:r>
          </w:p>
        </w:tc>
        <w:tc>
          <w:tcPr>
            <w:tcW w:w="783" w:type="dxa"/>
            <w:hideMark/>
          </w:tcPr>
          <w:p w:rsidR="00835970" w:rsidRPr="001D4886" w:rsidRDefault="00835970" w:rsidP="00CA3A13">
            <w:pPr>
              <w:pStyle w:val="NormalWeb"/>
              <w:jc w:val="center"/>
              <w:rPr>
                <w:sz w:val="18"/>
                <w:szCs w:val="18"/>
              </w:rPr>
            </w:pPr>
            <w:r w:rsidRPr="001D4886">
              <w:rPr>
                <w:sz w:val="18"/>
                <w:szCs w:val="18"/>
              </w:rPr>
              <w:t>3,819</w:t>
            </w:r>
          </w:p>
        </w:tc>
        <w:tc>
          <w:tcPr>
            <w:tcW w:w="783" w:type="dxa"/>
            <w:hideMark/>
          </w:tcPr>
          <w:p w:rsidR="00835970" w:rsidRPr="001D4886" w:rsidRDefault="00835970" w:rsidP="00CA3A13">
            <w:pPr>
              <w:pStyle w:val="NormalWeb"/>
              <w:jc w:val="center"/>
              <w:rPr>
                <w:sz w:val="18"/>
                <w:szCs w:val="18"/>
              </w:rPr>
            </w:pPr>
            <w:r w:rsidRPr="001D4886">
              <w:rPr>
                <w:sz w:val="18"/>
                <w:szCs w:val="18"/>
              </w:rPr>
              <w:t>122.1</w:t>
            </w:r>
          </w:p>
        </w:tc>
        <w:tc>
          <w:tcPr>
            <w:tcW w:w="783" w:type="dxa"/>
            <w:hideMark/>
          </w:tcPr>
          <w:p w:rsidR="00835970" w:rsidRPr="001D4886" w:rsidRDefault="00835970" w:rsidP="00CA3A13">
            <w:pPr>
              <w:pStyle w:val="NormalWeb"/>
              <w:jc w:val="center"/>
              <w:rPr>
                <w:sz w:val="18"/>
                <w:szCs w:val="18"/>
              </w:rPr>
            </w:pPr>
            <w:r w:rsidRPr="001D4886">
              <w:rPr>
                <w:sz w:val="18"/>
                <w:szCs w:val="18"/>
              </w:rPr>
              <w:t>109.7</w:t>
            </w:r>
          </w:p>
        </w:tc>
        <w:tc>
          <w:tcPr>
            <w:tcW w:w="784" w:type="dxa"/>
            <w:hideMark/>
          </w:tcPr>
          <w:p w:rsidR="00835970" w:rsidRPr="001D4886" w:rsidRDefault="00835970" w:rsidP="00CA3A13">
            <w:pPr>
              <w:pStyle w:val="NormalWeb"/>
              <w:jc w:val="center"/>
              <w:rPr>
                <w:sz w:val="18"/>
                <w:szCs w:val="18"/>
              </w:rPr>
            </w:pPr>
            <w:r w:rsidRPr="001D4886">
              <w:rPr>
                <w:sz w:val="18"/>
                <w:szCs w:val="18"/>
              </w:rPr>
              <w:t>115.8</w:t>
            </w:r>
          </w:p>
        </w:tc>
      </w:tr>
      <w:tr w:rsidR="00CA3A13" w:rsidRPr="001D4886" w:rsidTr="00D64527">
        <w:trPr>
          <w:cnfStyle w:val="000000010000" w:firstRow="0" w:lastRow="0" w:firstColumn="0" w:lastColumn="0" w:oddVBand="0" w:evenVBand="0" w:oddHBand="0" w:evenHBand="1" w:firstRowFirstColumn="0" w:firstRowLastColumn="0" w:lastRowFirstColumn="0" w:lastRowLastColumn="0"/>
        </w:trPr>
        <w:tc>
          <w:tcPr>
            <w:tcW w:w="0" w:type="auto"/>
            <w:hideMark/>
          </w:tcPr>
          <w:p w:rsidR="00835970" w:rsidRPr="001D4886" w:rsidRDefault="00835970" w:rsidP="00EE1F6B">
            <w:pPr>
              <w:pStyle w:val="NormalWeb"/>
              <w:rPr>
                <w:sz w:val="18"/>
                <w:szCs w:val="18"/>
              </w:rPr>
            </w:pPr>
            <w:r w:rsidRPr="001D4886">
              <w:rPr>
                <w:sz w:val="18"/>
                <w:szCs w:val="18"/>
              </w:rPr>
              <w:t>50 to 59</w:t>
            </w:r>
          </w:p>
        </w:tc>
        <w:tc>
          <w:tcPr>
            <w:tcW w:w="783" w:type="dxa"/>
            <w:hideMark/>
          </w:tcPr>
          <w:p w:rsidR="00835970" w:rsidRPr="001D4886" w:rsidRDefault="00835970" w:rsidP="00CA3A13">
            <w:pPr>
              <w:pStyle w:val="NormalWeb"/>
              <w:jc w:val="center"/>
              <w:rPr>
                <w:sz w:val="18"/>
                <w:szCs w:val="18"/>
              </w:rPr>
            </w:pPr>
            <w:r w:rsidRPr="001D4886">
              <w:rPr>
                <w:sz w:val="18"/>
                <w:szCs w:val="18"/>
              </w:rPr>
              <w:t>16</w:t>
            </w:r>
          </w:p>
        </w:tc>
        <w:tc>
          <w:tcPr>
            <w:tcW w:w="783" w:type="dxa"/>
            <w:hideMark/>
          </w:tcPr>
          <w:p w:rsidR="00835970" w:rsidRPr="001D4886" w:rsidRDefault="00835970" w:rsidP="00CA3A13">
            <w:pPr>
              <w:pStyle w:val="NormalWeb"/>
              <w:jc w:val="center"/>
              <w:rPr>
                <w:sz w:val="18"/>
                <w:szCs w:val="18"/>
              </w:rPr>
            </w:pPr>
            <w:r w:rsidRPr="001D4886">
              <w:rPr>
                <w:sz w:val="18"/>
                <w:szCs w:val="18"/>
              </w:rPr>
              <w:t>5</w:t>
            </w:r>
          </w:p>
        </w:tc>
        <w:tc>
          <w:tcPr>
            <w:tcW w:w="783" w:type="dxa"/>
            <w:hideMark/>
          </w:tcPr>
          <w:p w:rsidR="00835970" w:rsidRPr="001D4886" w:rsidRDefault="00835970" w:rsidP="00CA3A13">
            <w:pPr>
              <w:pStyle w:val="NormalWeb"/>
              <w:jc w:val="center"/>
              <w:rPr>
                <w:sz w:val="18"/>
                <w:szCs w:val="18"/>
              </w:rPr>
            </w:pPr>
            <w:r w:rsidRPr="001D4886">
              <w:rPr>
                <w:sz w:val="18"/>
                <w:szCs w:val="18"/>
              </w:rPr>
              <w:t>21</w:t>
            </w:r>
          </w:p>
        </w:tc>
        <w:tc>
          <w:tcPr>
            <w:tcW w:w="784" w:type="dxa"/>
            <w:hideMark/>
          </w:tcPr>
          <w:p w:rsidR="00835970" w:rsidRPr="001D4886" w:rsidRDefault="00835970" w:rsidP="00CA3A13">
            <w:pPr>
              <w:pStyle w:val="NormalWeb"/>
              <w:jc w:val="center"/>
              <w:rPr>
                <w:sz w:val="18"/>
                <w:szCs w:val="18"/>
              </w:rPr>
            </w:pPr>
            <w:r w:rsidRPr="001D4886">
              <w:rPr>
                <w:sz w:val="18"/>
                <w:szCs w:val="18"/>
              </w:rPr>
              <w:t>1.1</w:t>
            </w:r>
          </w:p>
        </w:tc>
        <w:tc>
          <w:tcPr>
            <w:tcW w:w="783" w:type="dxa"/>
            <w:hideMark/>
          </w:tcPr>
          <w:p w:rsidR="00835970" w:rsidRPr="001D4886" w:rsidRDefault="00835970" w:rsidP="00CA3A13">
            <w:pPr>
              <w:pStyle w:val="NormalWeb"/>
              <w:jc w:val="center"/>
              <w:rPr>
                <w:sz w:val="18"/>
                <w:szCs w:val="18"/>
              </w:rPr>
            </w:pPr>
            <w:r w:rsidRPr="001D4886">
              <w:rPr>
                <w:sz w:val="18"/>
                <w:szCs w:val="18"/>
              </w:rPr>
              <w:t>0.3</w:t>
            </w:r>
          </w:p>
        </w:tc>
        <w:tc>
          <w:tcPr>
            <w:tcW w:w="783" w:type="dxa"/>
            <w:hideMark/>
          </w:tcPr>
          <w:p w:rsidR="00835970" w:rsidRPr="001D4886" w:rsidRDefault="00835970" w:rsidP="00CA3A13">
            <w:pPr>
              <w:pStyle w:val="NormalWeb"/>
              <w:jc w:val="center"/>
              <w:rPr>
                <w:sz w:val="18"/>
                <w:szCs w:val="18"/>
              </w:rPr>
            </w:pPr>
            <w:r w:rsidRPr="001D4886">
              <w:rPr>
                <w:sz w:val="18"/>
                <w:szCs w:val="18"/>
              </w:rPr>
              <w:t>0.7</w:t>
            </w:r>
          </w:p>
        </w:tc>
        <w:tc>
          <w:tcPr>
            <w:tcW w:w="783" w:type="dxa"/>
            <w:hideMark/>
          </w:tcPr>
          <w:p w:rsidR="00835970" w:rsidRPr="001D4886" w:rsidRDefault="00835970" w:rsidP="00CA3A13">
            <w:pPr>
              <w:pStyle w:val="NormalWeb"/>
              <w:jc w:val="center"/>
              <w:rPr>
                <w:sz w:val="18"/>
                <w:szCs w:val="18"/>
              </w:rPr>
            </w:pPr>
            <w:r w:rsidRPr="001D4886">
              <w:rPr>
                <w:sz w:val="18"/>
                <w:szCs w:val="18"/>
              </w:rPr>
              <w:t>1,713</w:t>
            </w:r>
          </w:p>
        </w:tc>
        <w:tc>
          <w:tcPr>
            <w:tcW w:w="784" w:type="dxa"/>
            <w:hideMark/>
          </w:tcPr>
          <w:p w:rsidR="00835970" w:rsidRPr="001D4886" w:rsidRDefault="00835970" w:rsidP="00CA3A13">
            <w:pPr>
              <w:pStyle w:val="NormalWeb"/>
              <w:jc w:val="center"/>
              <w:rPr>
                <w:sz w:val="18"/>
                <w:szCs w:val="18"/>
              </w:rPr>
            </w:pPr>
            <w:r w:rsidRPr="001D4886">
              <w:rPr>
                <w:sz w:val="18"/>
                <w:szCs w:val="18"/>
              </w:rPr>
              <w:t>1,762</w:t>
            </w:r>
          </w:p>
        </w:tc>
        <w:tc>
          <w:tcPr>
            <w:tcW w:w="783" w:type="dxa"/>
            <w:hideMark/>
          </w:tcPr>
          <w:p w:rsidR="00835970" w:rsidRPr="001D4886" w:rsidRDefault="00835970" w:rsidP="00CA3A13">
            <w:pPr>
              <w:pStyle w:val="NormalWeb"/>
              <w:jc w:val="center"/>
              <w:rPr>
                <w:sz w:val="18"/>
                <w:szCs w:val="18"/>
              </w:rPr>
            </w:pPr>
            <w:r w:rsidRPr="001D4886">
              <w:rPr>
                <w:sz w:val="18"/>
                <w:szCs w:val="18"/>
              </w:rPr>
              <w:t>3,475</w:t>
            </w:r>
          </w:p>
        </w:tc>
        <w:tc>
          <w:tcPr>
            <w:tcW w:w="783" w:type="dxa"/>
            <w:hideMark/>
          </w:tcPr>
          <w:p w:rsidR="00835970" w:rsidRPr="001D4886" w:rsidRDefault="00835970" w:rsidP="00CA3A13">
            <w:pPr>
              <w:pStyle w:val="NormalWeb"/>
              <w:jc w:val="center"/>
              <w:rPr>
                <w:sz w:val="18"/>
                <w:szCs w:val="18"/>
              </w:rPr>
            </w:pPr>
            <w:r w:rsidRPr="001D4886">
              <w:rPr>
                <w:sz w:val="18"/>
                <w:szCs w:val="18"/>
              </w:rPr>
              <w:t>112.5</w:t>
            </w:r>
          </w:p>
        </w:tc>
        <w:tc>
          <w:tcPr>
            <w:tcW w:w="783" w:type="dxa"/>
            <w:hideMark/>
          </w:tcPr>
          <w:p w:rsidR="00835970" w:rsidRPr="001D4886" w:rsidRDefault="00835970" w:rsidP="00CA3A13">
            <w:pPr>
              <w:pStyle w:val="NormalWeb"/>
              <w:jc w:val="center"/>
              <w:rPr>
                <w:sz w:val="18"/>
                <w:szCs w:val="18"/>
              </w:rPr>
            </w:pPr>
            <w:r w:rsidRPr="001D4886">
              <w:rPr>
                <w:sz w:val="18"/>
                <w:szCs w:val="18"/>
              </w:rPr>
              <w:t>110.5</w:t>
            </w:r>
          </w:p>
        </w:tc>
        <w:tc>
          <w:tcPr>
            <w:tcW w:w="784" w:type="dxa"/>
            <w:hideMark/>
          </w:tcPr>
          <w:p w:rsidR="00835970" w:rsidRPr="001D4886" w:rsidRDefault="00835970" w:rsidP="00CA3A13">
            <w:pPr>
              <w:pStyle w:val="NormalWeb"/>
              <w:jc w:val="center"/>
              <w:rPr>
                <w:sz w:val="18"/>
                <w:szCs w:val="18"/>
              </w:rPr>
            </w:pPr>
            <w:r w:rsidRPr="001D4886">
              <w:rPr>
                <w:sz w:val="18"/>
                <w:szCs w:val="18"/>
              </w:rPr>
              <w:t>111.5</w:t>
            </w:r>
          </w:p>
        </w:tc>
      </w:tr>
      <w:tr w:rsidR="00835970" w:rsidRPr="001D4886" w:rsidTr="00D64527">
        <w:tc>
          <w:tcPr>
            <w:tcW w:w="0" w:type="auto"/>
            <w:hideMark/>
          </w:tcPr>
          <w:p w:rsidR="00835970" w:rsidRPr="001D4886" w:rsidRDefault="00835970" w:rsidP="00EE1F6B">
            <w:pPr>
              <w:pStyle w:val="NormalWeb"/>
              <w:rPr>
                <w:sz w:val="18"/>
                <w:szCs w:val="18"/>
              </w:rPr>
            </w:pPr>
            <w:r w:rsidRPr="001D4886">
              <w:rPr>
                <w:sz w:val="18"/>
                <w:szCs w:val="18"/>
              </w:rPr>
              <w:t>60 to 69</w:t>
            </w:r>
          </w:p>
        </w:tc>
        <w:tc>
          <w:tcPr>
            <w:tcW w:w="783" w:type="dxa"/>
            <w:hideMark/>
          </w:tcPr>
          <w:p w:rsidR="00835970" w:rsidRPr="001D4886" w:rsidRDefault="00835970" w:rsidP="00CA3A13">
            <w:pPr>
              <w:pStyle w:val="NormalWeb"/>
              <w:jc w:val="center"/>
              <w:rPr>
                <w:sz w:val="18"/>
                <w:szCs w:val="18"/>
              </w:rPr>
            </w:pPr>
            <w:r w:rsidRPr="001D4886">
              <w:rPr>
                <w:sz w:val="18"/>
                <w:szCs w:val="18"/>
              </w:rPr>
              <w:t>7</w:t>
            </w:r>
          </w:p>
        </w:tc>
        <w:tc>
          <w:tcPr>
            <w:tcW w:w="783" w:type="dxa"/>
            <w:hideMark/>
          </w:tcPr>
          <w:p w:rsidR="00835970" w:rsidRPr="001D4886" w:rsidRDefault="00835970" w:rsidP="00CA3A13">
            <w:pPr>
              <w:pStyle w:val="NormalWeb"/>
              <w:jc w:val="center"/>
              <w:rPr>
                <w:sz w:val="18"/>
                <w:szCs w:val="18"/>
              </w:rPr>
            </w:pPr>
            <w:r w:rsidRPr="001D4886">
              <w:rPr>
                <w:sz w:val="18"/>
                <w:szCs w:val="18"/>
              </w:rPr>
              <w:t>3</w:t>
            </w:r>
          </w:p>
        </w:tc>
        <w:tc>
          <w:tcPr>
            <w:tcW w:w="783" w:type="dxa"/>
            <w:hideMark/>
          </w:tcPr>
          <w:p w:rsidR="00835970" w:rsidRPr="001D4886" w:rsidRDefault="00835970" w:rsidP="00CA3A13">
            <w:pPr>
              <w:pStyle w:val="NormalWeb"/>
              <w:jc w:val="center"/>
              <w:rPr>
                <w:sz w:val="18"/>
                <w:szCs w:val="18"/>
              </w:rPr>
            </w:pPr>
            <w:r w:rsidRPr="001D4886">
              <w:rPr>
                <w:sz w:val="18"/>
                <w:szCs w:val="18"/>
              </w:rPr>
              <w:t>10</w:t>
            </w:r>
          </w:p>
        </w:tc>
        <w:tc>
          <w:tcPr>
            <w:tcW w:w="784" w:type="dxa"/>
            <w:hideMark/>
          </w:tcPr>
          <w:p w:rsidR="00835970" w:rsidRPr="001D4886" w:rsidRDefault="00835970" w:rsidP="00CA3A13">
            <w:pPr>
              <w:pStyle w:val="NormalWeb"/>
              <w:jc w:val="center"/>
              <w:rPr>
                <w:sz w:val="18"/>
                <w:szCs w:val="18"/>
              </w:rPr>
            </w:pPr>
            <w:r w:rsidRPr="001D4886">
              <w:rPr>
                <w:sz w:val="18"/>
                <w:szCs w:val="18"/>
              </w:rPr>
              <w:t>0.5</w:t>
            </w:r>
          </w:p>
        </w:tc>
        <w:tc>
          <w:tcPr>
            <w:tcW w:w="783" w:type="dxa"/>
            <w:hideMark/>
          </w:tcPr>
          <w:p w:rsidR="00835970" w:rsidRPr="001D4886" w:rsidRDefault="00835970" w:rsidP="00CA3A13">
            <w:pPr>
              <w:pStyle w:val="NormalWeb"/>
              <w:jc w:val="center"/>
              <w:rPr>
                <w:sz w:val="18"/>
                <w:szCs w:val="18"/>
              </w:rPr>
            </w:pPr>
            <w:r w:rsidRPr="001D4886">
              <w:rPr>
                <w:sz w:val="18"/>
                <w:szCs w:val="18"/>
              </w:rPr>
              <w:t>0.2</w:t>
            </w:r>
          </w:p>
        </w:tc>
        <w:tc>
          <w:tcPr>
            <w:tcW w:w="783" w:type="dxa"/>
            <w:hideMark/>
          </w:tcPr>
          <w:p w:rsidR="00835970" w:rsidRPr="001D4886" w:rsidRDefault="00835970" w:rsidP="00CA3A13">
            <w:pPr>
              <w:pStyle w:val="NormalWeb"/>
              <w:jc w:val="center"/>
              <w:rPr>
                <w:sz w:val="18"/>
                <w:szCs w:val="18"/>
              </w:rPr>
            </w:pPr>
            <w:r w:rsidRPr="001D4886">
              <w:rPr>
                <w:sz w:val="18"/>
                <w:szCs w:val="18"/>
              </w:rPr>
              <w:t>0.4</w:t>
            </w:r>
          </w:p>
        </w:tc>
        <w:tc>
          <w:tcPr>
            <w:tcW w:w="783" w:type="dxa"/>
            <w:hideMark/>
          </w:tcPr>
          <w:p w:rsidR="00835970" w:rsidRPr="001D4886" w:rsidRDefault="00835970" w:rsidP="00CA3A13">
            <w:pPr>
              <w:pStyle w:val="NormalWeb"/>
              <w:jc w:val="center"/>
              <w:rPr>
                <w:sz w:val="18"/>
                <w:szCs w:val="18"/>
              </w:rPr>
            </w:pPr>
            <w:r w:rsidRPr="001D4886">
              <w:rPr>
                <w:sz w:val="18"/>
                <w:szCs w:val="18"/>
              </w:rPr>
              <w:t>1,238</w:t>
            </w:r>
          </w:p>
        </w:tc>
        <w:tc>
          <w:tcPr>
            <w:tcW w:w="784" w:type="dxa"/>
            <w:hideMark/>
          </w:tcPr>
          <w:p w:rsidR="00835970" w:rsidRPr="001D4886" w:rsidRDefault="00835970" w:rsidP="00CA3A13">
            <w:pPr>
              <w:pStyle w:val="NormalWeb"/>
              <w:jc w:val="center"/>
              <w:rPr>
                <w:sz w:val="18"/>
                <w:szCs w:val="18"/>
              </w:rPr>
            </w:pPr>
            <w:r w:rsidRPr="001D4886">
              <w:rPr>
                <w:sz w:val="18"/>
                <w:szCs w:val="18"/>
              </w:rPr>
              <w:t>1,231</w:t>
            </w:r>
          </w:p>
        </w:tc>
        <w:tc>
          <w:tcPr>
            <w:tcW w:w="783" w:type="dxa"/>
            <w:hideMark/>
          </w:tcPr>
          <w:p w:rsidR="00835970" w:rsidRPr="001D4886" w:rsidRDefault="00835970" w:rsidP="00CA3A13">
            <w:pPr>
              <w:pStyle w:val="NormalWeb"/>
              <w:jc w:val="center"/>
              <w:rPr>
                <w:sz w:val="18"/>
                <w:szCs w:val="18"/>
              </w:rPr>
            </w:pPr>
            <w:r w:rsidRPr="001D4886">
              <w:rPr>
                <w:sz w:val="18"/>
                <w:szCs w:val="18"/>
              </w:rPr>
              <w:t>2,469</w:t>
            </w:r>
          </w:p>
        </w:tc>
        <w:tc>
          <w:tcPr>
            <w:tcW w:w="783" w:type="dxa"/>
            <w:hideMark/>
          </w:tcPr>
          <w:p w:rsidR="00835970" w:rsidRPr="001D4886" w:rsidRDefault="00835970" w:rsidP="00CA3A13">
            <w:pPr>
              <w:pStyle w:val="NormalWeb"/>
              <w:jc w:val="center"/>
              <w:rPr>
                <w:sz w:val="18"/>
                <w:szCs w:val="18"/>
              </w:rPr>
            </w:pPr>
            <w:r w:rsidRPr="001D4886">
              <w:rPr>
                <w:sz w:val="18"/>
                <w:szCs w:val="18"/>
              </w:rPr>
              <w:t>95.0</w:t>
            </w:r>
          </w:p>
        </w:tc>
        <w:tc>
          <w:tcPr>
            <w:tcW w:w="783" w:type="dxa"/>
            <w:hideMark/>
          </w:tcPr>
          <w:p w:rsidR="00835970" w:rsidRPr="001D4886" w:rsidRDefault="00835970" w:rsidP="00CA3A13">
            <w:pPr>
              <w:pStyle w:val="NormalWeb"/>
              <w:jc w:val="center"/>
              <w:rPr>
                <w:sz w:val="18"/>
                <w:szCs w:val="18"/>
              </w:rPr>
            </w:pPr>
            <w:r w:rsidRPr="001D4886">
              <w:rPr>
                <w:sz w:val="18"/>
                <w:szCs w:val="18"/>
              </w:rPr>
              <w:t>89.0</w:t>
            </w:r>
          </w:p>
        </w:tc>
        <w:tc>
          <w:tcPr>
            <w:tcW w:w="784" w:type="dxa"/>
            <w:hideMark/>
          </w:tcPr>
          <w:p w:rsidR="00835970" w:rsidRPr="001D4886" w:rsidRDefault="00835970" w:rsidP="00CA3A13">
            <w:pPr>
              <w:pStyle w:val="NormalWeb"/>
              <w:jc w:val="center"/>
              <w:rPr>
                <w:sz w:val="18"/>
                <w:szCs w:val="18"/>
              </w:rPr>
            </w:pPr>
            <w:r w:rsidRPr="001D4886">
              <w:rPr>
                <w:sz w:val="18"/>
                <w:szCs w:val="18"/>
              </w:rPr>
              <w:t>91.9</w:t>
            </w:r>
          </w:p>
        </w:tc>
      </w:tr>
      <w:tr w:rsidR="00CA3A13" w:rsidRPr="001D4886" w:rsidTr="00D64527">
        <w:trPr>
          <w:cnfStyle w:val="000000010000" w:firstRow="0" w:lastRow="0" w:firstColumn="0" w:lastColumn="0" w:oddVBand="0" w:evenVBand="0" w:oddHBand="0" w:evenHBand="1" w:firstRowFirstColumn="0" w:firstRowLastColumn="0" w:lastRowFirstColumn="0" w:lastRowLastColumn="0"/>
        </w:trPr>
        <w:tc>
          <w:tcPr>
            <w:tcW w:w="0" w:type="auto"/>
            <w:hideMark/>
          </w:tcPr>
          <w:p w:rsidR="00835970" w:rsidRPr="001D4886" w:rsidRDefault="00835970" w:rsidP="00EE1F6B">
            <w:pPr>
              <w:pStyle w:val="NormalWeb"/>
              <w:rPr>
                <w:sz w:val="18"/>
                <w:szCs w:val="18"/>
              </w:rPr>
            </w:pPr>
            <w:r w:rsidRPr="001D4886">
              <w:rPr>
                <w:sz w:val="18"/>
                <w:szCs w:val="18"/>
              </w:rPr>
              <w:t>70 to 79</w:t>
            </w:r>
          </w:p>
        </w:tc>
        <w:tc>
          <w:tcPr>
            <w:tcW w:w="783" w:type="dxa"/>
            <w:hideMark/>
          </w:tcPr>
          <w:p w:rsidR="00835970" w:rsidRPr="001D4886" w:rsidRDefault="00835970" w:rsidP="00CA3A13">
            <w:pPr>
              <w:pStyle w:val="NormalWeb"/>
              <w:jc w:val="center"/>
              <w:rPr>
                <w:sz w:val="18"/>
                <w:szCs w:val="18"/>
              </w:rPr>
            </w:pPr>
            <w:r w:rsidRPr="001D4886">
              <w:rPr>
                <w:sz w:val="18"/>
                <w:szCs w:val="18"/>
              </w:rPr>
              <w:t>2</w:t>
            </w:r>
          </w:p>
        </w:tc>
        <w:tc>
          <w:tcPr>
            <w:tcW w:w="783" w:type="dxa"/>
            <w:hideMark/>
          </w:tcPr>
          <w:p w:rsidR="00835970" w:rsidRPr="001D4886" w:rsidRDefault="00835970" w:rsidP="00CA3A13">
            <w:pPr>
              <w:pStyle w:val="NormalWeb"/>
              <w:jc w:val="center"/>
              <w:rPr>
                <w:sz w:val="18"/>
                <w:szCs w:val="18"/>
              </w:rPr>
            </w:pPr>
            <w:r w:rsidRPr="001D4886">
              <w:rPr>
                <w:sz w:val="18"/>
                <w:szCs w:val="18"/>
              </w:rPr>
              <w:t>1</w:t>
            </w:r>
          </w:p>
        </w:tc>
        <w:tc>
          <w:tcPr>
            <w:tcW w:w="783" w:type="dxa"/>
            <w:hideMark/>
          </w:tcPr>
          <w:p w:rsidR="00835970" w:rsidRPr="001D4886" w:rsidRDefault="00835970" w:rsidP="00CA3A13">
            <w:pPr>
              <w:pStyle w:val="NormalWeb"/>
              <w:jc w:val="center"/>
              <w:rPr>
                <w:sz w:val="18"/>
                <w:szCs w:val="18"/>
              </w:rPr>
            </w:pPr>
            <w:r w:rsidRPr="001D4886">
              <w:rPr>
                <w:sz w:val="18"/>
                <w:szCs w:val="18"/>
              </w:rPr>
              <w:t>3</w:t>
            </w:r>
          </w:p>
        </w:tc>
        <w:tc>
          <w:tcPr>
            <w:tcW w:w="784" w:type="dxa"/>
            <w:hideMark/>
          </w:tcPr>
          <w:p w:rsidR="00835970" w:rsidRPr="001D4886" w:rsidRDefault="00835970" w:rsidP="00CA3A13">
            <w:pPr>
              <w:pStyle w:val="NormalWeb"/>
              <w:jc w:val="center"/>
              <w:rPr>
                <w:sz w:val="18"/>
                <w:szCs w:val="18"/>
              </w:rPr>
            </w:pPr>
            <w:r w:rsidRPr="001D4886">
              <w:rPr>
                <w:sz w:val="18"/>
                <w:szCs w:val="18"/>
              </w:rPr>
              <w:t>0.2</w:t>
            </w:r>
          </w:p>
        </w:tc>
        <w:tc>
          <w:tcPr>
            <w:tcW w:w="783" w:type="dxa"/>
            <w:hideMark/>
          </w:tcPr>
          <w:p w:rsidR="00835970" w:rsidRPr="001D4886" w:rsidRDefault="00835970" w:rsidP="00CA3A13">
            <w:pPr>
              <w:pStyle w:val="NormalWeb"/>
              <w:jc w:val="center"/>
              <w:rPr>
                <w:sz w:val="18"/>
                <w:szCs w:val="18"/>
              </w:rPr>
            </w:pPr>
            <w:r w:rsidRPr="001D4886">
              <w:rPr>
                <w:sz w:val="18"/>
                <w:szCs w:val="18"/>
              </w:rPr>
              <w:t>0.1</w:t>
            </w:r>
          </w:p>
        </w:tc>
        <w:tc>
          <w:tcPr>
            <w:tcW w:w="783" w:type="dxa"/>
            <w:hideMark/>
          </w:tcPr>
          <w:p w:rsidR="00835970" w:rsidRPr="001D4886" w:rsidRDefault="00835970" w:rsidP="00CA3A13">
            <w:pPr>
              <w:pStyle w:val="NormalWeb"/>
              <w:jc w:val="center"/>
              <w:rPr>
                <w:sz w:val="18"/>
                <w:szCs w:val="18"/>
              </w:rPr>
            </w:pPr>
            <w:r w:rsidRPr="001D4886">
              <w:rPr>
                <w:sz w:val="18"/>
                <w:szCs w:val="18"/>
              </w:rPr>
              <w:t>0.2</w:t>
            </w:r>
          </w:p>
        </w:tc>
        <w:tc>
          <w:tcPr>
            <w:tcW w:w="783" w:type="dxa"/>
            <w:hideMark/>
          </w:tcPr>
          <w:p w:rsidR="00835970" w:rsidRPr="001D4886" w:rsidRDefault="00835970" w:rsidP="00CA3A13">
            <w:pPr>
              <w:pStyle w:val="NormalWeb"/>
              <w:jc w:val="center"/>
              <w:rPr>
                <w:sz w:val="18"/>
                <w:szCs w:val="18"/>
              </w:rPr>
            </w:pPr>
            <w:r w:rsidRPr="001D4886">
              <w:rPr>
                <w:sz w:val="18"/>
                <w:szCs w:val="18"/>
              </w:rPr>
              <w:t>866</w:t>
            </w:r>
          </w:p>
        </w:tc>
        <w:tc>
          <w:tcPr>
            <w:tcW w:w="784" w:type="dxa"/>
            <w:hideMark/>
          </w:tcPr>
          <w:p w:rsidR="00835970" w:rsidRPr="001D4886" w:rsidRDefault="00835970" w:rsidP="00CA3A13">
            <w:pPr>
              <w:pStyle w:val="NormalWeb"/>
              <w:jc w:val="center"/>
              <w:rPr>
                <w:sz w:val="18"/>
                <w:szCs w:val="18"/>
              </w:rPr>
            </w:pPr>
            <w:r w:rsidRPr="001D4886">
              <w:rPr>
                <w:sz w:val="18"/>
                <w:szCs w:val="18"/>
              </w:rPr>
              <w:t>760</w:t>
            </w:r>
          </w:p>
        </w:tc>
        <w:tc>
          <w:tcPr>
            <w:tcW w:w="783" w:type="dxa"/>
            <w:hideMark/>
          </w:tcPr>
          <w:p w:rsidR="00835970" w:rsidRPr="001D4886" w:rsidRDefault="00835970" w:rsidP="00CA3A13">
            <w:pPr>
              <w:pStyle w:val="NormalWeb"/>
              <w:jc w:val="center"/>
              <w:rPr>
                <w:sz w:val="18"/>
                <w:szCs w:val="18"/>
              </w:rPr>
            </w:pPr>
            <w:r w:rsidRPr="001D4886">
              <w:rPr>
                <w:sz w:val="18"/>
                <w:szCs w:val="18"/>
              </w:rPr>
              <w:t>1,626</w:t>
            </w:r>
          </w:p>
        </w:tc>
        <w:tc>
          <w:tcPr>
            <w:tcW w:w="783" w:type="dxa"/>
            <w:hideMark/>
          </w:tcPr>
          <w:p w:rsidR="00835970" w:rsidRPr="001D4886" w:rsidRDefault="00835970" w:rsidP="00CA3A13">
            <w:pPr>
              <w:pStyle w:val="NormalWeb"/>
              <w:jc w:val="center"/>
              <w:rPr>
                <w:sz w:val="18"/>
                <w:szCs w:val="18"/>
              </w:rPr>
            </w:pPr>
            <w:r w:rsidRPr="001D4886">
              <w:rPr>
                <w:sz w:val="18"/>
                <w:szCs w:val="18"/>
              </w:rPr>
              <w:t>95.2</w:t>
            </w:r>
          </w:p>
        </w:tc>
        <w:tc>
          <w:tcPr>
            <w:tcW w:w="783" w:type="dxa"/>
            <w:hideMark/>
          </w:tcPr>
          <w:p w:rsidR="00835970" w:rsidRPr="001D4886" w:rsidRDefault="00835970" w:rsidP="00CA3A13">
            <w:pPr>
              <w:pStyle w:val="NormalWeb"/>
              <w:jc w:val="center"/>
              <w:rPr>
                <w:sz w:val="18"/>
                <w:szCs w:val="18"/>
              </w:rPr>
            </w:pPr>
            <w:r w:rsidRPr="001D4886">
              <w:rPr>
                <w:sz w:val="18"/>
                <w:szCs w:val="18"/>
              </w:rPr>
              <w:t>78.7</w:t>
            </w:r>
          </w:p>
        </w:tc>
        <w:tc>
          <w:tcPr>
            <w:tcW w:w="784" w:type="dxa"/>
            <w:hideMark/>
          </w:tcPr>
          <w:p w:rsidR="00835970" w:rsidRPr="001D4886" w:rsidRDefault="00835970" w:rsidP="00CA3A13">
            <w:pPr>
              <w:pStyle w:val="NormalWeb"/>
              <w:jc w:val="center"/>
              <w:rPr>
                <w:sz w:val="18"/>
                <w:szCs w:val="18"/>
              </w:rPr>
            </w:pPr>
            <w:r w:rsidRPr="001D4886">
              <w:rPr>
                <w:sz w:val="18"/>
                <w:szCs w:val="18"/>
              </w:rPr>
              <w:t>86.7</w:t>
            </w:r>
          </w:p>
        </w:tc>
      </w:tr>
      <w:tr w:rsidR="00835970" w:rsidRPr="001D4886" w:rsidTr="00D64527">
        <w:tc>
          <w:tcPr>
            <w:tcW w:w="0" w:type="auto"/>
            <w:hideMark/>
          </w:tcPr>
          <w:p w:rsidR="00835970" w:rsidRPr="001D4886" w:rsidRDefault="00835970" w:rsidP="00EE1F6B">
            <w:pPr>
              <w:pStyle w:val="NormalWeb"/>
              <w:rPr>
                <w:sz w:val="18"/>
                <w:szCs w:val="18"/>
              </w:rPr>
            </w:pPr>
            <w:r w:rsidRPr="001D4886">
              <w:rPr>
                <w:sz w:val="18"/>
                <w:szCs w:val="18"/>
              </w:rPr>
              <w:t>80 to 89</w:t>
            </w:r>
          </w:p>
        </w:tc>
        <w:tc>
          <w:tcPr>
            <w:tcW w:w="783" w:type="dxa"/>
            <w:hideMark/>
          </w:tcPr>
          <w:p w:rsidR="00835970" w:rsidRPr="001D4886" w:rsidRDefault="00835970" w:rsidP="00CA3A13">
            <w:pPr>
              <w:pStyle w:val="NormalWeb"/>
              <w:jc w:val="center"/>
              <w:rPr>
                <w:sz w:val="18"/>
                <w:szCs w:val="18"/>
              </w:rPr>
            </w:pPr>
            <w:r w:rsidRPr="001D4886">
              <w:rPr>
                <w:sz w:val="18"/>
                <w:szCs w:val="18"/>
              </w:rPr>
              <w:t>0</w:t>
            </w:r>
          </w:p>
        </w:tc>
        <w:tc>
          <w:tcPr>
            <w:tcW w:w="783" w:type="dxa"/>
            <w:hideMark/>
          </w:tcPr>
          <w:p w:rsidR="00835970" w:rsidRPr="001D4886" w:rsidRDefault="00835970" w:rsidP="00CA3A13">
            <w:pPr>
              <w:pStyle w:val="NormalWeb"/>
              <w:jc w:val="center"/>
              <w:rPr>
                <w:sz w:val="18"/>
                <w:szCs w:val="18"/>
              </w:rPr>
            </w:pPr>
            <w:r w:rsidRPr="001D4886">
              <w:rPr>
                <w:sz w:val="18"/>
                <w:szCs w:val="18"/>
              </w:rPr>
              <w:t>0</w:t>
            </w:r>
          </w:p>
        </w:tc>
        <w:tc>
          <w:tcPr>
            <w:tcW w:w="783" w:type="dxa"/>
            <w:hideMark/>
          </w:tcPr>
          <w:p w:rsidR="00835970" w:rsidRPr="001D4886" w:rsidRDefault="00835970" w:rsidP="00CA3A13">
            <w:pPr>
              <w:pStyle w:val="NormalWeb"/>
              <w:jc w:val="center"/>
              <w:rPr>
                <w:sz w:val="18"/>
                <w:szCs w:val="18"/>
              </w:rPr>
            </w:pPr>
            <w:r w:rsidRPr="001D4886">
              <w:rPr>
                <w:sz w:val="18"/>
                <w:szCs w:val="18"/>
              </w:rPr>
              <w:t>0</w:t>
            </w:r>
          </w:p>
        </w:tc>
        <w:tc>
          <w:tcPr>
            <w:tcW w:w="784" w:type="dxa"/>
            <w:hideMark/>
          </w:tcPr>
          <w:p w:rsidR="00835970" w:rsidRPr="001D4886" w:rsidRDefault="00835970" w:rsidP="00CA3A13">
            <w:pPr>
              <w:pStyle w:val="NormalWeb"/>
              <w:jc w:val="center"/>
              <w:rPr>
                <w:sz w:val="18"/>
                <w:szCs w:val="18"/>
              </w:rPr>
            </w:pPr>
            <w:r w:rsidRPr="001D4886">
              <w:rPr>
                <w:sz w:val="18"/>
                <w:szCs w:val="18"/>
              </w:rPr>
              <w:t>0.0</w:t>
            </w:r>
          </w:p>
        </w:tc>
        <w:tc>
          <w:tcPr>
            <w:tcW w:w="783" w:type="dxa"/>
            <w:hideMark/>
          </w:tcPr>
          <w:p w:rsidR="00835970" w:rsidRPr="001D4886" w:rsidRDefault="00835970" w:rsidP="00CA3A13">
            <w:pPr>
              <w:pStyle w:val="NormalWeb"/>
              <w:jc w:val="center"/>
              <w:rPr>
                <w:sz w:val="18"/>
                <w:szCs w:val="18"/>
              </w:rPr>
            </w:pPr>
            <w:r w:rsidRPr="001D4886">
              <w:rPr>
                <w:sz w:val="18"/>
                <w:szCs w:val="18"/>
              </w:rPr>
              <w:t>0.0</w:t>
            </w:r>
          </w:p>
        </w:tc>
        <w:tc>
          <w:tcPr>
            <w:tcW w:w="783" w:type="dxa"/>
            <w:hideMark/>
          </w:tcPr>
          <w:p w:rsidR="00835970" w:rsidRPr="001D4886" w:rsidRDefault="00835970" w:rsidP="00CA3A13">
            <w:pPr>
              <w:pStyle w:val="NormalWeb"/>
              <w:jc w:val="center"/>
              <w:rPr>
                <w:sz w:val="18"/>
                <w:szCs w:val="18"/>
              </w:rPr>
            </w:pPr>
            <w:r w:rsidRPr="001D4886">
              <w:rPr>
                <w:sz w:val="18"/>
                <w:szCs w:val="18"/>
              </w:rPr>
              <w:t>0.0</w:t>
            </w:r>
          </w:p>
        </w:tc>
        <w:tc>
          <w:tcPr>
            <w:tcW w:w="783" w:type="dxa"/>
            <w:hideMark/>
          </w:tcPr>
          <w:p w:rsidR="00835970" w:rsidRPr="001D4886" w:rsidRDefault="00835970" w:rsidP="00CA3A13">
            <w:pPr>
              <w:pStyle w:val="NormalWeb"/>
              <w:jc w:val="center"/>
              <w:rPr>
                <w:sz w:val="18"/>
                <w:szCs w:val="18"/>
              </w:rPr>
            </w:pPr>
            <w:r w:rsidRPr="001D4886">
              <w:rPr>
                <w:sz w:val="18"/>
                <w:szCs w:val="18"/>
              </w:rPr>
              <w:t>497</w:t>
            </w:r>
          </w:p>
        </w:tc>
        <w:tc>
          <w:tcPr>
            <w:tcW w:w="784" w:type="dxa"/>
            <w:hideMark/>
          </w:tcPr>
          <w:p w:rsidR="00835970" w:rsidRPr="001D4886" w:rsidRDefault="00835970" w:rsidP="00CA3A13">
            <w:pPr>
              <w:pStyle w:val="NormalWeb"/>
              <w:jc w:val="center"/>
              <w:rPr>
                <w:sz w:val="18"/>
                <w:szCs w:val="18"/>
              </w:rPr>
            </w:pPr>
            <w:r w:rsidRPr="001D4886">
              <w:rPr>
                <w:sz w:val="18"/>
                <w:szCs w:val="18"/>
              </w:rPr>
              <w:t>778</w:t>
            </w:r>
          </w:p>
        </w:tc>
        <w:tc>
          <w:tcPr>
            <w:tcW w:w="783" w:type="dxa"/>
            <w:hideMark/>
          </w:tcPr>
          <w:p w:rsidR="00835970" w:rsidRPr="001D4886" w:rsidRDefault="00835970" w:rsidP="00CA3A13">
            <w:pPr>
              <w:pStyle w:val="NormalWeb"/>
              <w:jc w:val="center"/>
              <w:rPr>
                <w:sz w:val="18"/>
                <w:szCs w:val="18"/>
              </w:rPr>
            </w:pPr>
            <w:r w:rsidRPr="001D4886">
              <w:rPr>
                <w:sz w:val="18"/>
                <w:szCs w:val="18"/>
              </w:rPr>
              <w:t>1,275</w:t>
            </w:r>
          </w:p>
        </w:tc>
        <w:tc>
          <w:tcPr>
            <w:tcW w:w="783" w:type="dxa"/>
            <w:hideMark/>
          </w:tcPr>
          <w:p w:rsidR="00835970" w:rsidRPr="001D4886" w:rsidRDefault="00835970" w:rsidP="00CA3A13">
            <w:pPr>
              <w:pStyle w:val="NormalWeb"/>
              <w:jc w:val="center"/>
              <w:rPr>
                <w:sz w:val="18"/>
                <w:szCs w:val="18"/>
              </w:rPr>
            </w:pPr>
            <w:r w:rsidRPr="001D4886">
              <w:rPr>
                <w:sz w:val="18"/>
                <w:szCs w:val="18"/>
              </w:rPr>
              <w:t>134.1</w:t>
            </w:r>
          </w:p>
        </w:tc>
        <w:tc>
          <w:tcPr>
            <w:tcW w:w="783" w:type="dxa"/>
            <w:hideMark/>
          </w:tcPr>
          <w:p w:rsidR="00835970" w:rsidRPr="001D4886" w:rsidRDefault="00835970" w:rsidP="00CA3A13">
            <w:pPr>
              <w:pStyle w:val="NormalWeb"/>
              <w:jc w:val="center"/>
              <w:rPr>
                <w:sz w:val="18"/>
                <w:szCs w:val="18"/>
              </w:rPr>
            </w:pPr>
            <w:r w:rsidRPr="001D4886">
              <w:rPr>
                <w:sz w:val="18"/>
                <w:szCs w:val="18"/>
              </w:rPr>
              <w:t>164.3</w:t>
            </w:r>
          </w:p>
        </w:tc>
        <w:tc>
          <w:tcPr>
            <w:tcW w:w="784" w:type="dxa"/>
            <w:hideMark/>
          </w:tcPr>
          <w:p w:rsidR="00835970" w:rsidRPr="001D4886" w:rsidRDefault="00835970" w:rsidP="00CA3A13">
            <w:pPr>
              <w:pStyle w:val="NormalWeb"/>
              <w:jc w:val="center"/>
              <w:rPr>
                <w:sz w:val="18"/>
                <w:szCs w:val="18"/>
              </w:rPr>
            </w:pPr>
            <w:r w:rsidRPr="001D4886">
              <w:rPr>
                <w:sz w:val="18"/>
                <w:szCs w:val="18"/>
              </w:rPr>
              <w:t>151.1</w:t>
            </w:r>
          </w:p>
        </w:tc>
      </w:tr>
      <w:tr w:rsidR="00CA3A13" w:rsidRPr="001D4886" w:rsidTr="00D64527">
        <w:trPr>
          <w:cnfStyle w:val="000000010000" w:firstRow="0" w:lastRow="0" w:firstColumn="0" w:lastColumn="0" w:oddVBand="0" w:evenVBand="0" w:oddHBand="0" w:evenHBand="1" w:firstRowFirstColumn="0" w:firstRowLastColumn="0" w:lastRowFirstColumn="0" w:lastRowLastColumn="0"/>
        </w:trPr>
        <w:tc>
          <w:tcPr>
            <w:tcW w:w="0" w:type="auto"/>
            <w:hideMark/>
          </w:tcPr>
          <w:p w:rsidR="00835970" w:rsidRPr="001D4886" w:rsidRDefault="00835970" w:rsidP="00EE1F6B">
            <w:pPr>
              <w:pStyle w:val="NormalWeb"/>
              <w:rPr>
                <w:sz w:val="18"/>
                <w:szCs w:val="18"/>
              </w:rPr>
            </w:pPr>
            <w:r w:rsidRPr="001D4886">
              <w:rPr>
                <w:sz w:val="18"/>
                <w:szCs w:val="18"/>
              </w:rPr>
              <w:t>90 and over</w:t>
            </w:r>
          </w:p>
        </w:tc>
        <w:tc>
          <w:tcPr>
            <w:tcW w:w="783" w:type="dxa"/>
            <w:hideMark/>
          </w:tcPr>
          <w:p w:rsidR="00835970" w:rsidRPr="001D4886" w:rsidRDefault="00835970" w:rsidP="00CA3A13">
            <w:pPr>
              <w:pStyle w:val="NormalWeb"/>
              <w:jc w:val="center"/>
              <w:rPr>
                <w:sz w:val="18"/>
                <w:szCs w:val="18"/>
              </w:rPr>
            </w:pPr>
            <w:r w:rsidRPr="001D4886">
              <w:rPr>
                <w:sz w:val="18"/>
                <w:szCs w:val="18"/>
              </w:rPr>
              <w:t>0</w:t>
            </w:r>
          </w:p>
        </w:tc>
        <w:tc>
          <w:tcPr>
            <w:tcW w:w="783" w:type="dxa"/>
            <w:hideMark/>
          </w:tcPr>
          <w:p w:rsidR="00835970" w:rsidRPr="001D4886" w:rsidRDefault="00835970" w:rsidP="00CA3A13">
            <w:pPr>
              <w:pStyle w:val="NormalWeb"/>
              <w:jc w:val="center"/>
              <w:rPr>
                <w:sz w:val="18"/>
                <w:szCs w:val="18"/>
              </w:rPr>
            </w:pPr>
            <w:r w:rsidRPr="001D4886">
              <w:rPr>
                <w:sz w:val="18"/>
                <w:szCs w:val="18"/>
              </w:rPr>
              <w:t>0</w:t>
            </w:r>
          </w:p>
        </w:tc>
        <w:tc>
          <w:tcPr>
            <w:tcW w:w="783" w:type="dxa"/>
            <w:hideMark/>
          </w:tcPr>
          <w:p w:rsidR="00835970" w:rsidRPr="001D4886" w:rsidRDefault="00835970" w:rsidP="00CA3A13">
            <w:pPr>
              <w:pStyle w:val="NormalWeb"/>
              <w:jc w:val="center"/>
              <w:rPr>
                <w:sz w:val="18"/>
                <w:szCs w:val="18"/>
              </w:rPr>
            </w:pPr>
            <w:r w:rsidRPr="001D4886">
              <w:rPr>
                <w:sz w:val="18"/>
                <w:szCs w:val="18"/>
              </w:rPr>
              <w:t>0</w:t>
            </w:r>
          </w:p>
        </w:tc>
        <w:tc>
          <w:tcPr>
            <w:tcW w:w="784" w:type="dxa"/>
            <w:hideMark/>
          </w:tcPr>
          <w:p w:rsidR="00835970" w:rsidRPr="001D4886" w:rsidRDefault="00835970" w:rsidP="00CA3A13">
            <w:pPr>
              <w:pStyle w:val="NormalWeb"/>
              <w:jc w:val="center"/>
              <w:rPr>
                <w:sz w:val="18"/>
                <w:szCs w:val="18"/>
              </w:rPr>
            </w:pPr>
            <w:r w:rsidRPr="001D4886">
              <w:rPr>
                <w:sz w:val="18"/>
                <w:szCs w:val="18"/>
              </w:rPr>
              <w:t>0.0</w:t>
            </w:r>
          </w:p>
        </w:tc>
        <w:tc>
          <w:tcPr>
            <w:tcW w:w="783" w:type="dxa"/>
            <w:hideMark/>
          </w:tcPr>
          <w:p w:rsidR="00835970" w:rsidRPr="001D4886" w:rsidRDefault="00835970" w:rsidP="00CA3A13">
            <w:pPr>
              <w:pStyle w:val="NormalWeb"/>
              <w:jc w:val="center"/>
              <w:rPr>
                <w:sz w:val="18"/>
                <w:szCs w:val="18"/>
              </w:rPr>
            </w:pPr>
            <w:r w:rsidRPr="001D4886">
              <w:rPr>
                <w:sz w:val="18"/>
                <w:szCs w:val="18"/>
              </w:rPr>
              <w:t>0.0</w:t>
            </w:r>
          </w:p>
        </w:tc>
        <w:tc>
          <w:tcPr>
            <w:tcW w:w="783" w:type="dxa"/>
            <w:hideMark/>
          </w:tcPr>
          <w:p w:rsidR="00835970" w:rsidRPr="001D4886" w:rsidRDefault="00835970" w:rsidP="00CA3A13">
            <w:pPr>
              <w:pStyle w:val="NormalWeb"/>
              <w:jc w:val="center"/>
              <w:rPr>
                <w:sz w:val="18"/>
                <w:szCs w:val="18"/>
              </w:rPr>
            </w:pPr>
            <w:r w:rsidRPr="001D4886">
              <w:rPr>
                <w:sz w:val="18"/>
                <w:szCs w:val="18"/>
              </w:rPr>
              <w:t>0.0</w:t>
            </w:r>
          </w:p>
        </w:tc>
        <w:tc>
          <w:tcPr>
            <w:tcW w:w="783" w:type="dxa"/>
            <w:hideMark/>
          </w:tcPr>
          <w:p w:rsidR="00835970" w:rsidRPr="001D4886" w:rsidRDefault="00835970" w:rsidP="00CA3A13">
            <w:pPr>
              <w:pStyle w:val="NormalWeb"/>
              <w:jc w:val="center"/>
              <w:rPr>
                <w:sz w:val="18"/>
                <w:szCs w:val="18"/>
              </w:rPr>
            </w:pPr>
            <w:r w:rsidRPr="001D4886">
              <w:rPr>
                <w:sz w:val="18"/>
                <w:szCs w:val="18"/>
              </w:rPr>
              <w:t>230</w:t>
            </w:r>
          </w:p>
        </w:tc>
        <w:tc>
          <w:tcPr>
            <w:tcW w:w="784" w:type="dxa"/>
            <w:hideMark/>
          </w:tcPr>
          <w:p w:rsidR="00835970" w:rsidRPr="001D4886" w:rsidRDefault="00835970" w:rsidP="00CA3A13">
            <w:pPr>
              <w:pStyle w:val="NormalWeb"/>
              <w:jc w:val="center"/>
              <w:rPr>
                <w:sz w:val="18"/>
                <w:szCs w:val="18"/>
              </w:rPr>
            </w:pPr>
            <w:r w:rsidRPr="001D4886">
              <w:rPr>
                <w:sz w:val="18"/>
                <w:szCs w:val="18"/>
              </w:rPr>
              <w:t>551</w:t>
            </w:r>
          </w:p>
        </w:tc>
        <w:tc>
          <w:tcPr>
            <w:tcW w:w="783" w:type="dxa"/>
            <w:hideMark/>
          </w:tcPr>
          <w:p w:rsidR="00835970" w:rsidRPr="001D4886" w:rsidRDefault="00835970" w:rsidP="00CA3A13">
            <w:pPr>
              <w:pStyle w:val="NormalWeb"/>
              <w:jc w:val="center"/>
              <w:rPr>
                <w:sz w:val="18"/>
                <w:szCs w:val="18"/>
              </w:rPr>
            </w:pPr>
            <w:r w:rsidRPr="001D4886">
              <w:rPr>
                <w:sz w:val="18"/>
                <w:szCs w:val="18"/>
              </w:rPr>
              <w:t>781</w:t>
            </w:r>
          </w:p>
        </w:tc>
        <w:tc>
          <w:tcPr>
            <w:tcW w:w="783" w:type="dxa"/>
            <w:hideMark/>
          </w:tcPr>
          <w:p w:rsidR="00835970" w:rsidRPr="001D4886" w:rsidRDefault="00835970" w:rsidP="00CA3A13">
            <w:pPr>
              <w:pStyle w:val="NormalWeb"/>
              <w:jc w:val="center"/>
              <w:rPr>
                <w:sz w:val="18"/>
                <w:szCs w:val="18"/>
              </w:rPr>
            </w:pPr>
            <w:r w:rsidRPr="001D4886">
              <w:rPr>
                <w:sz w:val="18"/>
                <w:szCs w:val="18"/>
              </w:rPr>
              <w:t>314.4</w:t>
            </w:r>
          </w:p>
        </w:tc>
        <w:tc>
          <w:tcPr>
            <w:tcW w:w="783" w:type="dxa"/>
            <w:hideMark/>
          </w:tcPr>
          <w:p w:rsidR="00835970" w:rsidRPr="001D4886" w:rsidRDefault="00835970" w:rsidP="00CA3A13">
            <w:pPr>
              <w:pStyle w:val="NormalWeb"/>
              <w:jc w:val="center"/>
              <w:rPr>
                <w:sz w:val="18"/>
                <w:szCs w:val="18"/>
              </w:rPr>
            </w:pPr>
            <w:r w:rsidRPr="001D4886">
              <w:rPr>
                <w:sz w:val="18"/>
                <w:szCs w:val="18"/>
              </w:rPr>
              <w:t>398.9</w:t>
            </w:r>
          </w:p>
        </w:tc>
        <w:tc>
          <w:tcPr>
            <w:tcW w:w="784" w:type="dxa"/>
            <w:hideMark/>
          </w:tcPr>
          <w:p w:rsidR="00835970" w:rsidRPr="001D4886" w:rsidRDefault="00835970" w:rsidP="00CA3A13">
            <w:pPr>
              <w:pStyle w:val="NormalWeb"/>
              <w:jc w:val="center"/>
              <w:rPr>
                <w:sz w:val="18"/>
                <w:szCs w:val="18"/>
              </w:rPr>
            </w:pPr>
            <w:r w:rsidRPr="001D4886">
              <w:rPr>
                <w:sz w:val="18"/>
                <w:szCs w:val="18"/>
              </w:rPr>
              <w:t>369.6</w:t>
            </w:r>
          </w:p>
        </w:tc>
      </w:tr>
    </w:tbl>
    <w:p w:rsidR="00835970" w:rsidRDefault="00835970" w:rsidP="00835970">
      <w:pPr>
        <w:pStyle w:val="CDIfootnotes"/>
        <w:rPr>
          <w:lang w:val="en-GB"/>
        </w:rPr>
      </w:pPr>
      <w:proofErr w:type="gramStart"/>
      <w:r>
        <w:rPr>
          <w:lang w:val="en-GB"/>
        </w:rPr>
        <w:t>a</w:t>
      </w:r>
      <w:proofErr w:type="gramEnd"/>
      <w:r>
        <w:rPr>
          <w:lang w:val="en-GB"/>
        </w:rPr>
        <w:tab/>
        <w:t>Population data based on Australian Bureau of Statistics (ABS) Estimated Resident Population (ERP) as at June 2020. Discrepancies between rates in this and previous reports may arise due to the use of an updated population source.</w:t>
      </w:r>
    </w:p>
    <w:p w:rsidR="008B5348" w:rsidRDefault="008B5348">
      <w:pPr>
        <w:rPr>
          <w:rStyle w:val="A10"/>
        </w:rPr>
        <w:sectPr w:rsidR="008B5348" w:rsidSect="00A30C37">
          <w:pgSz w:w="11906" w:h="16838"/>
          <w:pgMar w:top="720" w:right="720" w:bottom="1134" w:left="720" w:header="709" w:footer="284" w:gutter="0"/>
          <w:cols w:space="708"/>
          <w:titlePg/>
          <w:docGrid w:linePitch="360"/>
        </w:sectPr>
      </w:pPr>
      <w:r>
        <w:rPr>
          <w:rStyle w:val="A10"/>
        </w:rPr>
        <w:br w:type="page"/>
      </w:r>
    </w:p>
    <w:p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rsidR="000A5F42" w:rsidRPr="000606CC" w:rsidRDefault="000A5F42" w:rsidP="000A5F42">
      <w:pPr>
        <w:pStyle w:val="NoSpacing"/>
        <w:rPr>
          <w:rFonts w:cstheme="minorHAnsi"/>
          <w:sz w:val="20"/>
          <w:szCs w:val="18"/>
        </w:rPr>
      </w:pPr>
      <w:r w:rsidRPr="000606CC">
        <w:rPr>
          <w:rFonts w:cstheme="minorHAnsi"/>
          <w:sz w:val="20"/>
          <w:szCs w:val="18"/>
        </w:rPr>
        <w:t>ISSN: 2209-6051 Online</w:t>
      </w:r>
    </w:p>
    <w:p w:rsidR="000A5F42" w:rsidRPr="000606CC" w:rsidRDefault="000A5F42" w:rsidP="000A5F42">
      <w:pPr>
        <w:pStyle w:val="NoSpacing"/>
        <w:rPr>
          <w:rStyle w:val="URI"/>
          <w:rFonts w:cstheme="minorHAnsi"/>
          <w:sz w:val="20"/>
          <w:szCs w:val="18"/>
        </w:rPr>
      </w:pPr>
    </w:p>
    <w:p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Department of Health. The journal aims to disseminate information on the epidemiology, surveillance, prevention and control of communicable diseases of relevance to Australia.</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5C66A6" w:rsidRPr="005C66A6">
        <w:rPr>
          <w:rFonts w:cstheme="minorHAnsi"/>
          <w:sz w:val="20"/>
          <w:szCs w:val="18"/>
        </w:rPr>
        <w:t>Jennie Hood</w:t>
      </w:r>
    </w:p>
    <w:p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20"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rsidR="000A5F42" w:rsidRPr="000606CC" w:rsidRDefault="000A5F42" w:rsidP="000A5F42">
      <w:pPr>
        <w:pStyle w:val="NoSpacing"/>
        <w:rPr>
          <w:rStyle w:val="Strong"/>
          <w:rFonts w:cstheme="minorHAnsi"/>
          <w:sz w:val="20"/>
          <w:szCs w:val="18"/>
        </w:rPr>
      </w:pPr>
    </w:p>
    <w:p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is produced by </w:t>
      </w:r>
      <w:r w:rsidR="00E54BBD" w:rsidRPr="00E54BBD">
        <w:rPr>
          <w:rFonts w:cstheme="minorHAnsi"/>
          <w:sz w:val="20"/>
          <w:szCs w:val="18"/>
        </w:rPr>
        <w:t>Environmental Health and Health Protection Policy Branch,</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21"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proofErr w:type="gramStart"/>
      <w:r w:rsidRPr="000606CC">
        <w:rPr>
          <w:rFonts w:cstheme="minorHAnsi"/>
          <w:sz w:val="20"/>
          <w:szCs w:val="18"/>
        </w:rPr>
        <w:t>You</w:t>
      </w:r>
      <w:proofErr w:type="gramEnd"/>
      <w:r w:rsidRPr="000606CC">
        <w:rPr>
          <w:rFonts w:cstheme="minorHAnsi"/>
          <w:sz w:val="20"/>
          <w:szCs w:val="18"/>
        </w:rPr>
        <w:t xml:space="preserve"> are invited to submit your next communicable disease related article to the Communicable Diseases Intelligence (CDI) for consideration. More information regarding CDI can be found at: </w:t>
      </w:r>
      <w:hyperlink r:id="rId22"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3" w:history="1">
        <w:r w:rsidRPr="000606CC">
          <w:rPr>
            <w:rStyle w:val="Hyperlink"/>
            <w:rFonts w:cstheme="minorHAnsi"/>
            <w:sz w:val="20"/>
            <w:szCs w:val="18"/>
          </w:rPr>
          <w:t>cdi.editor@health.gov.au</w:t>
        </w:r>
      </w:hyperlink>
      <w:r w:rsidRPr="000606CC">
        <w:rPr>
          <w:rFonts w:cstheme="minorHAnsi"/>
          <w:sz w:val="20"/>
          <w:szCs w:val="18"/>
        </w:rPr>
        <w:t>.</w:t>
      </w:r>
    </w:p>
    <w:p w:rsidR="000A5F42" w:rsidRPr="000606CC" w:rsidRDefault="000A5F42" w:rsidP="000A5F42">
      <w:pPr>
        <w:pStyle w:val="NoSpacing"/>
        <w:pBdr>
          <w:bottom w:val="single" w:sz="6" w:space="1" w:color="auto"/>
        </w:pBdr>
        <w:rPr>
          <w:rStyle w:val="Strong"/>
          <w:rFonts w:cstheme="minorHAnsi"/>
          <w:sz w:val="12"/>
          <w:szCs w:val="18"/>
        </w:rPr>
      </w:pPr>
    </w:p>
    <w:p w:rsidR="000A5F42" w:rsidRPr="000606CC" w:rsidRDefault="000A5F42" w:rsidP="000A5F42">
      <w:pPr>
        <w:pStyle w:val="NoSpacing"/>
        <w:rPr>
          <w:rFonts w:cstheme="minorHAnsi"/>
          <w:sz w:val="20"/>
          <w:szCs w:val="18"/>
        </w:rPr>
      </w:pPr>
    </w:p>
    <w:p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rsidR="000A5F42" w:rsidRPr="000606CC" w:rsidRDefault="000A5F42" w:rsidP="000A5F42">
      <w:pPr>
        <w:pStyle w:val="NoSpacing"/>
        <w:rPr>
          <w:rFonts w:cstheme="minorHAnsi"/>
          <w:sz w:val="20"/>
          <w:szCs w:val="18"/>
        </w:rPr>
      </w:pPr>
    </w:p>
    <w:p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w:t>
      </w:r>
      <w:r w:rsidR="0024631C">
        <w:rPr>
          <w:rFonts w:cstheme="minorHAnsi"/>
          <w:sz w:val="20"/>
          <w:szCs w:val="18"/>
        </w:rPr>
        <w:t>1</w:t>
      </w:r>
      <w:r w:rsidRPr="000606CC">
        <w:rPr>
          <w:rFonts w:cstheme="minorHAnsi"/>
          <w:sz w:val="20"/>
          <w:szCs w:val="18"/>
        </w:rPr>
        <w:t xml:space="preserve"> Commonwealth of Australia as represented by the Department of Health</w:t>
      </w:r>
    </w:p>
    <w:p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4"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rsidR="000A5F42" w:rsidRPr="000606CC" w:rsidRDefault="000A5F42" w:rsidP="000A5F42">
      <w:pPr>
        <w:pStyle w:val="NoSpacing"/>
        <w:rPr>
          <w:rFonts w:cstheme="minorHAnsi"/>
          <w:sz w:val="20"/>
          <w:szCs w:val="18"/>
        </w:rPr>
      </w:pPr>
    </w:p>
    <w:p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5"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rsidR="000A5F42" w:rsidRPr="000606CC" w:rsidRDefault="000A5F42" w:rsidP="000A5F42">
      <w:pPr>
        <w:pStyle w:val="NoSpacing"/>
        <w:numPr>
          <w:ilvl w:val="0"/>
          <w:numId w:val="6"/>
        </w:numPr>
        <w:rPr>
          <w:rFonts w:cstheme="minorHAnsi"/>
          <w:sz w:val="20"/>
          <w:szCs w:val="18"/>
        </w:rPr>
      </w:pPr>
      <w:proofErr w:type="gramStart"/>
      <w:r w:rsidRPr="000606CC">
        <w:rPr>
          <w:rFonts w:cstheme="minorHAnsi"/>
          <w:sz w:val="20"/>
          <w:szCs w:val="18"/>
        </w:rPr>
        <w:t>any</w:t>
      </w:r>
      <w:proofErr w:type="gramEnd"/>
      <w:r w:rsidRPr="000606CC">
        <w:rPr>
          <w:rFonts w:cstheme="minorHAnsi"/>
          <w:sz w:val="20"/>
          <w:szCs w:val="18"/>
        </w:rPr>
        <w:t xml:space="preserve"> material belonging to third parties. </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6"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rsidR="000A5F42" w:rsidRPr="000606CC" w:rsidRDefault="000A5F42" w:rsidP="000A5F42">
      <w:pPr>
        <w:pStyle w:val="NoSpacing"/>
        <w:rPr>
          <w:rStyle w:val="URI"/>
          <w:rFonts w:cstheme="minorHAnsi"/>
          <w:sz w:val="20"/>
          <w:szCs w:val="18"/>
        </w:rPr>
      </w:pPr>
    </w:p>
    <w:p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7" w:tooltip="Communicable Diseases Network Australia website" w:history="1">
        <w:r w:rsidRPr="000606CC">
          <w:rPr>
            <w:rStyle w:val="Hyperlink"/>
            <w:rFonts w:cstheme="minorHAnsi"/>
            <w:sz w:val="20"/>
            <w:szCs w:val="18"/>
          </w:rPr>
          <w:t>http://www.health.gov.au/cdna</w:t>
        </w:r>
      </w:hyperlink>
    </w:p>
    <w:p w:rsidR="001B37B8" w:rsidRPr="00E92237" w:rsidRDefault="001B37B8" w:rsidP="001B37B8">
      <w:pPr>
        <w:rPr>
          <w:rFonts w:cs="Myriad Pro"/>
          <w:color w:val="211D1E"/>
          <w:sz w:val="20"/>
          <w:szCs w:val="20"/>
        </w:rPr>
      </w:pPr>
    </w:p>
    <w:sectPr w:rsidR="001B37B8" w:rsidRPr="00E92237" w:rsidSect="002B75A9">
      <w:headerReference w:type="default" r:id="rId28"/>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1F6B" w:rsidRDefault="00EE1F6B" w:rsidP="00E54DBA">
      <w:r>
        <w:separator/>
      </w:r>
    </w:p>
    <w:p w:rsidR="00EE1F6B" w:rsidRDefault="00EE1F6B"/>
    <w:p w:rsidR="00EE1F6B" w:rsidRDefault="00EE1F6B" w:rsidP="008714B0"/>
  </w:endnote>
  <w:endnote w:type="continuationSeparator" w:id="0">
    <w:p w:rsidR="00EE1F6B" w:rsidRDefault="00EE1F6B" w:rsidP="00E54DBA">
      <w:r>
        <w:continuationSeparator/>
      </w:r>
    </w:p>
    <w:p w:rsidR="00EE1F6B" w:rsidRDefault="00EE1F6B"/>
    <w:p w:rsidR="00EE1F6B" w:rsidRDefault="00EE1F6B"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20B050303040302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1F6B" w:rsidRPr="0042435E" w:rsidRDefault="00EE1F6B"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643682">
      <w:rPr>
        <w:noProof/>
        <w:sz w:val="18"/>
      </w:rPr>
      <w:t>2</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643682">
      <w:rPr>
        <w:noProof/>
        <w:sz w:val="18"/>
      </w:rPr>
      <w:t>31</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proofErr w:type="spellStart"/>
    <w:r w:rsidRPr="00824E08">
      <w:rPr>
        <w:i/>
        <w:sz w:val="18"/>
      </w:rPr>
      <w:t>Commun</w:t>
    </w:r>
    <w:proofErr w:type="spellEnd"/>
    <w:r w:rsidRPr="00824E08">
      <w:rPr>
        <w:i/>
        <w:sz w:val="18"/>
      </w:rPr>
      <w:t xml:space="preserve"> Dis </w:t>
    </w:r>
    <w:proofErr w:type="spellStart"/>
    <w:r w:rsidRPr="00824E08">
      <w:rPr>
        <w:i/>
        <w:sz w:val="18"/>
      </w:rPr>
      <w:t>Intell</w:t>
    </w:r>
    <w:proofErr w:type="spellEnd"/>
    <w:r w:rsidRPr="00824E08">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2021</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45</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https://doi.org/10.33321/cdi.2021.45.25</w:t>
    </w:r>
    <w:r>
      <w:rPr>
        <w:sz w:val="18"/>
      </w:rPr>
      <w:fldChar w:fldCharType="end"/>
    </w:r>
    <w:r>
      <w:rPr>
        <w:sz w:val="18"/>
      </w:rPr>
      <w:t xml:space="preserve"> </w:t>
    </w:r>
    <w:proofErr w:type="spellStart"/>
    <w:r w:rsidRPr="00155582">
      <w:rPr>
        <w:sz w:val="18"/>
      </w:rPr>
      <w:t>Epub</w:t>
    </w:r>
    <w:proofErr w:type="spellEnd"/>
    <w:r>
      <w:rPr>
        <w:sz w:val="18"/>
      </w:rPr>
      <w:t xml:space="preserve"> </w:t>
    </w:r>
    <w:r>
      <w:rPr>
        <w:sz w:val="18"/>
      </w:rPr>
      <w:fldChar w:fldCharType="begin"/>
    </w:r>
    <w:r>
      <w:rPr>
        <w:sz w:val="18"/>
      </w:rPr>
      <w:instrText xml:space="preserve"> DOCPROPERTY  ePubDate  \* MERGEFORMAT </w:instrText>
    </w:r>
    <w:r>
      <w:rPr>
        <w:sz w:val="18"/>
      </w:rPr>
      <w:fldChar w:fldCharType="separate"/>
    </w:r>
    <w:r w:rsidR="00643682">
      <w:rPr>
        <w:sz w:val="18"/>
      </w:rPr>
      <w:t>13/5/2021</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1F6B" w:rsidRPr="00BB5378" w:rsidRDefault="00EE1F6B"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643682">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643682">
      <w:rPr>
        <w:noProof/>
        <w:sz w:val="18"/>
      </w:rPr>
      <w:t>31</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Pr="00824E08">
      <w:rPr>
        <w:i/>
        <w:sz w:val="18"/>
      </w:rPr>
      <w:t>Commun</w:t>
    </w:r>
    <w:proofErr w:type="spellEnd"/>
    <w:r w:rsidRPr="00824E08">
      <w:rPr>
        <w:i/>
        <w:sz w:val="18"/>
      </w:rPr>
      <w:t xml:space="preserve"> Dis </w:t>
    </w:r>
    <w:proofErr w:type="spellStart"/>
    <w:r w:rsidRPr="00824E08">
      <w:rPr>
        <w:i/>
        <w:sz w:val="18"/>
      </w:rPr>
      <w:t>Intell</w:t>
    </w:r>
    <w:proofErr w:type="spellEnd"/>
    <w:r w:rsidRPr="00824E08">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2021</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45</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https://doi.org/10.33321/cdi.2021.45.25</w:t>
    </w:r>
    <w:r>
      <w:rPr>
        <w:sz w:val="18"/>
      </w:rPr>
      <w:fldChar w:fldCharType="end"/>
    </w:r>
    <w:r>
      <w:rPr>
        <w:sz w:val="18"/>
      </w:rPr>
      <w:t xml:space="preserve"> </w:t>
    </w:r>
    <w:proofErr w:type="spellStart"/>
    <w:r w:rsidRPr="00155582">
      <w:rPr>
        <w:sz w:val="18"/>
      </w:rPr>
      <w:t>Epub</w:t>
    </w:r>
    <w:proofErr w:type="spellEnd"/>
    <w:r w:rsidRPr="00155582">
      <w:rPr>
        <w:sz w:val="18"/>
      </w:rPr>
      <w:t xml:space="preserve"> </w:t>
    </w:r>
    <w:r>
      <w:rPr>
        <w:sz w:val="18"/>
      </w:rPr>
      <w:fldChar w:fldCharType="begin"/>
    </w:r>
    <w:r>
      <w:rPr>
        <w:sz w:val="18"/>
      </w:rPr>
      <w:instrText xml:space="preserve"> DOCPROPERTY  ePubDate  \* MERGEFORMAT </w:instrText>
    </w:r>
    <w:r>
      <w:rPr>
        <w:sz w:val="18"/>
      </w:rPr>
      <w:fldChar w:fldCharType="separate"/>
    </w:r>
    <w:r w:rsidR="00643682">
      <w:rPr>
        <w:sz w:val="18"/>
      </w:rPr>
      <w:t>13/5/2021</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1F6B" w:rsidRDefault="00EE1F6B" w:rsidP="00E54DBA">
      <w:r>
        <w:separator/>
      </w:r>
    </w:p>
  </w:footnote>
  <w:footnote w:type="continuationSeparator" w:id="0">
    <w:p w:rsidR="00EE1F6B" w:rsidRDefault="00EE1F6B" w:rsidP="00E54DBA">
      <w:r>
        <w:continuationSeparator/>
      </w:r>
    </w:p>
  </w:footnote>
  <w:footnote w:type="continuationNotice" w:id="1">
    <w:p w:rsidR="00EE1F6B" w:rsidRPr="00224EFF" w:rsidRDefault="00EE1F6B"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1F6B" w:rsidRPr="00A153B6" w:rsidRDefault="00643682"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EE1F6B">
          <w:t>Surveillance summary</w:t>
        </w:r>
      </w:sdtContent>
    </w:sdt>
    <w:r w:rsidR="00EE1F6B">
      <w:ptab w:relativeTo="margin" w:alignment="right" w:leader="none"/>
    </w:r>
    <w:r w:rsidR="00EE1F6B"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1F6B" w:rsidRPr="000A5F42" w:rsidRDefault="00EE1F6B" w:rsidP="000A5F42">
    <w:pPr>
      <w:pStyle w:val="Header"/>
      <w:jc w:val="center"/>
      <w:rPr>
        <w:b/>
      </w:rPr>
    </w:pPr>
    <w:r w:rsidRPr="00E810C5">
      <w:rPr>
        <w:rFonts w:cs="Myriad Pro"/>
        <w:noProof/>
        <w:color w:val="211D1E"/>
        <w:sz w:val="16"/>
      </w:rPr>
      <w:drawing>
        <wp:inline distT="0" distB="0" distL="0" distR="0" wp14:anchorId="25D92371"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D716D"/>
    <w:multiLevelType w:val="multilevel"/>
    <w:tmpl w:val="54745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982D4F"/>
    <w:multiLevelType w:val="multilevel"/>
    <w:tmpl w:val="F77A9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D67ABA"/>
    <w:multiLevelType w:val="hybridMultilevel"/>
    <w:tmpl w:val="E2E6389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1C576E8"/>
    <w:multiLevelType w:val="multilevel"/>
    <w:tmpl w:val="C95EA3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377B67"/>
    <w:multiLevelType w:val="hybridMultilevel"/>
    <w:tmpl w:val="DEDC26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8774825"/>
    <w:multiLevelType w:val="multilevel"/>
    <w:tmpl w:val="01C8B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4201A55"/>
    <w:multiLevelType w:val="multilevel"/>
    <w:tmpl w:val="B58C3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F26802"/>
    <w:multiLevelType w:val="hybridMultilevel"/>
    <w:tmpl w:val="DACC84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B687E76"/>
    <w:multiLevelType w:val="hybridMultilevel"/>
    <w:tmpl w:val="6EFAD2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B8C3428"/>
    <w:multiLevelType w:val="multilevel"/>
    <w:tmpl w:val="42341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FC2F66"/>
    <w:multiLevelType w:val="hybridMultilevel"/>
    <w:tmpl w:val="10F6EF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370745F"/>
    <w:multiLevelType w:val="multilevel"/>
    <w:tmpl w:val="6E4CF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A5B42F0"/>
    <w:multiLevelType w:val="hybridMultilevel"/>
    <w:tmpl w:val="7FFECD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28C098E"/>
    <w:multiLevelType w:val="multilevel"/>
    <w:tmpl w:val="8E4A2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5864A3"/>
    <w:multiLevelType w:val="hybridMultilevel"/>
    <w:tmpl w:val="2ECA47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91E1488"/>
    <w:multiLevelType w:val="multilevel"/>
    <w:tmpl w:val="C714C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176960"/>
    <w:multiLevelType w:val="hybridMultilevel"/>
    <w:tmpl w:val="BAFE1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DA25E07"/>
    <w:multiLevelType w:val="multilevel"/>
    <w:tmpl w:val="F26825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86D7A19"/>
    <w:multiLevelType w:val="multilevel"/>
    <w:tmpl w:val="E8A6D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F485E2E"/>
    <w:multiLevelType w:val="multilevel"/>
    <w:tmpl w:val="C602E0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3067076"/>
    <w:multiLevelType w:val="hybridMultilevel"/>
    <w:tmpl w:val="377055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412199D"/>
    <w:multiLevelType w:val="multilevel"/>
    <w:tmpl w:val="C2D62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4D84AD4"/>
    <w:multiLevelType w:val="hybridMultilevel"/>
    <w:tmpl w:val="FC7481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9450FC1"/>
    <w:multiLevelType w:val="hybridMultilevel"/>
    <w:tmpl w:val="102EF1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F03677D"/>
    <w:multiLevelType w:val="hybridMultilevel"/>
    <w:tmpl w:val="E7CACB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14"/>
  </w:num>
  <w:num w:numId="3">
    <w:abstractNumId w:val="15"/>
  </w:num>
  <w:num w:numId="4">
    <w:abstractNumId w:val="6"/>
  </w:num>
  <w:num w:numId="5">
    <w:abstractNumId w:val="23"/>
  </w:num>
  <w:num w:numId="6">
    <w:abstractNumId w:val="24"/>
  </w:num>
  <w:num w:numId="7">
    <w:abstractNumId w:val="7"/>
  </w:num>
  <w:num w:numId="8">
    <w:abstractNumId w:val="27"/>
  </w:num>
  <w:num w:numId="9">
    <w:abstractNumId w:val="1"/>
  </w:num>
  <w:num w:numId="10">
    <w:abstractNumId w:val="21"/>
  </w:num>
  <w:num w:numId="11">
    <w:abstractNumId w:val="30"/>
  </w:num>
  <w:num w:numId="12">
    <w:abstractNumId w:val="28"/>
  </w:num>
  <w:num w:numId="13">
    <w:abstractNumId w:val="16"/>
  </w:num>
  <w:num w:numId="14">
    <w:abstractNumId w:val="2"/>
  </w:num>
  <w:num w:numId="15">
    <w:abstractNumId w:val="0"/>
  </w:num>
  <w:num w:numId="16">
    <w:abstractNumId w:val="5"/>
  </w:num>
  <w:num w:numId="17">
    <w:abstractNumId w:val="17"/>
  </w:num>
  <w:num w:numId="18">
    <w:abstractNumId w:val="25"/>
  </w:num>
  <w:num w:numId="19">
    <w:abstractNumId w:val="19"/>
  </w:num>
  <w:num w:numId="20">
    <w:abstractNumId w:val="11"/>
  </w:num>
  <w:num w:numId="21">
    <w:abstractNumId w:val="13"/>
  </w:num>
  <w:num w:numId="22">
    <w:abstractNumId w:val="3"/>
  </w:num>
  <w:num w:numId="23">
    <w:abstractNumId w:val="22"/>
  </w:num>
  <w:num w:numId="24">
    <w:abstractNumId w:val="8"/>
  </w:num>
  <w:num w:numId="25">
    <w:abstractNumId w:val="4"/>
  </w:num>
  <w:num w:numId="26">
    <w:abstractNumId w:val="29"/>
  </w:num>
  <w:num w:numId="27">
    <w:abstractNumId w:val="18"/>
  </w:num>
  <w:num w:numId="28">
    <w:abstractNumId w:val="12"/>
  </w:num>
  <w:num w:numId="29">
    <w:abstractNumId w:val="20"/>
  </w:num>
  <w:num w:numId="30">
    <w:abstractNumId w:val="10"/>
  </w:num>
  <w:num w:numId="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proofState w:spelling="clean" w:grammar="clean"/>
  <w:defaultTabStop w:val="720"/>
  <w:noPunctuationKerning/>
  <w:characterSpacingControl w:val="doNotCompress"/>
  <w:hdrShapeDefaults>
    <o:shapedefaults v:ext="edit" spidmax="18433"/>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61B"/>
    <w:rsid w:val="00000B5B"/>
    <w:rsid w:val="00001611"/>
    <w:rsid w:val="00005EF2"/>
    <w:rsid w:val="000104A8"/>
    <w:rsid w:val="0001246E"/>
    <w:rsid w:val="000124B1"/>
    <w:rsid w:val="00016FE6"/>
    <w:rsid w:val="00031064"/>
    <w:rsid w:val="00031692"/>
    <w:rsid w:val="00032531"/>
    <w:rsid w:val="000325A0"/>
    <w:rsid w:val="000471BF"/>
    <w:rsid w:val="00047B68"/>
    <w:rsid w:val="00052600"/>
    <w:rsid w:val="0005643C"/>
    <w:rsid w:val="0006264A"/>
    <w:rsid w:val="00066D97"/>
    <w:rsid w:val="00073D77"/>
    <w:rsid w:val="00074825"/>
    <w:rsid w:val="00080595"/>
    <w:rsid w:val="00081655"/>
    <w:rsid w:val="000864E0"/>
    <w:rsid w:val="000969B3"/>
    <w:rsid w:val="000A5F42"/>
    <w:rsid w:val="000C4E61"/>
    <w:rsid w:val="000D4B4D"/>
    <w:rsid w:val="000D7304"/>
    <w:rsid w:val="0010132C"/>
    <w:rsid w:val="00102E78"/>
    <w:rsid w:val="001060D7"/>
    <w:rsid w:val="00113D58"/>
    <w:rsid w:val="0011636F"/>
    <w:rsid w:val="001200CB"/>
    <w:rsid w:val="001378A3"/>
    <w:rsid w:val="00142D91"/>
    <w:rsid w:val="0014557D"/>
    <w:rsid w:val="00155582"/>
    <w:rsid w:val="00161590"/>
    <w:rsid w:val="00171CC0"/>
    <w:rsid w:val="00175494"/>
    <w:rsid w:val="00175629"/>
    <w:rsid w:val="001830EC"/>
    <w:rsid w:val="00183534"/>
    <w:rsid w:val="001A4A96"/>
    <w:rsid w:val="001A5D05"/>
    <w:rsid w:val="001A796C"/>
    <w:rsid w:val="001B2614"/>
    <w:rsid w:val="001B37B8"/>
    <w:rsid w:val="001B552F"/>
    <w:rsid w:val="001C0893"/>
    <w:rsid w:val="001C1303"/>
    <w:rsid w:val="001C4A89"/>
    <w:rsid w:val="001C70B2"/>
    <w:rsid w:val="001D37C7"/>
    <w:rsid w:val="001D6888"/>
    <w:rsid w:val="00205BD4"/>
    <w:rsid w:val="002100F0"/>
    <w:rsid w:val="002126FA"/>
    <w:rsid w:val="00224EFF"/>
    <w:rsid w:val="002276DC"/>
    <w:rsid w:val="00227E00"/>
    <w:rsid w:val="002307CB"/>
    <w:rsid w:val="00231046"/>
    <w:rsid w:val="00234F21"/>
    <w:rsid w:val="00242659"/>
    <w:rsid w:val="002428F7"/>
    <w:rsid w:val="0024315F"/>
    <w:rsid w:val="0024631C"/>
    <w:rsid w:val="00252C9A"/>
    <w:rsid w:val="0025461B"/>
    <w:rsid w:val="002550E6"/>
    <w:rsid w:val="00256309"/>
    <w:rsid w:val="00257484"/>
    <w:rsid w:val="00260636"/>
    <w:rsid w:val="00275C78"/>
    <w:rsid w:val="00280594"/>
    <w:rsid w:val="00281EE3"/>
    <w:rsid w:val="00284E4A"/>
    <w:rsid w:val="00291693"/>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178BD"/>
    <w:rsid w:val="00321E69"/>
    <w:rsid w:val="00324F7E"/>
    <w:rsid w:val="003323BC"/>
    <w:rsid w:val="00342B9F"/>
    <w:rsid w:val="00343F06"/>
    <w:rsid w:val="00346D42"/>
    <w:rsid w:val="00346DF0"/>
    <w:rsid w:val="00346E11"/>
    <w:rsid w:val="00357052"/>
    <w:rsid w:val="003601C0"/>
    <w:rsid w:val="003635F5"/>
    <w:rsid w:val="00364A39"/>
    <w:rsid w:val="00372A88"/>
    <w:rsid w:val="00381A0F"/>
    <w:rsid w:val="00387C6A"/>
    <w:rsid w:val="003A1B3A"/>
    <w:rsid w:val="003A40F5"/>
    <w:rsid w:val="003B5B8C"/>
    <w:rsid w:val="003C120C"/>
    <w:rsid w:val="003D79B1"/>
    <w:rsid w:val="003E071D"/>
    <w:rsid w:val="003E34FA"/>
    <w:rsid w:val="003E6961"/>
    <w:rsid w:val="003E74EE"/>
    <w:rsid w:val="003F0552"/>
    <w:rsid w:val="003F3BC2"/>
    <w:rsid w:val="00401ED1"/>
    <w:rsid w:val="0040224C"/>
    <w:rsid w:val="00413EE1"/>
    <w:rsid w:val="004164BB"/>
    <w:rsid w:val="00417863"/>
    <w:rsid w:val="00421ECE"/>
    <w:rsid w:val="00422FEB"/>
    <w:rsid w:val="0042435E"/>
    <w:rsid w:val="004315F5"/>
    <w:rsid w:val="00433456"/>
    <w:rsid w:val="00433DFA"/>
    <w:rsid w:val="00435D67"/>
    <w:rsid w:val="00464A58"/>
    <w:rsid w:val="00473D2D"/>
    <w:rsid w:val="004A0202"/>
    <w:rsid w:val="004A2125"/>
    <w:rsid w:val="004A38F6"/>
    <w:rsid w:val="004B078D"/>
    <w:rsid w:val="004B4EB6"/>
    <w:rsid w:val="004C083C"/>
    <w:rsid w:val="004C31B3"/>
    <w:rsid w:val="004C67C6"/>
    <w:rsid w:val="004D28E4"/>
    <w:rsid w:val="004D29DE"/>
    <w:rsid w:val="00510EAC"/>
    <w:rsid w:val="0051241F"/>
    <w:rsid w:val="00530754"/>
    <w:rsid w:val="00533757"/>
    <w:rsid w:val="00542A57"/>
    <w:rsid w:val="00556EE6"/>
    <w:rsid w:val="00565974"/>
    <w:rsid w:val="005732C0"/>
    <w:rsid w:val="0057336D"/>
    <w:rsid w:val="0057489A"/>
    <w:rsid w:val="00574ACF"/>
    <w:rsid w:val="00581588"/>
    <w:rsid w:val="005847D9"/>
    <w:rsid w:val="0058540B"/>
    <w:rsid w:val="00587C87"/>
    <w:rsid w:val="00590B80"/>
    <w:rsid w:val="005A5296"/>
    <w:rsid w:val="005B3134"/>
    <w:rsid w:val="005B4E61"/>
    <w:rsid w:val="005B595A"/>
    <w:rsid w:val="005B66C2"/>
    <w:rsid w:val="005C66A6"/>
    <w:rsid w:val="005D2465"/>
    <w:rsid w:val="005D29E2"/>
    <w:rsid w:val="005E29D4"/>
    <w:rsid w:val="005E33DD"/>
    <w:rsid w:val="005E4229"/>
    <w:rsid w:val="005E540E"/>
    <w:rsid w:val="005E55FB"/>
    <w:rsid w:val="005F16BB"/>
    <w:rsid w:val="005F5419"/>
    <w:rsid w:val="00607115"/>
    <w:rsid w:val="00620768"/>
    <w:rsid w:val="00623789"/>
    <w:rsid w:val="0062594B"/>
    <w:rsid w:val="00631406"/>
    <w:rsid w:val="006324FF"/>
    <w:rsid w:val="006351D6"/>
    <w:rsid w:val="00636E0D"/>
    <w:rsid w:val="00637E50"/>
    <w:rsid w:val="0064142F"/>
    <w:rsid w:val="00643682"/>
    <w:rsid w:val="00643CB4"/>
    <w:rsid w:val="00656427"/>
    <w:rsid w:val="00660255"/>
    <w:rsid w:val="00675A5A"/>
    <w:rsid w:val="006971F3"/>
    <w:rsid w:val="006C74A3"/>
    <w:rsid w:val="006C7F9D"/>
    <w:rsid w:val="006D0804"/>
    <w:rsid w:val="006D1381"/>
    <w:rsid w:val="006D31BC"/>
    <w:rsid w:val="006E7943"/>
    <w:rsid w:val="006F24EA"/>
    <w:rsid w:val="00704CA9"/>
    <w:rsid w:val="0071048D"/>
    <w:rsid w:val="00710F86"/>
    <w:rsid w:val="007111A8"/>
    <w:rsid w:val="00731BC3"/>
    <w:rsid w:val="00741192"/>
    <w:rsid w:val="007413E9"/>
    <w:rsid w:val="00742901"/>
    <w:rsid w:val="00743A33"/>
    <w:rsid w:val="00746080"/>
    <w:rsid w:val="0075144A"/>
    <w:rsid w:val="00751D5E"/>
    <w:rsid w:val="00772B8E"/>
    <w:rsid w:val="00786329"/>
    <w:rsid w:val="00792C7D"/>
    <w:rsid w:val="00794A4D"/>
    <w:rsid w:val="007A5234"/>
    <w:rsid w:val="007A6F16"/>
    <w:rsid w:val="007B7854"/>
    <w:rsid w:val="007C56A1"/>
    <w:rsid w:val="007C6454"/>
    <w:rsid w:val="007E01E0"/>
    <w:rsid w:val="007F0B93"/>
    <w:rsid w:val="007F1C10"/>
    <w:rsid w:val="007F2ECA"/>
    <w:rsid w:val="00806EA9"/>
    <w:rsid w:val="008070A9"/>
    <w:rsid w:val="00811708"/>
    <w:rsid w:val="008167C4"/>
    <w:rsid w:val="00816B90"/>
    <w:rsid w:val="00817799"/>
    <w:rsid w:val="00822F5F"/>
    <w:rsid w:val="00824E08"/>
    <w:rsid w:val="00824FD3"/>
    <w:rsid w:val="00826589"/>
    <w:rsid w:val="0082797D"/>
    <w:rsid w:val="00834BCC"/>
    <w:rsid w:val="00835970"/>
    <w:rsid w:val="00840841"/>
    <w:rsid w:val="00850D54"/>
    <w:rsid w:val="00864C0A"/>
    <w:rsid w:val="008714B0"/>
    <w:rsid w:val="00873078"/>
    <w:rsid w:val="00876331"/>
    <w:rsid w:val="00880726"/>
    <w:rsid w:val="0088263C"/>
    <w:rsid w:val="008A2FEF"/>
    <w:rsid w:val="008A3544"/>
    <w:rsid w:val="008B48B8"/>
    <w:rsid w:val="008B5348"/>
    <w:rsid w:val="008B58F8"/>
    <w:rsid w:val="008C0712"/>
    <w:rsid w:val="008C4520"/>
    <w:rsid w:val="008C5F09"/>
    <w:rsid w:val="008D1DDD"/>
    <w:rsid w:val="008D470F"/>
    <w:rsid w:val="008E1F8F"/>
    <w:rsid w:val="008E4768"/>
    <w:rsid w:val="008E761E"/>
    <w:rsid w:val="008F77B3"/>
    <w:rsid w:val="009008F5"/>
    <w:rsid w:val="00904CC1"/>
    <w:rsid w:val="009066AF"/>
    <w:rsid w:val="00912050"/>
    <w:rsid w:val="00912E48"/>
    <w:rsid w:val="0092746F"/>
    <w:rsid w:val="0093034C"/>
    <w:rsid w:val="00935DC9"/>
    <w:rsid w:val="00936C5E"/>
    <w:rsid w:val="009446C0"/>
    <w:rsid w:val="0096082E"/>
    <w:rsid w:val="00961347"/>
    <w:rsid w:val="00967410"/>
    <w:rsid w:val="00967D73"/>
    <w:rsid w:val="0098119A"/>
    <w:rsid w:val="00984AAF"/>
    <w:rsid w:val="009910A3"/>
    <w:rsid w:val="00991B09"/>
    <w:rsid w:val="00993CB2"/>
    <w:rsid w:val="009A5166"/>
    <w:rsid w:val="009A76F8"/>
    <w:rsid w:val="009B2B83"/>
    <w:rsid w:val="009C1163"/>
    <w:rsid w:val="009C49F8"/>
    <w:rsid w:val="009D77CC"/>
    <w:rsid w:val="009D7DBA"/>
    <w:rsid w:val="009E2423"/>
    <w:rsid w:val="009E55D7"/>
    <w:rsid w:val="009E631E"/>
    <w:rsid w:val="009F4150"/>
    <w:rsid w:val="009F5665"/>
    <w:rsid w:val="009F5DAD"/>
    <w:rsid w:val="00A01BCA"/>
    <w:rsid w:val="00A04A7E"/>
    <w:rsid w:val="00A10458"/>
    <w:rsid w:val="00A1492C"/>
    <w:rsid w:val="00A153B6"/>
    <w:rsid w:val="00A164D5"/>
    <w:rsid w:val="00A17D93"/>
    <w:rsid w:val="00A273C3"/>
    <w:rsid w:val="00A30C37"/>
    <w:rsid w:val="00A36C65"/>
    <w:rsid w:val="00A41BBE"/>
    <w:rsid w:val="00A443E3"/>
    <w:rsid w:val="00A45BDD"/>
    <w:rsid w:val="00A46A0A"/>
    <w:rsid w:val="00A553F8"/>
    <w:rsid w:val="00A63851"/>
    <w:rsid w:val="00A6708F"/>
    <w:rsid w:val="00A71BF6"/>
    <w:rsid w:val="00A71C3E"/>
    <w:rsid w:val="00A71DD2"/>
    <w:rsid w:val="00A75DD8"/>
    <w:rsid w:val="00A86F9A"/>
    <w:rsid w:val="00AA05C3"/>
    <w:rsid w:val="00AA31D3"/>
    <w:rsid w:val="00AA35E6"/>
    <w:rsid w:val="00AA483B"/>
    <w:rsid w:val="00AA50B6"/>
    <w:rsid w:val="00AB3472"/>
    <w:rsid w:val="00AB47F5"/>
    <w:rsid w:val="00AD0762"/>
    <w:rsid w:val="00AE3652"/>
    <w:rsid w:val="00AE3DCF"/>
    <w:rsid w:val="00AE4452"/>
    <w:rsid w:val="00AE76B6"/>
    <w:rsid w:val="00AE7C38"/>
    <w:rsid w:val="00AF19C0"/>
    <w:rsid w:val="00AF2787"/>
    <w:rsid w:val="00AF3004"/>
    <w:rsid w:val="00B01F99"/>
    <w:rsid w:val="00B02B37"/>
    <w:rsid w:val="00B05276"/>
    <w:rsid w:val="00B132DB"/>
    <w:rsid w:val="00B153CE"/>
    <w:rsid w:val="00B31427"/>
    <w:rsid w:val="00B33861"/>
    <w:rsid w:val="00B40DE2"/>
    <w:rsid w:val="00B50210"/>
    <w:rsid w:val="00B50F1E"/>
    <w:rsid w:val="00B53955"/>
    <w:rsid w:val="00B6408A"/>
    <w:rsid w:val="00B714B8"/>
    <w:rsid w:val="00B82C2C"/>
    <w:rsid w:val="00B8720B"/>
    <w:rsid w:val="00B876EF"/>
    <w:rsid w:val="00B977DC"/>
    <w:rsid w:val="00BA4697"/>
    <w:rsid w:val="00BA7A55"/>
    <w:rsid w:val="00BB5378"/>
    <w:rsid w:val="00BC0BD3"/>
    <w:rsid w:val="00BD0107"/>
    <w:rsid w:val="00BD28D3"/>
    <w:rsid w:val="00BE0C33"/>
    <w:rsid w:val="00BE262C"/>
    <w:rsid w:val="00BE6C3D"/>
    <w:rsid w:val="00C022DD"/>
    <w:rsid w:val="00C07606"/>
    <w:rsid w:val="00C12542"/>
    <w:rsid w:val="00C16D94"/>
    <w:rsid w:val="00C24725"/>
    <w:rsid w:val="00C27770"/>
    <w:rsid w:val="00C30BA9"/>
    <w:rsid w:val="00C3541E"/>
    <w:rsid w:val="00C36A8F"/>
    <w:rsid w:val="00C37B55"/>
    <w:rsid w:val="00C42834"/>
    <w:rsid w:val="00C42FFA"/>
    <w:rsid w:val="00C507D8"/>
    <w:rsid w:val="00C62EAC"/>
    <w:rsid w:val="00C63F9F"/>
    <w:rsid w:val="00C7723C"/>
    <w:rsid w:val="00C838F5"/>
    <w:rsid w:val="00C9286B"/>
    <w:rsid w:val="00C94730"/>
    <w:rsid w:val="00CA1AF4"/>
    <w:rsid w:val="00CA3A13"/>
    <w:rsid w:val="00CA6068"/>
    <w:rsid w:val="00CB15E1"/>
    <w:rsid w:val="00CB3D46"/>
    <w:rsid w:val="00CD1A87"/>
    <w:rsid w:val="00CD35F3"/>
    <w:rsid w:val="00CD5C93"/>
    <w:rsid w:val="00CE342B"/>
    <w:rsid w:val="00CF320C"/>
    <w:rsid w:val="00CF3A4B"/>
    <w:rsid w:val="00CF4001"/>
    <w:rsid w:val="00D05837"/>
    <w:rsid w:val="00D12D8A"/>
    <w:rsid w:val="00D13E0C"/>
    <w:rsid w:val="00D151EC"/>
    <w:rsid w:val="00D22B1B"/>
    <w:rsid w:val="00D23910"/>
    <w:rsid w:val="00D25896"/>
    <w:rsid w:val="00D373A1"/>
    <w:rsid w:val="00D37C0F"/>
    <w:rsid w:val="00D45661"/>
    <w:rsid w:val="00D45943"/>
    <w:rsid w:val="00D47D22"/>
    <w:rsid w:val="00D51865"/>
    <w:rsid w:val="00D51D0C"/>
    <w:rsid w:val="00D606DC"/>
    <w:rsid w:val="00D60FB4"/>
    <w:rsid w:val="00D62815"/>
    <w:rsid w:val="00D64527"/>
    <w:rsid w:val="00D6779E"/>
    <w:rsid w:val="00D74140"/>
    <w:rsid w:val="00DA46CA"/>
    <w:rsid w:val="00DA6E56"/>
    <w:rsid w:val="00DA78EA"/>
    <w:rsid w:val="00DB0E91"/>
    <w:rsid w:val="00DC097B"/>
    <w:rsid w:val="00DC24E5"/>
    <w:rsid w:val="00DC6705"/>
    <w:rsid w:val="00DD10A3"/>
    <w:rsid w:val="00DD2DE8"/>
    <w:rsid w:val="00DE38B4"/>
    <w:rsid w:val="00DE4D37"/>
    <w:rsid w:val="00DE5D02"/>
    <w:rsid w:val="00DF6DBD"/>
    <w:rsid w:val="00E005A9"/>
    <w:rsid w:val="00E04CC2"/>
    <w:rsid w:val="00E1166E"/>
    <w:rsid w:val="00E2348A"/>
    <w:rsid w:val="00E24DC0"/>
    <w:rsid w:val="00E2519C"/>
    <w:rsid w:val="00E25F2A"/>
    <w:rsid w:val="00E3191E"/>
    <w:rsid w:val="00E41455"/>
    <w:rsid w:val="00E42AD2"/>
    <w:rsid w:val="00E45708"/>
    <w:rsid w:val="00E50856"/>
    <w:rsid w:val="00E52E78"/>
    <w:rsid w:val="00E538CC"/>
    <w:rsid w:val="00E54BBD"/>
    <w:rsid w:val="00E54DBA"/>
    <w:rsid w:val="00E63D7C"/>
    <w:rsid w:val="00E640D5"/>
    <w:rsid w:val="00E66E2E"/>
    <w:rsid w:val="00E67691"/>
    <w:rsid w:val="00E81278"/>
    <w:rsid w:val="00E86F1F"/>
    <w:rsid w:val="00E92237"/>
    <w:rsid w:val="00E951EF"/>
    <w:rsid w:val="00EA1553"/>
    <w:rsid w:val="00EA29C2"/>
    <w:rsid w:val="00EA3D54"/>
    <w:rsid w:val="00EA56D9"/>
    <w:rsid w:val="00EA5CE3"/>
    <w:rsid w:val="00EB51C1"/>
    <w:rsid w:val="00EB5AE1"/>
    <w:rsid w:val="00EB5E0B"/>
    <w:rsid w:val="00EB7C5E"/>
    <w:rsid w:val="00EC2171"/>
    <w:rsid w:val="00ED442D"/>
    <w:rsid w:val="00ED70C2"/>
    <w:rsid w:val="00EE18FF"/>
    <w:rsid w:val="00EE1F6B"/>
    <w:rsid w:val="00EE489F"/>
    <w:rsid w:val="00EF338E"/>
    <w:rsid w:val="00F0647F"/>
    <w:rsid w:val="00F10CE3"/>
    <w:rsid w:val="00F14F3B"/>
    <w:rsid w:val="00F16362"/>
    <w:rsid w:val="00F207C7"/>
    <w:rsid w:val="00F36B6D"/>
    <w:rsid w:val="00F43FA3"/>
    <w:rsid w:val="00F50AA3"/>
    <w:rsid w:val="00F54694"/>
    <w:rsid w:val="00F55648"/>
    <w:rsid w:val="00F70046"/>
    <w:rsid w:val="00F748C2"/>
    <w:rsid w:val="00F766C3"/>
    <w:rsid w:val="00F76C5C"/>
    <w:rsid w:val="00F81EF3"/>
    <w:rsid w:val="00F84496"/>
    <w:rsid w:val="00F85DCB"/>
    <w:rsid w:val="00F86053"/>
    <w:rsid w:val="00F86F9C"/>
    <w:rsid w:val="00F90D76"/>
    <w:rsid w:val="00FC002E"/>
    <w:rsid w:val="00FC4C23"/>
    <w:rsid w:val="00FC642E"/>
    <w:rsid w:val="00FE138D"/>
    <w:rsid w:val="00FE255E"/>
    <w:rsid w:val="00FE2AE4"/>
    <w:rsid w:val="00FE4CEA"/>
    <w:rsid w:val="00FE689F"/>
    <w:rsid w:val="00FE7809"/>
    <w:rsid w:val="00FF408B"/>
    <w:rsid w:val="00FF6E1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docId w15:val="{B174AAF7-8533-4955-8D7C-FE475682B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4E61"/>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styleId="PlainText">
    <w:name w:val="Plain Text"/>
    <w:basedOn w:val="Normal"/>
    <w:link w:val="PlainTextChar"/>
    <w:uiPriority w:val="99"/>
    <w:unhideWhenUsed/>
    <w:rsid w:val="00E52E78"/>
    <w:pPr>
      <w:spacing w:after="0" w:line="240" w:lineRule="auto"/>
    </w:pPr>
    <w:rPr>
      <w:rFonts w:ascii="Consolas" w:eastAsiaTheme="minorHAnsi" w:hAnsi="Consolas" w:cs="Times New Roman"/>
      <w:sz w:val="21"/>
      <w:szCs w:val="21"/>
      <w:lang w:eastAsia="en-US"/>
    </w:rPr>
  </w:style>
  <w:style w:type="character" w:customStyle="1" w:styleId="PlainTextChar">
    <w:name w:val="Plain Text Char"/>
    <w:basedOn w:val="DefaultParagraphFont"/>
    <w:link w:val="PlainText"/>
    <w:uiPriority w:val="99"/>
    <w:rsid w:val="00E52E78"/>
    <w:rPr>
      <w:rFonts w:ascii="Consolas" w:eastAsiaTheme="minorHAnsi" w:hAnsi="Consolas" w:cs="Times New Roman"/>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2.xml"/><Relationship Id="rId26"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hyperlink" Target="mailto:cdi.editor@health.gov.au"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5"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www.health.gov.au/cdi"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creativecommons.org/licenses/by-nc-nd/4.0/legalcode" TargetMode="Externa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mailto:cdi.editor@health.gov.au" TargetMode="External"/><Relationship Id="rId28"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image" Target="media/image8.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health.gov.au/cdi" TargetMode="External"/><Relationship Id="rId27" Type="http://schemas.openxmlformats.org/officeDocument/2006/relationships/hyperlink" Target="http://www.health.gov.au/cdna" TargetMode="Externa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9.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53180DD-CE82-4360-8F4B-15CAC4BC9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31</Pages>
  <Words>9102</Words>
  <Characters>55654</Characters>
  <Application>Microsoft Office Word</Application>
  <DocSecurity>0</DocSecurity>
  <Lines>463</Lines>
  <Paragraphs>129</Paragraphs>
  <ScaleCrop>false</ScaleCrop>
  <HeadingPairs>
    <vt:vector size="2" baseType="variant">
      <vt:variant>
        <vt:lpstr>Title</vt:lpstr>
      </vt:variant>
      <vt:variant>
        <vt:i4>1</vt:i4>
      </vt:variant>
    </vt:vector>
  </HeadingPairs>
  <TitlesOfParts>
    <vt:vector size="1" baseType="lpstr">
      <vt:lpstr>Communicable Diseases Intelligence 2021 - COVID-19 Australia: Epidemiology Report 40 - Reporting period ending 25 April 2021</vt:lpstr>
    </vt:vector>
  </TitlesOfParts>
  <Company>Australian Government, Department of Health</Company>
  <LinksUpToDate>false</LinksUpToDate>
  <CharactersWithSpaces>64627</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2021 - COVID-19 Australia: Epidemiology Report 40 - Reporting period ending 25 April 2021</dc:title>
  <dc:subject>This is the fortieth epidemiological report for coronavirus disease 2019 (COVID-19), reported in Australia as at 23:59 Australian Eastern Standard Time [AEST] 25 April 2021. It includes data on COVID-19 cases diagnosed in Australia and the international situation.</dc:subject>
  <dc:creator>COVID-19 National Incident Room Surveillance Team</dc:creator>
  <cp:keywords>SARS-CoV-2; novel coronavirus; 2019-nCoV; coronavirus disease 2019; COVID-19; acute respiratory disease; epidemiology; Australia</cp:keywords>
  <dc:description>© Commonwealth of Australia CC BY-NC-ND ISSN: 2209-6051 (Online)</dc:description>
  <cp:lastModifiedBy>YOUSEFI, Kasra</cp:lastModifiedBy>
  <cp:revision>12</cp:revision>
  <cp:lastPrinted>2018-05-10T02:19:00Z</cp:lastPrinted>
  <dcterms:created xsi:type="dcterms:W3CDTF">2021-05-11T07:02:00Z</dcterms:created>
  <dcterms:modified xsi:type="dcterms:W3CDTF">2021-05-12T23:46:00Z</dcterms:modified>
  <cp:category>Surveillance summary</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2021</vt:lpwstr>
  </property>
  <property fmtid="{D5CDD505-2E9C-101B-9397-08002B2CF9AE}" pid="3" name="Vol">
    <vt:i4>45</vt:i4>
  </property>
  <property fmtid="{D5CDD505-2E9C-101B-9397-08002B2CF9AE}" pid="4" name="ePubDate">
    <vt:lpwstr>13/5/2021</vt:lpwstr>
  </property>
  <property fmtid="{D5CDD505-2E9C-101B-9397-08002B2CF9AE}" pid="5" name="DOI">
    <vt:lpwstr>https://doi.org/10.33321/cdi.2021.45.25</vt:lpwstr>
  </property>
</Properties>
</file>