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A2D0B" w14:textId="55C79B1D" w:rsidR="00D22CC8" w:rsidRPr="00B85B74" w:rsidRDefault="007F7B26" w:rsidP="00700338">
      <w:pPr>
        <w:pStyle w:val="CDIPublicationstring"/>
      </w:pPr>
      <w:r w:rsidRPr="00B85B74">
        <w:rPr>
          <w:noProof/>
        </w:rPr>
        <w:drawing>
          <wp:anchor distT="0" distB="0" distL="114300" distR="114300" simplePos="0" relativeHeight="251658240" behindDoc="1" locked="1" layoutInCell="1" allowOverlap="1" wp14:anchorId="373A4DE8" wp14:editId="52CB8549">
            <wp:simplePos x="0" y="0"/>
            <wp:positionH relativeFrom="page">
              <wp:align>left</wp:align>
            </wp:positionH>
            <wp:positionV relativeFrom="page">
              <wp:align>top</wp:align>
            </wp:positionV>
            <wp:extent cx="7559675" cy="10690860"/>
            <wp:effectExtent l="0" t="0" r="3175" b="0"/>
            <wp:wrapNone/>
            <wp:docPr id="632511823" name="Picture 1" descr="Dark blue shape displaying the logo of Communicable Diseases Intelligence with a celebration graphic for Volume 50. White and light blue shapes feature a lockup of the logo of the Australian Centre for Disease Control alongside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11823" name="Picture 1" descr="Dark blue shape displaying the logo of Communicable Diseases Intelligence with a celebration graphic for Volume 50. White and light blue shapes feature a lockup of the logo of the Australian Centre for Disease Control alongside the Commonwealth Coat of Arms."/>
                    <pic:cNvPicPr/>
                  </pic:nvPicPr>
                  <pic:blipFill>
                    <a:blip r:embed="rId9">
                      <a:extLst>
                        <a:ext uri="{28A0092B-C50C-407E-A947-70E740481C1C}">
                          <a14:useLocalDpi xmlns:a14="http://schemas.microsoft.com/office/drawing/2010/main" val="0"/>
                        </a:ext>
                      </a:extLst>
                    </a:blip>
                    <a:stretch>
                      <a:fillRect/>
                    </a:stretch>
                  </pic:blipFill>
                  <pic:spPr>
                    <a:xfrm>
                      <a:off x="0" y="0"/>
                      <a:ext cx="7559998" cy="10690953"/>
                    </a:xfrm>
                    <a:prstGeom prst="rect">
                      <a:avLst/>
                    </a:prstGeom>
                  </pic:spPr>
                </pic:pic>
              </a:graphicData>
            </a:graphic>
            <wp14:sizeRelH relativeFrom="margin">
              <wp14:pctWidth>0</wp14:pctWidth>
            </wp14:sizeRelH>
            <wp14:sizeRelV relativeFrom="margin">
              <wp14:pctHeight>0</wp14:pctHeight>
            </wp14:sizeRelV>
          </wp:anchor>
        </w:drawing>
      </w:r>
      <w:fldSimple w:instr=" DOCPROPERTY  Year  \* MERGEFORMAT ">
        <w:r w:rsidR="00420A2A">
          <w:t>2026</w:t>
        </w:r>
      </w:fldSimple>
      <w:r w:rsidR="00D22CC8" w:rsidRPr="00B85B74">
        <w:t xml:space="preserve"> • Volume </w:t>
      </w:r>
      <w:fldSimple w:instr=" DOCPROPERTY  Vol  \* MERGEFORMAT ">
        <w:r w:rsidR="00420A2A">
          <w:t>50</w:t>
        </w:r>
      </w:fldSimple>
      <w:r w:rsidR="00700338">
        <w:t xml:space="preserve"> </w:t>
      </w:r>
      <w:r w:rsidR="00700338" w:rsidRPr="00E15CF6">
        <w:t xml:space="preserve">• </w:t>
      </w:r>
      <w:hyperlink r:id="rId10" w:history="1">
        <w:r w:rsidR="00700338" w:rsidRPr="00E15CF6">
          <w:t>cdc.gov.au/cdi</w:t>
        </w:r>
      </w:hyperlink>
      <w:r w:rsidR="00D22CC8" w:rsidRPr="00B85B74">
        <w:t xml:space="preserve"> •</w:t>
      </w:r>
      <w:r w:rsidR="00700338">
        <w:t xml:space="preserve"> </w:t>
      </w:r>
      <w:r w:rsidR="00700338" w:rsidRPr="00B85B74">
        <w:t xml:space="preserve">Epub </w:t>
      </w:r>
      <w:r w:rsidR="00700338" w:rsidRPr="00D32A59">
        <w:t>date</w:t>
      </w:r>
      <w:r w:rsidR="00700338" w:rsidRPr="00B85B74">
        <w:t xml:space="preserve">: </w:t>
      </w:r>
      <w:fldSimple w:instr=" DOCPROPERTY  ePubDate  \* MERGEFORMAT ">
        <w:r w:rsidR="00112EED">
          <w:t>24.02.2026</w:t>
        </w:r>
      </w:fldSimple>
      <w:r w:rsidR="00700338">
        <w:t xml:space="preserve"> </w:t>
      </w:r>
      <w:r w:rsidR="00700338" w:rsidRPr="00B85B74">
        <w:t xml:space="preserve">• </w:t>
      </w:r>
      <w:fldSimple w:instr=" DOCPROPERTY  DOI  \* MERGEFORMAT ">
        <w:r w:rsidR="00112EED">
          <w:t>doi.org/10.33321/cdi.2026.50.012</w:t>
        </w:r>
      </w:fldSimple>
    </w:p>
    <w:p w14:paraId="5F6ED204" w14:textId="51E95B8D" w:rsidR="006B16A5" w:rsidRPr="00112EED" w:rsidRDefault="00112EED" w:rsidP="00112EED">
      <w:pPr>
        <w:pStyle w:val="Title"/>
      </w:pPr>
      <w:r w:rsidRPr="00112EED">
        <w:t>SAEFVIC: Surveillance of adverse events following immunisation (AEFI) in Victoria, Australia, 2019–2020</w:t>
      </w:r>
    </w:p>
    <w:p w14:paraId="397BC72F" w14:textId="0B1457DD" w:rsidR="00013B65" w:rsidRPr="00D54C21" w:rsidRDefault="00112EED" w:rsidP="00D54C21">
      <w:pPr>
        <w:pStyle w:val="Subtitle"/>
      </w:pPr>
      <w:r w:rsidRPr="00D54C21">
        <w:t xml:space="preserve">Jesse J Fryk, Hazel J Clothier, Daneeta Hennessy, Georgina Lewis, Emma Roney, Nigel W Crawford, Jim P Buttery </w:t>
      </w:r>
      <w:r w:rsidR="00013B65" w:rsidRPr="00D54C21">
        <w:br w:type="page"/>
      </w:r>
    </w:p>
    <w:p w14:paraId="5C9526D8" w14:textId="77777777" w:rsidR="00B52457" w:rsidRPr="0089025E" w:rsidRDefault="00B52457" w:rsidP="00087CC4">
      <w:pPr>
        <w:pStyle w:val="CDICopyright"/>
      </w:pPr>
      <w:bookmarkStart w:id="0" w:name="_Hlk185172676"/>
      <w:r w:rsidRPr="0089025E">
        <w:lastRenderedPageBreak/>
        <w:t xml:space="preserve">© </w:t>
      </w:r>
      <w:fldSimple w:instr=" DOCPROPERTY  Year  \* MERGEFORMAT ">
        <w:r w:rsidR="00420A2A">
          <w:t>2026</w:t>
        </w:r>
      </w:fldSimple>
      <w:r w:rsidRPr="0089025E">
        <w:t xml:space="preserve"> Commonwealth of Australia as represented by the </w:t>
      </w:r>
      <w:r w:rsidR="00C722FD">
        <w:t>Australian Centre for Disease Control</w:t>
      </w:r>
    </w:p>
    <w:p w14:paraId="61002554" w14:textId="77777777" w:rsidR="00B52457" w:rsidRPr="0089025E" w:rsidRDefault="00B52457" w:rsidP="00087CC4">
      <w:pPr>
        <w:pStyle w:val="CDICopyright"/>
      </w:pPr>
      <w:r w:rsidRPr="0089025E">
        <w:t>ISSN: 2209-6051 Online</w:t>
      </w:r>
    </w:p>
    <w:p w14:paraId="5DA4E0D4" w14:textId="77777777" w:rsidR="00B52457" w:rsidRDefault="00B52457" w:rsidP="00087CC4">
      <w:pPr>
        <w:pStyle w:val="CDICopyright"/>
      </w:pPr>
      <w:r w:rsidRPr="0089025E">
        <w:t>This journal is indexed by Index Medicus and Medline.</w:t>
      </w:r>
    </w:p>
    <w:p w14:paraId="195212A3" w14:textId="77777777" w:rsidR="00B52457" w:rsidRPr="007F2B27" w:rsidRDefault="00B52457" w:rsidP="00CC3648">
      <w:pPr>
        <w:pStyle w:val="CDICopyrightHeading"/>
      </w:pPr>
      <w:r w:rsidRPr="007F2B27">
        <w:t>Creative Commons Licence</w:t>
      </w:r>
    </w:p>
    <w:p w14:paraId="7CA1C716" w14:textId="77777777" w:rsidR="00B52457" w:rsidRPr="0089025E" w:rsidRDefault="00B52457" w:rsidP="007F2B27">
      <w:pPr>
        <w:pStyle w:val="CDICopyright"/>
      </w:pPr>
      <w:r w:rsidRPr="0089025E">
        <w:t xml:space="preserve">This publication is licensed under a Creative Commons </w:t>
      </w:r>
      <w:hyperlink r:id="rId11" w:history="1">
        <w:r w:rsidRPr="0022524E">
          <w:rPr>
            <w:rStyle w:val="Hyperlink"/>
          </w:rPr>
          <w:t>Attribution-NonCommercial-NoDerivatives 4.0 International Licence</w:t>
        </w:r>
      </w:hyperlink>
      <w:r w:rsidRPr="0089025E">
        <w:t xml:space="preserve"> (Licence). You</w:t>
      </w:r>
      <w:r w:rsidR="0022524E">
        <w:t xml:space="preserve"> </w:t>
      </w:r>
      <w:r w:rsidRPr="0089025E">
        <w:t>must read and understand the Licence before using any material from this publication.</w:t>
      </w:r>
    </w:p>
    <w:bookmarkEnd w:id="0"/>
    <w:p w14:paraId="655F88F5" w14:textId="77777777" w:rsidR="00B52457" w:rsidRPr="007F2B27" w:rsidRDefault="00B52457" w:rsidP="00CC3648">
      <w:pPr>
        <w:pStyle w:val="CDICopyrightHeading"/>
      </w:pPr>
      <w:r w:rsidRPr="007F2B27">
        <w:t>Restrictions</w:t>
      </w:r>
    </w:p>
    <w:p w14:paraId="1D16037C" w14:textId="77777777" w:rsidR="00B52457" w:rsidRPr="0089025E" w:rsidRDefault="00B52457" w:rsidP="007F2B27">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709075C6" w14:textId="77777777" w:rsidR="00B52457" w:rsidRPr="00E9313B" w:rsidRDefault="00B52457" w:rsidP="00E9313B">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r w:rsidR="00C722FD">
        <w:t>)</w:t>
      </w:r>
      <w:r w:rsidRPr="00E9313B">
        <w:t>;</w:t>
      </w:r>
    </w:p>
    <w:p w14:paraId="710322F0" w14:textId="77777777" w:rsidR="00B52457" w:rsidRPr="003C23C9" w:rsidRDefault="0022524E" w:rsidP="00E9313B">
      <w:pPr>
        <w:pStyle w:val="CDICopyrightBullets"/>
      </w:pPr>
      <w:r w:rsidRPr="0022524E">
        <w:t>any logos (including the Australian Centre for Disease Control’s logo) and trademarks</w:t>
      </w:r>
      <w:r w:rsidR="00B52457" w:rsidRPr="003C23C9">
        <w:t>;</w:t>
      </w:r>
    </w:p>
    <w:p w14:paraId="206054B0" w14:textId="77777777" w:rsidR="00B52457" w:rsidRPr="00E9313B" w:rsidRDefault="00B52457" w:rsidP="00E9313B">
      <w:pPr>
        <w:pStyle w:val="CDICopyrightBullets"/>
      </w:pPr>
      <w:r w:rsidRPr="00E9313B">
        <w:t xml:space="preserve">any photographs and images; </w:t>
      </w:r>
    </w:p>
    <w:p w14:paraId="2A9DB563" w14:textId="77777777" w:rsidR="00B52457" w:rsidRPr="00E9313B" w:rsidRDefault="00B52457" w:rsidP="00E9313B">
      <w:pPr>
        <w:pStyle w:val="CDICopyrightBullets"/>
      </w:pPr>
      <w:r w:rsidRPr="00E9313B">
        <w:t>any signatures; and</w:t>
      </w:r>
    </w:p>
    <w:p w14:paraId="7F445B72" w14:textId="77777777" w:rsidR="00B52457" w:rsidRPr="003C23C9" w:rsidRDefault="00B52457" w:rsidP="00E9313B">
      <w:pPr>
        <w:pStyle w:val="CDICopyrightBullets"/>
      </w:pPr>
      <w:r w:rsidRPr="00E9313B">
        <w:t>any</w:t>
      </w:r>
      <w:r w:rsidRPr="003C23C9">
        <w:t xml:space="preserve"> material belonging to third parties.</w:t>
      </w:r>
    </w:p>
    <w:p w14:paraId="7C75255D" w14:textId="77777777" w:rsidR="00B52457" w:rsidRPr="00CC3648" w:rsidRDefault="00B52457" w:rsidP="00CC3648">
      <w:pPr>
        <w:pStyle w:val="CDICopyrightHeading"/>
      </w:pPr>
      <w:r w:rsidRPr="00CC3648">
        <w:t>Disclaimer</w:t>
      </w:r>
    </w:p>
    <w:p w14:paraId="352751DA" w14:textId="77777777" w:rsidR="00B52457" w:rsidRPr="0089025E" w:rsidRDefault="00B52457" w:rsidP="007F2B27">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0022524E" w:rsidRPr="0022524E">
        <w:t>the Australian Government</w:t>
      </w:r>
      <w:r w:rsidR="00C722FD">
        <w:t xml:space="preserve"> or </w:t>
      </w:r>
      <w:r w:rsidR="0022524E" w:rsidRPr="0022524E">
        <w:t>the Australian Centre for Disease Control</w:t>
      </w:r>
      <w:r w:rsidRPr="0089025E">
        <w:t>. Data may be subject to revision.</w:t>
      </w:r>
    </w:p>
    <w:p w14:paraId="407BF5C8" w14:textId="77777777" w:rsidR="00B52457" w:rsidRPr="007F2B27" w:rsidRDefault="00B52457" w:rsidP="00CC3648">
      <w:pPr>
        <w:pStyle w:val="CDICopyrightHeading"/>
      </w:pPr>
      <w:r w:rsidRPr="007F2B27">
        <w:t>Enquiries</w:t>
      </w:r>
    </w:p>
    <w:p w14:paraId="6E90CE79" w14:textId="77777777" w:rsidR="00B52457" w:rsidRPr="00863F8D" w:rsidRDefault="00B52457" w:rsidP="007F2B27">
      <w:pPr>
        <w:pStyle w:val="CDICopyright"/>
      </w:pPr>
      <w:r w:rsidRPr="00863F8D">
        <w:t xml:space="preserve">Enquiries </w:t>
      </w:r>
      <w:r w:rsidRPr="00B52457">
        <w:t>regarding</w:t>
      </w:r>
      <w:r w:rsidRPr="00863F8D">
        <w:t xml:space="preserve"> any other use of this publication should be addressed to the </w:t>
      </w:r>
      <w:hyperlink r:id="rId12" w:history="1">
        <w:r w:rsidR="007B537E" w:rsidRPr="00E9313B">
          <w:rPr>
            <w:rStyle w:val="Hyperlink"/>
          </w:rPr>
          <w:t>CDI Editor</w:t>
        </w:r>
      </w:hyperlink>
      <w:r w:rsidR="00E9313B">
        <w:t>.</w:t>
      </w:r>
    </w:p>
    <w:p w14:paraId="444DE979" w14:textId="77777777" w:rsidR="00B52457" w:rsidRPr="00A65DFA" w:rsidRDefault="00B52457" w:rsidP="00B52457">
      <w:pPr>
        <w:pStyle w:val="CDIAbout"/>
      </w:pPr>
      <w:bookmarkStart w:id="1" w:name="_Toc190257376"/>
      <w:r>
        <w:t xml:space="preserve">About </w:t>
      </w:r>
      <w:bookmarkEnd w:id="1"/>
      <w:r w:rsidR="0022524E">
        <w:t>CDI</w:t>
      </w:r>
    </w:p>
    <w:p w14:paraId="7C02A7FC" w14:textId="77777777" w:rsidR="00B52457" w:rsidRDefault="009572C6" w:rsidP="0022524E">
      <w:pPr>
        <w:pStyle w:val="CDIAbouttextLess"/>
      </w:pPr>
      <w:r w:rsidRPr="009572C6">
        <w:rPr>
          <w:i/>
          <w:iCs/>
        </w:rPr>
        <w:t xml:space="preserve">Communicable Diseases Intelligence </w:t>
      </w:r>
      <w:r w:rsidRPr="009572C6">
        <w:t>(CDI) is a peer-reviewed scientific journal published by the Australian Centre for Disease Control.</w:t>
      </w:r>
    </w:p>
    <w:p w14:paraId="0CF3775F" w14:textId="77777777" w:rsidR="009572C6" w:rsidRDefault="009572C6" w:rsidP="00C722FD">
      <w:pPr>
        <w:pStyle w:val="CDIAbouttextLess"/>
        <w:spacing w:before="120"/>
      </w:pPr>
      <w:r w:rsidRPr="009572C6">
        <w:t>The journal aims to disseminate information on the epidemiology, surveillance, prevention and control of communicable diseases of relevance to Australia and the near region.</w:t>
      </w:r>
    </w:p>
    <w:p w14:paraId="73371EB2" w14:textId="77777777" w:rsidR="00B52457" w:rsidRPr="00D8087F" w:rsidRDefault="00B52457" w:rsidP="00D8087F">
      <w:pPr>
        <w:pStyle w:val="CDIAbouttext"/>
      </w:pPr>
      <w:r w:rsidRPr="00D8087F">
        <w:rPr>
          <w:b/>
          <w:bCs/>
        </w:rPr>
        <w:t>Editor</w:t>
      </w:r>
      <w:r w:rsidRPr="00D8087F">
        <w:t xml:space="preserve">: </w:t>
      </w:r>
      <w:r w:rsidR="00AC69D8">
        <w:t>Elise Firman</w:t>
      </w:r>
      <w:r w:rsidRPr="00D8087F">
        <w:t xml:space="preserve">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24A192CB" w14:textId="77777777" w:rsidR="00B52457" w:rsidRPr="00D8087F" w:rsidRDefault="00B52457" w:rsidP="00D8087F">
      <w:pPr>
        <w:pStyle w:val="CDIAbouttext"/>
      </w:pPr>
      <w:hyperlink r:id="rId13" w:history="1">
        <w:r w:rsidRPr="00C97898">
          <w:rPr>
            <w:rStyle w:val="Hyperlink"/>
            <w:b/>
            <w:bCs/>
          </w:rPr>
          <w:t>Editorial Advisory Board</w:t>
        </w:r>
      </w:hyperlink>
      <w:r w:rsidRPr="00D8087F">
        <w:t>: David Durrheim, Mark Ferson, Clare Huppatz, John Kaldor, Martyn Kirk and Meru Sheel</w:t>
      </w:r>
    </w:p>
    <w:p w14:paraId="65894099" w14:textId="77777777" w:rsidR="00B52457" w:rsidRPr="00B87589" w:rsidRDefault="00B52457" w:rsidP="00B87589">
      <w:pPr>
        <w:pStyle w:val="CDIAbouttext"/>
        <w:rPr>
          <w:b/>
          <w:bCs/>
        </w:rPr>
      </w:pPr>
      <w:r w:rsidRPr="00B87589">
        <w:rPr>
          <w:b/>
          <w:bCs/>
        </w:rPr>
        <w:t xml:space="preserve">Submit an </w:t>
      </w:r>
      <w:proofErr w:type="gramStart"/>
      <w:r w:rsidRPr="00B87589">
        <w:rPr>
          <w:b/>
          <w:bCs/>
        </w:rPr>
        <w:t>Article</w:t>
      </w:r>
      <w:proofErr w:type="gramEnd"/>
    </w:p>
    <w:p w14:paraId="5D801907" w14:textId="77777777" w:rsidR="00B52457" w:rsidRPr="0089025E" w:rsidRDefault="009572C6" w:rsidP="00CC3648">
      <w:pPr>
        <w:pStyle w:val="CDIAbouttextLess"/>
      </w:pPr>
      <w:hyperlink r:id="rId14" w:history="1">
        <w:r w:rsidRPr="009572C6">
          <w:rPr>
            <w:rStyle w:val="Hyperlink"/>
          </w:rPr>
          <w:t>Guidelines for authors</w:t>
        </w:r>
      </w:hyperlink>
      <w:r w:rsidRPr="009572C6">
        <w:t xml:space="preserve"> and details on how to submit your publication is available on our website, or by email to the</w:t>
      </w:r>
      <w:r>
        <w:br/>
      </w:r>
      <w:hyperlink r:id="rId15" w:history="1">
        <w:r w:rsidR="00FD7AA0" w:rsidRPr="00E9313B">
          <w:rPr>
            <w:rStyle w:val="Hyperlink"/>
          </w:rPr>
          <w:t>CDI Editor</w:t>
        </w:r>
      </w:hyperlink>
      <w:r w:rsidR="00FD7AA0">
        <w:t>.</w:t>
      </w:r>
    </w:p>
    <w:p w14:paraId="164D0D84" w14:textId="77777777" w:rsidR="00B52457" w:rsidRPr="00B87589" w:rsidRDefault="00B52457" w:rsidP="00B87589">
      <w:pPr>
        <w:pStyle w:val="CDIAbouttext"/>
        <w:rPr>
          <w:b/>
          <w:bCs/>
        </w:rPr>
      </w:pPr>
      <w:r w:rsidRPr="00B87589">
        <w:rPr>
          <w:b/>
          <w:bCs/>
        </w:rPr>
        <w:t>Contact us</w:t>
      </w:r>
    </w:p>
    <w:p w14:paraId="250C50FA" w14:textId="77777777" w:rsidR="00B52457" w:rsidRPr="00087CC4" w:rsidRDefault="00B52457" w:rsidP="00360B3A">
      <w:pPr>
        <w:pStyle w:val="CDIAbouttextLess"/>
      </w:pPr>
      <w:r w:rsidRPr="009572C6">
        <w:t>Communicable Diseases Intelligence</w:t>
      </w:r>
      <w:r w:rsidRPr="00087CC4">
        <w:t xml:space="preserve"> (CDI)</w:t>
      </w:r>
    </w:p>
    <w:p w14:paraId="648B605C" w14:textId="77777777" w:rsidR="00B52457" w:rsidRPr="00087CC4" w:rsidRDefault="009572C6" w:rsidP="00360B3A">
      <w:pPr>
        <w:pStyle w:val="CDIAbouttextLess"/>
      </w:pPr>
      <w:r>
        <w:t>Australian Centre for Disease Control</w:t>
      </w:r>
    </w:p>
    <w:p w14:paraId="51FC8595" w14:textId="77777777" w:rsidR="00B52457" w:rsidRPr="0089025E" w:rsidRDefault="00B52457" w:rsidP="00360B3A">
      <w:pPr>
        <w:pStyle w:val="CDIAbouttextLess"/>
      </w:pPr>
      <w:r w:rsidRPr="00087CC4">
        <w:t xml:space="preserve">GPO Box </w:t>
      </w:r>
      <w:r w:rsidR="0010368E">
        <w:t>79</w:t>
      </w:r>
      <w:r w:rsidRPr="00087CC4">
        <w:t>8, CANBERRA</w:t>
      </w:r>
      <w:r w:rsidRPr="0089025E">
        <w:t xml:space="preserve"> ACT 2601</w:t>
      </w:r>
    </w:p>
    <w:p w14:paraId="5F9D8F00" w14:textId="77777777" w:rsidR="00B52457" w:rsidRDefault="00B52457" w:rsidP="00360B3A">
      <w:pPr>
        <w:pStyle w:val="CDIAbouttextLess"/>
      </w:pPr>
      <w:r w:rsidRPr="0089025E">
        <w:t xml:space="preserve">Website: </w:t>
      </w:r>
      <w:hyperlink r:id="rId16" w:history="1">
        <w:r w:rsidR="00C735E0">
          <w:rPr>
            <w:rStyle w:val="Hyperlink"/>
          </w:rPr>
          <w:t>cdc.gov.au/cdi</w:t>
        </w:r>
      </w:hyperlink>
    </w:p>
    <w:p w14:paraId="3A83E617" w14:textId="77777777" w:rsidR="00B52457" w:rsidRPr="0089025E" w:rsidRDefault="00B52457" w:rsidP="00360B3A">
      <w:pPr>
        <w:pStyle w:val="CDIAbouttextLess"/>
      </w:pPr>
      <w:r w:rsidRPr="0089025E">
        <w:t xml:space="preserve">Email: </w:t>
      </w:r>
      <w:hyperlink r:id="rId17" w:history="1">
        <w:r w:rsidR="002368EA">
          <w:rPr>
            <w:rStyle w:val="Hyperlink"/>
          </w:rPr>
          <w:t>cdi.editor@cdc.gov.au</w:t>
        </w:r>
      </w:hyperlink>
    </w:p>
    <w:p w14:paraId="711EDA31" w14:textId="77777777" w:rsidR="00536DD8" w:rsidRDefault="00536DD8" w:rsidP="00A24E95">
      <w:pPr>
        <w:pStyle w:val="Heading1"/>
      </w:pPr>
      <w:bookmarkStart w:id="2" w:name="_Toc195609225"/>
      <w:bookmarkStart w:id="3" w:name="_Toc196293548"/>
      <w:bookmarkStart w:id="4" w:name="_Toc196818669"/>
      <w:bookmarkStart w:id="5" w:name="_Toc200548890"/>
      <w:bookmarkStart w:id="6" w:name="_Toc222142579"/>
      <w:bookmarkStart w:id="7" w:name="_Toc195530496"/>
      <w:r>
        <w:lastRenderedPageBreak/>
        <w:t>Contents</w:t>
      </w:r>
      <w:bookmarkEnd w:id="2"/>
      <w:bookmarkEnd w:id="3"/>
      <w:bookmarkEnd w:id="4"/>
      <w:bookmarkEnd w:id="5"/>
      <w:bookmarkEnd w:id="6"/>
    </w:p>
    <w:p w14:paraId="04A0DA7E" w14:textId="78F26CFE" w:rsidR="00656BED" w:rsidRDefault="005A4E9D">
      <w:pPr>
        <w:pStyle w:val="TOC1"/>
        <w:rPr>
          <w:rFonts w:eastAsiaTheme="minorEastAsia" w:cstheme="minorBidi"/>
          <w:b w:val="0"/>
          <w:bCs w:val="0"/>
          <w:iCs w:val="0"/>
          <w:noProof/>
          <w:kern w:val="2"/>
          <w:sz w:val="24"/>
          <w:lang w:eastAsia="en-AU"/>
        </w:rPr>
      </w:pPr>
      <w:r>
        <w:fldChar w:fldCharType="begin"/>
      </w:r>
      <w:r>
        <w:instrText xml:space="preserve"> TOC \o "1-1" \h \z \t "Heading 2,2,Heading 2 - no space before,2,Heading 2 - less space before,2,Heading 2 - new page,2" </w:instrText>
      </w:r>
      <w:r>
        <w:fldChar w:fldCharType="separate"/>
      </w:r>
      <w:hyperlink w:anchor="_Toc222142582" w:history="1">
        <w:r w:rsidR="00656BED" w:rsidRPr="00645B31">
          <w:rPr>
            <w:rStyle w:val="Hyperlink"/>
            <w:noProof/>
          </w:rPr>
          <w:t>Abstract</w:t>
        </w:r>
        <w:r w:rsidR="00656BED">
          <w:rPr>
            <w:noProof/>
            <w:webHidden/>
          </w:rPr>
          <w:tab/>
        </w:r>
        <w:r w:rsidR="00656BED">
          <w:rPr>
            <w:noProof/>
            <w:webHidden/>
          </w:rPr>
          <w:fldChar w:fldCharType="begin"/>
        </w:r>
        <w:r w:rsidR="00656BED">
          <w:rPr>
            <w:noProof/>
            <w:webHidden/>
          </w:rPr>
          <w:instrText xml:space="preserve"> PAGEREF _Toc222142582 \h </w:instrText>
        </w:r>
        <w:r w:rsidR="00656BED">
          <w:rPr>
            <w:noProof/>
            <w:webHidden/>
          </w:rPr>
        </w:r>
        <w:r w:rsidR="00656BED">
          <w:rPr>
            <w:noProof/>
            <w:webHidden/>
          </w:rPr>
          <w:fldChar w:fldCharType="separate"/>
        </w:r>
        <w:r w:rsidR="0033008B">
          <w:rPr>
            <w:noProof/>
            <w:webHidden/>
          </w:rPr>
          <w:t>5</w:t>
        </w:r>
        <w:r w:rsidR="00656BED">
          <w:rPr>
            <w:noProof/>
            <w:webHidden/>
          </w:rPr>
          <w:fldChar w:fldCharType="end"/>
        </w:r>
      </w:hyperlink>
    </w:p>
    <w:p w14:paraId="29EACA79" w14:textId="160BDB5D" w:rsidR="00656BED" w:rsidRDefault="00656BED">
      <w:pPr>
        <w:pStyle w:val="TOC2"/>
        <w:tabs>
          <w:tab w:val="right" w:leader="dot" w:pos="9629"/>
        </w:tabs>
        <w:rPr>
          <w:rFonts w:eastAsiaTheme="minorEastAsia" w:cstheme="minorBidi"/>
          <w:bCs w:val="0"/>
          <w:noProof/>
          <w:kern w:val="2"/>
          <w:sz w:val="24"/>
          <w:szCs w:val="24"/>
          <w:lang w:eastAsia="en-AU"/>
        </w:rPr>
      </w:pPr>
      <w:hyperlink w:anchor="_Toc222142583" w:history="1">
        <w:r w:rsidRPr="00645B31">
          <w:rPr>
            <w:rStyle w:val="Hyperlink"/>
            <w:noProof/>
            <w:lang w:val="en-GB"/>
          </w:rPr>
          <w:t>Background</w:t>
        </w:r>
        <w:r>
          <w:rPr>
            <w:noProof/>
            <w:webHidden/>
          </w:rPr>
          <w:tab/>
        </w:r>
        <w:r>
          <w:rPr>
            <w:noProof/>
            <w:webHidden/>
          </w:rPr>
          <w:fldChar w:fldCharType="begin"/>
        </w:r>
        <w:r>
          <w:rPr>
            <w:noProof/>
            <w:webHidden/>
          </w:rPr>
          <w:instrText xml:space="preserve"> PAGEREF _Toc222142583 \h </w:instrText>
        </w:r>
        <w:r>
          <w:rPr>
            <w:noProof/>
            <w:webHidden/>
          </w:rPr>
        </w:r>
        <w:r>
          <w:rPr>
            <w:noProof/>
            <w:webHidden/>
          </w:rPr>
          <w:fldChar w:fldCharType="separate"/>
        </w:r>
        <w:r w:rsidR="0033008B">
          <w:rPr>
            <w:noProof/>
            <w:webHidden/>
          </w:rPr>
          <w:t>5</w:t>
        </w:r>
        <w:r>
          <w:rPr>
            <w:noProof/>
            <w:webHidden/>
          </w:rPr>
          <w:fldChar w:fldCharType="end"/>
        </w:r>
      </w:hyperlink>
    </w:p>
    <w:p w14:paraId="2F664E5D" w14:textId="5E3317A8" w:rsidR="00656BED" w:rsidRDefault="00656BED">
      <w:pPr>
        <w:pStyle w:val="TOC2"/>
        <w:tabs>
          <w:tab w:val="right" w:leader="dot" w:pos="9629"/>
        </w:tabs>
        <w:rPr>
          <w:rFonts w:eastAsiaTheme="minorEastAsia" w:cstheme="minorBidi"/>
          <w:bCs w:val="0"/>
          <w:noProof/>
          <w:kern w:val="2"/>
          <w:sz w:val="24"/>
          <w:szCs w:val="24"/>
          <w:lang w:eastAsia="en-AU"/>
        </w:rPr>
      </w:pPr>
      <w:hyperlink w:anchor="_Toc222142584" w:history="1">
        <w:r w:rsidRPr="00645B31">
          <w:rPr>
            <w:rStyle w:val="Hyperlink"/>
            <w:noProof/>
            <w:lang w:val="en-GB"/>
          </w:rPr>
          <w:t>Methods</w:t>
        </w:r>
        <w:r>
          <w:rPr>
            <w:noProof/>
            <w:webHidden/>
          </w:rPr>
          <w:tab/>
        </w:r>
        <w:r>
          <w:rPr>
            <w:noProof/>
            <w:webHidden/>
          </w:rPr>
          <w:fldChar w:fldCharType="begin"/>
        </w:r>
        <w:r>
          <w:rPr>
            <w:noProof/>
            <w:webHidden/>
          </w:rPr>
          <w:instrText xml:space="preserve"> PAGEREF _Toc222142584 \h </w:instrText>
        </w:r>
        <w:r>
          <w:rPr>
            <w:noProof/>
            <w:webHidden/>
          </w:rPr>
        </w:r>
        <w:r>
          <w:rPr>
            <w:noProof/>
            <w:webHidden/>
          </w:rPr>
          <w:fldChar w:fldCharType="separate"/>
        </w:r>
        <w:r w:rsidR="0033008B">
          <w:rPr>
            <w:noProof/>
            <w:webHidden/>
          </w:rPr>
          <w:t>5</w:t>
        </w:r>
        <w:r>
          <w:rPr>
            <w:noProof/>
            <w:webHidden/>
          </w:rPr>
          <w:fldChar w:fldCharType="end"/>
        </w:r>
      </w:hyperlink>
    </w:p>
    <w:p w14:paraId="02D9076D" w14:textId="7459556A" w:rsidR="00656BED" w:rsidRDefault="00656BED">
      <w:pPr>
        <w:pStyle w:val="TOC2"/>
        <w:tabs>
          <w:tab w:val="right" w:leader="dot" w:pos="9629"/>
        </w:tabs>
        <w:rPr>
          <w:rFonts w:eastAsiaTheme="minorEastAsia" w:cstheme="minorBidi"/>
          <w:bCs w:val="0"/>
          <w:noProof/>
          <w:kern w:val="2"/>
          <w:sz w:val="24"/>
          <w:szCs w:val="24"/>
          <w:lang w:eastAsia="en-AU"/>
        </w:rPr>
      </w:pPr>
      <w:hyperlink w:anchor="_Toc222142585" w:history="1">
        <w:r w:rsidRPr="00645B31">
          <w:rPr>
            <w:rStyle w:val="Hyperlink"/>
            <w:noProof/>
            <w:lang w:val="en-GB"/>
          </w:rPr>
          <w:t>Results</w:t>
        </w:r>
        <w:r>
          <w:rPr>
            <w:noProof/>
            <w:webHidden/>
          </w:rPr>
          <w:tab/>
        </w:r>
        <w:r>
          <w:rPr>
            <w:noProof/>
            <w:webHidden/>
          </w:rPr>
          <w:fldChar w:fldCharType="begin"/>
        </w:r>
        <w:r>
          <w:rPr>
            <w:noProof/>
            <w:webHidden/>
          </w:rPr>
          <w:instrText xml:space="preserve"> PAGEREF _Toc222142585 \h </w:instrText>
        </w:r>
        <w:r>
          <w:rPr>
            <w:noProof/>
            <w:webHidden/>
          </w:rPr>
        </w:r>
        <w:r>
          <w:rPr>
            <w:noProof/>
            <w:webHidden/>
          </w:rPr>
          <w:fldChar w:fldCharType="separate"/>
        </w:r>
        <w:r w:rsidR="0033008B">
          <w:rPr>
            <w:noProof/>
            <w:webHidden/>
          </w:rPr>
          <w:t>5</w:t>
        </w:r>
        <w:r>
          <w:rPr>
            <w:noProof/>
            <w:webHidden/>
          </w:rPr>
          <w:fldChar w:fldCharType="end"/>
        </w:r>
      </w:hyperlink>
    </w:p>
    <w:p w14:paraId="5AFE9891" w14:textId="73E3B3CB" w:rsidR="00656BED" w:rsidRDefault="00656BED">
      <w:pPr>
        <w:pStyle w:val="TOC2"/>
        <w:tabs>
          <w:tab w:val="right" w:leader="dot" w:pos="9629"/>
        </w:tabs>
        <w:rPr>
          <w:rFonts w:eastAsiaTheme="minorEastAsia" w:cstheme="minorBidi"/>
          <w:bCs w:val="0"/>
          <w:noProof/>
          <w:kern w:val="2"/>
          <w:sz w:val="24"/>
          <w:szCs w:val="24"/>
          <w:lang w:eastAsia="en-AU"/>
        </w:rPr>
      </w:pPr>
      <w:hyperlink w:anchor="_Toc222142586" w:history="1">
        <w:r w:rsidRPr="00645B31">
          <w:rPr>
            <w:rStyle w:val="Hyperlink"/>
            <w:noProof/>
            <w:lang w:val="en-GB"/>
          </w:rPr>
          <w:t>Conclusion</w:t>
        </w:r>
        <w:r>
          <w:rPr>
            <w:noProof/>
            <w:webHidden/>
          </w:rPr>
          <w:tab/>
        </w:r>
        <w:r>
          <w:rPr>
            <w:noProof/>
            <w:webHidden/>
          </w:rPr>
          <w:fldChar w:fldCharType="begin"/>
        </w:r>
        <w:r>
          <w:rPr>
            <w:noProof/>
            <w:webHidden/>
          </w:rPr>
          <w:instrText xml:space="preserve"> PAGEREF _Toc222142586 \h </w:instrText>
        </w:r>
        <w:r>
          <w:rPr>
            <w:noProof/>
            <w:webHidden/>
          </w:rPr>
        </w:r>
        <w:r>
          <w:rPr>
            <w:noProof/>
            <w:webHidden/>
          </w:rPr>
          <w:fldChar w:fldCharType="separate"/>
        </w:r>
        <w:r w:rsidR="0033008B">
          <w:rPr>
            <w:noProof/>
            <w:webHidden/>
          </w:rPr>
          <w:t>5</w:t>
        </w:r>
        <w:r>
          <w:rPr>
            <w:noProof/>
            <w:webHidden/>
          </w:rPr>
          <w:fldChar w:fldCharType="end"/>
        </w:r>
      </w:hyperlink>
    </w:p>
    <w:p w14:paraId="742FE6D0" w14:textId="1196C84D" w:rsidR="00656BED" w:rsidRDefault="00656BED">
      <w:pPr>
        <w:pStyle w:val="TOC1"/>
        <w:rPr>
          <w:rFonts w:eastAsiaTheme="minorEastAsia" w:cstheme="minorBidi"/>
          <w:b w:val="0"/>
          <w:bCs w:val="0"/>
          <w:iCs w:val="0"/>
          <w:noProof/>
          <w:kern w:val="2"/>
          <w:sz w:val="24"/>
          <w:lang w:eastAsia="en-AU"/>
        </w:rPr>
      </w:pPr>
      <w:hyperlink w:anchor="_Toc222142587" w:history="1">
        <w:r w:rsidRPr="00645B31">
          <w:rPr>
            <w:rStyle w:val="Hyperlink"/>
            <w:noProof/>
          </w:rPr>
          <w:t>Introduction</w:t>
        </w:r>
        <w:r>
          <w:rPr>
            <w:noProof/>
            <w:webHidden/>
          </w:rPr>
          <w:tab/>
        </w:r>
        <w:r>
          <w:rPr>
            <w:noProof/>
            <w:webHidden/>
          </w:rPr>
          <w:fldChar w:fldCharType="begin"/>
        </w:r>
        <w:r>
          <w:rPr>
            <w:noProof/>
            <w:webHidden/>
          </w:rPr>
          <w:instrText xml:space="preserve"> PAGEREF _Toc222142587 \h </w:instrText>
        </w:r>
        <w:r>
          <w:rPr>
            <w:noProof/>
            <w:webHidden/>
          </w:rPr>
        </w:r>
        <w:r>
          <w:rPr>
            <w:noProof/>
            <w:webHidden/>
          </w:rPr>
          <w:fldChar w:fldCharType="separate"/>
        </w:r>
        <w:r w:rsidR="0033008B">
          <w:rPr>
            <w:noProof/>
            <w:webHidden/>
          </w:rPr>
          <w:t>6</w:t>
        </w:r>
        <w:r>
          <w:rPr>
            <w:noProof/>
            <w:webHidden/>
          </w:rPr>
          <w:fldChar w:fldCharType="end"/>
        </w:r>
      </w:hyperlink>
    </w:p>
    <w:p w14:paraId="6CB6BF3B" w14:textId="660ADE2E" w:rsidR="00656BED" w:rsidRDefault="00656BED">
      <w:pPr>
        <w:pStyle w:val="TOC1"/>
        <w:rPr>
          <w:rFonts w:eastAsiaTheme="minorEastAsia" w:cstheme="minorBidi"/>
          <w:b w:val="0"/>
          <w:bCs w:val="0"/>
          <w:iCs w:val="0"/>
          <w:noProof/>
          <w:kern w:val="2"/>
          <w:sz w:val="24"/>
          <w:lang w:eastAsia="en-AU"/>
        </w:rPr>
      </w:pPr>
      <w:hyperlink w:anchor="_Toc222142588" w:history="1">
        <w:r w:rsidRPr="00645B31">
          <w:rPr>
            <w:rStyle w:val="Hyperlink"/>
            <w:noProof/>
            <w:lang w:val="en-GB"/>
          </w:rPr>
          <w:t>Methods</w:t>
        </w:r>
        <w:r>
          <w:rPr>
            <w:noProof/>
            <w:webHidden/>
          </w:rPr>
          <w:tab/>
        </w:r>
        <w:r>
          <w:rPr>
            <w:noProof/>
            <w:webHidden/>
          </w:rPr>
          <w:fldChar w:fldCharType="begin"/>
        </w:r>
        <w:r>
          <w:rPr>
            <w:noProof/>
            <w:webHidden/>
          </w:rPr>
          <w:instrText xml:space="preserve"> PAGEREF _Toc222142588 \h </w:instrText>
        </w:r>
        <w:r>
          <w:rPr>
            <w:noProof/>
            <w:webHidden/>
          </w:rPr>
        </w:r>
        <w:r>
          <w:rPr>
            <w:noProof/>
            <w:webHidden/>
          </w:rPr>
          <w:fldChar w:fldCharType="separate"/>
        </w:r>
        <w:r w:rsidR="0033008B">
          <w:rPr>
            <w:noProof/>
            <w:webHidden/>
          </w:rPr>
          <w:t>7</w:t>
        </w:r>
        <w:r>
          <w:rPr>
            <w:noProof/>
            <w:webHidden/>
          </w:rPr>
          <w:fldChar w:fldCharType="end"/>
        </w:r>
      </w:hyperlink>
    </w:p>
    <w:p w14:paraId="39D33C6F" w14:textId="295CFF74" w:rsidR="00656BED" w:rsidRDefault="00656BED">
      <w:pPr>
        <w:pStyle w:val="TOC2"/>
        <w:tabs>
          <w:tab w:val="right" w:leader="dot" w:pos="9629"/>
        </w:tabs>
        <w:rPr>
          <w:rFonts w:eastAsiaTheme="minorEastAsia" w:cstheme="minorBidi"/>
          <w:bCs w:val="0"/>
          <w:noProof/>
          <w:kern w:val="2"/>
          <w:sz w:val="24"/>
          <w:szCs w:val="24"/>
          <w:lang w:eastAsia="en-AU"/>
        </w:rPr>
      </w:pPr>
      <w:hyperlink w:anchor="_Toc222142589" w:history="1">
        <w:r w:rsidRPr="00645B31">
          <w:rPr>
            <w:rStyle w:val="Hyperlink"/>
            <w:noProof/>
            <w:lang w:val="en-GB"/>
          </w:rPr>
          <w:t>AEFI data</w:t>
        </w:r>
        <w:r>
          <w:rPr>
            <w:noProof/>
            <w:webHidden/>
          </w:rPr>
          <w:tab/>
        </w:r>
        <w:r>
          <w:rPr>
            <w:noProof/>
            <w:webHidden/>
          </w:rPr>
          <w:fldChar w:fldCharType="begin"/>
        </w:r>
        <w:r>
          <w:rPr>
            <w:noProof/>
            <w:webHidden/>
          </w:rPr>
          <w:instrText xml:space="preserve"> PAGEREF _Toc222142589 \h </w:instrText>
        </w:r>
        <w:r>
          <w:rPr>
            <w:noProof/>
            <w:webHidden/>
          </w:rPr>
        </w:r>
        <w:r>
          <w:rPr>
            <w:noProof/>
            <w:webHidden/>
          </w:rPr>
          <w:fldChar w:fldCharType="separate"/>
        </w:r>
        <w:r w:rsidR="0033008B">
          <w:rPr>
            <w:noProof/>
            <w:webHidden/>
          </w:rPr>
          <w:t>7</w:t>
        </w:r>
        <w:r>
          <w:rPr>
            <w:noProof/>
            <w:webHidden/>
          </w:rPr>
          <w:fldChar w:fldCharType="end"/>
        </w:r>
      </w:hyperlink>
    </w:p>
    <w:p w14:paraId="77C24DDB" w14:textId="50C1E832" w:rsidR="00656BED" w:rsidRDefault="00656BED">
      <w:pPr>
        <w:pStyle w:val="TOC2"/>
        <w:tabs>
          <w:tab w:val="right" w:leader="dot" w:pos="9629"/>
        </w:tabs>
        <w:rPr>
          <w:rFonts w:eastAsiaTheme="minorEastAsia" w:cstheme="minorBidi"/>
          <w:bCs w:val="0"/>
          <w:noProof/>
          <w:kern w:val="2"/>
          <w:sz w:val="24"/>
          <w:szCs w:val="24"/>
          <w:lang w:eastAsia="en-AU"/>
        </w:rPr>
      </w:pPr>
      <w:hyperlink w:anchor="_Toc222142590" w:history="1">
        <w:r w:rsidRPr="00645B31">
          <w:rPr>
            <w:rStyle w:val="Hyperlink"/>
            <w:noProof/>
            <w:lang w:val="en-GB"/>
          </w:rPr>
          <w:t>Definitions</w:t>
        </w:r>
        <w:r>
          <w:rPr>
            <w:noProof/>
            <w:webHidden/>
          </w:rPr>
          <w:tab/>
        </w:r>
        <w:r>
          <w:rPr>
            <w:noProof/>
            <w:webHidden/>
          </w:rPr>
          <w:fldChar w:fldCharType="begin"/>
        </w:r>
        <w:r>
          <w:rPr>
            <w:noProof/>
            <w:webHidden/>
          </w:rPr>
          <w:instrText xml:space="preserve"> PAGEREF _Toc222142590 \h </w:instrText>
        </w:r>
        <w:r>
          <w:rPr>
            <w:noProof/>
            <w:webHidden/>
          </w:rPr>
        </w:r>
        <w:r>
          <w:rPr>
            <w:noProof/>
            <w:webHidden/>
          </w:rPr>
          <w:fldChar w:fldCharType="separate"/>
        </w:r>
        <w:r w:rsidR="0033008B">
          <w:rPr>
            <w:noProof/>
            <w:webHidden/>
          </w:rPr>
          <w:t>7</w:t>
        </w:r>
        <w:r>
          <w:rPr>
            <w:noProof/>
            <w:webHidden/>
          </w:rPr>
          <w:fldChar w:fldCharType="end"/>
        </w:r>
      </w:hyperlink>
    </w:p>
    <w:p w14:paraId="7431BB19" w14:textId="22B12DE1" w:rsidR="00656BED" w:rsidRDefault="00656BED">
      <w:pPr>
        <w:pStyle w:val="TOC2"/>
        <w:tabs>
          <w:tab w:val="right" w:leader="dot" w:pos="9629"/>
        </w:tabs>
        <w:rPr>
          <w:rFonts w:eastAsiaTheme="minorEastAsia" w:cstheme="minorBidi"/>
          <w:bCs w:val="0"/>
          <w:noProof/>
          <w:kern w:val="2"/>
          <w:sz w:val="24"/>
          <w:szCs w:val="24"/>
          <w:lang w:eastAsia="en-AU"/>
        </w:rPr>
      </w:pPr>
      <w:hyperlink w:anchor="_Toc222142591" w:history="1">
        <w:r w:rsidRPr="00645B31">
          <w:rPr>
            <w:rStyle w:val="Hyperlink"/>
            <w:noProof/>
            <w:lang w:val="en-GB"/>
          </w:rPr>
          <w:t>Data categories</w:t>
        </w:r>
        <w:r>
          <w:rPr>
            <w:noProof/>
            <w:webHidden/>
          </w:rPr>
          <w:tab/>
        </w:r>
        <w:r>
          <w:rPr>
            <w:noProof/>
            <w:webHidden/>
          </w:rPr>
          <w:fldChar w:fldCharType="begin"/>
        </w:r>
        <w:r>
          <w:rPr>
            <w:noProof/>
            <w:webHidden/>
          </w:rPr>
          <w:instrText xml:space="preserve"> PAGEREF _Toc222142591 \h </w:instrText>
        </w:r>
        <w:r>
          <w:rPr>
            <w:noProof/>
            <w:webHidden/>
          </w:rPr>
        </w:r>
        <w:r>
          <w:rPr>
            <w:noProof/>
            <w:webHidden/>
          </w:rPr>
          <w:fldChar w:fldCharType="separate"/>
        </w:r>
        <w:r w:rsidR="0033008B">
          <w:rPr>
            <w:noProof/>
            <w:webHidden/>
          </w:rPr>
          <w:t>8</w:t>
        </w:r>
        <w:r>
          <w:rPr>
            <w:noProof/>
            <w:webHidden/>
          </w:rPr>
          <w:fldChar w:fldCharType="end"/>
        </w:r>
      </w:hyperlink>
    </w:p>
    <w:p w14:paraId="32E3A7B1" w14:textId="7CFB45B8" w:rsidR="00656BED" w:rsidRDefault="00656BED">
      <w:pPr>
        <w:pStyle w:val="TOC2"/>
        <w:tabs>
          <w:tab w:val="right" w:leader="dot" w:pos="9629"/>
        </w:tabs>
        <w:rPr>
          <w:rFonts w:eastAsiaTheme="minorEastAsia" w:cstheme="minorBidi"/>
          <w:bCs w:val="0"/>
          <w:noProof/>
          <w:kern w:val="2"/>
          <w:sz w:val="24"/>
          <w:szCs w:val="24"/>
          <w:lang w:eastAsia="en-AU"/>
        </w:rPr>
      </w:pPr>
      <w:hyperlink w:anchor="_Toc222142592" w:history="1">
        <w:r w:rsidRPr="00645B31">
          <w:rPr>
            <w:rStyle w:val="Hyperlink"/>
            <w:noProof/>
            <w:lang w:val="en-GB"/>
          </w:rPr>
          <w:t>Analyses</w:t>
        </w:r>
        <w:r>
          <w:rPr>
            <w:noProof/>
            <w:webHidden/>
          </w:rPr>
          <w:tab/>
        </w:r>
        <w:r>
          <w:rPr>
            <w:noProof/>
            <w:webHidden/>
          </w:rPr>
          <w:fldChar w:fldCharType="begin"/>
        </w:r>
        <w:r>
          <w:rPr>
            <w:noProof/>
            <w:webHidden/>
          </w:rPr>
          <w:instrText xml:space="preserve"> PAGEREF _Toc222142592 \h </w:instrText>
        </w:r>
        <w:r>
          <w:rPr>
            <w:noProof/>
            <w:webHidden/>
          </w:rPr>
        </w:r>
        <w:r>
          <w:rPr>
            <w:noProof/>
            <w:webHidden/>
          </w:rPr>
          <w:fldChar w:fldCharType="separate"/>
        </w:r>
        <w:r w:rsidR="0033008B">
          <w:rPr>
            <w:noProof/>
            <w:webHidden/>
          </w:rPr>
          <w:t>8</w:t>
        </w:r>
        <w:r>
          <w:rPr>
            <w:noProof/>
            <w:webHidden/>
          </w:rPr>
          <w:fldChar w:fldCharType="end"/>
        </w:r>
      </w:hyperlink>
    </w:p>
    <w:p w14:paraId="62A503A5" w14:textId="1B291C70" w:rsidR="00656BED" w:rsidRDefault="00656BED">
      <w:pPr>
        <w:pStyle w:val="TOC2"/>
        <w:tabs>
          <w:tab w:val="right" w:leader="dot" w:pos="9629"/>
        </w:tabs>
        <w:rPr>
          <w:rFonts w:eastAsiaTheme="minorEastAsia" w:cstheme="minorBidi"/>
          <w:bCs w:val="0"/>
          <w:noProof/>
          <w:kern w:val="2"/>
          <w:sz w:val="24"/>
          <w:szCs w:val="24"/>
          <w:lang w:eastAsia="en-AU"/>
        </w:rPr>
      </w:pPr>
      <w:hyperlink w:anchor="_Toc222142593" w:history="1">
        <w:r w:rsidRPr="00645B31">
          <w:rPr>
            <w:rStyle w:val="Hyperlink"/>
            <w:noProof/>
            <w:lang w:val="en-GB"/>
          </w:rPr>
          <w:t>Ethical approval</w:t>
        </w:r>
        <w:r>
          <w:rPr>
            <w:noProof/>
            <w:webHidden/>
          </w:rPr>
          <w:tab/>
        </w:r>
        <w:r>
          <w:rPr>
            <w:noProof/>
            <w:webHidden/>
          </w:rPr>
          <w:fldChar w:fldCharType="begin"/>
        </w:r>
        <w:r>
          <w:rPr>
            <w:noProof/>
            <w:webHidden/>
          </w:rPr>
          <w:instrText xml:space="preserve"> PAGEREF _Toc222142593 \h </w:instrText>
        </w:r>
        <w:r>
          <w:rPr>
            <w:noProof/>
            <w:webHidden/>
          </w:rPr>
        </w:r>
        <w:r>
          <w:rPr>
            <w:noProof/>
            <w:webHidden/>
          </w:rPr>
          <w:fldChar w:fldCharType="separate"/>
        </w:r>
        <w:r w:rsidR="0033008B">
          <w:rPr>
            <w:noProof/>
            <w:webHidden/>
          </w:rPr>
          <w:t>9</w:t>
        </w:r>
        <w:r>
          <w:rPr>
            <w:noProof/>
            <w:webHidden/>
          </w:rPr>
          <w:fldChar w:fldCharType="end"/>
        </w:r>
      </w:hyperlink>
    </w:p>
    <w:p w14:paraId="6F89C2AE" w14:textId="655DCDDA" w:rsidR="00656BED" w:rsidRDefault="00656BED">
      <w:pPr>
        <w:pStyle w:val="TOC1"/>
        <w:rPr>
          <w:rFonts w:eastAsiaTheme="minorEastAsia" w:cstheme="minorBidi"/>
          <w:b w:val="0"/>
          <w:bCs w:val="0"/>
          <w:iCs w:val="0"/>
          <w:noProof/>
          <w:kern w:val="2"/>
          <w:sz w:val="24"/>
          <w:lang w:eastAsia="en-AU"/>
        </w:rPr>
      </w:pPr>
      <w:hyperlink w:anchor="_Toc222142594" w:history="1">
        <w:r w:rsidRPr="00645B31">
          <w:rPr>
            <w:rStyle w:val="Hyperlink"/>
            <w:noProof/>
          </w:rPr>
          <w:t>Results</w:t>
        </w:r>
        <w:r>
          <w:rPr>
            <w:noProof/>
            <w:webHidden/>
          </w:rPr>
          <w:tab/>
        </w:r>
        <w:r>
          <w:rPr>
            <w:noProof/>
            <w:webHidden/>
          </w:rPr>
          <w:fldChar w:fldCharType="begin"/>
        </w:r>
        <w:r>
          <w:rPr>
            <w:noProof/>
            <w:webHidden/>
          </w:rPr>
          <w:instrText xml:space="preserve"> PAGEREF _Toc222142594 \h </w:instrText>
        </w:r>
        <w:r>
          <w:rPr>
            <w:noProof/>
            <w:webHidden/>
          </w:rPr>
        </w:r>
        <w:r>
          <w:rPr>
            <w:noProof/>
            <w:webHidden/>
          </w:rPr>
          <w:fldChar w:fldCharType="separate"/>
        </w:r>
        <w:r w:rsidR="0033008B">
          <w:rPr>
            <w:noProof/>
            <w:webHidden/>
          </w:rPr>
          <w:t>10</w:t>
        </w:r>
        <w:r>
          <w:rPr>
            <w:noProof/>
            <w:webHidden/>
          </w:rPr>
          <w:fldChar w:fldCharType="end"/>
        </w:r>
      </w:hyperlink>
    </w:p>
    <w:p w14:paraId="12FE8314" w14:textId="08A1B66F" w:rsidR="00656BED" w:rsidRDefault="00656BED">
      <w:pPr>
        <w:pStyle w:val="TOC2"/>
        <w:tabs>
          <w:tab w:val="right" w:leader="dot" w:pos="9629"/>
        </w:tabs>
        <w:rPr>
          <w:rFonts w:eastAsiaTheme="minorEastAsia" w:cstheme="minorBidi"/>
          <w:bCs w:val="0"/>
          <w:noProof/>
          <w:kern w:val="2"/>
          <w:sz w:val="24"/>
          <w:szCs w:val="24"/>
          <w:lang w:eastAsia="en-AU"/>
        </w:rPr>
      </w:pPr>
      <w:hyperlink w:anchor="_Toc222142595" w:history="1">
        <w:r w:rsidRPr="00645B31">
          <w:rPr>
            <w:rStyle w:val="Hyperlink"/>
            <w:noProof/>
          </w:rPr>
          <w:t>AEFI reporting</w:t>
        </w:r>
        <w:r>
          <w:rPr>
            <w:noProof/>
            <w:webHidden/>
          </w:rPr>
          <w:tab/>
        </w:r>
        <w:r>
          <w:rPr>
            <w:noProof/>
            <w:webHidden/>
          </w:rPr>
          <w:fldChar w:fldCharType="begin"/>
        </w:r>
        <w:r>
          <w:rPr>
            <w:noProof/>
            <w:webHidden/>
          </w:rPr>
          <w:instrText xml:space="preserve"> PAGEREF _Toc222142595 \h </w:instrText>
        </w:r>
        <w:r>
          <w:rPr>
            <w:noProof/>
            <w:webHidden/>
          </w:rPr>
        </w:r>
        <w:r>
          <w:rPr>
            <w:noProof/>
            <w:webHidden/>
          </w:rPr>
          <w:fldChar w:fldCharType="separate"/>
        </w:r>
        <w:r w:rsidR="0033008B">
          <w:rPr>
            <w:noProof/>
            <w:webHidden/>
          </w:rPr>
          <w:t>10</w:t>
        </w:r>
        <w:r>
          <w:rPr>
            <w:noProof/>
            <w:webHidden/>
          </w:rPr>
          <w:fldChar w:fldCharType="end"/>
        </w:r>
      </w:hyperlink>
    </w:p>
    <w:p w14:paraId="48F73F1A" w14:textId="43967358" w:rsidR="00656BED" w:rsidRDefault="00656BED">
      <w:pPr>
        <w:pStyle w:val="TOC2"/>
        <w:tabs>
          <w:tab w:val="right" w:leader="dot" w:pos="9629"/>
        </w:tabs>
        <w:rPr>
          <w:rFonts w:eastAsiaTheme="minorEastAsia" w:cstheme="minorBidi"/>
          <w:bCs w:val="0"/>
          <w:noProof/>
          <w:kern w:val="2"/>
          <w:sz w:val="24"/>
          <w:szCs w:val="24"/>
          <w:lang w:eastAsia="en-AU"/>
        </w:rPr>
      </w:pPr>
      <w:hyperlink w:anchor="_Toc222142596" w:history="1">
        <w:r w:rsidRPr="00645B31">
          <w:rPr>
            <w:rStyle w:val="Hyperlink"/>
            <w:noProof/>
          </w:rPr>
          <w:t>SAEFVIC clinical services and education</w:t>
        </w:r>
        <w:r>
          <w:rPr>
            <w:noProof/>
            <w:webHidden/>
          </w:rPr>
          <w:tab/>
        </w:r>
        <w:r>
          <w:rPr>
            <w:noProof/>
            <w:webHidden/>
          </w:rPr>
          <w:fldChar w:fldCharType="begin"/>
        </w:r>
        <w:r>
          <w:rPr>
            <w:noProof/>
            <w:webHidden/>
          </w:rPr>
          <w:instrText xml:space="preserve"> PAGEREF _Toc222142596 \h </w:instrText>
        </w:r>
        <w:r>
          <w:rPr>
            <w:noProof/>
            <w:webHidden/>
          </w:rPr>
        </w:r>
        <w:r>
          <w:rPr>
            <w:noProof/>
            <w:webHidden/>
          </w:rPr>
          <w:fldChar w:fldCharType="separate"/>
        </w:r>
        <w:r w:rsidR="0033008B">
          <w:rPr>
            <w:noProof/>
            <w:webHidden/>
          </w:rPr>
          <w:t>25</w:t>
        </w:r>
        <w:r>
          <w:rPr>
            <w:noProof/>
            <w:webHidden/>
          </w:rPr>
          <w:fldChar w:fldCharType="end"/>
        </w:r>
      </w:hyperlink>
    </w:p>
    <w:p w14:paraId="503CA20F" w14:textId="40ED5328" w:rsidR="00656BED" w:rsidRDefault="00656BED">
      <w:pPr>
        <w:pStyle w:val="TOC1"/>
        <w:rPr>
          <w:rFonts w:eastAsiaTheme="minorEastAsia" w:cstheme="minorBidi"/>
          <w:b w:val="0"/>
          <w:bCs w:val="0"/>
          <w:iCs w:val="0"/>
          <w:noProof/>
          <w:kern w:val="2"/>
          <w:sz w:val="24"/>
          <w:lang w:eastAsia="en-AU"/>
        </w:rPr>
      </w:pPr>
      <w:hyperlink w:anchor="_Toc222142597" w:history="1">
        <w:r w:rsidRPr="00645B31">
          <w:rPr>
            <w:rStyle w:val="Hyperlink"/>
            <w:noProof/>
          </w:rPr>
          <w:t>Discussion</w:t>
        </w:r>
        <w:r>
          <w:rPr>
            <w:noProof/>
            <w:webHidden/>
          </w:rPr>
          <w:tab/>
        </w:r>
        <w:r>
          <w:rPr>
            <w:noProof/>
            <w:webHidden/>
          </w:rPr>
          <w:fldChar w:fldCharType="begin"/>
        </w:r>
        <w:r>
          <w:rPr>
            <w:noProof/>
            <w:webHidden/>
          </w:rPr>
          <w:instrText xml:space="preserve"> PAGEREF _Toc222142597 \h </w:instrText>
        </w:r>
        <w:r>
          <w:rPr>
            <w:noProof/>
            <w:webHidden/>
          </w:rPr>
        </w:r>
        <w:r>
          <w:rPr>
            <w:noProof/>
            <w:webHidden/>
          </w:rPr>
          <w:fldChar w:fldCharType="separate"/>
        </w:r>
        <w:r w:rsidR="0033008B">
          <w:rPr>
            <w:noProof/>
            <w:webHidden/>
          </w:rPr>
          <w:t>27</w:t>
        </w:r>
        <w:r>
          <w:rPr>
            <w:noProof/>
            <w:webHidden/>
          </w:rPr>
          <w:fldChar w:fldCharType="end"/>
        </w:r>
      </w:hyperlink>
    </w:p>
    <w:p w14:paraId="4121FC94" w14:textId="5BC02440" w:rsidR="00656BED" w:rsidRDefault="00656BED">
      <w:pPr>
        <w:pStyle w:val="TOC2"/>
        <w:tabs>
          <w:tab w:val="right" w:leader="dot" w:pos="9629"/>
        </w:tabs>
        <w:rPr>
          <w:rFonts w:eastAsiaTheme="minorEastAsia" w:cstheme="minorBidi"/>
          <w:bCs w:val="0"/>
          <w:noProof/>
          <w:kern w:val="2"/>
          <w:sz w:val="24"/>
          <w:szCs w:val="24"/>
          <w:lang w:eastAsia="en-AU"/>
        </w:rPr>
      </w:pPr>
      <w:hyperlink w:anchor="_Toc222142598" w:history="1">
        <w:r w:rsidRPr="00645B31">
          <w:rPr>
            <w:rStyle w:val="Hyperlink"/>
            <w:noProof/>
            <w:lang w:val="en-GB"/>
          </w:rPr>
          <w:t>MVEC resources</w:t>
        </w:r>
        <w:r>
          <w:rPr>
            <w:noProof/>
            <w:webHidden/>
          </w:rPr>
          <w:tab/>
        </w:r>
        <w:r>
          <w:rPr>
            <w:noProof/>
            <w:webHidden/>
          </w:rPr>
          <w:fldChar w:fldCharType="begin"/>
        </w:r>
        <w:r>
          <w:rPr>
            <w:noProof/>
            <w:webHidden/>
          </w:rPr>
          <w:instrText xml:space="preserve"> PAGEREF _Toc222142598 \h </w:instrText>
        </w:r>
        <w:r>
          <w:rPr>
            <w:noProof/>
            <w:webHidden/>
          </w:rPr>
        </w:r>
        <w:r>
          <w:rPr>
            <w:noProof/>
            <w:webHidden/>
          </w:rPr>
          <w:fldChar w:fldCharType="separate"/>
        </w:r>
        <w:r w:rsidR="0033008B">
          <w:rPr>
            <w:noProof/>
            <w:webHidden/>
          </w:rPr>
          <w:t>28</w:t>
        </w:r>
        <w:r>
          <w:rPr>
            <w:noProof/>
            <w:webHidden/>
          </w:rPr>
          <w:fldChar w:fldCharType="end"/>
        </w:r>
      </w:hyperlink>
    </w:p>
    <w:p w14:paraId="4FE39F85" w14:textId="08DD847A" w:rsidR="00656BED" w:rsidRDefault="00656BED">
      <w:pPr>
        <w:pStyle w:val="TOC1"/>
        <w:rPr>
          <w:rFonts w:eastAsiaTheme="minorEastAsia" w:cstheme="minorBidi"/>
          <w:b w:val="0"/>
          <w:bCs w:val="0"/>
          <w:iCs w:val="0"/>
          <w:noProof/>
          <w:kern w:val="2"/>
          <w:sz w:val="24"/>
          <w:lang w:eastAsia="en-AU"/>
        </w:rPr>
      </w:pPr>
      <w:hyperlink w:anchor="_Toc222142599" w:history="1">
        <w:r w:rsidRPr="00645B31">
          <w:rPr>
            <w:rStyle w:val="Hyperlink"/>
            <w:noProof/>
          </w:rPr>
          <w:t>Conclusion</w:t>
        </w:r>
        <w:r>
          <w:rPr>
            <w:noProof/>
            <w:webHidden/>
          </w:rPr>
          <w:tab/>
        </w:r>
        <w:r>
          <w:rPr>
            <w:noProof/>
            <w:webHidden/>
          </w:rPr>
          <w:fldChar w:fldCharType="begin"/>
        </w:r>
        <w:r>
          <w:rPr>
            <w:noProof/>
            <w:webHidden/>
          </w:rPr>
          <w:instrText xml:space="preserve"> PAGEREF _Toc222142599 \h </w:instrText>
        </w:r>
        <w:r>
          <w:rPr>
            <w:noProof/>
            <w:webHidden/>
          </w:rPr>
        </w:r>
        <w:r>
          <w:rPr>
            <w:noProof/>
            <w:webHidden/>
          </w:rPr>
          <w:fldChar w:fldCharType="separate"/>
        </w:r>
        <w:r w:rsidR="0033008B">
          <w:rPr>
            <w:noProof/>
            <w:webHidden/>
          </w:rPr>
          <w:t>30</w:t>
        </w:r>
        <w:r>
          <w:rPr>
            <w:noProof/>
            <w:webHidden/>
          </w:rPr>
          <w:fldChar w:fldCharType="end"/>
        </w:r>
      </w:hyperlink>
    </w:p>
    <w:p w14:paraId="6A6B7E6A" w14:textId="0C73A6C0" w:rsidR="00656BED" w:rsidRDefault="00656BED">
      <w:pPr>
        <w:pStyle w:val="TOC1"/>
        <w:rPr>
          <w:rFonts w:eastAsiaTheme="minorEastAsia" w:cstheme="minorBidi"/>
          <w:b w:val="0"/>
          <w:bCs w:val="0"/>
          <w:iCs w:val="0"/>
          <w:noProof/>
          <w:kern w:val="2"/>
          <w:sz w:val="24"/>
          <w:lang w:eastAsia="en-AU"/>
        </w:rPr>
      </w:pPr>
      <w:hyperlink w:anchor="_Toc222142600" w:history="1">
        <w:r w:rsidRPr="00645B31">
          <w:rPr>
            <w:rStyle w:val="Hyperlink"/>
            <w:noProof/>
          </w:rPr>
          <w:t>Acknowledgments</w:t>
        </w:r>
        <w:r>
          <w:rPr>
            <w:noProof/>
            <w:webHidden/>
          </w:rPr>
          <w:tab/>
        </w:r>
        <w:r>
          <w:rPr>
            <w:noProof/>
            <w:webHidden/>
          </w:rPr>
          <w:fldChar w:fldCharType="begin"/>
        </w:r>
        <w:r>
          <w:rPr>
            <w:noProof/>
            <w:webHidden/>
          </w:rPr>
          <w:instrText xml:space="preserve"> PAGEREF _Toc222142600 \h </w:instrText>
        </w:r>
        <w:r>
          <w:rPr>
            <w:noProof/>
            <w:webHidden/>
          </w:rPr>
        </w:r>
        <w:r>
          <w:rPr>
            <w:noProof/>
            <w:webHidden/>
          </w:rPr>
          <w:fldChar w:fldCharType="separate"/>
        </w:r>
        <w:r w:rsidR="0033008B">
          <w:rPr>
            <w:noProof/>
            <w:webHidden/>
          </w:rPr>
          <w:t>30</w:t>
        </w:r>
        <w:r>
          <w:rPr>
            <w:noProof/>
            <w:webHidden/>
          </w:rPr>
          <w:fldChar w:fldCharType="end"/>
        </w:r>
      </w:hyperlink>
    </w:p>
    <w:p w14:paraId="38DDA530" w14:textId="218F23BB" w:rsidR="00656BED" w:rsidRDefault="00656BED">
      <w:pPr>
        <w:pStyle w:val="TOC1"/>
        <w:rPr>
          <w:rFonts w:eastAsiaTheme="minorEastAsia" w:cstheme="minorBidi"/>
          <w:b w:val="0"/>
          <w:bCs w:val="0"/>
          <w:iCs w:val="0"/>
          <w:noProof/>
          <w:kern w:val="2"/>
          <w:sz w:val="24"/>
          <w:lang w:eastAsia="en-AU"/>
        </w:rPr>
      </w:pPr>
      <w:hyperlink w:anchor="_Toc222142601" w:history="1">
        <w:r w:rsidRPr="00645B31">
          <w:rPr>
            <w:rStyle w:val="Hyperlink"/>
            <w:noProof/>
          </w:rPr>
          <w:t>Conflicts of interest</w:t>
        </w:r>
        <w:r>
          <w:rPr>
            <w:noProof/>
            <w:webHidden/>
          </w:rPr>
          <w:tab/>
        </w:r>
        <w:r>
          <w:rPr>
            <w:noProof/>
            <w:webHidden/>
          </w:rPr>
          <w:fldChar w:fldCharType="begin"/>
        </w:r>
        <w:r>
          <w:rPr>
            <w:noProof/>
            <w:webHidden/>
          </w:rPr>
          <w:instrText xml:space="preserve"> PAGEREF _Toc222142601 \h </w:instrText>
        </w:r>
        <w:r>
          <w:rPr>
            <w:noProof/>
            <w:webHidden/>
          </w:rPr>
        </w:r>
        <w:r>
          <w:rPr>
            <w:noProof/>
            <w:webHidden/>
          </w:rPr>
          <w:fldChar w:fldCharType="separate"/>
        </w:r>
        <w:r w:rsidR="0033008B">
          <w:rPr>
            <w:noProof/>
            <w:webHidden/>
          </w:rPr>
          <w:t>30</w:t>
        </w:r>
        <w:r>
          <w:rPr>
            <w:noProof/>
            <w:webHidden/>
          </w:rPr>
          <w:fldChar w:fldCharType="end"/>
        </w:r>
      </w:hyperlink>
    </w:p>
    <w:p w14:paraId="2A1705DE" w14:textId="29072D44" w:rsidR="00656BED" w:rsidRDefault="00656BED">
      <w:pPr>
        <w:pStyle w:val="TOC1"/>
        <w:rPr>
          <w:rFonts w:eastAsiaTheme="minorEastAsia" w:cstheme="minorBidi"/>
          <w:b w:val="0"/>
          <w:bCs w:val="0"/>
          <w:iCs w:val="0"/>
          <w:noProof/>
          <w:kern w:val="2"/>
          <w:sz w:val="24"/>
          <w:lang w:eastAsia="en-AU"/>
        </w:rPr>
      </w:pPr>
      <w:hyperlink w:anchor="_Toc222142602" w:history="1">
        <w:r w:rsidRPr="00645B31">
          <w:rPr>
            <w:rStyle w:val="Hyperlink"/>
            <w:noProof/>
          </w:rPr>
          <w:t>Author details</w:t>
        </w:r>
        <w:r>
          <w:rPr>
            <w:noProof/>
            <w:webHidden/>
          </w:rPr>
          <w:tab/>
        </w:r>
        <w:r>
          <w:rPr>
            <w:noProof/>
            <w:webHidden/>
          </w:rPr>
          <w:fldChar w:fldCharType="begin"/>
        </w:r>
        <w:r>
          <w:rPr>
            <w:noProof/>
            <w:webHidden/>
          </w:rPr>
          <w:instrText xml:space="preserve"> PAGEREF _Toc222142602 \h </w:instrText>
        </w:r>
        <w:r>
          <w:rPr>
            <w:noProof/>
            <w:webHidden/>
          </w:rPr>
        </w:r>
        <w:r>
          <w:rPr>
            <w:noProof/>
            <w:webHidden/>
          </w:rPr>
          <w:fldChar w:fldCharType="separate"/>
        </w:r>
        <w:r w:rsidR="0033008B">
          <w:rPr>
            <w:noProof/>
            <w:webHidden/>
          </w:rPr>
          <w:t>31</w:t>
        </w:r>
        <w:r>
          <w:rPr>
            <w:noProof/>
            <w:webHidden/>
          </w:rPr>
          <w:fldChar w:fldCharType="end"/>
        </w:r>
      </w:hyperlink>
    </w:p>
    <w:p w14:paraId="5048F0E9" w14:textId="6F768F9A" w:rsidR="00656BED" w:rsidRDefault="00656BED">
      <w:pPr>
        <w:pStyle w:val="TOC1"/>
        <w:rPr>
          <w:rFonts w:eastAsiaTheme="minorEastAsia" w:cstheme="minorBidi"/>
          <w:b w:val="0"/>
          <w:bCs w:val="0"/>
          <w:iCs w:val="0"/>
          <w:noProof/>
          <w:kern w:val="2"/>
          <w:sz w:val="24"/>
          <w:lang w:eastAsia="en-AU"/>
        </w:rPr>
      </w:pPr>
      <w:hyperlink w:anchor="_Toc222142603" w:history="1">
        <w:r w:rsidRPr="00645B31">
          <w:rPr>
            <w:rStyle w:val="Hyperlink"/>
            <w:noProof/>
          </w:rPr>
          <w:t>References</w:t>
        </w:r>
        <w:r>
          <w:rPr>
            <w:noProof/>
            <w:webHidden/>
          </w:rPr>
          <w:tab/>
        </w:r>
        <w:r>
          <w:rPr>
            <w:noProof/>
            <w:webHidden/>
          </w:rPr>
          <w:fldChar w:fldCharType="begin"/>
        </w:r>
        <w:r>
          <w:rPr>
            <w:noProof/>
            <w:webHidden/>
          </w:rPr>
          <w:instrText xml:space="preserve"> PAGEREF _Toc222142603 \h </w:instrText>
        </w:r>
        <w:r>
          <w:rPr>
            <w:noProof/>
            <w:webHidden/>
          </w:rPr>
        </w:r>
        <w:r>
          <w:rPr>
            <w:noProof/>
            <w:webHidden/>
          </w:rPr>
          <w:fldChar w:fldCharType="separate"/>
        </w:r>
        <w:r w:rsidR="0033008B">
          <w:rPr>
            <w:noProof/>
            <w:webHidden/>
          </w:rPr>
          <w:t>32</w:t>
        </w:r>
        <w:r>
          <w:rPr>
            <w:noProof/>
            <w:webHidden/>
          </w:rPr>
          <w:fldChar w:fldCharType="end"/>
        </w:r>
      </w:hyperlink>
    </w:p>
    <w:p w14:paraId="1D794FE0" w14:textId="194EFDA1" w:rsidR="00F216F0" w:rsidRPr="00F216F0" w:rsidRDefault="005A4E9D" w:rsidP="00F216F0">
      <w:r>
        <w:rPr>
          <w:rFonts w:eastAsiaTheme="minorHAnsi" w:cstheme="minorHAnsi"/>
          <w:szCs w:val="24"/>
          <w:lang w:eastAsia="en-US"/>
        </w:rPr>
        <w:fldChar w:fldCharType="end"/>
      </w:r>
    </w:p>
    <w:p w14:paraId="7FD6BEA5" w14:textId="77777777" w:rsidR="00F216F0" w:rsidRDefault="00F216F0" w:rsidP="0071536A">
      <w:pPr>
        <w:pStyle w:val="Heading2-newpage"/>
      </w:pPr>
      <w:bookmarkStart w:id="8" w:name="_Toc195530497"/>
      <w:bookmarkStart w:id="9" w:name="_Toc195609227"/>
      <w:bookmarkStart w:id="10" w:name="_Toc222142580"/>
      <w:bookmarkStart w:id="11" w:name="_Toc195609226"/>
      <w:r>
        <w:lastRenderedPageBreak/>
        <w:t>List of figures</w:t>
      </w:r>
      <w:bookmarkEnd w:id="8"/>
      <w:bookmarkEnd w:id="9"/>
      <w:bookmarkEnd w:id="10"/>
    </w:p>
    <w:p w14:paraId="1D49B543" w14:textId="2E1B6234" w:rsidR="00656BED" w:rsidRDefault="005A4E9D">
      <w:pPr>
        <w:pStyle w:val="TableofFigures"/>
        <w:tabs>
          <w:tab w:val="right" w:leader="dot" w:pos="9629"/>
        </w:tabs>
        <w:rPr>
          <w:noProof/>
          <w:kern w:val="2"/>
          <w:sz w:val="24"/>
          <w:szCs w:val="24"/>
        </w:rPr>
      </w:pPr>
      <w:r>
        <w:fldChar w:fldCharType="begin"/>
      </w:r>
      <w:r>
        <w:instrText xml:space="preserve"> TOC \h \z \t "CDI Figure - Title" \c </w:instrText>
      </w:r>
      <w:r>
        <w:fldChar w:fldCharType="separate"/>
      </w:r>
      <w:hyperlink w:anchor="_Toc222142540" w:history="1">
        <w:r w:rsidR="00656BED" w:rsidRPr="0058255E">
          <w:rPr>
            <w:rStyle w:val="Hyperlink"/>
            <w:noProof/>
            <w:lang w:val="en-GB"/>
          </w:rPr>
          <w:t>Figure 1: Adverse events following immunisation (AEFI) reports and reporting rate per 100,000 population, by year, SAEFVIC, Victoria, Australia, 2015–2020</w:t>
        </w:r>
        <w:r w:rsidR="00656BED">
          <w:rPr>
            <w:noProof/>
            <w:webHidden/>
          </w:rPr>
          <w:tab/>
        </w:r>
        <w:r w:rsidR="00656BED">
          <w:rPr>
            <w:noProof/>
            <w:webHidden/>
          </w:rPr>
          <w:fldChar w:fldCharType="begin"/>
        </w:r>
        <w:r w:rsidR="00656BED">
          <w:rPr>
            <w:noProof/>
            <w:webHidden/>
          </w:rPr>
          <w:instrText xml:space="preserve"> PAGEREF _Toc222142540 \h </w:instrText>
        </w:r>
        <w:r w:rsidR="00656BED">
          <w:rPr>
            <w:noProof/>
            <w:webHidden/>
          </w:rPr>
        </w:r>
        <w:r w:rsidR="00656BED">
          <w:rPr>
            <w:noProof/>
            <w:webHidden/>
          </w:rPr>
          <w:fldChar w:fldCharType="separate"/>
        </w:r>
        <w:r w:rsidR="006D4E32">
          <w:rPr>
            <w:noProof/>
            <w:webHidden/>
          </w:rPr>
          <w:t>11</w:t>
        </w:r>
        <w:r w:rsidR="00656BED">
          <w:rPr>
            <w:noProof/>
            <w:webHidden/>
          </w:rPr>
          <w:fldChar w:fldCharType="end"/>
        </w:r>
      </w:hyperlink>
    </w:p>
    <w:p w14:paraId="2FBB8B8E" w14:textId="09C66A06" w:rsidR="00656BED" w:rsidRDefault="00656BED">
      <w:pPr>
        <w:pStyle w:val="TableofFigures"/>
        <w:tabs>
          <w:tab w:val="right" w:leader="dot" w:pos="9629"/>
        </w:tabs>
        <w:rPr>
          <w:noProof/>
          <w:kern w:val="2"/>
          <w:sz w:val="24"/>
          <w:szCs w:val="24"/>
        </w:rPr>
      </w:pPr>
      <w:hyperlink w:anchor="_Toc222142541" w:history="1">
        <w:r w:rsidRPr="0058255E">
          <w:rPr>
            <w:rStyle w:val="Hyperlink"/>
            <w:noProof/>
            <w:lang w:val="en-GB"/>
          </w:rPr>
          <w:t>Figure 2: Adverse events following immunisation (AEFI) reports by reporting modality and year, SAEFVIC, Victoria, Australia, 2015–2020</w:t>
        </w:r>
        <w:r>
          <w:rPr>
            <w:noProof/>
            <w:webHidden/>
          </w:rPr>
          <w:tab/>
        </w:r>
        <w:r>
          <w:rPr>
            <w:noProof/>
            <w:webHidden/>
          </w:rPr>
          <w:fldChar w:fldCharType="begin"/>
        </w:r>
        <w:r>
          <w:rPr>
            <w:noProof/>
            <w:webHidden/>
          </w:rPr>
          <w:instrText xml:space="preserve"> PAGEREF _Toc222142541 \h </w:instrText>
        </w:r>
        <w:r>
          <w:rPr>
            <w:noProof/>
            <w:webHidden/>
          </w:rPr>
        </w:r>
        <w:r>
          <w:rPr>
            <w:noProof/>
            <w:webHidden/>
          </w:rPr>
          <w:fldChar w:fldCharType="separate"/>
        </w:r>
        <w:r w:rsidR="006D4E32">
          <w:rPr>
            <w:noProof/>
            <w:webHidden/>
          </w:rPr>
          <w:t>12</w:t>
        </w:r>
        <w:r>
          <w:rPr>
            <w:noProof/>
            <w:webHidden/>
          </w:rPr>
          <w:fldChar w:fldCharType="end"/>
        </w:r>
      </w:hyperlink>
    </w:p>
    <w:p w14:paraId="48E5939D" w14:textId="34983987" w:rsidR="00656BED" w:rsidRDefault="00656BED">
      <w:pPr>
        <w:pStyle w:val="TableofFigures"/>
        <w:tabs>
          <w:tab w:val="right" w:leader="dot" w:pos="9629"/>
        </w:tabs>
        <w:rPr>
          <w:noProof/>
          <w:kern w:val="2"/>
          <w:sz w:val="24"/>
          <w:szCs w:val="24"/>
        </w:rPr>
      </w:pPr>
      <w:hyperlink w:anchor="_Toc222142542" w:history="1">
        <w:r w:rsidRPr="0058255E">
          <w:rPr>
            <w:rStyle w:val="Hyperlink"/>
            <w:noProof/>
            <w:lang w:val="en-GB"/>
          </w:rPr>
          <w:t>Figure 3: Adverse events following immunisation (AEFI) reports by reporter type and year, SAEFVIC, Victoria, Australia, 2015–2020</w:t>
        </w:r>
        <w:r>
          <w:rPr>
            <w:noProof/>
            <w:webHidden/>
          </w:rPr>
          <w:tab/>
        </w:r>
        <w:r>
          <w:rPr>
            <w:noProof/>
            <w:webHidden/>
          </w:rPr>
          <w:fldChar w:fldCharType="begin"/>
        </w:r>
        <w:r>
          <w:rPr>
            <w:noProof/>
            <w:webHidden/>
          </w:rPr>
          <w:instrText xml:space="preserve"> PAGEREF _Toc222142542 \h </w:instrText>
        </w:r>
        <w:r>
          <w:rPr>
            <w:noProof/>
            <w:webHidden/>
          </w:rPr>
        </w:r>
        <w:r>
          <w:rPr>
            <w:noProof/>
            <w:webHidden/>
          </w:rPr>
          <w:fldChar w:fldCharType="separate"/>
        </w:r>
        <w:r w:rsidR="006D4E32">
          <w:rPr>
            <w:noProof/>
            <w:webHidden/>
          </w:rPr>
          <w:t>13</w:t>
        </w:r>
        <w:r>
          <w:rPr>
            <w:noProof/>
            <w:webHidden/>
          </w:rPr>
          <w:fldChar w:fldCharType="end"/>
        </w:r>
      </w:hyperlink>
    </w:p>
    <w:p w14:paraId="2A5CBD63" w14:textId="1517E584" w:rsidR="00656BED" w:rsidRDefault="00656BED">
      <w:pPr>
        <w:pStyle w:val="TableofFigures"/>
        <w:tabs>
          <w:tab w:val="right" w:leader="dot" w:pos="9629"/>
        </w:tabs>
        <w:rPr>
          <w:noProof/>
          <w:kern w:val="2"/>
          <w:sz w:val="24"/>
          <w:szCs w:val="24"/>
        </w:rPr>
      </w:pPr>
      <w:hyperlink w:anchor="_Toc222142543" w:history="1">
        <w:r w:rsidRPr="0058255E">
          <w:rPr>
            <w:rStyle w:val="Hyperlink"/>
            <w:noProof/>
            <w:lang w:val="en-GB"/>
          </w:rPr>
          <w:t>Figure 4: Adverse events following immunisation (AEFI) reports (A) and rate per 100,000 population (B) by age group and year reported, SAEFVIC, Victoria, Australia, 2015–2020</w:t>
        </w:r>
        <w:r>
          <w:rPr>
            <w:noProof/>
            <w:webHidden/>
          </w:rPr>
          <w:tab/>
        </w:r>
        <w:r>
          <w:rPr>
            <w:noProof/>
            <w:webHidden/>
          </w:rPr>
          <w:fldChar w:fldCharType="begin"/>
        </w:r>
        <w:r>
          <w:rPr>
            <w:noProof/>
            <w:webHidden/>
          </w:rPr>
          <w:instrText xml:space="preserve"> PAGEREF _Toc222142543 \h </w:instrText>
        </w:r>
        <w:r>
          <w:rPr>
            <w:noProof/>
            <w:webHidden/>
          </w:rPr>
        </w:r>
        <w:r>
          <w:rPr>
            <w:noProof/>
            <w:webHidden/>
          </w:rPr>
          <w:fldChar w:fldCharType="separate"/>
        </w:r>
        <w:r w:rsidR="006D4E32">
          <w:rPr>
            <w:noProof/>
            <w:webHidden/>
          </w:rPr>
          <w:t>14</w:t>
        </w:r>
        <w:r>
          <w:rPr>
            <w:noProof/>
            <w:webHidden/>
          </w:rPr>
          <w:fldChar w:fldCharType="end"/>
        </w:r>
      </w:hyperlink>
    </w:p>
    <w:p w14:paraId="42DA4027" w14:textId="58CBB4F0" w:rsidR="00656BED" w:rsidRDefault="00656BED">
      <w:pPr>
        <w:pStyle w:val="TableofFigures"/>
        <w:tabs>
          <w:tab w:val="right" w:leader="dot" w:pos="9629"/>
        </w:tabs>
        <w:rPr>
          <w:noProof/>
          <w:kern w:val="2"/>
          <w:sz w:val="24"/>
          <w:szCs w:val="24"/>
        </w:rPr>
      </w:pPr>
      <w:hyperlink w:anchor="_Toc222142544" w:history="1">
        <w:r w:rsidRPr="0058255E">
          <w:rPr>
            <w:rStyle w:val="Hyperlink"/>
            <w:noProof/>
            <w:lang w:val="en-GB"/>
          </w:rPr>
          <w:t>Figure 5: Vaccine administration errors reported to SAEFVIC, Victoria, Australia, 2015–2020</w:t>
        </w:r>
        <w:r>
          <w:rPr>
            <w:noProof/>
            <w:webHidden/>
          </w:rPr>
          <w:tab/>
        </w:r>
        <w:r>
          <w:rPr>
            <w:noProof/>
            <w:webHidden/>
          </w:rPr>
          <w:fldChar w:fldCharType="begin"/>
        </w:r>
        <w:r>
          <w:rPr>
            <w:noProof/>
            <w:webHidden/>
          </w:rPr>
          <w:instrText xml:space="preserve"> PAGEREF _Toc222142544 \h </w:instrText>
        </w:r>
        <w:r>
          <w:rPr>
            <w:noProof/>
            <w:webHidden/>
          </w:rPr>
        </w:r>
        <w:r>
          <w:rPr>
            <w:noProof/>
            <w:webHidden/>
          </w:rPr>
          <w:fldChar w:fldCharType="separate"/>
        </w:r>
        <w:r w:rsidR="006D4E32">
          <w:rPr>
            <w:noProof/>
            <w:webHidden/>
          </w:rPr>
          <w:t>22</w:t>
        </w:r>
        <w:r>
          <w:rPr>
            <w:noProof/>
            <w:webHidden/>
          </w:rPr>
          <w:fldChar w:fldCharType="end"/>
        </w:r>
      </w:hyperlink>
    </w:p>
    <w:p w14:paraId="49DBF30E" w14:textId="273EAA31" w:rsidR="00656BED" w:rsidRDefault="00656BED">
      <w:pPr>
        <w:pStyle w:val="TableofFigures"/>
        <w:tabs>
          <w:tab w:val="right" w:leader="dot" w:pos="9629"/>
        </w:tabs>
        <w:rPr>
          <w:noProof/>
          <w:kern w:val="2"/>
          <w:sz w:val="24"/>
          <w:szCs w:val="24"/>
        </w:rPr>
      </w:pPr>
      <w:hyperlink w:anchor="_Toc222142545" w:history="1">
        <w:r w:rsidRPr="0058255E">
          <w:rPr>
            <w:rStyle w:val="Hyperlink"/>
            <w:noProof/>
            <w:lang w:val="en-GB"/>
          </w:rPr>
          <w:t>Figure 6: Type of clinic consultation attendance at Monash Health and the Royal Children’s Hospital, SAEFVIC, Victoria, Australia, 2015–2020</w:t>
        </w:r>
        <w:r>
          <w:rPr>
            <w:noProof/>
            <w:webHidden/>
          </w:rPr>
          <w:tab/>
        </w:r>
        <w:r>
          <w:rPr>
            <w:noProof/>
            <w:webHidden/>
          </w:rPr>
          <w:fldChar w:fldCharType="begin"/>
        </w:r>
        <w:r>
          <w:rPr>
            <w:noProof/>
            <w:webHidden/>
          </w:rPr>
          <w:instrText xml:space="preserve"> PAGEREF _Toc222142545 \h </w:instrText>
        </w:r>
        <w:r>
          <w:rPr>
            <w:noProof/>
            <w:webHidden/>
          </w:rPr>
        </w:r>
        <w:r>
          <w:rPr>
            <w:noProof/>
            <w:webHidden/>
          </w:rPr>
          <w:fldChar w:fldCharType="separate"/>
        </w:r>
        <w:r w:rsidR="006D4E32">
          <w:rPr>
            <w:noProof/>
            <w:webHidden/>
          </w:rPr>
          <w:t>25</w:t>
        </w:r>
        <w:r>
          <w:rPr>
            <w:noProof/>
            <w:webHidden/>
          </w:rPr>
          <w:fldChar w:fldCharType="end"/>
        </w:r>
      </w:hyperlink>
    </w:p>
    <w:p w14:paraId="3D807A66" w14:textId="16084697" w:rsidR="00F216F0" w:rsidRDefault="005A4E9D" w:rsidP="00F216F0">
      <w:r>
        <w:fldChar w:fldCharType="end"/>
      </w:r>
    </w:p>
    <w:p w14:paraId="49DE5874" w14:textId="77777777" w:rsidR="00144F10" w:rsidRDefault="00FE3ED6" w:rsidP="00112EED">
      <w:pPr>
        <w:pStyle w:val="Heading2-newpage"/>
        <w:pageBreakBefore w:val="0"/>
      </w:pPr>
      <w:bookmarkStart w:id="12" w:name="_Toc222142581"/>
      <w:r>
        <w:t xml:space="preserve">List of </w:t>
      </w:r>
      <w:r w:rsidR="00F216F0">
        <w:t>t</w:t>
      </w:r>
      <w:r w:rsidR="00144F10">
        <w:t>ables</w:t>
      </w:r>
      <w:bookmarkEnd w:id="7"/>
      <w:bookmarkEnd w:id="11"/>
      <w:bookmarkEnd w:id="12"/>
    </w:p>
    <w:p w14:paraId="621DF9B3" w14:textId="5A262FDF" w:rsidR="00656BED" w:rsidRDefault="00A709F0">
      <w:pPr>
        <w:pStyle w:val="TableofFigures"/>
        <w:tabs>
          <w:tab w:val="right" w:leader="dot" w:pos="9629"/>
        </w:tabs>
        <w:rPr>
          <w:noProof/>
          <w:kern w:val="2"/>
          <w:sz w:val="24"/>
          <w:szCs w:val="24"/>
        </w:rPr>
      </w:pPr>
      <w:r>
        <w:fldChar w:fldCharType="begin"/>
      </w:r>
      <w:r>
        <w:instrText xml:space="preserve"> TOC \h \z \t "CDI Table - Title" \c </w:instrText>
      </w:r>
      <w:r>
        <w:fldChar w:fldCharType="separate"/>
      </w:r>
      <w:hyperlink w:anchor="_Toc222142528" w:history="1">
        <w:r w:rsidR="00656BED" w:rsidRPr="004A5CE5">
          <w:rPr>
            <w:rStyle w:val="Hyperlink"/>
            <w:noProof/>
            <w:lang w:val="en-GB"/>
          </w:rPr>
          <w:t>Table 1: Description of adverse events following immunisation (AEFI) reported to the SAEFVIC surveillance system, Victoria, Australia, 2019–2020</w:t>
        </w:r>
        <w:r w:rsidR="00656BED">
          <w:rPr>
            <w:noProof/>
            <w:webHidden/>
          </w:rPr>
          <w:tab/>
        </w:r>
        <w:r w:rsidR="00656BED">
          <w:rPr>
            <w:noProof/>
            <w:webHidden/>
          </w:rPr>
          <w:fldChar w:fldCharType="begin"/>
        </w:r>
        <w:r w:rsidR="00656BED">
          <w:rPr>
            <w:noProof/>
            <w:webHidden/>
          </w:rPr>
          <w:instrText xml:space="preserve"> PAGEREF _Toc222142528 \h </w:instrText>
        </w:r>
        <w:r w:rsidR="00656BED">
          <w:rPr>
            <w:noProof/>
            <w:webHidden/>
          </w:rPr>
        </w:r>
        <w:r w:rsidR="00656BED">
          <w:rPr>
            <w:noProof/>
            <w:webHidden/>
          </w:rPr>
          <w:fldChar w:fldCharType="separate"/>
        </w:r>
        <w:r w:rsidR="006D4E32">
          <w:rPr>
            <w:noProof/>
            <w:webHidden/>
          </w:rPr>
          <w:t>10</w:t>
        </w:r>
        <w:r w:rsidR="00656BED">
          <w:rPr>
            <w:noProof/>
            <w:webHidden/>
          </w:rPr>
          <w:fldChar w:fldCharType="end"/>
        </w:r>
      </w:hyperlink>
    </w:p>
    <w:p w14:paraId="3301417D" w14:textId="62BC5820" w:rsidR="00656BED" w:rsidRDefault="00656BED">
      <w:pPr>
        <w:pStyle w:val="TableofFigures"/>
        <w:tabs>
          <w:tab w:val="right" w:leader="dot" w:pos="9629"/>
        </w:tabs>
        <w:rPr>
          <w:noProof/>
          <w:kern w:val="2"/>
          <w:sz w:val="24"/>
          <w:szCs w:val="24"/>
        </w:rPr>
      </w:pPr>
      <w:hyperlink w:anchor="_Toc222142529" w:history="1">
        <w:r w:rsidRPr="004A5CE5">
          <w:rPr>
            <w:rStyle w:val="Hyperlink"/>
            <w:noProof/>
            <w:lang w:val="en-GB"/>
          </w:rPr>
          <w:t>Table 2: Serious adverse event following immunisation (AEFI) reports by age group,</w:t>
        </w:r>
        <w:r w:rsidRPr="004A5CE5">
          <w:rPr>
            <w:rStyle w:val="Hyperlink"/>
            <w:noProof/>
            <w:vertAlign w:val="superscript"/>
            <w:lang w:val="en-GB"/>
          </w:rPr>
          <w:t>a</w:t>
        </w:r>
        <w:r w:rsidRPr="004A5CE5">
          <w:rPr>
            <w:rStyle w:val="Hyperlink"/>
            <w:noProof/>
            <w:lang w:val="en-GB"/>
          </w:rPr>
          <w:t xml:space="preserve"> SAEFVIC, Victoria, Australia, 2019–2020</w:t>
        </w:r>
        <w:r>
          <w:rPr>
            <w:noProof/>
            <w:webHidden/>
          </w:rPr>
          <w:tab/>
        </w:r>
        <w:r>
          <w:rPr>
            <w:noProof/>
            <w:webHidden/>
          </w:rPr>
          <w:fldChar w:fldCharType="begin"/>
        </w:r>
        <w:r>
          <w:rPr>
            <w:noProof/>
            <w:webHidden/>
          </w:rPr>
          <w:instrText xml:space="preserve"> PAGEREF _Toc222142529 \h </w:instrText>
        </w:r>
        <w:r>
          <w:rPr>
            <w:noProof/>
            <w:webHidden/>
          </w:rPr>
        </w:r>
        <w:r>
          <w:rPr>
            <w:noProof/>
            <w:webHidden/>
          </w:rPr>
          <w:fldChar w:fldCharType="separate"/>
        </w:r>
        <w:r w:rsidR="006D4E32">
          <w:rPr>
            <w:noProof/>
            <w:webHidden/>
          </w:rPr>
          <w:t>15</w:t>
        </w:r>
        <w:r>
          <w:rPr>
            <w:noProof/>
            <w:webHidden/>
          </w:rPr>
          <w:fldChar w:fldCharType="end"/>
        </w:r>
      </w:hyperlink>
    </w:p>
    <w:p w14:paraId="523A1CBE" w14:textId="4B09A274" w:rsidR="00656BED" w:rsidRDefault="00656BED">
      <w:pPr>
        <w:pStyle w:val="TableofFigures"/>
        <w:tabs>
          <w:tab w:val="right" w:leader="dot" w:pos="9629"/>
        </w:tabs>
        <w:rPr>
          <w:noProof/>
          <w:kern w:val="2"/>
          <w:sz w:val="24"/>
          <w:szCs w:val="24"/>
        </w:rPr>
      </w:pPr>
      <w:hyperlink w:anchor="_Toc222142530" w:history="1">
        <w:r w:rsidRPr="004A5CE5">
          <w:rPr>
            <w:rStyle w:val="Hyperlink"/>
            <w:noProof/>
            <w:lang w:val="en-GB"/>
          </w:rPr>
          <w:t>Table 3: Adverse event following immunisation (AEFI) reports by sex,</w:t>
        </w:r>
        <w:r w:rsidRPr="004A5CE5">
          <w:rPr>
            <w:rStyle w:val="Hyperlink"/>
            <w:noProof/>
            <w:vertAlign w:val="superscript"/>
            <w:lang w:val="en-GB"/>
          </w:rPr>
          <w:t>a</w:t>
        </w:r>
        <w:r w:rsidRPr="004A5CE5">
          <w:rPr>
            <w:rStyle w:val="Hyperlink"/>
            <w:noProof/>
            <w:lang w:val="en-GB"/>
          </w:rPr>
          <w:t xml:space="preserve"> Indigenous status, and age</w:t>
        </w:r>
        <w:r>
          <w:rPr>
            <w:rStyle w:val="Hyperlink"/>
            <w:noProof/>
            <w:lang w:val="en-GB"/>
          </w:rPr>
          <w:t> </w:t>
        </w:r>
        <w:r w:rsidRPr="004A5CE5">
          <w:rPr>
            <w:rStyle w:val="Hyperlink"/>
            <w:noProof/>
            <w:lang w:val="en-GB"/>
          </w:rPr>
          <w:t>group,</w:t>
        </w:r>
        <w:r w:rsidRPr="004A5CE5">
          <w:rPr>
            <w:rStyle w:val="Hyperlink"/>
            <w:noProof/>
            <w:vertAlign w:val="superscript"/>
            <w:lang w:val="en-GB"/>
          </w:rPr>
          <w:t>b</w:t>
        </w:r>
        <w:r w:rsidRPr="004A5CE5">
          <w:rPr>
            <w:rStyle w:val="Hyperlink"/>
            <w:noProof/>
            <w:lang w:val="en-GB"/>
          </w:rPr>
          <w:t xml:space="preserve"> SAEFVIC, Victoria, Australia, 2019–2020</w:t>
        </w:r>
        <w:r>
          <w:rPr>
            <w:noProof/>
            <w:webHidden/>
          </w:rPr>
          <w:tab/>
        </w:r>
        <w:r>
          <w:rPr>
            <w:noProof/>
            <w:webHidden/>
          </w:rPr>
          <w:fldChar w:fldCharType="begin"/>
        </w:r>
        <w:r>
          <w:rPr>
            <w:noProof/>
            <w:webHidden/>
          </w:rPr>
          <w:instrText xml:space="preserve"> PAGEREF _Toc222142530 \h </w:instrText>
        </w:r>
        <w:r>
          <w:rPr>
            <w:noProof/>
            <w:webHidden/>
          </w:rPr>
        </w:r>
        <w:r>
          <w:rPr>
            <w:noProof/>
            <w:webHidden/>
          </w:rPr>
          <w:fldChar w:fldCharType="separate"/>
        </w:r>
        <w:r w:rsidR="006D4E32">
          <w:rPr>
            <w:noProof/>
            <w:webHidden/>
          </w:rPr>
          <w:t>15</w:t>
        </w:r>
        <w:r>
          <w:rPr>
            <w:noProof/>
            <w:webHidden/>
          </w:rPr>
          <w:fldChar w:fldCharType="end"/>
        </w:r>
      </w:hyperlink>
    </w:p>
    <w:p w14:paraId="1A6D980A" w14:textId="56119BC1" w:rsidR="00656BED" w:rsidRDefault="00656BED">
      <w:pPr>
        <w:pStyle w:val="TableofFigures"/>
        <w:tabs>
          <w:tab w:val="right" w:leader="dot" w:pos="9629"/>
        </w:tabs>
        <w:rPr>
          <w:noProof/>
          <w:kern w:val="2"/>
          <w:sz w:val="24"/>
          <w:szCs w:val="24"/>
        </w:rPr>
      </w:pPr>
      <w:hyperlink w:anchor="_Toc222142531" w:history="1">
        <w:r w:rsidRPr="004A5CE5">
          <w:rPr>
            <w:rStyle w:val="Hyperlink"/>
            <w:noProof/>
            <w:lang w:val="en-GB"/>
          </w:rPr>
          <w:t>Table 4: Adverse event following immunisation (AEFI) reports by national immunisation program (NIP) age group and vaccine antigen, SAEFVIC, Victoria, Australia, 2019–2020</w:t>
        </w:r>
        <w:r>
          <w:rPr>
            <w:noProof/>
            <w:webHidden/>
          </w:rPr>
          <w:tab/>
        </w:r>
        <w:r>
          <w:rPr>
            <w:noProof/>
            <w:webHidden/>
          </w:rPr>
          <w:fldChar w:fldCharType="begin"/>
        </w:r>
        <w:r>
          <w:rPr>
            <w:noProof/>
            <w:webHidden/>
          </w:rPr>
          <w:instrText xml:space="preserve"> PAGEREF _Toc222142531 \h </w:instrText>
        </w:r>
        <w:r>
          <w:rPr>
            <w:noProof/>
            <w:webHidden/>
          </w:rPr>
        </w:r>
        <w:r>
          <w:rPr>
            <w:noProof/>
            <w:webHidden/>
          </w:rPr>
          <w:fldChar w:fldCharType="separate"/>
        </w:r>
        <w:r w:rsidR="006D4E32">
          <w:rPr>
            <w:noProof/>
            <w:webHidden/>
          </w:rPr>
          <w:t>17</w:t>
        </w:r>
        <w:r>
          <w:rPr>
            <w:noProof/>
            <w:webHidden/>
          </w:rPr>
          <w:fldChar w:fldCharType="end"/>
        </w:r>
      </w:hyperlink>
    </w:p>
    <w:p w14:paraId="796E8A80" w14:textId="641FEED9" w:rsidR="00656BED" w:rsidRDefault="00656BED">
      <w:pPr>
        <w:pStyle w:val="TableofFigures"/>
        <w:tabs>
          <w:tab w:val="right" w:leader="dot" w:pos="9629"/>
        </w:tabs>
        <w:rPr>
          <w:noProof/>
          <w:kern w:val="2"/>
          <w:sz w:val="24"/>
          <w:szCs w:val="24"/>
        </w:rPr>
      </w:pPr>
      <w:hyperlink w:anchor="_Toc222142532" w:history="1">
        <w:r w:rsidRPr="004A5CE5">
          <w:rPr>
            <w:rStyle w:val="Hyperlink"/>
            <w:noProof/>
            <w:lang w:val="en-GB"/>
          </w:rPr>
          <w:t>Table 5: Most frequently reported adverse events (&gt; 20 reports) and selected conditions of interest,</w:t>
        </w:r>
        <w:r>
          <w:rPr>
            <w:rStyle w:val="Hyperlink"/>
            <w:noProof/>
            <w:lang w:val="en-GB"/>
          </w:rPr>
          <w:t> </w:t>
        </w:r>
        <w:r w:rsidRPr="004A5CE5">
          <w:rPr>
            <w:rStyle w:val="Hyperlink"/>
            <w:noProof/>
            <w:lang w:val="en-GB"/>
          </w:rPr>
          <w:t>by age group, SAEFVIC, Victoria, Australia,</w:t>
        </w:r>
        <w:r w:rsidRPr="004A5CE5">
          <w:rPr>
            <w:rStyle w:val="Hyperlink"/>
            <w:noProof/>
            <w:vertAlign w:val="superscript"/>
            <w:lang w:val="en-GB"/>
          </w:rPr>
          <w:t>a,b</w:t>
        </w:r>
        <w:r w:rsidRPr="004A5CE5">
          <w:rPr>
            <w:rStyle w:val="Hyperlink"/>
            <w:noProof/>
            <w:lang w:val="en-GB"/>
          </w:rPr>
          <w:t xml:space="preserve"> 2019–2020</w:t>
        </w:r>
        <w:r>
          <w:rPr>
            <w:noProof/>
            <w:webHidden/>
          </w:rPr>
          <w:tab/>
        </w:r>
        <w:r>
          <w:rPr>
            <w:noProof/>
            <w:webHidden/>
          </w:rPr>
          <w:fldChar w:fldCharType="begin"/>
        </w:r>
        <w:r>
          <w:rPr>
            <w:noProof/>
            <w:webHidden/>
          </w:rPr>
          <w:instrText xml:space="preserve"> PAGEREF _Toc222142532 \h </w:instrText>
        </w:r>
        <w:r>
          <w:rPr>
            <w:noProof/>
            <w:webHidden/>
          </w:rPr>
        </w:r>
        <w:r>
          <w:rPr>
            <w:noProof/>
            <w:webHidden/>
          </w:rPr>
          <w:fldChar w:fldCharType="separate"/>
        </w:r>
        <w:r w:rsidR="006D4E32">
          <w:rPr>
            <w:noProof/>
            <w:webHidden/>
          </w:rPr>
          <w:t>19</w:t>
        </w:r>
        <w:r>
          <w:rPr>
            <w:noProof/>
            <w:webHidden/>
          </w:rPr>
          <w:fldChar w:fldCharType="end"/>
        </w:r>
      </w:hyperlink>
    </w:p>
    <w:p w14:paraId="20C44CA9" w14:textId="78D096FB" w:rsidR="00656BED" w:rsidRDefault="00656BED">
      <w:pPr>
        <w:pStyle w:val="TableofFigures"/>
        <w:tabs>
          <w:tab w:val="right" w:leader="dot" w:pos="9629"/>
        </w:tabs>
        <w:rPr>
          <w:noProof/>
          <w:kern w:val="2"/>
          <w:sz w:val="24"/>
          <w:szCs w:val="24"/>
        </w:rPr>
      </w:pPr>
      <w:hyperlink w:anchor="_Toc222142533" w:history="1">
        <w:r w:rsidRPr="004A5CE5">
          <w:rPr>
            <w:rStyle w:val="Hyperlink"/>
            <w:noProof/>
            <w:lang w:val="en-GB"/>
          </w:rPr>
          <w:t xml:space="preserve">Table 6: Targeted monitoring for vaccine pharmacovigilance, SAEFVIC, Victoria, Australia, </w:t>
        </w:r>
        <w:r>
          <w:rPr>
            <w:rStyle w:val="Hyperlink"/>
            <w:noProof/>
            <w:lang w:val="en-GB"/>
          </w:rPr>
          <w:br/>
        </w:r>
        <w:r w:rsidRPr="004A5CE5">
          <w:rPr>
            <w:rStyle w:val="Hyperlink"/>
            <w:noProof/>
            <w:lang w:val="en-GB"/>
          </w:rPr>
          <w:t>2019–2020</w:t>
        </w:r>
        <w:r>
          <w:rPr>
            <w:noProof/>
            <w:webHidden/>
          </w:rPr>
          <w:tab/>
        </w:r>
        <w:r>
          <w:rPr>
            <w:noProof/>
            <w:webHidden/>
          </w:rPr>
          <w:fldChar w:fldCharType="begin"/>
        </w:r>
        <w:r>
          <w:rPr>
            <w:noProof/>
            <w:webHidden/>
          </w:rPr>
          <w:instrText xml:space="preserve"> PAGEREF _Toc222142533 \h </w:instrText>
        </w:r>
        <w:r>
          <w:rPr>
            <w:noProof/>
            <w:webHidden/>
          </w:rPr>
        </w:r>
        <w:r>
          <w:rPr>
            <w:noProof/>
            <w:webHidden/>
          </w:rPr>
          <w:fldChar w:fldCharType="separate"/>
        </w:r>
        <w:r w:rsidR="006D4E32">
          <w:rPr>
            <w:noProof/>
            <w:webHidden/>
          </w:rPr>
          <w:t>24</w:t>
        </w:r>
        <w:r>
          <w:rPr>
            <w:noProof/>
            <w:webHidden/>
          </w:rPr>
          <w:fldChar w:fldCharType="end"/>
        </w:r>
      </w:hyperlink>
    </w:p>
    <w:p w14:paraId="3E2AD07F" w14:textId="25BDA21F" w:rsidR="00425757" w:rsidRDefault="00A709F0" w:rsidP="00144F10">
      <w:r>
        <w:fldChar w:fldCharType="end"/>
      </w:r>
    </w:p>
    <w:p w14:paraId="4D06CDBB" w14:textId="77777777" w:rsidR="00F25C00" w:rsidRDefault="0098426C" w:rsidP="00A24E95">
      <w:pPr>
        <w:pStyle w:val="Heading1"/>
      </w:pPr>
      <w:bookmarkStart w:id="13" w:name="_Toc195530498"/>
      <w:bookmarkStart w:id="14" w:name="_Toc222142582"/>
      <w:r>
        <w:lastRenderedPageBreak/>
        <w:t>Abstract</w:t>
      </w:r>
      <w:bookmarkEnd w:id="13"/>
      <w:bookmarkEnd w:id="14"/>
    </w:p>
    <w:p w14:paraId="6AEED7CA" w14:textId="77777777" w:rsidR="00112EED" w:rsidRPr="00112EED" w:rsidRDefault="00112EED" w:rsidP="00112EED">
      <w:pPr>
        <w:pStyle w:val="Heading2-lessspacebefore"/>
        <w:rPr>
          <w:lang w:val="en-GB"/>
        </w:rPr>
      </w:pPr>
      <w:bookmarkStart w:id="15" w:name="_Toc222142583"/>
      <w:r w:rsidRPr="00112EED">
        <w:rPr>
          <w:lang w:val="en-GB"/>
        </w:rPr>
        <w:t>Background</w:t>
      </w:r>
      <w:bookmarkEnd w:id="15"/>
    </w:p>
    <w:p w14:paraId="67D942C3" w14:textId="77777777" w:rsidR="00112EED" w:rsidRPr="00112EED" w:rsidRDefault="00112EED" w:rsidP="00112EED">
      <w:pPr>
        <w:rPr>
          <w:lang w:val="en-GB"/>
        </w:rPr>
      </w:pPr>
      <w:r w:rsidRPr="00112EED">
        <w:rPr>
          <w:lang w:val="en-GB"/>
        </w:rPr>
        <w:t>Adverse event following immunisation (AEFI) surveillance in Victoria is conducted through Surveillance of Adverse Events Following Vaccination in the Community (SAEFVIC), an enhanced surveillance system integrated with clinical services for vaccinees experiencing an AEFI. This report summarises SAEFVIC’s surveillance and vaccine pharmacovigilance activities in 2019 and 2020.</w:t>
      </w:r>
    </w:p>
    <w:p w14:paraId="14E31FB7" w14:textId="77777777" w:rsidR="00112EED" w:rsidRPr="00112EED" w:rsidRDefault="00112EED" w:rsidP="00112EED">
      <w:pPr>
        <w:pStyle w:val="Heading2"/>
        <w:rPr>
          <w:lang w:val="en-GB"/>
        </w:rPr>
      </w:pPr>
      <w:bookmarkStart w:id="16" w:name="_Toc222142584"/>
      <w:r w:rsidRPr="00112EED">
        <w:rPr>
          <w:lang w:val="en-GB"/>
        </w:rPr>
        <w:t>Methods</w:t>
      </w:r>
      <w:bookmarkEnd w:id="16"/>
    </w:p>
    <w:p w14:paraId="68446008" w14:textId="77777777" w:rsidR="00112EED" w:rsidRPr="00112EED" w:rsidRDefault="00112EED" w:rsidP="00112EED">
      <w:pPr>
        <w:rPr>
          <w:lang w:val="en-GB"/>
        </w:rPr>
      </w:pPr>
      <w:r w:rsidRPr="00112EED">
        <w:rPr>
          <w:lang w:val="en-GB"/>
        </w:rPr>
        <w:t>A retrospective cohort study approach was used to analyse AEFI reports submitted in 2019 and 2020, compared to those since 2015. Data were categorised by vaccinee demographics (age; sex; pregnancy; and Indigenous status), vaccines administered and reported AEFI. Age cohorts were defined as best fit to the National Immunisation Program age groups. Proportional reporting ratio was determined for perceived signals being investigated. Clinical services and educational activities were described.</w:t>
      </w:r>
    </w:p>
    <w:p w14:paraId="222507B9" w14:textId="77777777" w:rsidR="00112EED" w:rsidRPr="00112EED" w:rsidRDefault="00112EED" w:rsidP="00112EED">
      <w:pPr>
        <w:pStyle w:val="Heading2"/>
        <w:rPr>
          <w:lang w:val="en-GB"/>
        </w:rPr>
      </w:pPr>
      <w:bookmarkStart w:id="17" w:name="_Toc222142585"/>
      <w:r w:rsidRPr="00112EED">
        <w:rPr>
          <w:lang w:val="en-GB"/>
        </w:rPr>
        <w:t>Results</w:t>
      </w:r>
      <w:bookmarkEnd w:id="17"/>
    </w:p>
    <w:p w14:paraId="01A5FE81" w14:textId="77777777" w:rsidR="00112EED" w:rsidRPr="00112EED" w:rsidRDefault="00112EED" w:rsidP="00112EED">
      <w:pPr>
        <w:rPr>
          <w:lang w:val="en-GB"/>
        </w:rPr>
      </w:pPr>
      <w:r w:rsidRPr="00112EED">
        <w:rPr>
          <w:lang w:val="en-GB"/>
        </w:rPr>
        <w:t>There were 3,828 AEFI reports received in 2019 and 2020 (28.8 per 100,000 population), with 7.6% defined as serious; 52% of all reports were female vaccinees; 56 of 464 reports among adult females (12.1%) were pregnant vaccinees; and 29 reports (0.9%) were Indigenous Australians. Reporting trends by age group were similar across all cohorts. No vaccine safety signals were confirmed. Telehealth consultations at Specialist Immunisation Clinics increased in 2020 in-line with Medicare eligibility criteria changes. Educational resources on various vaccine safety topics were published, particularly the anticipated coronavirus disease 2019 (COVID-19) vaccination program.</w:t>
      </w:r>
    </w:p>
    <w:p w14:paraId="58215A7A" w14:textId="77777777" w:rsidR="00112EED" w:rsidRPr="00112EED" w:rsidRDefault="00112EED" w:rsidP="00112EED">
      <w:pPr>
        <w:pStyle w:val="Heading2"/>
        <w:rPr>
          <w:lang w:val="en-GB"/>
        </w:rPr>
      </w:pPr>
      <w:bookmarkStart w:id="18" w:name="_Toc222142586"/>
      <w:r w:rsidRPr="00112EED">
        <w:rPr>
          <w:lang w:val="en-GB"/>
        </w:rPr>
        <w:t>Conclusion</w:t>
      </w:r>
      <w:bookmarkEnd w:id="18"/>
    </w:p>
    <w:p w14:paraId="1298DC55" w14:textId="77777777" w:rsidR="00112EED" w:rsidRPr="00112EED" w:rsidRDefault="00112EED" w:rsidP="00112EED">
      <w:pPr>
        <w:pStyle w:val="Normal-morespaceafter"/>
        <w:rPr>
          <w:lang w:val="en-GB"/>
        </w:rPr>
      </w:pPr>
      <w:r w:rsidRPr="00112EED">
        <w:rPr>
          <w:lang w:val="en-GB"/>
        </w:rPr>
        <w:t>AEFI surveillance in Victoria continues to be robust through the SAEFVIC model and provides confidence in informing the safety profile of vaccines administered in Australia. These data provide a baseline for AEFI surveillance for comparison to the COVID-19 vaccination program commenced in 2021.</w:t>
      </w:r>
    </w:p>
    <w:p w14:paraId="319C6BF1" w14:textId="36BE080A" w:rsidR="00B73144" w:rsidRDefault="00B73144" w:rsidP="00E61A68">
      <w:pPr>
        <w:pStyle w:val="CDIBoxText"/>
        <w:rPr>
          <w:lang w:val="en-GB"/>
        </w:rPr>
      </w:pPr>
      <w:r w:rsidRPr="00E61A68">
        <w:t>Keywords</w:t>
      </w:r>
      <w:r w:rsidR="00BF1476">
        <w:t xml:space="preserve">: </w:t>
      </w:r>
      <w:r w:rsidR="001D719C" w:rsidRPr="001D719C">
        <w:t xml:space="preserve">adverse events; vaccine safety; pharmacovigilance; surveillance; immunisation; </w:t>
      </w:r>
      <w:r w:rsidR="001D719C">
        <w:br/>
      </w:r>
      <w:r w:rsidR="001D719C" w:rsidRPr="001D719C">
        <w:t>post-licensure</w:t>
      </w:r>
    </w:p>
    <w:p w14:paraId="58E5BFE9" w14:textId="77777777" w:rsidR="0037146D" w:rsidRDefault="00B73144" w:rsidP="00B73144">
      <w:pPr>
        <w:pStyle w:val="Heading1"/>
      </w:pPr>
      <w:bookmarkStart w:id="19" w:name="_Toc195530501"/>
      <w:bookmarkStart w:id="20" w:name="_Toc222142587"/>
      <w:r>
        <w:lastRenderedPageBreak/>
        <w:t>Introduction</w:t>
      </w:r>
      <w:bookmarkEnd w:id="19"/>
      <w:bookmarkEnd w:id="20"/>
    </w:p>
    <w:p w14:paraId="2D21A296" w14:textId="77777777" w:rsidR="001D719C" w:rsidRPr="001D719C" w:rsidRDefault="001D719C" w:rsidP="001D719C">
      <w:pPr>
        <w:rPr>
          <w:lang w:val="en-GB"/>
        </w:rPr>
      </w:pPr>
      <w:r w:rsidRPr="001D719C">
        <w:rPr>
          <w:lang w:val="en-GB"/>
        </w:rPr>
        <w:t>Victoria’s vaccine safety services ‘Surveillance of Adverse Events Following Vaccination in the Community’ (SAEFVIC) comprise enhanced adverse event following immunisation (AEFI) surveillance through passive, active, and sentinel reporting pathways, integrated with clinical services and an online immunisation education portal.</w:t>
      </w:r>
      <w:r w:rsidRPr="001D719C">
        <w:rPr>
          <w:vertAlign w:val="superscript"/>
          <w:lang w:val="en-GB"/>
        </w:rPr>
        <w:t>1</w:t>
      </w:r>
      <w:r w:rsidRPr="001D719C">
        <w:rPr>
          <w:lang w:val="en-GB"/>
        </w:rPr>
        <w:t xml:space="preserve"> SAEFVIC commenced operations in May 2007, funded by the Victorian Government Department of Health to ensure safe pathways to vaccination for all. </w:t>
      </w:r>
    </w:p>
    <w:p w14:paraId="7E672AE2" w14:textId="77777777" w:rsidR="001D719C" w:rsidRPr="001D719C" w:rsidRDefault="001D719C" w:rsidP="001D719C">
      <w:pPr>
        <w:rPr>
          <w:lang w:val="en-GB"/>
        </w:rPr>
      </w:pPr>
      <w:r w:rsidRPr="001D719C">
        <w:rPr>
          <w:lang w:val="en-GB"/>
        </w:rPr>
        <w:t>This model of integrated surveillance and clinical services has demonstrated improvement in AEFI reporting rates, with Victoria contributing 43.2% of national AEFI reports in 2019.</w:t>
      </w:r>
      <w:r w:rsidRPr="001D719C">
        <w:rPr>
          <w:vertAlign w:val="superscript"/>
          <w:lang w:val="en-GB"/>
        </w:rPr>
        <w:t>2,3</w:t>
      </w:r>
      <w:r w:rsidRPr="001D719C">
        <w:rPr>
          <w:lang w:val="en-GB"/>
        </w:rPr>
        <w:t xml:space="preserve"> Clinical services facilitate assessment of reports to enrich detail and quality through follow-up of individual cases, capturing more comprehensive clinical information, and offering expert advice and support for subsequent vaccination through specialist immunisation services where appropriate. Educational materials for healthcare worker and consumer audiences are developed collaboratively between SAEFVIC and the Melbourne Vaccine Education Centre (MVEC) and published on the MVEC website.</w:t>
      </w:r>
      <w:r w:rsidRPr="001D719C">
        <w:rPr>
          <w:vertAlign w:val="superscript"/>
          <w:lang w:val="en-GB"/>
        </w:rPr>
        <w:t>4</w:t>
      </w:r>
    </w:p>
    <w:p w14:paraId="56E50A80" w14:textId="77777777" w:rsidR="001D719C" w:rsidRPr="001D719C" w:rsidRDefault="001D719C" w:rsidP="001D719C">
      <w:pPr>
        <w:rPr>
          <w:lang w:val="en-GB"/>
        </w:rPr>
      </w:pPr>
      <w:r w:rsidRPr="001D719C">
        <w:rPr>
          <w:lang w:val="en-GB"/>
        </w:rPr>
        <w:t>Previous descriptive reviews of SAEFVIC in 2012 and 2018 provide background for comparison.</w:t>
      </w:r>
      <w:r w:rsidRPr="001D719C">
        <w:rPr>
          <w:vertAlign w:val="superscript"/>
          <w:lang w:val="en-GB"/>
        </w:rPr>
        <w:t>5,6</w:t>
      </w:r>
    </w:p>
    <w:p w14:paraId="010032CD" w14:textId="49E23140" w:rsidR="00AC46DC" w:rsidRPr="00AC46DC" w:rsidRDefault="001D719C" w:rsidP="00AC46DC">
      <w:r w:rsidRPr="001D719C">
        <w:rPr>
          <w:lang w:val="en-GB"/>
        </w:rPr>
        <w:t>AEFI reported to SAEFVIC are forwarded to the Australian Therapeutic Goods Administration (TGA), and are included in both the publicly accessible national Database of Adverse Event Notifications (DAEN) and the collated national reports of AEFI, published annually.</w:t>
      </w:r>
      <w:r w:rsidRPr="001D719C">
        <w:rPr>
          <w:vertAlign w:val="superscript"/>
          <w:lang w:val="en-GB"/>
        </w:rPr>
        <w:t>7</w:t>
      </w:r>
      <w:r w:rsidRPr="001D719C">
        <w:rPr>
          <w:lang w:val="en-GB"/>
        </w:rPr>
        <w:t xml:space="preserve"> We report on SAEFVIC surveillance activity from 1 January 2019 to 31 December 2020, examining all AEFI reported in Victoria, and summarise the clinical and educational activities that SAEFVIC provides in supporting the Victorian Department of Health to deliver a safe and equitable immunisation program.</w:t>
      </w:r>
    </w:p>
    <w:p w14:paraId="7FA99E30" w14:textId="77777777" w:rsidR="00A24E95" w:rsidRDefault="00B73144" w:rsidP="00B73144">
      <w:pPr>
        <w:pStyle w:val="Heading1"/>
        <w:rPr>
          <w:lang w:val="en-GB"/>
        </w:rPr>
      </w:pPr>
      <w:bookmarkStart w:id="21" w:name="_Toc195530502"/>
      <w:bookmarkStart w:id="22" w:name="_Toc222142588"/>
      <w:r>
        <w:rPr>
          <w:lang w:val="en-GB"/>
        </w:rPr>
        <w:lastRenderedPageBreak/>
        <w:t>Methods</w:t>
      </w:r>
      <w:bookmarkEnd w:id="21"/>
      <w:bookmarkEnd w:id="22"/>
    </w:p>
    <w:p w14:paraId="364B3E92" w14:textId="2E3B3981" w:rsidR="001D719C" w:rsidRPr="001D719C" w:rsidRDefault="001D719C" w:rsidP="001D719C">
      <w:pPr>
        <w:rPr>
          <w:lang w:val="en-GB"/>
        </w:rPr>
      </w:pPr>
      <w:r w:rsidRPr="001D719C">
        <w:rPr>
          <w:lang w:val="en-GB"/>
        </w:rPr>
        <w:t>A retrospective cohort study approach was used to describe AEFI reported to SAEFVIC from 1</w:t>
      </w:r>
      <w:r>
        <w:rPr>
          <w:lang w:val="en-GB"/>
        </w:rPr>
        <w:t> </w:t>
      </w:r>
      <w:r w:rsidRPr="001D719C">
        <w:rPr>
          <w:lang w:val="en-GB"/>
        </w:rPr>
        <w:t>January 2019 to 31 December 2020, with AEFI reports from the previous four years used as a comparison. Data for these previous four years may differ from previous publications, due to records being continually updated following clinical review processes.</w:t>
      </w:r>
    </w:p>
    <w:p w14:paraId="7FAC4392" w14:textId="77777777" w:rsidR="001D719C" w:rsidRPr="001D719C" w:rsidRDefault="001D719C" w:rsidP="001D719C">
      <w:pPr>
        <w:pStyle w:val="Heading2"/>
        <w:rPr>
          <w:lang w:val="en-GB"/>
        </w:rPr>
      </w:pPr>
      <w:bookmarkStart w:id="23" w:name="_Toc222142589"/>
      <w:r w:rsidRPr="001D719C">
        <w:rPr>
          <w:lang w:val="en-GB"/>
        </w:rPr>
        <w:t>AEFI data</w:t>
      </w:r>
      <w:bookmarkEnd w:id="23"/>
    </w:p>
    <w:p w14:paraId="0EA944C2" w14:textId="77777777" w:rsidR="001D719C" w:rsidRPr="001D719C" w:rsidRDefault="001D719C" w:rsidP="001D719C">
      <w:pPr>
        <w:rPr>
          <w:lang w:val="en-GB"/>
        </w:rPr>
      </w:pPr>
      <w:r w:rsidRPr="001D719C">
        <w:rPr>
          <w:lang w:val="en-GB"/>
        </w:rPr>
        <w:t xml:space="preserve">AEFI reporting is </w:t>
      </w:r>
      <w:proofErr w:type="gramStart"/>
      <w:r w:rsidRPr="001D719C">
        <w:rPr>
          <w:lang w:val="en-GB"/>
        </w:rPr>
        <w:t>encouraged, but</w:t>
      </w:r>
      <w:proofErr w:type="gramEnd"/>
      <w:r w:rsidRPr="001D719C">
        <w:rPr>
          <w:lang w:val="en-GB"/>
        </w:rPr>
        <w:t xml:space="preserve"> not mandated in Victoria. SAEFVIC is an integrated AEFI reporting system receiving spontaneous reports from vaccinees or their health care providers, as well as reports from active surveillance initiatives such as the Paediatric Active Enhanced Disease Surveillance (PAEDS) hospital sentinel system</w:t>
      </w:r>
      <w:r w:rsidRPr="001D719C">
        <w:rPr>
          <w:vertAlign w:val="superscript"/>
          <w:lang w:val="en-GB"/>
        </w:rPr>
        <w:t>8</w:t>
      </w:r>
      <w:r w:rsidRPr="001D719C">
        <w:rPr>
          <w:lang w:val="en-GB"/>
        </w:rPr>
        <w:t xml:space="preserve"> and national </w:t>
      </w:r>
      <w:proofErr w:type="spellStart"/>
      <w:r w:rsidRPr="001D719C">
        <w:rPr>
          <w:lang w:val="en-GB"/>
        </w:rPr>
        <w:t>AusVaxSafety</w:t>
      </w:r>
      <w:proofErr w:type="spellEnd"/>
      <w:r w:rsidRPr="001D719C">
        <w:rPr>
          <w:lang w:val="en-GB"/>
        </w:rPr>
        <w:t xml:space="preserve"> active AEFI surveillance (reports where the vaccinee sought medical care only).</w:t>
      </w:r>
      <w:r w:rsidRPr="001D719C">
        <w:rPr>
          <w:vertAlign w:val="superscript"/>
          <w:lang w:val="en-GB"/>
        </w:rPr>
        <w:t>9</w:t>
      </w:r>
      <w:r w:rsidRPr="001D719C">
        <w:rPr>
          <w:lang w:val="en-GB"/>
        </w:rPr>
        <w:t xml:space="preserve"> SAEFVIC’s system design and AEFI reporting processes have been previously described.</w:t>
      </w:r>
      <w:r w:rsidRPr="001D719C">
        <w:rPr>
          <w:vertAlign w:val="superscript"/>
          <w:lang w:val="en-GB"/>
        </w:rPr>
        <w:t>1,10</w:t>
      </w:r>
    </w:p>
    <w:p w14:paraId="0EBF7EC0" w14:textId="77777777" w:rsidR="001D719C" w:rsidRPr="001D719C" w:rsidRDefault="001D719C" w:rsidP="001D719C">
      <w:pPr>
        <w:rPr>
          <w:lang w:val="en-GB"/>
        </w:rPr>
      </w:pPr>
      <w:r w:rsidRPr="001D719C">
        <w:rPr>
          <w:lang w:val="en-GB"/>
        </w:rPr>
        <w:t>All reports of adverse events temporally associated with vaccination, regardless of time elapsed, are accepted. The SAEFVIC database also contains reports of vaccine administration errors such as administration of a contraindicated or expired vaccine, and retrospective reports of historical events that may seek counselling around future vaccination.</w:t>
      </w:r>
    </w:p>
    <w:p w14:paraId="636E4F09" w14:textId="77777777" w:rsidR="001D719C" w:rsidRPr="001D719C" w:rsidRDefault="001D719C" w:rsidP="001D719C">
      <w:pPr>
        <w:rPr>
          <w:lang w:val="en-GB"/>
        </w:rPr>
      </w:pPr>
      <w:r w:rsidRPr="001D719C">
        <w:rPr>
          <w:lang w:val="en-GB"/>
        </w:rPr>
        <w:t>SAEFVIC surveillance is integrated with clinical service delivery. All submitted AEFI reports are reviewed by an immunisation nurse and coded using a combination of case definitions from the Brighton Collaboration and the Australian Immunisation Handbook. Follow-up contact to the reporter and vaccinee (or their parent/guardian) is undertaken to discuss the adverse event and to provide counselling, including concerns around future vaccination. A specialist clinical review is offered for serious AEFI (SAEFI) and/or if there is reduced confidence in future vaccinations.</w:t>
      </w:r>
    </w:p>
    <w:p w14:paraId="19DAEA75" w14:textId="77777777" w:rsidR="001D719C" w:rsidRPr="001D719C" w:rsidRDefault="001D719C" w:rsidP="001D719C">
      <w:pPr>
        <w:rPr>
          <w:lang w:val="en-GB"/>
        </w:rPr>
      </w:pPr>
      <w:r w:rsidRPr="001D719C">
        <w:rPr>
          <w:lang w:val="en-GB"/>
        </w:rPr>
        <w:t>Melbourne Vaccine Education Centre (MVEC) provides up-to-date resources on immunisation and vaccine safety topics through a website that can be accessed by health professionals and the public.</w:t>
      </w:r>
      <w:r w:rsidRPr="001D719C">
        <w:rPr>
          <w:vertAlign w:val="superscript"/>
          <w:lang w:val="en-GB"/>
        </w:rPr>
        <w:t>4</w:t>
      </w:r>
      <w:r w:rsidRPr="001D719C">
        <w:rPr>
          <w:lang w:val="en-GB"/>
        </w:rPr>
        <w:t xml:space="preserve"> Education packages, eLearning modules, and reference pages developed in 2019–2020 covered information on vaccine administration errors and on shoulder injury related to vaccine administration (SIRVA) for immunisation providers in response to increased reporting of these events.</w:t>
      </w:r>
    </w:p>
    <w:p w14:paraId="7E614A57" w14:textId="77777777" w:rsidR="001D719C" w:rsidRPr="001D719C" w:rsidRDefault="001D719C" w:rsidP="001D719C">
      <w:pPr>
        <w:pStyle w:val="Heading2"/>
        <w:rPr>
          <w:lang w:val="en-GB"/>
        </w:rPr>
      </w:pPr>
      <w:bookmarkStart w:id="24" w:name="_Toc222142590"/>
      <w:r w:rsidRPr="001D719C">
        <w:rPr>
          <w:lang w:val="en-GB"/>
        </w:rPr>
        <w:t>Definitions</w:t>
      </w:r>
      <w:bookmarkEnd w:id="24"/>
    </w:p>
    <w:p w14:paraId="756DE284" w14:textId="77777777" w:rsidR="001D719C" w:rsidRPr="001D719C" w:rsidRDefault="001D719C" w:rsidP="001D719C">
      <w:pPr>
        <w:rPr>
          <w:lang w:val="en-GB"/>
        </w:rPr>
      </w:pPr>
      <w:r w:rsidRPr="001D719C">
        <w:rPr>
          <w:lang w:val="en-GB"/>
        </w:rPr>
        <w:t>An AEFI is defined as any untoward medical occurrence that follows immunisation though does not necessarily have a causal relationship with the administration of the vaccine.</w:t>
      </w:r>
      <w:r w:rsidRPr="001D719C">
        <w:rPr>
          <w:vertAlign w:val="superscript"/>
          <w:lang w:val="en-GB"/>
        </w:rPr>
        <w:t>11</w:t>
      </w:r>
    </w:p>
    <w:p w14:paraId="1397C5FC" w14:textId="77777777" w:rsidR="001D719C" w:rsidRPr="001D719C" w:rsidRDefault="001D719C" w:rsidP="001D719C">
      <w:pPr>
        <w:rPr>
          <w:lang w:val="en-GB"/>
        </w:rPr>
      </w:pPr>
      <w:r w:rsidRPr="001D719C">
        <w:rPr>
          <w:lang w:val="en-GB"/>
        </w:rPr>
        <w:t>AEFI described by the reporter are categorised using general medical terminology and more than one event may be reported per individual case. Categorisation of AEFI is aligned with standard case definitions as determined by the Brighton Collaboration, Australian Immunisation Handbook, or SAEFVIC in that hierarchical order of availability.</w:t>
      </w:r>
      <w:r w:rsidRPr="001D719C">
        <w:rPr>
          <w:vertAlign w:val="superscript"/>
          <w:lang w:val="en-GB"/>
        </w:rPr>
        <w:t>12,13</w:t>
      </w:r>
    </w:p>
    <w:p w14:paraId="40931AE8" w14:textId="77777777" w:rsidR="001D719C" w:rsidRPr="001D719C" w:rsidRDefault="001D719C" w:rsidP="001D719C">
      <w:pPr>
        <w:rPr>
          <w:lang w:val="en-GB"/>
        </w:rPr>
      </w:pPr>
      <w:r w:rsidRPr="001D719C">
        <w:rPr>
          <w:lang w:val="en-GB"/>
        </w:rPr>
        <w:t>A serious AEFI (SAEFI) is defined as an adverse event that is reported as life threatening; resulting in hospitalisation or the prolongation of current hospital stay; disability or incapacitation that is persistent or significant; a congenital anomaly/defect; death; or deemed to be medically important by the clinicians at SAEFVIC.</w:t>
      </w:r>
      <w:r w:rsidRPr="001D719C">
        <w:rPr>
          <w:vertAlign w:val="superscript"/>
          <w:lang w:val="en-GB"/>
        </w:rPr>
        <w:t>14</w:t>
      </w:r>
      <w:r w:rsidRPr="001D719C">
        <w:rPr>
          <w:lang w:val="en-GB"/>
        </w:rPr>
        <w:t xml:space="preserve"> A life-threatening event requires the vaccinee to have been at risk </w:t>
      </w:r>
      <w:r w:rsidRPr="001D719C">
        <w:rPr>
          <w:lang w:val="en-GB"/>
        </w:rPr>
        <w:lastRenderedPageBreak/>
        <w:t>of death at the time of the event or reaction, rather than a reaction or event that could have hypothetically resulted in death if it was more severe.</w:t>
      </w:r>
    </w:p>
    <w:p w14:paraId="667BFF42" w14:textId="77777777" w:rsidR="001D719C" w:rsidRPr="001D719C" w:rsidRDefault="001D719C" w:rsidP="001D719C">
      <w:pPr>
        <w:rPr>
          <w:lang w:val="en-GB"/>
        </w:rPr>
      </w:pPr>
      <w:r w:rsidRPr="001D719C">
        <w:rPr>
          <w:lang w:val="en-GB"/>
        </w:rPr>
        <w:t>SIRVA is a rare complication of incorrect vaccine administration, when the vaccine is given too high into the shoulder joint instead of the deltoid muscle, resulting in shoulder pain and restricted range of movement.</w:t>
      </w:r>
      <w:r w:rsidRPr="001D719C">
        <w:rPr>
          <w:vertAlign w:val="superscript"/>
          <w:lang w:val="en-GB"/>
        </w:rPr>
        <w:t>15</w:t>
      </w:r>
    </w:p>
    <w:p w14:paraId="3DFC8408" w14:textId="77777777" w:rsidR="001D719C" w:rsidRPr="001D719C" w:rsidRDefault="001D719C" w:rsidP="001D719C">
      <w:pPr>
        <w:rPr>
          <w:lang w:val="en-GB"/>
        </w:rPr>
      </w:pPr>
      <w:r w:rsidRPr="001D719C">
        <w:rPr>
          <w:lang w:val="en-GB"/>
        </w:rPr>
        <w:t>Serious adverse neurological events (SANE) include acute disseminated encephalomyelitis (ADEM), Guillain-Barré syndrome (GBS) and its variants, multiple sclerosis, optic neuritis, and transverse myelitis.</w:t>
      </w:r>
    </w:p>
    <w:p w14:paraId="1B6206D1" w14:textId="77777777" w:rsidR="001D719C" w:rsidRPr="001D719C" w:rsidRDefault="001D719C" w:rsidP="001D719C">
      <w:pPr>
        <w:rPr>
          <w:lang w:val="en-GB"/>
        </w:rPr>
      </w:pPr>
      <w:r w:rsidRPr="001D719C">
        <w:rPr>
          <w:lang w:val="en-GB"/>
        </w:rPr>
        <w:t>A vaccine safety signal is defined as an increase in AEFI reporting above an expected threshold determined from statistical calculations such as the proportional reporting ratio (outlined later), or an AEFI where clinical concerns have been raised.</w:t>
      </w:r>
    </w:p>
    <w:p w14:paraId="1AAC4696" w14:textId="77777777" w:rsidR="001D719C" w:rsidRPr="001D719C" w:rsidRDefault="001D719C" w:rsidP="001D719C">
      <w:pPr>
        <w:pStyle w:val="Heading2"/>
        <w:rPr>
          <w:lang w:val="en-GB"/>
        </w:rPr>
      </w:pPr>
      <w:bookmarkStart w:id="25" w:name="_Toc222142591"/>
      <w:r w:rsidRPr="001D719C">
        <w:rPr>
          <w:lang w:val="en-GB"/>
        </w:rPr>
        <w:t>Data categories</w:t>
      </w:r>
      <w:bookmarkEnd w:id="25"/>
    </w:p>
    <w:p w14:paraId="5E1CA6FB" w14:textId="77777777" w:rsidR="001D719C" w:rsidRPr="001D719C" w:rsidRDefault="001D719C" w:rsidP="001D719C">
      <w:pPr>
        <w:rPr>
          <w:lang w:val="en-GB"/>
        </w:rPr>
      </w:pPr>
      <w:r w:rsidRPr="001D719C">
        <w:rPr>
          <w:lang w:val="en-GB"/>
        </w:rPr>
        <w:t xml:space="preserve">The reporter type is recorded as either a healthcare professional or as the consumer (vaccinee self-report or the vaccinee’s parent/guardian). The type of immunisation provider (nurse, doctor, pharmacist) is also captured, including provider setting. </w:t>
      </w:r>
    </w:p>
    <w:p w14:paraId="0C3ED7C2" w14:textId="77777777" w:rsidR="001D719C" w:rsidRPr="001D719C" w:rsidRDefault="001D719C" w:rsidP="001D719C">
      <w:pPr>
        <w:rPr>
          <w:lang w:val="en-GB"/>
        </w:rPr>
      </w:pPr>
      <w:r w:rsidRPr="001D719C">
        <w:rPr>
          <w:lang w:val="en-GB"/>
        </w:rPr>
        <w:t>Vaccines administered are recorded in SAEFVIC by vaccine brand name and are grouped by antigen for analysis. Vaccinees may receive multiple vaccines concomitantly, thus any AEFI described are recorded against all vaccines received at the same encounter.</w:t>
      </w:r>
    </w:p>
    <w:p w14:paraId="61E7E885" w14:textId="77777777" w:rsidR="001D719C" w:rsidRPr="001D719C" w:rsidRDefault="001D719C" w:rsidP="001D719C">
      <w:pPr>
        <w:rPr>
          <w:lang w:val="en-GB"/>
        </w:rPr>
      </w:pPr>
      <w:r w:rsidRPr="001D719C">
        <w:rPr>
          <w:lang w:val="en-GB"/>
        </w:rPr>
        <w:t xml:space="preserve">Age groups were determined as best fit to the National Immunisation Program (NIP) age groups of </w:t>
      </w:r>
      <w:proofErr w:type="gramStart"/>
      <w:r w:rsidRPr="001D719C">
        <w:rPr>
          <w:lang w:val="en-GB"/>
        </w:rPr>
        <w:t>infant</w:t>
      </w:r>
      <w:proofErr w:type="gramEnd"/>
      <w:r w:rsidRPr="001D719C">
        <w:rPr>
          <w:lang w:val="en-GB"/>
        </w:rPr>
        <w:t xml:space="preserve"> (0–12 months); young child (1–4 years); school-aged (5–17 years); adult (18–64 years); and older person (65+ years).</w:t>
      </w:r>
      <w:r w:rsidRPr="001D719C">
        <w:rPr>
          <w:vertAlign w:val="superscript"/>
          <w:lang w:val="en-GB"/>
        </w:rPr>
        <w:t>13</w:t>
      </w:r>
    </w:p>
    <w:p w14:paraId="18D01541" w14:textId="77777777" w:rsidR="001D719C" w:rsidRPr="001D719C" w:rsidRDefault="001D719C" w:rsidP="001D719C">
      <w:pPr>
        <w:pStyle w:val="Heading2"/>
        <w:rPr>
          <w:lang w:val="en-GB"/>
        </w:rPr>
      </w:pPr>
      <w:bookmarkStart w:id="26" w:name="_Toc222142592"/>
      <w:r w:rsidRPr="001D719C">
        <w:rPr>
          <w:lang w:val="en-GB"/>
        </w:rPr>
        <w:t>Analyses</w:t>
      </w:r>
      <w:bookmarkEnd w:id="26"/>
    </w:p>
    <w:p w14:paraId="01CC176A" w14:textId="77777777" w:rsidR="001D719C" w:rsidRPr="001D719C" w:rsidRDefault="001D719C" w:rsidP="001D719C">
      <w:pPr>
        <w:rPr>
          <w:lang w:val="en-GB"/>
        </w:rPr>
      </w:pPr>
      <w:r w:rsidRPr="001D719C">
        <w:rPr>
          <w:lang w:val="en-GB"/>
        </w:rPr>
        <w:t>Data were described as counts, proportions by vaccinee demographics, reporter type, reporting channel and vaccine antigen using Microsoft Power BI (Microsoft Power BI Desktop version 2.95.983.0 July 2021), and Microsoft Power BI on Office 365 (Microsoft Corporation, Redmond, WA, USA) for data visualisation. Statistical calculations of 95% confidence intervals (95% CI) and proportional reporting ratio were calculated using STATA 16.0 (</w:t>
      </w:r>
      <w:proofErr w:type="spellStart"/>
      <w:r w:rsidRPr="001D719C">
        <w:rPr>
          <w:lang w:val="en-GB"/>
        </w:rPr>
        <w:t>StataCorp</w:t>
      </w:r>
      <w:proofErr w:type="spellEnd"/>
      <w:r w:rsidRPr="001D719C">
        <w:rPr>
          <w:lang w:val="en-GB"/>
        </w:rPr>
        <w:t xml:space="preserve">, College Station, TX, USA) with </w:t>
      </w:r>
      <w:r w:rsidRPr="001D719C">
        <w:rPr>
          <w:i/>
          <w:iCs/>
          <w:lang w:val="en-GB"/>
        </w:rPr>
        <w:t>p</w:t>
      </w:r>
      <w:r w:rsidRPr="001D719C">
        <w:rPr>
          <w:lang w:val="en-GB"/>
        </w:rPr>
        <w:t xml:space="preserve"> values &lt; 0.05 considered statistically significant.</w:t>
      </w:r>
    </w:p>
    <w:p w14:paraId="0DAAE4D9" w14:textId="77777777" w:rsidR="001D719C" w:rsidRPr="001D719C" w:rsidRDefault="001D719C" w:rsidP="001D719C">
      <w:pPr>
        <w:rPr>
          <w:lang w:val="en-GB"/>
        </w:rPr>
      </w:pPr>
      <w:r w:rsidRPr="001D719C">
        <w:rPr>
          <w:lang w:val="en-GB"/>
        </w:rPr>
        <w:t>Reporting rates per 100,000 population were calculated using the Victorian mid-year population estimates obtained from the Australian Bureau of Statistics (ABS) for 2019 and 2020 respectively.</w:t>
      </w:r>
      <w:r w:rsidRPr="001D719C">
        <w:rPr>
          <w:vertAlign w:val="superscript"/>
          <w:lang w:val="en-GB"/>
        </w:rPr>
        <w:t>16,17</w:t>
      </w:r>
    </w:p>
    <w:p w14:paraId="701A1A2B" w14:textId="77777777" w:rsidR="001D719C" w:rsidRPr="001D719C" w:rsidRDefault="001D719C" w:rsidP="001D719C">
      <w:pPr>
        <w:rPr>
          <w:lang w:val="en-GB"/>
        </w:rPr>
      </w:pPr>
      <w:r w:rsidRPr="001D719C">
        <w:rPr>
          <w:lang w:val="en-GB"/>
        </w:rPr>
        <w:t>The proportion of SAEFI reported were calculated for 2019 and 2020 and compared against the average proportion for the preceding four years, calculated as the summation of SAEFI reports from 2015 to 2018 inclusive.</w:t>
      </w:r>
    </w:p>
    <w:p w14:paraId="346AE373" w14:textId="77777777" w:rsidR="001D719C" w:rsidRPr="001D719C" w:rsidRDefault="001D719C" w:rsidP="001D719C">
      <w:pPr>
        <w:rPr>
          <w:lang w:val="en-GB"/>
        </w:rPr>
      </w:pPr>
      <w:r w:rsidRPr="001D719C">
        <w:rPr>
          <w:lang w:val="en-GB"/>
        </w:rPr>
        <w:t>Data requests were submitted to Services Australia to obtain vaccine doses recorded in the Australian Immunisation Register (AIR)</w:t>
      </w:r>
      <w:r w:rsidRPr="001D719C">
        <w:rPr>
          <w:vertAlign w:val="superscript"/>
          <w:lang w:val="en-GB"/>
        </w:rPr>
        <w:t>18</w:t>
      </w:r>
      <w:r w:rsidRPr="001D719C">
        <w:rPr>
          <w:lang w:val="en-GB"/>
        </w:rPr>
        <w:t xml:space="preserve"> for Victoria in 2019 and 2020. Each extract contained the number of vaccine doses administered for 2019 or 2020 by vaccine brand in single-year, five-year or ten-year age groups for collation into the respective age cohorts defined earlier. Reporting rates per 100,000 vaccine doses administered were calculated by vaccine brand using the collated vaccine doses for the relevant NIP vaccines in 2019 and 2020.</w:t>
      </w:r>
    </w:p>
    <w:p w14:paraId="03A48820" w14:textId="77777777" w:rsidR="001D719C" w:rsidRPr="001D719C" w:rsidRDefault="001D719C" w:rsidP="001D719C">
      <w:pPr>
        <w:rPr>
          <w:lang w:val="en-GB"/>
        </w:rPr>
      </w:pPr>
      <w:r w:rsidRPr="001D719C">
        <w:rPr>
          <w:lang w:val="en-GB"/>
        </w:rPr>
        <w:lastRenderedPageBreak/>
        <w:t>Investigation methods used for vaccine safety signals included a comparison of reporting frequency trends and the calculation of proportional reporting ratio (PRR).</w:t>
      </w:r>
      <w:r w:rsidRPr="001D719C">
        <w:rPr>
          <w:vertAlign w:val="superscript"/>
          <w:lang w:val="en-GB"/>
        </w:rPr>
        <w:t>19</w:t>
      </w:r>
      <w:r w:rsidRPr="001D719C">
        <w:rPr>
          <w:lang w:val="en-GB"/>
        </w:rPr>
        <w:t xml:space="preserve"> Briefly, PRR is a signal detection algorithm used in pharmacovigilance that measures disproportionality of adverse events following specific vaccines compared to other vaccines and AEFI.</w:t>
      </w:r>
      <w:r w:rsidRPr="001D719C">
        <w:rPr>
          <w:vertAlign w:val="superscript"/>
          <w:lang w:val="en-GB"/>
        </w:rPr>
        <w:t>20</w:t>
      </w:r>
      <w:r w:rsidRPr="001D719C">
        <w:rPr>
          <w:lang w:val="en-GB"/>
        </w:rPr>
        <w:t xml:space="preserve"> The PRR is calculated for vaccine-adverse event pairs using the 2 × 2 table convention. Thresholds for detecting vaccine safety signals were defined as PRR ≥ 2.0 and chi-squared ≥ 4.0.</w:t>
      </w:r>
    </w:p>
    <w:p w14:paraId="5A06E2D4" w14:textId="77777777" w:rsidR="001D719C" w:rsidRPr="001D719C" w:rsidRDefault="001D719C" w:rsidP="001D719C">
      <w:pPr>
        <w:pStyle w:val="Heading2"/>
        <w:rPr>
          <w:lang w:val="en-GB"/>
        </w:rPr>
      </w:pPr>
      <w:bookmarkStart w:id="27" w:name="_Toc222142593"/>
      <w:r w:rsidRPr="001D719C">
        <w:rPr>
          <w:lang w:val="en-GB"/>
        </w:rPr>
        <w:t>Ethical approval</w:t>
      </w:r>
      <w:bookmarkEnd w:id="27"/>
    </w:p>
    <w:p w14:paraId="29268EBA" w14:textId="78D69E60" w:rsidR="00BE73E6" w:rsidRPr="00BE73E6" w:rsidRDefault="001D719C" w:rsidP="00BE73E6">
      <w:pPr>
        <w:rPr>
          <w:lang w:val="en-GB"/>
        </w:rPr>
      </w:pPr>
      <w:r w:rsidRPr="001D719C">
        <w:rPr>
          <w:lang w:val="en-GB"/>
        </w:rPr>
        <w:t>Approval was granted by the Royal Children’s Hospital Human Research Ethics Committee for this registered database (Number 37194).</w:t>
      </w:r>
    </w:p>
    <w:p w14:paraId="473E3B2E" w14:textId="77777777" w:rsidR="008A0736" w:rsidRDefault="000073ED" w:rsidP="005A4E9D">
      <w:pPr>
        <w:pStyle w:val="Heading1"/>
      </w:pPr>
      <w:bookmarkStart w:id="28" w:name="_Toc195530503"/>
      <w:bookmarkStart w:id="29" w:name="_Toc222142594"/>
      <w:r>
        <w:lastRenderedPageBreak/>
        <w:t>Results</w:t>
      </w:r>
      <w:bookmarkEnd w:id="28"/>
      <w:bookmarkEnd w:id="29"/>
    </w:p>
    <w:p w14:paraId="397123BC" w14:textId="485FB298" w:rsidR="00AC46DC" w:rsidRDefault="001D719C" w:rsidP="001D719C">
      <w:pPr>
        <w:pStyle w:val="Heading2-lessspacebefore"/>
      </w:pPr>
      <w:bookmarkStart w:id="30" w:name="_Toc222142595"/>
      <w:r w:rsidRPr="001D719C">
        <w:t>AEFI reporting</w:t>
      </w:r>
      <w:bookmarkEnd w:id="30"/>
    </w:p>
    <w:p w14:paraId="4D7D39E7" w14:textId="619EF959" w:rsidR="00AC46DC" w:rsidRPr="009B720F" w:rsidRDefault="001D719C" w:rsidP="001D719C">
      <w:pPr>
        <w:pStyle w:val="Heading3-lessspacebefore"/>
      </w:pPr>
      <w:r w:rsidRPr="001D719C">
        <w:t>Reports received</w:t>
      </w:r>
    </w:p>
    <w:p w14:paraId="75C1044B" w14:textId="47EABC4B" w:rsidR="001D719C" w:rsidRPr="001D719C" w:rsidRDefault="001D719C" w:rsidP="001D719C">
      <w:pPr>
        <w:rPr>
          <w:lang w:val="en-GB"/>
        </w:rPr>
      </w:pPr>
      <w:r w:rsidRPr="001D719C">
        <w:rPr>
          <w:lang w:val="en-GB"/>
        </w:rPr>
        <w:t>SAEFVIC received 3,927 reports during 2019 and 2020 (1,956 in 2019 and 1,971 in 2020) (Table</w:t>
      </w:r>
      <w:r>
        <w:rPr>
          <w:lang w:val="en-GB"/>
        </w:rPr>
        <w:t> </w:t>
      </w:r>
      <w:r w:rsidRPr="001D719C">
        <w:rPr>
          <w:lang w:val="en-GB"/>
        </w:rPr>
        <w:t xml:space="preserve">1). Reports of historic AEFI—that is, AEFI following vaccinations received before 1 January 2019—seeking clinical assessment prior to current vaccination (n = 99) were excluded from analyses. Thus 3,828 reports (1,920 in 2019 and 1,908 in 2020), were available for analysis, an approximately 11% increase on the previous two years (Figure 1). At a population level, reporting to SAEFVIC was similar in 2019 and 2020 (viz., 29.1 and 28.5 reports per 100,000 population respectively). </w:t>
      </w:r>
    </w:p>
    <w:p w14:paraId="08CEB739" w14:textId="77777777" w:rsidR="001D719C" w:rsidRPr="001D719C" w:rsidRDefault="001D719C" w:rsidP="001D719C">
      <w:pPr>
        <w:pStyle w:val="CDITable-Title"/>
        <w:rPr>
          <w:lang w:val="en-GB"/>
        </w:rPr>
      </w:pPr>
      <w:bookmarkStart w:id="31" w:name="_Toc222142528"/>
      <w:r w:rsidRPr="001D719C">
        <w:rPr>
          <w:lang w:val="en-GB"/>
        </w:rPr>
        <w:t>Table 1: Description of adverse events following immunisation (AEFI) reported to the SAEFVIC surveillance system, Victoria, Australia, 2019–2020</w:t>
      </w:r>
      <w:bookmarkEnd w:id="31"/>
    </w:p>
    <w:tbl>
      <w:tblPr>
        <w:tblW w:w="0" w:type="auto"/>
        <w:tblLayout w:type="fixed"/>
        <w:tblCellMar>
          <w:left w:w="0" w:type="dxa"/>
          <w:right w:w="0" w:type="dxa"/>
        </w:tblCellMar>
        <w:tblLook w:val="0000" w:firstRow="0" w:lastRow="0" w:firstColumn="0" w:lastColumn="0" w:noHBand="0" w:noVBand="0"/>
        <w:tblCaption w:val="Table 1: Description of adverse events following immunisation (AEFI) reported to the SAEFVIC surveillance system, Victoria, Australia, 2019–2020"/>
        <w:tblDescription w:val="Table 1 summarises the number of AEFI reports received by SAEFVIC in 2019 and in 2020, and for each of these years details also the number of reports available for analysis; those excluded (historical AEFI); measures of data completeness for sex and Indigenous status; the proportion of serious AEFI reports and those concerning pregnant people; and the distribution of spontaneous reports and those obtained through active surveillance, by source."/>
      </w:tblPr>
      <w:tblGrid>
        <w:gridCol w:w="2608"/>
        <w:gridCol w:w="2324"/>
        <w:gridCol w:w="1021"/>
        <w:gridCol w:w="1332"/>
        <w:gridCol w:w="1021"/>
        <w:gridCol w:w="1332"/>
      </w:tblGrid>
      <w:tr w:rsidR="001D719C" w:rsidRPr="001D719C" w14:paraId="1811B07B" w14:textId="77777777" w:rsidTr="00370984">
        <w:trPr>
          <w:trHeight w:val="60"/>
          <w:tblHeader/>
        </w:trPr>
        <w:tc>
          <w:tcPr>
            <w:tcW w:w="2608" w:type="dxa"/>
            <w:vMerge w:val="restart"/>
            <w:shd w:val="clear" w:color="auto" w:fill="1E4496" w:themeFill="text2"/>
            <w:tcMar>
              <w:top w:w="79" w:type="dxa"/>
              <w:left w:w="113" w:type="dxa"/>
              <w:bottom w:w="79" w:type="dxa"/>
              <w:right w:w="113" w:type="dxa"/>
            </w:tcMar>
            <w:vAlign w:val="bottom"/>
          </w:tcPr>
          <w:p w14:paraId="2BFEF8D4" w14:textId="77777777" w:rsidR="001D719C" w:rsidRPr="001D719C" w:rsidRDefault="001D719C" w:rsidP="001D719C">
            <w:pPr>
              <w:pStyle w:val="CDITable-HeaderRowLeft"/>
            </w:pPr>
            <w:r w:rsidRPr="001D719C">
              <w:t>Characteristic</w:t>
            </w:r>
          </w:p>
        </w:tc>
        <w:tc>
          <w:tcPr>
            <w:tcW w:w="2324" w:type="dxa"/>
            <w:vMerge w:val="restart"/>
            <w:shd w:val="clear" w:color="auto" w:fill="1E4496" w:themeFill="text2"/>
            <w:tcMar>
              <w:top w:w="79" w:type="dxa"/>
              <w:left w:w="113" w:type="dxa"/>
              <w:bottom w:w="79" w:type="dxa"/>
              <w:right w:w="113" w:type="dxa"/>
            </w:tcMar>
            <w:vAlign w:val="bottom"/>
          </w:tcPr>
          <w:p w14:paraId="6F9CB953" w14:textId="77777777" w:rsidR="001D719C" w:rsidRPr="001D719C" w:rsidRDefault="001D719C" w:rsidP="001D719C">
            <w:pPr>
              <w:pStyle w:val="CDITable-HeaderRowLeft"/>
            </w:pPr>
            <w:r w:rsidRPr="001D719C">
              <w:t>Category</w:t>
            </w:r>
          </w:p>
        </w:tc>
        <w:tc>
          <w:tcPr>
            <w:tcW w:w="4706" w:type="dxa"/>
            <w:gridSpan w:val="4"/>
            <w:tcBorders>
              <w:bottom w:val="single" w:sz="6" w:space="0" w:color="FFFFFF" w:themeColor="background1"/>
            </w:tcBorders>
            <w:shd w:val="clear" w:color="auto" w:fill="1E4496" w:themeFill="text2"/>
            <w:tcMar>
              <w:top w:w="79" w:type="dxa"/>
              <w:left w:w="113" w:type="dxa"/>
              <w:bottom w:w="79" w:type="dxa"/>
              <w:right w:w="113" w:type="dxa"/>
            </w:tcMar>
            <w:vAlign w:val="bottom"/>
          </w:tcPr>
          <w:p w14:paraId="6A7EA876" w14:textId="77777777" w:rsidR="001D719C" w:rsidRPr="001D719C" w:rsidRDefault="001D719C" w:rsidP="001D719C">
            <w:pPr>
              <w:pStyle w:val="CDITable-HeaderRowCentre"/>
            </w:pPr>
            <w:r w:rsidRPr="001D719C">
              <w:t>Year</w:t>
            </w:r>
          </w:p>
        </w:tc>
      </w:tr>
      <w:tr w:rsidR="001D719C" w:rsidRPr="001D719C" w14:paraId="338F12CB" w14:textId="77777777" w:rsidTr="00370984">
        <w:trPr>
          <w:trHeight w:val="60"/>
          <w:tblHeader/>
        </w:trPr>
        <w:tc>
          <w:tcPr>
            <w:tcW w:w="2608" w:type="dxa"/>
            <w:vMerge/>
            <w:shd w:val="clear" w:color="auto" w:fill="1E4496" w:themeFill="text2"/>
            <w:tcMar>
              <w:top w:w="79" w:type="dxa"/>
              <w:bottom w:w="79" w:type="dxa"/>
            </w:tcMar>
          </w:tcPr>
          <w:p w14:paraId="79AC0A97" w14:textId="77777777" w:rsidR="001D719C" w:rsidRPr="001D719C" w:rsidRDefault="001D719C" w:rsidP="001D719C"/>
        </w:tc>
        <w:tc>
          <w:tcPr>
            <w:tcW w:w="2324" w:type="dxa"/>
            <w:vMerge/>
            <w:shd w:val="clear" w:color="auto" w:fill="1E4496" w:themeFill="text2"/>
            <w:tcMar>
              <w:top w:w="79" w:type="dxa"/>
              <w:bottom w:w="79" w:type="dxa"/>
            </w:tcMar>
          </w:tcPr>
          <w:p w14:paraId="581F2DA1" w14:textId="77777777" w:rsidR="001D719C" w:rsidRPr="001D719C" w:rsidRDefault="001D719C" w:rsidP="001D719C"/>
        </w:tc>
        <w:tc>
          <w:tcPr>
            <w:tcW w:w="2353" w:type="dxa"/>
            <w:gridSpan w:val="2"/>
            <w:tcBorders>
              <w:top w:val="single" w:sz="6" w:space="0" w:color="FFFFFF" w:themeColor="background1"/>
            </w:tcBorders>
            <w:shd w:val="clear" w:color="auto" w:fill="1E4496" w:themeFill="text2"/>
            <w:tcMar>
              <w:top w:w="79" w:type="dxa"/>
              <w:left w:w="113" w:type="dxa"/>
              <w:bottom w:w="79" w:type="dxa"/>
              <w:right w:w="113" w:type="dxa"/>
            </w:tcMar>
            <w:vAlign w:val="bottom"/>
          </w:tcPr>
          <w:p w14:paraId="3F264D2F" w14:textId="77777777" w:rsidR="001D719C" w:rsidRPr="001D719C" w:rsidRDefault="001D719C" w:rsidP="001D719C">
            <w:pPr>
              <w:pStyle w:val="CDITable-HeaderRowCentre"/>
            </w:pPr>
            <w:r w:rsidRPr="001D719C">
              <w:t>2019</w:t>
            </w:r>
          </w:p>
        </w:tc>
        <w:tc>
          <w:tcPr>
            <w:tcW w:w="2353" w:type="dxa"/>
            <w:gridSpan w:val="2"/>
            <w:tcBorders>
              <w:top w:val="single" w:sz="6" w:space="0" w:color="FFFFFF" w:themeColor="background1"/>
            </w:tcBorders>
            <w:shd w:val="clear" w:color="auto" w:fill="1E4496" w:themeFill="text2"/>
            <w:tcMar>
              <w:top w:w="79" w:type="dxa"/>
              <w:left w:w="113" w:type="dxa"/>
              <w:bottom w:w="79" w:type="dxa"/>
              <w:right w:w="113" w:type="dxa"/>
            </w:tcMar>
            <w:vAlign w:val="bottom"/>
          </w:tcPr>
          <w:p w14:paraId="3B6BD9CB" w14:textId="77777777" w:rsidR="001D719C" w:rsidRPr="001D719C" w:rsidRDefault="001D719C" w:rsidP="001D719C">
            <w:pPr>
              <w:pStyle w:val="CDITable-HeaderRowCentre"/>
            </w:pPr>
            <w:r w:rsidRPr="001D719C">
              <w:t>2020</w:t>
            </w:r>
          </w:p>
        </w:tc>
      </w:tr>
      <w:tr w:rsidR="001D719C" w:rsidRPr="001D719C" w14:paraId="108365C9" w14:textId="77777777" w:rsidTr="00370984">
        <w:trPr>
          <w:trHeight w:val="60"/>
          <w:tblHeader/>
        </w:trPr>
        <w:tc>
          <w:tcPr>
            <w:tcW w:w="2608" w:type="dxa"/>
            <w:vMerge/>
            <w:shd w:val="clear" w:color="auto" w:fill="1E4496" w:themeFill="text2"/>
            <w:tcMar>
              <w:top w:w="79" w:type="dxa"/>
              <w:bottom w:w="79" w:type="dxa"/>
            </w:tcMar>
          </w:tcPr>
          <w:p w14:paraId="12D0CB9E" w14:textId="77777777" w:rsidR="001D719C" w:rsidRPr="001D719C" w:rsidRDefault="001D719C" w:rsidP="001D719C"/>
        </w:tc>
        <w:tc>
          <w:tcPr>
            <w:tcW w:w="2324" w:type="dxa"/>
            <w:vMerge/>
            <w:shd w:val="clear" w:color="auto" w:fill="1E4496" w:themeFill="text2"/>
            <w:tcMar>
              <w:top w:w="79" w:type="dxa"/>
              <w:bottom w:w="79" w:type="dxa"/>
            </w:tcMar>
          </w:tcPr>
          <w:p w14:paraId="6F202604" w14:textId="77777777" w:rsidR="001D719C" w:rsidRPr="001D719C" w:rsidRDefault="001D719C" w:rsidP="001D719C"/>
        </w:tc>
        <w:tc>
          <w:tcPr>
            <w:tcW w:w="1021" w:type="dxa"/>
            <w:shd w:val="clear" w:color="auto" w:fill="1E4496" w:themeFill="text2"/>
            <w:tcMar>
              <w:top w:w="79" w:type="dxa"/>
              <w:left w:w="113" w:type="dxa"/>
              <w:bottom w:w="79" w:type="dxa"/>
              <w:right w:w="113" w:type="dxa"/>
            </w:tcMar>
            <w:vAlign w:val="bottom"/>
          </w:tcPr>
          <w:p w14:paraId="3F5F5B71" w14:textId="77777777" w:rsidR="001D719C" w:rsidRPr="001D719C" w:rsidRDefault="001D719C" w:rsidP="001D719C">
            <w:pPr>
              <w:pStyle w:val="CDITable-HeaderRowCentre"/>
            </w:pPr>
            <w:r w:rsidRPr="001D719C">
              <w:t>Number</w:t>
            </w:r>
          </w:p>
        </w:tc>
        <w:tc>
          <w:tcPr>
            <w:tcW w:w="1332" w:type="dxa"/>
            <w:shd w:val="clear" w:color="auto" w:fill="1E4496" w:themeFill="text2"/>
            <w:tcMar>
              <w:top w:w="79" w:type="dxa"/>
              <w:left w:w="113" w:type="dxa"/>
              <w:bottom w:w="79" w:type="dxa"/>
              <w:right w:w="113" w:type="dxa"/>
            </w:tcMar>
            <w:vAlign w:val="bottom"/>
          </w:tcPr>
          <w:p w14:paraId="4843DEC8" w14:textId="77777777" w:rsidR="001D719C" w:rsidRPr="001D719C" w:rsidRDefault="001D719C" w:rsidP="001D719C">
            <w:pPr>
              <w:pStyle w:val="CDITable-HeaderRowCentre"/>
            </w:pPr>
            <w:proofErr w:type="spellStart"/>
            <w:r w:rsidRPr="001D719C">
              <w:t>Percentage</w:t>
            </w:r>
            <w:r w:rsidRPr="001D719C">
              <w:rPr>
                <w:vertAlign w:val="superscript"/>
              </w:rPr>
              <w:t>a</w:t>
            </w:r>
            <w:proofErr w:type="spellEnd"/>
          </w:p>
        </w:tc>
        <w:tc>
          <w:tcPr>
            <w:tcW w:w="1021" w:type="dxa"/>
            <w:shd w:val="clear" w:color="auto" w:fill="1E4496" w:themeFill="text2"/>
            <w:tcMar>
              <w:top w:w="79" w:type="dxa"/>
              <w:left w:w="113" w:type="dxa"/>
              <w:bottom w:w="79" w:type="dxa"/>
              <w:right w:w="113" w:type="dxa"/>
            </w:tcMar>
            <w:vAlign w:val="bottom"/>
          </w:tcPr>
          <w:p w14:paraId="6EC68B99" w14:textId="77777777" w:rsidR="001D719C" w:rsidRPr="001D719C" w:rsidRDefault="001D719C" w:rsidP="001D719C">
            <w:pPr>
              <w:pStyle w:val="CDITable-HeaderRowCentre"/>
            </w:pPr>
            <w:r w:rsidRPr="001D719C">
              <w:t>Number</w:t>
            </w:r>
          </w:p>
        </w:tc>
        <w:tc>
          <w:tcPr>
            <w:tcW w:w="1332" w:type="dxa"/>
            <w:shd w:val="clear" w:color="auto" w:fill="1E4496" w:themeFill="text2"/>
            <w:tcMar>
              <w:top w:w="79" w:type="dxa"/>
              <w:left w:w="113" w:type="dxa"/>
              <w:bottom w:w="79" w:type="dxa"/>
              <w:right w:w="113" w:type="dxa"/>
            </w:tcMar>
            <w:vAlign w:val="bottom"/>
          </w:tcPr>
          <w:p w14:paraId="51E670D4" w14:textId="77777777" w:rsidR="001D719C" w:rsidRPr="001D719C" w:rsidRDefault="001D719C" w:rsidP="001D719C">
            <w:pPr>
              <w:pStyle w:val="CDITable-HeaderRowCentre"/>
            </w:pPr>
            <w:proofErr w:type="spellStart"/>
            <w:r w:rsidRPr="001D719C">
              <w:t>Percentage</w:t>
            </w:r>
            <w:r w:rsidRPr="001D719C">
              <w:rPr>
                <w:vertAlign w:val="superscript"/>
              </w:rPr>
              <w:t>a</w:t>
            </w:r>
            <w:proofErr w:type="spellEnd"/>
          </w:p>
        </w:tc>
      </w:tr>
      <w:tr w:rsidR="001D719C" w:rsidRPr="001D719C" w14:paraId="618E56BB" w14:textId="77777777" w:rsidTr="00370984">
        <w:trPr>
          <w:trHeight w:val="60"/>
        </w:trPr>
        <w:tc>
          <w:tcPr>
            <w:tcW w:w="2608" w:type="dxa"/>
            <w:vMerge w:val="restart"/>
            <w:tcBorders>
              <w:bottom w:val="single" w:sz="6" w:space="0" w:color="1E4496" w:themeColor="text2"/>
            </w:tcBorders>
            <w:shd w:val="clear" w:color="auto" w:fill="DCF4FC" w:themeFill="background2" w:themeFillTint="33"/>
            <w:tcMar>
              <w:top w:w="79" w:type="dxa"/>
              <w:left w:w="113" w:type="dxa"/>
              <w:bottom w:w="79" w:type="dxa"/>
              <w:right w:w="113" w:type="dxa"/>
            </w:tcMar>
            <w:vAlign w:val="center"/>
          </w:tcPr>
          <w:p w14:paraId="1BE491A9" w14:textId="77777777" w:rsidR="001D719C" w:rsidRPr="001D719C" w:rsidRDefault="001D719C" w:rsidP="001D719C">
            <w:pPr>
              <w:pStyle w:val="CDITable-RowLeft"/>
            </w:pPr>
            <w:r w:rsidRPr="001D719C">
              <w:t>Reports received</w:t>
            </w:r>
          </w:p>
        </w:tc>
        <w:tc>
          <w:tcPr>
            <w:tcW w:w="2324" w:type="dxa"/>
            <w:tcBorders>
              <w:bottom w:val="single" w:sz="6" w:space="0" w:color="1E4496" w:themeColor="text2"/>
            </w:tcBorders>
            <w:tcMar>
              <w:top w:w="79" w:type="dxa"/>
              <w:left w:w="113" w:type="dxa"/>
              <w:bottom w:w="79" w:type="dxa"/>
              <w:right w:w="113" w:type="dxa"/>
            </w:tcMar>
            <w:vAlign w:val="center"/>
          </w:tcPr>
          <w:p w14:paraId="2AB4B85E" w14:textId="77777777" w:rsidR="001D719C" w:rsidRPr="001D719C" w:rsidRDefault="001D719C" w:rsidP="001D719C">
            <w:pPr>
              <w:pStyle w:val="CDITable-RowLeft"/>
            </w:pPr>
            <w:r w:rsidRPr="001D719C">
              <w:t>Total</w:t>
            </w:r>
          </w:p>
        </w:tc>
        <w:tc>
          <w:tcPr>
            <w:tcW w:w="1021" w:type="dxa"/>
            <w:tcBorders>
              <w:bottom w:val="single" w:sz="6" w:space="0" w:color="1E4496" w:themeColor="text2"/>
            </w:tcBorders>
            <w:tcMar>
              <w:top w:w="79" w:type="dxa"/>
              <w:left w:w="113" w:type="dxa"/>
              <w:bottom w:w="79" w:type="dxa"/>
              <w:right w:w="113" w:type="dxa"/>
            </w:tcMar>
            <w:vAlign w:val="center"/>
          </w:tcPr>
          <w:p w14:paraId="7211BBEC" w14:textId="77777777" w:rsidR="001D719C" w:rsidRPr="001D719C" w:rsidRDefault="001D719C" w:rsidP="001D719C">
            <w:pPr>
              <w:pStyle w:val="CDITable-RowCentre"/>
            </w:pPr>
            <w:r w:rsidRPr="001D719C">
              <w:t>1,956</w:t>
            </w:r>
          </w:p>
        </w:tc>
        <w:tc>
          <w:tcPr>
            <w:tcW w:w="1332" w:type="dxa"/>
            <w:tcBorders>
              <w:bottom w:val="single" w:sz="6" w:space="0" w:color="1E4496" w:themeColor="text2"/>
            </w:tcBorders>
            <w:tcMar>
              <w:top w:w="79" w:type="dxa"/>
              <w:left w:w="113" w:type="dxa"/>
              <w:bottom w:w="79" w:type="dxa"/>
              <w:right w:w="113" w:type="dxa"/>
            </w:tcMar>
            <w:vAlign w:val="center"/>
          </w:tcPr>
          <w:p w14:paraId="2D633B68" w14:textId="77777777" w:rsidR="001D719C" w:rsidRPr="001D719C" w:rsidRDefault="001D719C" w:rsidP="001D719C">
            <w:pPr>
              <w:pStyle w:val="CDITable-RowCentre"/>
            </w:pPr>
            <w:r w:rsidRPr="001D719C">
              <w:t>—</w:t>
            </w:r>
          </w:p>
        </w:tc>
        <w:tc>
          <w:tcPr>
            <w:tcW w:w="1021" w:type="dxa"/>
            <w:tcBorders>
              <w:bottom w:val="single" w:sz="6" w:space="0" w:color="1E4496" w:themeColor="text2"/>
            </w:tcBorders>
            <w:tcMar>
              <w:top w:w="79" w:type="dxa"/>
              <w:left w:w="113" w:type="dxa"/>
              <w:bottom w:w="79" w:type="dxa"/>
              <w:right w:w="113" w:type="dxa"/>
            </w:tcMar>
            <w:vAlign w:val="center"/>
          </w:tcPr>
          <w:p w14:paraId="52EAC332" w14:textId="77777777" w:rsidR="001D719C" w:rsidRPr="001D719C" w:rsidRDefault="001D719C" w:rsidP="001D719C">
            <w:pPr>
              <w:pStyle w:val="CDITable-RowCentre"/>
            </w:pPr>
            <w:r w:rsidRPr="001D719C">
              <w:t>1,971</w:t>
            </w:r>
          </w:p>
        </w:tc>
        <w:tc>
          <w:tcPr>
            <w:tcW w:w="1332" w:type="dxa"/>
            <w:tcBorders>
              <w:bottom w:val="single" w:sz="6" w:space="0" w:color="1E4496" w:themeColor="text2"/>
            </w:tcBorders>
            <w:tcMar>
              <w:top w:w="79" w:type="dxa"/>
              <w:left w:w="113" w:type="dxa"/>
              <w:bottom w:w="79" w:type="dxa"/>
              <w:right w:w="113" w:type="dxa"/>
            </w:tcMar>
            <w:vAlign w:val="center"/>
          </w:tcPr>
          <w:p w14:paraId="134F3AC5" w14:textId="77777777" w:rsidR="001D719C" w:rsidRPr="001D719C" w:rsidRDefault="001D719C" w:rsidP="001D719C">
            <w:pPr>
              <w:pStyle w:val="CDITable-RowCentre"/>
            </w:pPr>
            <w:r w:rsidRPr="001D719C">
              <w:t>—</w:t>
            </w:r>
          </w:p>
        </w:tc>
      </w:tr>
      <w:tr w:rsidR="001D719C" w:rsidRPr="001D719C" w14:paraId="49D7DA0E" w14:textId="77777777" w:rsidTr="00370984">
        <w:trPr>
          <w:trHeight w:val="60"/>
        </w:trPr>
        <w:tc>
          <w:tcPr>
            <w:tcW w:w="2608" w:type="dxa"/>
            <w:vMerge/>
            <w:tcBorders>
              <w:bottom w:val="single" w:sz="6" w:space="0" w:color="1E4496" w:themeColor="text2"/>
            </w:tcBorders>
            <w:shd w:val="clear" w:color="auto" w:fill="DCF4FC" w:themeFill="background2" w:themeFillTint="33"/>
            <w:tcMar>
              <w:top w:w="79" w:type="dxa"/>
              <w:bottom w:w="79" w:type="dxa"/>
            </w:tcMar>
          </w:tcPr>
          <w:p w14:paraId="2CA2227F" w14:textId="77777777" w:rsidR="001D719C" w:rsidRPr="001D719C" w:rsidRDefault="001D719C" w:rsidP="001D719C">
            <w:pPr>
              <w:pStyle w:val="CDITable-RowLeft"/>
            </w:pPr>
          </w:p>
        </w:tc>
        <w:tc>
          <w:tcPr>
            <w:tcW w:w="2324"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63121E74" w14:textId="77777777" w:rsidR="001D719C" w:rsidRPr="001D719C" w:rsidRDefault="001D719C" w:rsidP="001D719C">
            <w:pPr>
              <w:pStyle w:val="CDITable-RowLeft"/>
            </w:pPr>
            <w:r w:rsidRPr="001D719C">
              <w:t>Excluded (historical AEFI)</w:t>
            </w:r>
          </w:p>
        </w:tc>
        <w:tc>
          <w:tcPr>
            <w:tcW w:w="1021"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49272A72" w14:textId="77777777" w:rsidR="001D719C" w:rsidRPr="001D719C" w:rsidRDefault="001D719C" w:rsidP="001D719C">
            <w:pPr>
              <w:pStyle w:val="CDITable-RowCentre"/>
            </w:pPr>
            <w:r w:rsidRPr="001D719C">
              <w:t>36</w:t>
            </w:r>
          </w:p>
        </w:tc>
        <w:tc>
          <w:tcPr>
            <w:tcW w:w="1332"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7E943D3D" w14:textId="77777777" w:rsidR="001D719C" w:rsidRPr="001D719C" w:rsidRDefault="001D719C" w:rsidP="001D719C">
            <w:pPr>
              <w:pStyle w:val="CDITable-RowCentre"/>
            </w:pPr>
            <w:r w:rsidRPr="001D719C">
              <w:t>—</w:t>
            </w:r>
          </w:p>
        </w:tc>
        <w:tc>
          <w:tcPr>
            <w:tcW w:w="1021"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17FE4799" w14:textId="77777777" w:rsidR="001D719C" w:rsidRPr="001D719C" w:rsidRDefault="001D719C" w:rsidP="001D719C">
            <w:pPr>
              <w:pStyle w:val="CDITable-RowCentre"/>
            </w:pPr>
            <w:r w:rsidRPr="001D719C">
              <w:t>63</w:t>
            </w:r>
          </w:p>
        </w:tc>
        <w:tc>
          <w:tcPr>
            <w:tcW w:w="1332"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110D6491" w14:textId="77777777" w:rsidR="001D719C" w:rsidRPr="001D719C" w:rsidRDefault="001D719C" w:rsidP="001D719C">
            <w:pPr>
              <w:pStyle w:val="CDITable-RowCentre"/>
            </w:pPr>
            <w:r w:rsidRPr="001D719C">
              <w:t>—</w:t>
            </w:r>
          </w:p>
        </w:tc>
      </w:tr>
      <w:tr w:rsidR="001D719C" w:rsidRPr="001D719C" w14:paraId="58987DF2" w14:textId="77777777" w:rsidTr="00370984">
        <w:trPr>
          <w:trHeight w:val="60"/>
        </w:trPr>
        <w:tc>
          <w:tcPr>
            <w:tcW w:w="2608" w:type="dxa"/>
            <w:vMerge/>
            <w:tcBorders>
              <w:bottom w:val="single" w:sz="6" w:space="0" w:color="1E4496" w:themeColor="text2"/>
            </w:tcBorders>
            <w:shd w:val="clear" w:color="auto" w:fill="DCF4FC" w:themeFill="background2" w:themeFillTint="33"/>
            <w:tcMar>
              <w:top w:w="79" w:type="dxa"/>
              <w:bottom w:w="79" w:type="dxa"/>
            </w:tcMar>
          </w:tcPr>
          <w:p w14:paraId="78D51A95" w14:textId="77777777" w:rsidR="001D719C" w:rsidRPr="001D719C" w:rsidRDefault="001D719C" w:rsidP="001D719C">
            <w:pPr>
              <w:pStyle w:val="CDITable-RowLeft"/>
            </w:pPr>
          </w:p>
        </w:tc>
        <w:tc>
          <w:tcPr>
            <w:tcW w:w="2324"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2269BB9E" w14:textId="77777777" w:rsidR="001D719C" w:rsidRPr="001D719C" w:rsidRDefault="001D719C" w:rsidP="001D719C">
            <w:pPr>
              <w:pStyle w:val="CDITable-RowLeft"/>
            </w:pPr>
            <w:r w:rsidRPr="001D719C">
              <w:t>Available for analysis</w:t>
            </w:r>
          </w:p>
        </w:tc>
        <w:tc>
          <w:tcPr>
            <w:tcW w:w="1021"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4D4F6F0B" w14:textId="77777777" w:rsidR="001D719C" w:rsidRPr="001D719C" w:rsidRDefault="001D719C" w:rsidP="001D719C">
            <w:pPr>
              <w:pStyle w:val="CDITable-RowCentre"/>
            </w:pPr>
            <w:r w:rsidRPr="001D719C">
              <w:t>1,920</w:t>
            </w:r>
          </w:p>
        </w:tc>
        <w:tc>
          <w:tcPr>
            <w:tcW w:w="1332"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7B63E03E" w14:textId="77777777" w:rsidR="001D719C" w:rsidRPr="001D719C" w:rsidRDefault="001D719C" w:rsidP="001D719C">
            <w:pPr>
              <w:pStyle w:val="CDITable-RowCentre"/>
            </w:pPr>
            <w:r w:rsidRPr="001D719C">
              <w:t>—</w:t>
            </w:r>
          </w:p>
        </w:tc>
        <w:tc>
          <w:tcPr>
            <w:tcW w:w="1021"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419EB644" w14:textId="77777777" w:rsidR="001D719C" w:rsidRPr="001D719C" w:rsidRDefault="001D719C" w:rsidP="001D719C">
            <w:pPr>
              <w:pStyle w:val="CDITable-RowCentre"/>
            </w:pPr>
            <w:r w:rsidRPr="001D719C">
              <w:t>1,908</w:t>
            </w:r>
          </w:p>
        </w:tc>
        <w:tc>
          <w:tcPr>
            <w:tcW w:w="1332"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00C31F68" w14:textId="77777777" w:rsidR="001D719C" w:rsidRPr="001D719C" w:rsidRDefault="001D719C" w:rsidP="001D719C">
            <w:pPr>
              <w:pStyle w:val="CDITable-RowCentre"/>
            </w:pPr>
            <w:r w:rsidRPr="001D719C">
              <w:t>—</w:t>
            </w:r>
          </w:p>
        </w:tc>
      </w:tr>
      <w:tr w:rsidR="001D719C" w:rsidRPr="001D719C" w14:paraId="0C55B059" w14:textId="77777777" w:rsidTr="00370984">
        <w:trPr>
          <w:trHeight w:val="60"/>
        </w:trPr>
        <w:tc>
          <w:tcPr>
            <w:tcW w:w="2608" w:type="dxa"/>
            <w:vMerge w:val="restart"/>
            <w:tcBorders>
              <w:top w:val="single" w:sz="6" w:space="0" w:color="1E4496" w:themeColor="text2"/>
              <w:bottom w:val="single" w:sz="6" w:space="0" w:color="1E4496" w:themeColor="text2"/>
            </w:tcBorders>
            <w:shd w:val="clear" w:color="auto" w:fill="DCF4FC" w:themeFill="background2" w:themeFillTint="33"/>
            <w:tcMar>
              <w:top w:w="79" w:type="dxa"/>
              <w:left w:w="113" w:type="dxa"/>
              <w:bottom w:w="79" w:type="dxa"/>
              <w:right w:w="113" w:type="dxa"/>
            </w:tcMar>
            <w:vAlign w:val="center"/>
          </w:tcPr>
          <w:p w14:paraId="6D248A59" w14:textId="77777777" w:rsidR="001D719C" w:rsidRPr="001D719C" w:rsidRDefault="001D719C" w:rsidP="001D719C">
            <w:pPr>
              <w:pStyle w:val="CDITable-RowLeft"/>
            </w:pPr>
            <w:r w:rsidRPr="001D719C">
              <w:t>Data completeness</w:t>
            </w:r>
          </w:p>
        </w:tc>
        <w:tc>
          <w:tcPr>
            <w:tcW w:w="2324"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2DDC710B" w14:textId="77777777" w:rsidR="001D719C" w:rsidRPr="001D719C" w:rsidRDefault="001D719C" w:rsidP="001D719C">
            <w:pPr>
              <w:pStyle w:val="CDITable-RowLeft"/>
            </w:pPr>
            <w:r w:rsidRPr="001D719C">
              <w:t>Sex</w:t>
            </w:r>
          </w:p>
        </w:tc>
        <w:tc>
          <w:tcPr>
            <w:tcW w:w="1021"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7CE97E72" w14:textId="77777777" w:rsidR="001D719C" w:rsidRPr="001D719C" w:rsidRDefault="001D719C" w:rsidP="001D719C">
            <w:pPr>
              <w:pStyle w:val="CDITable-RowCentre"/>
            </w:pPr>
            <w:r w:rsidRPr="001D719C">
              <w:t>1,915</w:t>
            </w:r>
          </w:p>
        </w:tc>
        <w:tc>
          <w:tcPr>
            <w:tcW w:w="1332"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24A4D83F" w14:textId="77777777" w:rsidR="001D719C" w:rsidRPr="001D719C" w:rsidRDefault="001D719C" w:rsidP="001D719C">
            <w:pPr>
              <w:pStyle w:val="CDITable-RowCentre"/>
            </w:pPr>
            <w:r w:rsidRPr="001D719C">
              <w:t>&gt; 99</w:t>
            </w:r>
          </w:p>
        </w:tc>
        <w:tc>
          <w:tcPr>
            <w:tcW w:w="1021"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6308B40A" w14:textId="77777777" w:rsidR="001D719C" w:rsidRPr="001D719C" w:rsidRDefault="001D719C" w:rsidP="001D719C">
            <w:pPr>
              <w:pStyle w:val="CDITable-RowCentre"/>
            </w:pPr>
            <w:r w:rsidRPr="001D719C">
              <w:t>1,904</w:t>
            </w:r>
          </w:p>
        </w:tc>
        <w:tc>
          <w:tcPr>
            <w:tcW w:w="1332"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5FEFC497" w14:textId="77777777" w:rsidR="001D719C" w:rsidRPr="001D719C" w:rsidRDefault="001D719C" w:rsidP="001D719C">
            <w:pPr>
              <w:pStyle w:val="CDITable-RowCentre"/>
            </w:pPr>
            <w:r w:rsidRPr="001D719C">
              <w:t>&gt; 99</w:t>
            </w:r>
          </w:p>
        </w:tc>
      </w:tr>
      <w:tr w:rsidR="001D719C" w:rsidRPr="001D719C" w14:paraId="1C394C51" w14:textId="77777777" w:rsidTr="00370984">
        <w:trPr>
          <w:trHeight w:val="60"/>
        </w:trPr>
        <w:tc>
          <w:tcPr>
            <w:tcW w:w="2608" w:type="dxa"/>
            <w:vMerge/>
            <w:tcBorders>
              <w:bottom w:val="single" w:sz="6" w:space="0" w:color="1E4496" w:themeColor="text2"/>
            </w:tcBorders>
            <w:shd w:val="clear" w:color="auto" w:fill="DCF4FC" w:themeFill="background2" w:themeFillTint="33"/>
            <w:tcMar>
              <w:top w:w="79" w:type="dxa"/>
              <w:bottom w:w="79" w:type="dxa"/>
            </w:tcMar>
          </w:tcPr>
          <w:p w14:paraId="4E5AF17D" w14:textId="77777777" w:rsidR="001D719C" w:rsidRPr="001D719C" w:rsidRDefault="001D719C" w:rsidP="001D719C">
            <w:pPr>
              <w:pStyle w:val="CDITable-RowLeft"/>
            </w:pPr>
          </w:p>
        </w:tc>
        <w:tc>
          <w:tcPr>
            <w:tcW w:w="2324"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11EF3A3B" w14:textId="77777777" w:rsidR="001D719C" w:rsidRPr="001D719C" w:rsidRDefault="001D719C" w:rsidP="001D719C">
            <w:pPr>
              <w:pStyle w:val="CDITable-RowLeft"/>
            </w:pPr>
            <w:r w:rsidRPr="001D719C">
              <w:t>Indigenous status</w:t>
            </w:r>
          </w:p>
        </w:tc>
        <w:tc>
          <w:tcPr>
            <w:tcW w:w="1021"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2199998A" w14:textId="77777777" w:rsidR="001D719C" w:rsidRPr="001D719C" w:rsidRDefault="001D719C" w:rsidP="001D719C">
            <w:pPr>
              <w:pStyle w:val="CDITable-RowCentre"/>
            </w:pPr>
            <w:r w:rsidRPr="001D719C">
              <w:t>1,535</w:t>
            </w:r>
          </w:p>
        </w:tc>
        <w:tc>
          <w:tcPr>
            <w:tcW w:w="1332"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1CA40E23" w14:textId="77777777" w:rsidR="001D719C" w:rsidRPr="001D719C" w:rsidRDefault="001D719C" w:rsidP="001D719C">
            <w:pPr>
              <w:pStyle w:val="CDITable-RowCentre"/>
            </w:pPr>
            <w:r w:rsidRPr="001D719C">
              <w:t>80</w:t>
            </w:r>
          </w:p>
        </w:tc>
        <w:tc>
          <w:tcPr>
            <w:tcW w:w="1021"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5CBF27BC" w14:textId="77777777" w:rsidR="001D719C" w:rsidRPr="001D719C" w:rsidRDefault="001D719C" w:rsidP="001D719C">
            <w:pPr>
              <w:pStyle w:val="CDITable-RowCentre"/>
            </w:pPr>
            <w:r w:rsidRPr="001D719C">
              <w:t>1,656</w:t>
            </w:r>
          </w:p>
        </w:tc>
        <w:tc>
          <w:tcPr>
            <w:tcW w:w="1332"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2C643B07" w14:textId="77777777" w:rsidR="001D719C" w:rsidRPr="001D719C" w:rsidRDefault="001D719C" w:rsidP="001D719C">
            <w:pPr>
              <w:pStyle w:val="CDITable-RowCentre"/>
            </w:pPr>
            <w:r w:rsidRPr="001D719C">
              <w:t>87</w:t>
            </w:r>
          </w:p>
        </w:tc>
      </w:tr>
      <w:tr w:rsidR="001D719C" w:rsidRPr="001D719C" w14:paraId="4494B0C0" w14:textId="77777777" w:rsidTr="00370984">
        <w:trPr>
          <w:trHeight w:val="60"/>
        </w:trPr>
        <w:tc>
          <w:tcPr>
            <w:tcW w:w="2608" w:type="dxa"/>
            <w:vMerge w:val="restart"/>
            <w:tcBorders>
              <w:top w:val="single" w:sz="6" w:space="0" w:color="1E4496" w:themeColor="text2"/>
              <w:bottom w:val="single" w:sz="6" w:space="0" w:color="1E4496" w:themeColor="text2"/>
            </w:tcBorders>
            <w:shd w:val="clear" w:color="auto" w:fill="DCF4FC" w:themeFill="background2" w:themeFillTint="33"/>
            <w:tcMar>
              <w:top w:w="79" w:type="dxa"/>
              <w:left w:w="113" w:type="dxa"/>
              <w:bottom w:w="79" w:type="dxa"/>
              <w:right w:w="113" w:type="dxa"/>
            </w:tcMar>
            <w:vAlign w:val="center"/>
          </w:tcPr>
          <w:p w14:paraId="5D3191EC" w14:textId="77777777" w:rsidR="001D719C" w:rsidRPr="001D719C" w:rsidRDefault="001D719C" w:rsidP="001D719C">
            <w:pPr>
              <w:pStyle w:val="CDITable-RowLeft"/>
            </w:pPr>
            <w:r w:rsidRPr="001D719C">
              <w:t>Reports</w:t>
            </w:r>
          </w:p>
        </w:tc>
        <w:tc>
          <w:tcPr>
            <w:tcW w:w="2324"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51B7E40C" w14:textId="77777777" w:rsidR="001D719C" w:rsidRPr="001D719C" w:rsidRDefault="001D719C" w:rsidP="001D719C">
            <w:pPr>
              <w:pStyle w:val="CDITable-RowLeft"/>
            </w:pPr>
            <w:r w:rsidRPr="001D719C">
              <w:t>Number of vaccines</w:t>
            </w:r>
          </w:p>
        </w:tc>
        <w:tc>
          <w:tcPr>
            <w:tcW w:w="1021"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16B48DFB" w14:textId="77777777" w:rsidR="001D719C" w:rsidRPr="001D719C" w:rsidRDefault="001D719C" w:rsidP="001D719C">
            <w:pPr>
              <w:pStyle w:val="CDITable-RowCentre"/>
            </w:pPr>
            <w:r w:rsidRPr="001D719C">
              <w:t>3,269</w:t>
            </w:r>
          </w:p>
        </w:tc>
        <w:tc>
          <w:tcPr>
            <w:tcW w:w="1332"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27B7A60F" w14:textId="77777777" w:rsidR="001D719C" w:rsidRPr="001D719C" w:rsidRDefault="001D719C" w:rsidP="001D719C">
            <w:pPr>
              <w:pStyle w:val="CDITable-RowCentre"/>
            </w:pPr>
            <w:r w:rsidRPr="001D719C">
              <w:t>—</w:t>
            </w:r>
          </w:p>
        </w:tc>
        <w:tc>
          <w:tcPr>
            <w:tcW w:w="1021"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4B6A590D" w14:textId="77777777" w:rsidR="001D719C" w:rsidRPr="001D719C" w:rsidRDefault="001D719C" w:rsidP="001D719C">
            <w:pPr>
              <w:pStyle w:val="CDITable-RowCentre"/>
            </w:pPr>
            <w:r w:rsidRPr="001D719C">
              <w:t>3,326</w:t>
            </w:r>
          </w:p>
        </w:tc>
        <w:tc>
          <w:tcPr>
            <w:tcW w:w="1332"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49E72C20" w14:textId="77777777" w:rsidR="001D719C" w:rsidRPr="001D719C" w:rsidRDefault="001D719C" w:rsidP="001D719C">
            <w:pPr>
              <w:pStyle w:val="CDITable-RowCentre"/>
            </w:pPr>
            <w:r w:rsidRPr="001D719C">
              <w:t>—</w:t>
            </w:r>
          </w:p>
        </w:tc>
      </w:tr>
      <w:tr w:rsidR="001D719C" w:rsidRPr="001D719C" w14:paraId="72F2F17A" w14:textId="77777777" w:rsidTr="00370984">
        <w:trPr>
          <w:trHeight w:val="60"/>
        </w:trPr>
        <w:tc>
          <w:tcPr>
            <w:tcW w:w="2608" w:type="dxa"/>
            <w:vMerge/>
            <w:tcBorders>
              <w:bottom w:val="single" w:sz="6" w:space="0" w:color="1E4496" w:themeColor="text2"/>
            </w:tcBorders>
            <w:shd w:val="clear" w:color="auto" w:fill="DCF4FC" w:themeFill="background2" w:themeFillTint="33"/>
            <w:tcMar>
              <w:top w:w="79" w:type="dxa"/>
              <w:bottom w:w="79" w:type="dxa"/>
            </w:tcMar>
          </w:tcPr>
          <w:p w14:paraId="174D8986" w14:textId="77777777" w:rsidR="001D719C" w:rsidRPr="001D719C" w:rsidRDefault="001D719C" w:rsidP="001D719C">
            <w:pPr>
              <w:pStyle w:val="CDITable-RowLeft"/>
            </w:pPr>
          </w:p>
        </w:tc>
        <w:tc>
          <w:tcPr>
            <w:tcW w:w="2324"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14A19001" w14:textId="77777777" w:rsidR="001D719C" w:rsidRPr="001D719C" w:rsidRDefault="001D719C" w:rsidP="001D719C">
            <w:pPr>
              <w:pStyle w:val="CDITable-RowLeft"/>
            </w:pPr>
            <w:r w:rsidRPr="001D719C">
              <w:t>Number of reactions</w:t>
            </w:r>
          </w:p>
        </w:tc>
        <w:tc>
          <w:tcPr>
            <w:tcW w:w="1021"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151E444B" w14:textId="77777777" w:rsidR="001D719C" w:rsidRPr="001D719C" w:rsidRDefault="001D719C" w:rsidP="001D719C">
            <w:pPr>
              <w:pStyle w:val="CDITable-RowCentre"/>
            </w:pPr>
            <w:r w:rsidRPr="001D719C">
              <w:t>3,023</w:t>
            </w:r>
          </w:p>
        </w:tc>
        <w:tc>
          <w:tcPr>
            <w:tcW w:w="1332"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452EA120" w14:textId="77777777" w:rsidR="001D719C" w:rsidRPr="001D719C" w:rsidRDefault="001D719C" w:rsidP="001D719C">
            <w:pPr>
              <w:pStyle w:val="CDITable-RowCentre"/>
            </w:pPr>
            <w:r w:rsidRPr="001D719C">
              <w:t>—</w:t>
            </w:r>
          </w:p>
        </w:tc>
        <w:tc>
          <w:tcPr>
            <w:tcW w:w="1021"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28E82517" w14:textId="77777777" w:rsidR="001D719C" w:rsidRPr="001D719C" w:rsidRDefault="001D719C" w:rsidP="001D719C">
            <w:pPr>
              <w:pStyle w:val="CDITable-RowCentre"/>
            </w:pPr>
            <w:r w:rsidRPr="001D719C">
              <w:t>3,050</w:t>
            </w:r>
          </w:p>
        </w:tc>
        <w:tc>
          <w:tcPr>
            <w:tcW w:w="1332"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6CE39C60" w14:textId="77777777" w:rsidR="001D719C" w:rsidRPr="001D719C" w:rsidRDefault="001D719C" w:rsidP="001D719C">
            <w:pPr>
              <w:pStyle w:val="CDITable-RowCentre"/>
            </w:pPr>
            <w:r w:rsidRPr="001D719C">
              <w:t>—</w:t>
            </w:r>
          </w:p>
        </w:tc>
      </w:tr>
      <w:tr w:rsidR="001D719C" w:rsidRPr="001D719C" w14:paraId="055EDFB3" w14:textId="77777777" w:rsidTr="00370984">
        <w:trPr>
          <w:trHeight w:val="60"/>
        </w:trPr>
        <w:tc>
          <w:tcPr>
            <w:tcW w:w="2608" w:type="dxa"/>
            <w:vMerge/>
            <w:tcBorders>
              <w:bottom w:val="single" w:sz="6" w:space="0" w:color="1E4496" w:themeColor="text2"/>
            </w:tcBorders>
            <w:shd w:val="clear" w:color="auto" w:fill="DCF4FC" w:themeFill="background2" w:themeFillTint="33"/>
            <w:tcMar>
              <w:top w:w="79" w:type="dxa"/>
              <w:bottom w:w="79" w:type="dxa"/>
            </w:tcMar>
          </w:tcPr>
          <w:p w14:paraId="6D26D705" w14:textId="77777777" w:rsidR="001D719C" w:rsidRPr="001D719C" w:rsidRDefault="001D719C" w:rsidP="001D719C">
            <w:pPr>
              <w:pStyle w:val="CDITable-RowLeft"/>
            </w:pPr>
          </w:p>
        </w:tc>
        <w:tc>
          <w:tcPr>
            <w:tcW w:w="2324"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0613C4D8" w14:textId="77777777" w:rsidR="001D719C" w:rsidRPr="001D719C" w:rsidRDefault="001D719C" w:rsidP="001D719C">
            <w:pPr>
              <w:pStyle w:val="CDITable-RowLeft"/>
            </w:pPr>
            <w:r w:rsidRPr="001D719C">
              <w:t>Pregnant</w:t>
            </w:r>
          </w:p>
        </w:tc>
        <w:tc>
          <w:tcPr>
            <w:tcW w:w="1021"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3F7346D8" w14:textId="77777777" w:rsidR="001D719C" w:rsidRPr="001D719C" w:rsidRDefault="001D719C" w:rsidP="001D719C">
            <w:pPr>
              <w:pStyle w:val="CDITable-RowCentre"/>
            </w:pPr>
            <w:r w:rsidRPr="001D719C">
              <w:t>242</w:t>
            </w:r>
          </w:p>
        </w:tc>
        <w:tc>
          <w:tcPr>
            <w:tcW w:w="1332"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4471A509" w14:textId="77777777" w:rsidR="001D719C" w:rsidRPr="001D719C" w:rsidRDefault="001D719C" w:rsidP="001D719C">
            <w:pPr>
              <w:pStyle w:val="CDITable-RowCentre"/>
            </w:pPr>
            <w:r w:rsidRPr="001D719C">
              <w:t>13</w:t>
            </w:r>
          </w:p>
        </w:tc>
        <w:tc>
          <w:tcPr>
            <w:tcW w:w="1021"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56D51892" w14:textId="77777777" w:rsidR="001D719C" w:rsidRPr="001D719C" w:rsidRDefault="001D719C" w:rsidP="001D719C">
            <w:pPr>
              <w:pStyle w:val="CDITable-RowCentre"/>
            </w:pPr>
            <w:r w:rsidRPr="001D719C">
              <w:t>222</w:t>
            </w:r>
          </w:p>
        </w:tc>
        <w:tc>
          <w:tcPr>
            <w:tcW w:w="1332"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481C6BC2" w14:textId="77777777" w:rsidR="001D719C" w:rsidRPr="001D719C" w:rsidRDefault="001D719C" w:rsidP="001D719C">
            <w:pPr>
              <w:pStyle w:val="CDITable-RowCentre"/>
            </w:pPr>
            <w:r w:rsidRPr="001D719C">
              <w:t>12</w:t>
            </w:r>
          </w:p>
        </w:tc>
      </w:tr>
      <w:tr w:rsidR="001D719C" w:rsidRPr="001D719C" w14:paraId="6D9C9522" w14:textId="77777777" w:rsidTr="00370984">
        <w:trPr>
          <w:trHeight w:val="60"/>
        </w:trPr>
        <w:tc>
          <w:tcPr>
            <w:tcW w:w="2608" w:type="dxa"/>
            <w:vMerge/>
            <w:tcBorders>
              <w:bottom w:val="single" w:sz="6" w:space="0" w:color="1E4496" w:themeColor="text2"/>
            </w:tcBorders>
            <w:shd w:val="clear" w:color="auto" w:fill="DCF4FC" w:themeFill="background2" w:themeFillTint="33"/>
            <w:tcMar>
              <w:top w:w="79" w:type="dxa"/>
              <w:bottom w:w="79" w:type="dxa"/>
            </w:tcMar>
          </w:tcPr>
          <w:p w14:paraId="23B890EC" w14:textId="77777777" w:rsidR="001D719C" w:rsidRPr="001D719C" w:rsidRDefault="001D719C" w:rsidP="001D719C">
            <w:pPr>
              <w:pStyle w:val="CDITable-RowLeft"/>
            </w:pPr>
          </w:p>
        </w:tc>
        <w:tc>
          <w:tcPr>
            <w:tcW w:w="2324"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7A9C7EBB" w14:textId="77777777" w:rsidR="001D719C" w:rsidRPr="001D719C" w:rsidRDefault="001D719C" w:rsidP="001D719C">
            <w:pPr>
              <w:pStyle w:val="CDITable-RowLeft"/>
            </w:pPr>
            <w:r w:rsidRPr="001D719C">
              <w:t>Serious AEFI</w:t>
            </w:r>
          </w:p>
        </w:tc>
        <w:tc>
          <w:tcPr>
            <w:tcW w:w="1021"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60B6B355" w14:textId="77777777" w:rsidR="001D719C" w:rsidRPr="001D719C" w:rsidRDefault="001D719C" w:rsidP="001D719C">
            <w:pPr>
              <w:pStyle w:val="CDITable-RowCentre"/>
            </w:pPr>
            <w:r w:rsidRPr="001D719C">
              <w:t>155</w:t>
            </w:r>
          </w:p>
        </w:tc>
        <w:tc>
          <w:tcPr>
            <w:tcW w:w="1332"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5C0AB731" w14:textId="77777777" w:rsidR="001D719C" w:rsidRPr="001D719C" w:rsidRDefault="001D719C" w:rsidP="001D719C">
            <w:pPr>
              <w:pStyle w:val="CDITable-RowCentre"/>
            </w:pPr>
            <w:r w:rsidRPr="001D719C">
              <w:t>8</w:t>
            </w:r>
          </w:p>
        </w:tc>
        <w:tc>
          <w:tcPr>
            <w:tcW w:w="1021"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2222C18C" w14:textId="77777777" w:rsidR="001D719C" w:rsidRPr="001D719C" w:rsidRDefault="001D719C" w:rsidP="001D719C">
            <w:pPr>
              <w:pStyle w:val="CDITable-RowCentre"/>
            </w:pPr>
            <w:r w:rsidRPr="001D719C">
              <w:t>135</w:t>
            </w:r>
          </w:p>
        </w:tc>
        <w:tc>
          <w:tcPr>
            <w:tcW w:w="1332"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2A67DD2B" w14:textId="77777777" w:rsidR="001D719C" w:rsidRPr="001D719C" w:rsidRDefault="001D719C" w:rsidP="001D719C">
            <w:pPr>
              <w:pStyle w:val="CDITable-RowCentre"/>
            </w:pPr>
            <w:r w:rsidRPr="001D719C">
              <w:t>7</w:t>
            </w:r>
          </w:p>
        </w:tc>
      </w:tr>
      <w:tr w:rsidR="001D719C" w:rsidRPr="001D719C" w14:paraId="3D24BCB5" w14:textId="77777777" w:rsidTr="00370984">
        <w:trPr>
          <w:trHeight w:val="60"/>
        </w:trPr>
        <w:tc>
          <w:tcPr>
            <w:tcW w:w="2608" w:type="dxa"/>
            <w:vMerge w:val="restart"/>
            <w:tcBorders>
              <w:top w:val="single" w:sz="6" w:space="0" w:color="1E4496" w:themeColor="text2"/>
              <w:bottom w:val="single" w:sz="6" w:space="0" w:color="1E4496" w:themeColor="text2"/>
            </w:tcBorders>
            <w:shd w:val="clear" w:color="auto" w:fill="DCF4FC" w:themeFill="background2" w:themeFillTint="33"/>
            <w:tcMar>
              <w:top w:w="79" w:type="dxa"/>
              <w:left w:w="113" w:type="dxa"/>
              <w:bottom w:w="79" w:type="dxa"/>
              <w:right w:w="113" w:type="dxa"/>
            </w:tcMar>
            <w:vAlign w:val="center"/>
          </w:tcPr>
          <w:p w14:paraId="2B122360" w14:textId="77777777" w:rsidR="001D719C" w:rsidRPr="001D719C" w:rsidRDefault="001D719C" w:rsidP="001D719C">
            <w:pPr>
              <w:pStyle w:val="CDITable-RowLeft"/>
            </w:pPr>
            <w:r w:rsidRPr="001D719C">
              <w:t>Spontaneous reports: source</w:t>
            </w:r>
          </w:p>
        </w:tc>
        <w:tc>
          <w:tcPr>
            <w:tcW w:w="2324"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71E3F49C" w14:textId="77777777" w:rsidR="001D719C" w:rsidRPr="001D719C" w:rsidRDefault="001D719C" w:rsidP="001D719C">
            <w:pPr>
              <w:pStyle w:val="CDITable-RowLeft"/>
            </w:pPr>
            <w:r w:rsidRPr="001D719C">
              <w:t>Total</w:t>
            </w:r>
          </w:p>
        </w:tc>
        <w:tc>
          <w:tcPr>
            <w:tcW w:w="1021"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512C039A" w14:textId="77777777" w:rsidR="001D719C" w:rsidRPr="001D719C" w:rsidRDefault="001D719C" w:rsidP="001D719C">
            <w:pPr>
              <w:pStyle w:val="CDITable-RowCentre"/>
            </w:pPr>
            <w:r w:rsidRPr="001D719C">
              <w:t>1,897</w:t>
            </w:r>
          </w:p>
        </w:tc>
        <w:tc>
          <w:tcPr>
            <w:tcW w:w="1332"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2092F966" w14:textId="77777777" w:rsidR="001D719C" w:rsidRPr="001D719C" w:rsidRDefault="001D719C" w:rsidP="001D719C">
            <w:pPr>
              <w:pStyle w:val="CDITable-RowCentre"/>
            </w:pPr>
            <w:r w:rsidRPr="001D719C">
              <w:t>99</w:t>
            </w:r>
          </w:p>
        </w:tc>
        <w:tc>
          <w:tcPr>
            <w:tcW w:w="1021"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41767859" w14:textId="77777777" w:rsidR="001D719C" w:rsidRPr="001D719C" w:rsidRDefault="001D719C" w:rsidP="001D719C">
            <w:pPr>
              <w:pStyle w:val="CDITable-RowCentre"/>
            </w:pPr>
            <w:r w:rsidRPr="001D719C">
              <w:t>1,889</w:t>
            </w:r>
          </w:p>
        </w:tc>
        <w:tc>
          <w:tcPr>
            <w:tcW w:w="1332"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78F3D44E" w14:textId="77777777" w:rsidR="001D719C" w:rsidRPr="001D719C" w:rsidRDefault="001D719C" w:rsidP="001D719C">
            <w:pPr>
              <w:pStyle w:val="CDITable-RowCentre"/>
            </w:pPr>
            <w:r w:rsidRPr="001D719C">
              <w:t>99</w:t>
            </w:r>
          </w:p>
        </w:tc>
      </w:tr>
      <w:tr w:rsidR="001D719C" w:rsidRPr="001D719C" w14:paraId="0656335A" w14:textId="77777777" w:rsidTr="00370984">
        <w:trPr>
          <w:trHeight w:val="60"/>
        </w:trPr>
        <w:tc>
          <w:tcPr>
            <w:tcW w:w="2608" w:type="dxa"/>
            <w:vMerge/>
            <w:tcBorders>
              <w:bottom w:val="single" w:sz="6" w:space="0" w:color="1E4496" w:themeColor="text2"/>
            </w:tcBorders>
            <w:shd w:val="clear" w:color="auto" w:fill="DCF4FC" w:themeFill="background2" w:themeFillTint="33"/>
            <w:tcMar>
              <w:top w:w="79" w:type="dxa"/>
              <w:bottom w:w="79" w:type="dxa"/>
            </w:tcMar>
          </w:tcPr>
          <w:p w14:paraId="456835B5" w14:textId="77777777" w:rsidR="001D719C" w:rsidRPr="001D719C" w:rsidRDefault="001D719C" w:rsidP="001D719C"/>
        </w:tc>
        <w:tc>
          <w:tcPr>
            <w:tcW w:w="2324"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49E1454F" w14:textId="77777777" w:rsidR="001D719C" w:rsidRPr="001D719C" w:rsidRDefault="001D719C" w:rsidP="001D719C">
            <w:pPr>
              <w:pStyle w:val="CDITable-RowLeft"/>
            </w:pPr>
            <w:r w:rsidRPr="001D719C">
              <w:t>Healthcare workers</w:t>
            </w:r>
          </w:p>
        </w:tc>
        <w:tc>
          <w:tcPr>
            <w:tcW w:w="1021"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622CB865" w14:textId="77777777" w:rsidR="001D719C" w:rsidRPr="001D719C" w:rsidRDefault="001D719C" w:rsidP="001D719C">
            <w:pPr>
              <w:pStyle w:val="CDITable-RowCentre"/>
            </w:pPr>
            <w:r w:rsidRPr="001D719C">
              <w:t>1,243</w:t>
            </w:r>
          </w:p>
        </w:tc>
        <w:tc>
          <w:tcPr>
            <w:tcW w:w="1332"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68AAEC95" w14:textId="77777777" w:rsidR="001D719C" w:rsidRPr="001D719C" w:rsidRDefault="001D719C" w:rsidP="001D719C">
            <w:pPr>
              <w:pStyle w:val="CDITable-RowCentre"/>
            </w:pPr>
            <w:r w:rsidRPr="001D719C">
              <w:t>—</w:t>
            </w:r>
          </w:p>
        </w:tc>
        <w:tc>
          <w:tcPr>
            <w:tcW w:w="1021"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0042ED92" w14:textId="77777777" w:rsidR="001D719C" w:rsidRPr="001D719C" w:rsidRDefault="001D719C" w:rsidP="001D719C">
            <w:pPr>
              <w:pStyle w:val="CDITable-RowCentre"/>
            </w:pPr>
            <w:r w:rsidRPr="001D719C">
              <w:t>1,320</w:t>
            </w:r>
          </w:p>
        </w:tc>
        <w:tc>
          <w:tcPr>
            <w:tcW w:w="1332"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22A09A8F" w14:textId="77777777" w:rsidR="001D719C" w:rsidRPr="001D719C" w:rsidRDefault="001D719C" w:rsidP="001D719C">
            <w:pPr>
              <w:pStyle w:val="CDITable-RowCentre"/>
            </w:pPr>
            <w:r w:rsidRPr="001D719C">
              <w:t>—</w:t>
            </w:r>
          </w:p>
        </w:tc>
      </w:tr>
      <w:tr w:rsidR="001D719C" w:rsidRPr="001D719C" w14:paraId="58BCE7A6" w14:textId="77777777" w:rsidTr="00370984">
        <w:trPr>
          <w:trHeight w:val="60"/>
        </w:trPr>
        <w:tc>
          <w:tcPr>
            <w:tcW w:w="2608" w:type="dxa"/>
            <w:vMerge/>
            <w:tcBorders>
              <w:bottom w:val="single" w:sz="6" w:space="0" w:color="1E4496" w:themeColor="text2"/>
            </w:tcBorders>
            <w:shd w:val="clear" w:color="auto" w:fill="DCF4FC" w:themeFill="background2" w:themeFillTint="33"/>
            <w:tcMar>
              <w:top w:w="79" w:type="dxa"/>
              <w:bottom w:w="79" w:type="dxa"/>
            </w:tcMar>
          </w:tcPr>
          <w:p w14:paraId="33FCA590" w14:textId="77777777" w:rsidR="001D719C" w:rsidRPr="001D719C" w:rsidRDefault="001D719C" w:rsidP="001D719C"/>
        </w:tc>
        <w:tc>
          <w:tcPr>
            <w:tcW w:w="2324"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7E68630B" w14:textId="77777777" w:rsidR="001D719C" w:rsidRPr="001D719C" w:rsidRDefault="001D719C" w:rsidP="001D719C">
            <w:pPr>
              <w:pStyle w:val="CDITable-RowLeft"/>
            </w:pPr>
            <w:r w:rsidRPr="001D719C">
              <w:t>Consumers</w:t>
            </w:r>
          </w:p>
        </w:tc>
        <w:tc>
          <w:tcPr>
            <w:tcW w:w="1021"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05ACA61E" w14:textId="77777777" w:rsidR="001D719C" w:rsidRPr="001D719C" w:rsidRDefault="001D719C" w:rsidP="001D719C">
            <w:pPr>
              <w:pStyle w:val="CDITable-RowCentre"/>
            </w:pPr>
            <w:r w:rsidRPr="001D719C">
              <w:t>537</w:t>
            </w:r>
          </w:p>
        </w:tc>
        <w:tc>
          <w:tcPr>
            <w:tcW w:w="1332"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4B6D8FF5" w14:textId="77777777" w:rsidR="001D719C" w:rsidRPr="001D719C" w:rsidRDefault="001D719C" w:rsidP="001D719C">
            <w:pPr>
              <w:pStyle w:val="CDITable-RowCentre"/>
            </w:pPr>
            <w:r w:rsidRPr="001D719C">
              <w:t>—</w:t>
            </w:r>
          </w:p>
        </w:tc>
        <w:tc>
          <w:tcPr>
            <w:tcW w:w="1021"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453899A6" w14:textId="77777777" w:rsidR="001D719C" w:rsidRPr="001D719C" w:rsidRDefault="001D719C" w:rsidP="001D719C">
            <w:pPr>
              <w:pStyle w:val="CDITable-RowCentre"/>
            </w:pPr>
            <w:r w:rsidRPr="001D719C">
              <w:t>491</w:t>
            </w:r>
          </w:p>
        </w:tc>
        <w:tc>
          <w:tcPr>
            <w:tcW w:w="1332"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276B4182" w14:textId="77777777" w:rsidR="001D719C" w:rsidRPr="001D719C" w:rsidRDefault="001D719C" w:rsidP="001D719C">
            <w:pPr>
              <w:pStyle w:val="CDITable-RowCentre"/>
            </w:pPr>
            <w:r w:rsidRPr="001D719C">
              <w:t>—</w:t>
            </w:r>
          </w:p>
        </w:tc>
      </w:tr>
      <w:tr w:rsidR="001D719C" w:rsidRPr="001D719C" w14:paraId="7020637D" w14:textId="77777777" w:rsidTr="00370984">
        <w:trPr>
          <w:trHeight w:val="60"/>
        </w:trPr>
        <w:tc>
          <w:tcPr>
            <w:tcW w:w="2608" w:type="dxa"/>
            <w:vMerge/>
            <w:tcBorders>
              <w:bottom w:val="single" w:sz="6" w:space="0" w:color="1E4496" w:themeColor="text2"/>
            </w:tcBorders>
            <w:shd w:val="clear" w:color="auto" w:fill="DCF4FC" w:themeFill="background2" w:themeFillTint="33"/>
            <w:tcMar>
              <w:top w:w="79" w:type="dxa"/>
              <w:bottom w:w="79" w:type="dxa"/>
            </w:tcMar>
          </w:tcPr>
          <w:p w14:paraId="620FB9D2" w14:textId="77777777" w:rsidR="001D719C" w:rsidRPr="001D719C" w:rsidRDefault="001D719C" w:rsidP="001D719C"/>
        </w:tc>
        <w:tc>
          <w:tcPr>
            <w:tcW w:w="2324"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1058AA6C" w14:textId="77777777" w:rsidR="001D719C" w:rsidRPr="001D719C" w:rsidRDefault="001D719C" w:rsidP="001D719C">
            <w:pPr>
              <w:pStyle w:val="CDITable-RowLeft"/>
            </w:pPr>
            <w:r w:rsidRPr="001D719C">
              <w:t>Pharmacists</w:t>
            </w:r>
          </w:p>
        </w:tc>
        <w:tc>
          <w:tcPr>
            <w:tcW w:w="1021"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348EB1C0" w14:textId="77777777" w:rsidR="001D719C" w:rsidRPr="001D719C" w:rsidRDefault="001D719C" w:rsidP="001D719C">
            <w:pPr>
              <w:pStyle w:val="CDITable-RowCentre"/>
            </w:pPr>
            <w:r w:rsidRPr="001D719C">
              <w:t>20</w:t>
            </w:r>
          </w:p>
        </w:tc>
        <w:tc>
          <w:tcPr>
            <w:tcW w:w="1332"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6145D549" w14:textId="77777777" w:rsidR="001D719C" w:rsidRPr="001D719C" w:rsidRDefault="001D719C" w:rsidP="001D719C">
            <w:pPr>
              <w:pStyle w:val="CDITable-RowCentre"/>
            </w:pPr>
            <w:r w:rsidRPr="001D719C">
              <w:t>—</w:t>
            </w:r>
          </w:p>
        </w:tc>
        <w:tc>
          <w:tcPr>
            <w:tcW w:w="1021"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4F1436BF" w14:textId="77777777" w:rsidR="001D719C" w:rsidRPr="001D719C" w:rsidRDefault="001D719C" w:rsidP="001D719C">
            <w:pPr>
              <w:pStyle w:val="CDITable-RowCentre"/>
            </w:pPr>
            <w:r w:rsidRPr="001D719C">
              <w:t>15</w:t>
            </w:r>
          </w:p>
        </w:tc>
        <w:tc>
          <w:tcPr>
            <w:tcW w:w="1332"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5585266F" w14:textId="77777777" w:rsidR="001D719C" w:rsidRPr="001D719C" w:rsidRDefault="001D719C" w:rsidP="001D719C">
            <w:pPr>
              <w:pStyle w:val="CDITable-RowCentre"/>
            </w:pPr>
            <w:r w:rsidRPr="001D719C">
              <w:t>—</w:t>
            </w:r>
          </w:p>
        </w:tc>
      </w:tr>
      <w:tr w:rsidR="001D719C" w:rsidRPr="001D719C" w14:paraId="73C42943" w14:textId="77777777" w:rsidTr="00370984">
        <w:trPr>
          <w:trHeight w:val="60"/>
        </w:trPr>
        <w:tc>
          <w:tcPr>
            <w:tcW w:w="2608" w:type="dxa"/>
            <w:vMerge/>
            <w:tcBorders>
              <w:bottom w:val="single" w:sz="6" w:space="0" w:color="1E4496" w:themeColor="text2"/>
            </w:tcBorders>
            <w:shd w:val="clear" w:color="auto" w:fill="DCF4FC" w:themeFill="background2" w:themeFillTint="33"/>
            <w:tcMar>
              <w:top w:w="79" w:type="dxa"/>
              <w:bottom w:w="79" w:type="dxa"/>
            </w:tcMar>
          </w:tcPr>
          <w:p w14:paraId="25959338" w14:textId="77777777" w:rsidR="001D719C" w:rsidRPr="001D719C" w:rsidRDefault="001D719C" w:rsidP="001D719C"/>
        </w:tc>
        <w:tc>
          <w:tcPr>
            <w:tcW w:w="2324"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763D98E4" w14:textId="77777777" w:rsidR="001D719C" w:rsidRPr="001D719C" w:rsidRDefault="001D719C" w:rsidP="001D719C">
            <w:pPr>
              <w:pStyle w:val="CDITable-RowLeft"/>
            </w:pPr>
            <w:r w:rsidRPr="001D719C">
              <w:t>Other</w:t>
            </w:r>
          </w:p>
        </w:tc>
        <w:tc>
          <w:tcPr>
            <w:tcW w:w="1021"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341F62F5" w14:textId="77777777" w:rsidR="001D719C" w:rsidRPr="001D719C" w:rsidRDefault="001D719C" w:rsidP="001D719C">
            <w:pPr>
              <w:pStyle w:val="CDITable-RowCentre"/>
            </w:pPr>
            <w:r w:rsidRPr="001D719C">
              <w:t>97</w:t>
            </w:r>
          </w:p>
        </w:tc>
        <w:tc>
          <w:tcPr>
            <w:tcW w:w="1332"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33241BDC" w14:textId="77777777" w:rsidR="001D719C" w:rsidRPr="001D719C" w:rsidRDefault="001D719C" w:rsidP="001D719C">
            <w:pPr>
              <w:pStyle w:val="CDITable-RowCentre"/>
            </w:pPr>
            <w:r w:rsidRPr="001D719C">
              <w:t>—</w:t>
            </w:r>
          </w:p>
        </w:tc>
        <w:tc>
          <w:tcPr>
            <w:tcW w:w="1021"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0B4D8C02" w14:textId="77777777" w:rsidR="001D719C" w:rsidRPr="001D719C" w:rsidRDefault="001D719C" w:rsidP="001D719C">
            <w:pPr>
              <w:pStyle w:val="CDITable-RowCentre"/>
            </w:pPr>
            <w:r w:rsidRPr="001D719C">
              <w:t>63</w:t>
            </w:r>
          </w:p>
        </w:tc>
        <w:tc>
          <w:tcPr>
            <w:tcW w:w="1332"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3900EE56" w14:textId="77777777" w:rsidR="001D719C" w:rsidRPr="001D719C" w:rsidRDefault="001D719C" w:rsidP="001D719C">
            <w:pPr>
              <w:pStyle w:val="CDITable-RowCentre"/>
            </w:pPr>
            <w:r w:rsidRPr="001D719C">
              <w:t>—</w:t>
            </w:r>
          </w:p>
        </w:tc>
      </w:tr>
      <w:tr w:rsidR="001D719C" w:rsidRPr="001D719C" w14:paraId="2BACB61D" w14:textId="77777777" w:rsidTr="00370984">
        <w:trPr>
          <w:trHeight w:val="60"/>
        </w:trPr>
        <w:tc>
          <w:tcPr>
            <w:tcW w:w="2608" w:type="dxa"/>
            <w:vMerge w:val="restart"/>
            <w:tcBorders>
              <w:top w:val="single" w:sz="6" w:space="0" w:color="1E4496" w:themeColor="text2"/>
              <w:bottom w:val="single" w:sz="6" w:space="0" w:color="1E4496" w:themeColor="text2"/>
            </w:tcBorders>
            <w:shd w:val="clear" w:color="auto" w:fill="DCF4FC" w:themeFill="background2" w:themeFillTint="33"/>
            <w:tcMar>
              <w:top w:w="79" w:type="dxa"/>
              <w:left w:w="113" w:type="dxa"/>
              <w:bottom w:w="79" w:type="dxa"/>
              <w:right w:w="113" w:type="dxa"/>
            </w:tcMar>
            <w:vAlign w:val="center"/>
          </w:tcPr>
          <w:p w14:paraId="476FEF3E" w14:textId="77777777" w:rsidR="001D719C" w:rsidRPr="001D719C" w:rsidRDefault="001D719C" w:rsidP="001D719C">
            <w:pPr>
              <w:pStyle w:val="CDITable-RowLeft"/>
            </w:pPr>
            <w:r w:rsidRPr="001D719C">
              <w:t>Active surveillance: source</w:t>
            </w:r>
          </w:p>
        </w:tc>
        <w:tc>
          <w:tcPr>
            <w:tcW w:w="2324"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2C39F9C3" w14:textId="77777777" w:rsidR="001D719C" w:rsidRPr="001D719C" w:rsidRDefault="001D719C" w:rsidP="001D719C">
            <w:pPr>
              <w:pStyle w:val="CDITable-RowLeft"/>
            </w:pPr>
            <w:r w:rsidRPr="001D719C">
              <w:t>Total</w:t>
            </w:r>
          </w:p>
        </w:tc>
        <w:tc>
          <w:tcPr>
            <w:tcW w:w="1021"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472F7852" w14:textId="77777777" w:rsidR="001D719C" w:rsidRPr="001D719C" w:rsidRDefault="001D719C" w:rsidP="001D719C">
            <w:pPr>
              <w:pStyle w:val="CDITable-RowCentre"/>
            </w:pPr>
            <w:r w:rsidRPr="001D719C">
              <w:t>23</w:t>
            </w:r>
          </w:p>
        </w:tc>
        <w:tc>
          <w:tcPr>
            <w:tcW w:w="1332"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0327AA66" w14:textId="77777777" w:rsidR="001D719C" w:rsidRPr="001D719C" w:rsidRDefault="001D719C" w:rsidP="001D719C">
            <w:pPr>
              <w:pStyle w:val="CDITable-RowCentre"/>
            </w:pPr>
            <w:r w:rsidRPr="001D719C">
              <w:t>1</w:t>
            </w:r>
          </w:p>
        </w:tc>
        <w:tc>
          <w:tcPr>
            <w:tcW w:w="1021"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23C0BEE8" w14:textId="77777777" w:rsidR="001D719C" w:rsidRPr="001D719C" w:rsidRDefault="001D719C" w:rsidP="001D719C">
            <w:pPr>
              <w:pStyle w:val="CDITable-RowCentre"/>
            </w:pPr>
            <w:r w:rsidRPr="001D719C">
              <w:t>19</w:t>
            </w:r>
          </w:p>
        </w:tc>
        <w:tc>
          <w:tcPr>
            <w:tcW w:w="1332"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3468986F" w14:textId="77777777" w:rsidR="001D719C" w:rsidRPr="001D719C" w:rsidRDefault="001D719C" w:rsidP="001D719C">
            <w:pPr>
              <w:pStyle w:val="CDITable-RowCentre"/>
            </w:pPr>
            <w:r w:rsidRPr="001D719C">
              <w:t>1</w:t>
            </w:r>
          </w:p>
        </w:tc>
      </w:tr>
      <w:tr w:rsidR="001D719C" w:rsidRPr="001D719C" w14:paraId="294B7ADB" w14:textId="77777777" w:rsidTr="00370984">
        <w:trPr>
          <w:trHeight w:val="60"/>
        </w:trPr>
        <w:tc>
          <w:tcPr>
            <w:tcW w:w="2608" w:type="dxa"/>
            <w:vMerge/>
            <w:tcBorders>
              <w:bottom w:val="single" w:sz="6" w:space="0" w:color="1E4496" w:themeColor="text2"/>
            </w:tcBorders>
            <w:shd w:val="clear" w:color="auto" w:fill="DCF4FC" w:themeFill="background2" w:themeFillTint="33"/>
            <w:tcMar>
              <w:top w:w="79" w:type="dxa"/>
              <w:bottom w:w="79" w:type="dxa"/>
            </w:tcMar>
          </w:tcPr>
          <w:p w14:paraId="1BD33D92" w14:textId="77777777" w:rsidR="001D719C" w:rsidRPr="001D719C" w:rsidRDefault="001D719C" w:rsidP="001D719C">
            <w:pPr>
              <w:pStyle w:val="CDITable-RowLeft"/>
            </w:pPr>
          </w:p>
        </w:tc>
        <w:tc>
          <w:tcPr>
            <w:tcW w:w="2324"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11EDC503" w14:textId="77777777" w:rsidR="001D719C" w:rsidRPr="001D719C" w:rsidRDefault="001D719C" w:rsidP="001D719C">
            <w:pPr>
              <w:pStyle w:val="CDITable-RowLeft"/>
            </w:pPr>
            <w:proofErr w:type="spellStart"/>
            <w:r w:rsidRPr="001D719C">
              <w:t>AusVaxSafety</w:t>
            </w:r>
            <w:r w:rsidRPr="001D719C">
              <w:rPr>
                <w:vertAlign w:val="superscript"/>
              </w:rPr>
              <w:t>b</w:t>
            </w:r>
            <w:proofErr w:type="spellEnd"/>
          </w:p>
        </w:tc>
        <w:tc>
          <w:tcPr>
            <w:tcW w:w="1021"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69ABB5B1" w14:textId="77777777" w:rsidR="001D719C" w:rsidRPr="001D719C" w:rsidRDefault="001D719C" w:rsidP="001D719C">
            <w:pPr>
              <w:pStyle w:val="CDITable-RowCentre"/>
            </w:pPr>
            <w:r w:rsidRPr="001D719C">
              <w:t>8</w:t>
            </w:r>
          </w:p>
        </w:tc>
        <w:tc>
          <w:tcPr>
            <w:tcW w:w="1332"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7B662A94" w14:textId="77777777" w:rsidR="001D719C" w:rsidRPr="001D719C" w:rsidRDefault="001D719C" w:rsidP="001D719C">
            <w:pPr>
              <w:pStyle w:val="CDITable-RowCentre"/>
            </w:pPr>
            <w:r w:rsidRPr="001D719C">
              <w:t>—</w:t>
            </w:r>
          </w:p>
        </w:tc>
        <w:tc>
          <w:tcPr>
            <w:tcW w:w="1021"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197C6375" w14:textId="77777777" w:rsidR="001D719C" w:rsidRPr="001D719C" w:rsidRDefault="001D719C" w:rsidP="001D719C">
            <w:pPr>
              <w:pStyle w:val="CDITable-RowCentre"/>
            </w:pPr>
            <w:r w:rsidRPr="001D719C">
              <w:t>6</w:t>
            </w:r>
          </w:p>
        </w:tc>
        <w:tc>
          <w:tcPr>
            <w:tcW w:w="1332"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5400445D" w14:textId="77777777" w:rsidR="001D719C" w:rsidRPr="001D719C" w:rsidRDefault="001D719C" w:rsidP="001D719C">
            <w:pPr>
              <w:pStyle w:val="CDITable-RowCentre"/>
            </w:pPr>
            <w:r w:rsidRPr="001D719C">
              <w:t>—</w:t>
            </w:r>
          </w:p>
        </w:tc>
      </w:tr>
      <w:tr w:rsidR="001D719C" w:rsidRPr="001D719C" w14:paraId="1FA1DD61" w14:textId="77777777" w:rsidTr="00370984">
        <w:trPr>
          <w:trHeight w:val="60"/>
        </w:trPr>
        <w:tc>
          <w:tcPr>
            <w:tcW w:w="2608" w:type="dxa"/>
            <w:vMerge/>
            <w:tcBorders>
              <w:bottom w:val="single" w:sz="6" w:space="0" w:color="1E4496" w:themeColor="text2"/>
            </w:tcBorders>
            <w:shd w:val="clear" w:color="auto" w:fill="DCF4FC" w:themeFill="background2" w:themeFillTint="33"/>
            <w:tcMar>
              <w:top w:w="79" w:type="dxa"/>
              <w:bottom w:w="79" w:type="dxa"/>
            </w:tcMar>
          </w:tcPr>
          <w:p w14:paraId="4FB4D995" w14:textId="77777777" w:rsidR="001D719C" w:rsidRPr="001D719C" w:rsidRDefault="001D719C" w:rsidP="001D719C">
            <w:pPr>
              <w:pStyle w:val="CDITable-RowLeft"/>
            </w:pPr>
          </w:p>
        </w:tc>
        <w:tc>
          <w:tcPr>
            <w:tcW w:w="2324"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680C018B" w14:textId="77777777" w:rsidR="001D719C" w:rsidRPr="001D719C" w:rsidRDefault="001D719C" w:rsidP="001D719C">
            <w:pPr>
              <w:pStyle w:val="CDITable-RowLeft"/>
            </w:pPr>
            <w:proofErr w:type="spellStart"/>
            <w:r w:rsidRPr="001D719C">
              <w:t>PAEDS</w:t>
            </w:r>
            <w:r w:rsidRPr="001D719C">
              <w:rPr>
                <w:vertAlign w:val="superscript"/>
              </w:rPr>
              <w:t>c</w:t>
            </w:r>
            <w:proofErr w:type="spellEnd"/>
          </w:p>
        </w:tc>
        <w:tc>
          <w:tcPr>
            <w:tcW w:w="1021"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2FA41839" w14:textId="77777777" w:rsidR="001D719C" w:rsidRPr="001D719C" w:rsidRDefault="001D719C" w:rsidP="001D719C">
            <w:pPr>
              <w:pStyle w:val="CDITable-RowCentre"/>
            </w:pPr>
            <w:r w:rsidRPr="001D719C">
              <w:t>15</w:t>
            </w:r>
          </w:p>
        </w:tc>
        <w:tc>
          <w:tcPr>
            <w:tcW w:w="1332"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45421DAC" w14:textId="77777777" w:rsidR="001D719C" w:rsidRPr="001D719C" w:rsidRDefault="001D719C" w:rsidP="001D719C">
            <w:pPr>
              <w:pStyle w:val="CDITable-RowCentre"/>
            </w:pPr>
            <w:r w:rsidRPr="001D719C">
              <w:t>—</w:t>
            </w:r>
          </w:p>
        </w:tc>
        <w:tc>
          <w:tcPr>
            <w:tcW w:w="1021"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14791698" w14:textId="77777777" w:rsidR="001D719C" w:rsidRPr="001D719C" w:rsidRDefault="001D719C" w:rsidP="001D719C">
            <w:pPr>
              <w:pStyle w:val="CDITable-RowCentre"/>
            </w:pPr>
            <w:r w:rsidRPr="001D719C">
              <w:t>13</w:t>
            </w:r>
          </w:p>
        </w:tc>
        <w:tc>
          <w:tcPr>
            <w:tcW w:w="1332"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04648729" w14:textId="77777777" w:rsidR="001D719C" w:rsidRPr="001D719C" w:rsidRDefault="001D719C" w:rsidP="001D719C">
            <w:pPr>
              <w:pStyle w:val="CDITable-RowCentre"/>
            </w:pPr>
            <w:r w:rsidRPr="001D719C">
              <w:t>—</w:t>
            </w:r>
          </w:p>
        </w:tc>
      </w:tr>
      <w:tr w:rsidR="001D719C" w:rsidRPr="001D719C" w14:paraId="58FC1B59" w14:textId="77777777" w:rsidTr="00370984">
        <w:trPr>
          <w:trHeight w:val="60"/>
        </w:trPr>
        <w:tc>
          <w:tcPr>
            <w:tcW w:w="2608" w:type="dxa"/>
            <w:tcBorders>
              <w:top w:val="single" w:sz="6" w:space="0" w:color="1E4496" w:themeColor="text2"/>
              <w:bottom w:val="single" w:sz="6" w:space="0" w:color="1E4496" w:themeColor="text2"/>
            </w:tcBorders>
            <w:shd w:val="clear" w:color="auto" w:fill="DCF4FC" w:themeFill="background2" w:themeFillTint="33"/>
            <w:tcMar>
              <w:top w:w="79" w:type="dxa"/>
              <w:left w:w="113" w:type="dxa"/>
              <w:bottom w:w="79" w:type="dxa"/>
              <w:right w:w="113" w:type="dxa"/>
            </w:tcMar>
            <w:vAlign w:val="center"/>
          </w:tcPr>
          <w:p w14:paraId="1FB68F88" w14:textId="77777777" w:rsidR="001D719C" w:rsidRPr="001D719C" w:rsidRDefault="001D719C" w:rsidP="001D719C">
            <w:pPr>
              <w:pStyle w:val="CDITable-RowLeft"/>
            </w:pPr>
            <w:r w:rsidRPr="001D719C">
              <w:t>Attended for clinical review</w:t>
            </w:r>
          </w:p>
        </w:tc>
        <w:tc>
          <w:tcPr>
            <w:tcW w:w="2324"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39AD1E36" w14:textId="77777777" w:rsidR="001D719C" w:rsidRPr="001D719C" w:rsidRDefault="001D719C" w:rsidP="001D719C">
            <w:pPr>
              <w:pStyle w:val="CDITable-RowLeft"/>
            </w:pPr>
            <w:r w:rsidRPr="001D719C">
              <w:t>—</w:t>
            </w:r>
          </w:p>
        </w:tc>
        <w:tc>
          <w:tcPr>
            <w:tcW w:w="1021"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416CD43C" w14:textId="77777777" w:rsidR="001D719C" w:rsidRPr="001D719C" w:rsidRDefault="001D719C" w:rsidP="001D719C">
            <w:pPr>
              <w:pStyle w:val="CDITable-RowCentre"/>
            </w:pPr>
            <w:r w:rsidRPr="001D719C">
              <w:t>363</w:t>
            </w:r>
          </w:p>
        </w:tc>
        <w:tc>
          <w:tcPr>
            <w:tcW w:w="1332"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0716DABE" w14:textId="77777777" w:rsidR="001D719C" w:rsidRPr="001D719C" w:rsidRDefault="001D719C" w:rsidP="001D719C">
            <w:pPr>
              <w:pStyle w:val="CDITable-RowCentre"/>
            </w:pPr>
            <w:r w:rsidRPr="001D719C">
              <w:t>—</w:t>
            </w:r>
          </w:p>
        </w:tc>
        <w:tc>
          <w:tcPr>
            <w:tcW w:w="1021"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12D24F71" w14:textId="77777777" w:rsidR="001D719C" w:rsidRPr="001D719C" w:rsidRDefault="001D719C" w:rsidP="001D719C">
            <w:pPr>
              <w:pStyle w:val="CDITable-RowCentre"/>
            </w:pPr>
            <w:r w:rsidRPr="001D719C">
              <w:t>442</w:t>
            </w:r>
          </w:p>
        </w:tc>
        <w:tc>
          <w:tcPr>
            <w:tcW w:w="1332" w:type="dxa"/>
            <w:tcBorders>
              <w:top w:val="single" w:sz="6" w:space="0" w:color="1E4496" w:themeColor="text2"/>
              <w:bottom w:val="single" w:sz="6" w:space="0" w:color="1E4496" w:themeColor="text2"/>
            </w:tcBorders>
            <w:tcMar>
              <w:top w:w="79" w:type="dxa"/>
              <w:left w:w="113" w:type="dxa"/>
              <w:bottom w:w="79" w:type="dxa"/>
              <w:right w:w="113" w:type="dxa"/>
            </w:tcMar>
            <w:vAlign w:val="center"/>
          </w:tcPr>
          <w:p w14:paraId="293E602B" w14:textId="77777777" w:rsidR="001D719C" w:rsidRPr="001D719C" w:rsidRDefault="001D719C" w:rsidP="001D719C">
            <w:pPr>
              <w:pStyle w:val="CDITable-RowCentre"/>
            </w:pPr>
            <w:r w:rsidRPr="001D719C">
              <w:t>—</w:t>
            </w:r>
          </w:p>
        </w:tc>
      </w:tr>
    </w:tbl>
    <w:p w14:paraId="1B28A561" w14:textId="77777777" w:rsidR="001D719C" w:rsidRDefault="001D719C" w:rsidP="001D719C">
      <w:pPr>
        <w:pStyle w:val="CDITable-FirstFootnote"/>
      </w:pPr>
      <w:r>
        <w:t>a</w:t>
      </w:r>
      <w:r>
        <w:tab/>
        <w:t>Percentage calculated using reports available for analysis as the denominator.</w:t>
      </w:r>
    </w:p>
    <w:p w14:paraId="015D4492" w14:textId="77777777" w:rsidR="001D719C" w:rsidRDefault="001D719C" w:rsidP="001D719C">
      <w:pPr>
        <w:pStyle w:val="CDITable-Footnote"/>
      </w:pPr>
      <w:r>
        <w:t>b</w:t>
      </w:r>
      <w:r>
        <w:tab/>
      </w:r>
      <w:proofErr w:type="spellStart"/>
      <w:r>
        <w:t>AusVaxSafety</w:t>
      </w:r>
      <w:proofErr w:type="spellEnd"/>
      <w:r>
        <w:t xml:space="preserve"> surveillance system, National Centre for Immunisation Research and Surveillance, Sydney Children’s Hospital Network.</w:t>
      </w:r>
    </w:p>
    <w:p w14:paraId="23C47EFC" w14:textId="721C4FB5" w:rsidR="001D719C" w:rsidRDefault="001D719C" w:rsidP="001D719C">
      <w:pPr>
        <w:pStyle w:val="CDITable-Footnote"/>
      </w:pPr>
      <w:r>
        <w:t>c</w:t>
      </w:r>
      <w:r>
        <w:tab/>
        <w:t xml:space="preserve">Paediatric Active </w:t>
      </w:r>
      <w:proofErr w:type="spellStart"/>
      <w:r>
        <w:t>Enhanched</w:t>
      </w:r>
      <w:proofErr w:type="spellEnd"/>
      <w:r>
        <w:t xml:space="preserve"> Disease Surveillance system.</w:t>
      </w:r>
    </w:p>
    <w:p w14:paraId="312DF2F0" w14:textId="77777777" w:rsidR="00370984" w:rsidRPr="00370984" w:rsidRDefault="00370984" w:rsidP="00370984">
      <w:pPr>
        <w:pStyle w:val="CDIFigure-Title"/>
        <w:rPr>
          <w:lang w:val="en-GB"/>
        </w:rPr>
      </w:pPr>
      <w:bookmarkStart w:id="32" w:name="_Toc222142540"/>
      <w:r w:rsidRPr="00370984">
        <w:rPr>
          <w:lang w:val="en-GB"/>
        </w:rPr>
        <w:lastRenderedPageBreak/>
        <w:t>Figure 1: Adverse events following immunisation (AEFI) reports and reporting rate per 100,000 population, by year, SAEFVIC, Victoria, Australia, 2015–2020</w:t>
      </w:r>
      <w:bookmarkEnd w:id="32"/>
    </w:p>
    <w:p w14:paraId="2259E0DB" w14:textId="2A3AF83B" w:rsidR="001D719C" w:rsidRDefault="00A16A06" w:rsidP="00A16A06">
      <w:pPr>
        <w:pStyle w:val="CDIFigure-Placeholder"/>
      </w:pPr>
      <w:r>
        <w:rPr>
          <w:noProof/>
          <w14:ligatures w14:val="none"/>
        </w:rPr>
        <w:drawing>
          <wp:inline distT="0" distB="0" distL="0" distR="0" wp14:anchorId="3351AD67" wp14:editId="3AE0FD48">
            <wp:extent cx="6120765" cy="4319905"/>
            <wp:effectExtent l="0" t="0" r="0" b="4445"/>
            <wp:docPr id="304607181" name="Picture 1" descr="Dual column and line graph with the primary axis showing the count of AEFI by year reported from 2015 to 2020, stratified by serious and non-serious AEFI. The secondary axis (line graph) demonstrates the reporting rate per population by year AEFI was reported. The number of AEFI reports increased from 2015 at 1,281 reports to 2019 at 1,920 reports and stabilised in 2020 at 1,908 reports. The percentage of reports that meet the definition of serious AEFI have decreased from 2015 at14.4% to 2020 at 7.1%. The reporting rate per population peaked in 2019 at 29.1 per 1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607181" name="Picture 1" descr="Dual column and line graph with the primary axis showing the count of AEFI by year reported from 2015 to 2020, stratified by serious and non-serious AEFI. The secondary axis (line graph) demonstrates the reporting rate per population by year AEFI was reported. The number of AEFI reports increased from 2015 at 1,281 reports to 2019 at 1,920 reports and stabilised in 2020 at 1,908 reports. The percentage of reports that meet the definition of serious AEFI have decreased from 2015 at14.4% to 2020 at 7.1%. The reporting rate per population peaked in 2019 at 29.1 per 100,000."/>
                    <pic:cNvPicPr/>
                  </pic:nvPicPr>
                  <pic:blipFill>
                    <a:blip r:embed="rId18">
                      <a:extLst>
                        <a:ext uri="{28A0092B-C50C-407E-A947-70E740481C1C}">
                          <a14:useLocalDpi xmlns:a14="http://schemas.microsoft.com/office/drawing/2010/main" val="0"/>
                        </a:ext>
                      </a:extLst>
                    </a:blip>
                    <a:stretch>
                      <a:fillRect/>
                    </a:stretch>
                  </pic:blipFill>
                  <pic:spPr>
                    <a:xfrm>
                      <a:off x="0" y="0"/>
                      <a:ext cx="6120765" cy="4319905"/>
                    </a:xfrm>
                    <a:prstGeom prst="rect">
                      <a:avLst/>
                    </a:prstGeom>
                  </pic:spPr>
                </pic:pic>
              </a:graphicData>
            </a:graphic>
          </wp:inline>
        </w:drawing>
      </w:r>
    </w:p>
    <w:p w14:paraId="445D9272" w14:textId="77777777" w:rsidR="00A16A06" w:rsidRPr="00A16A06" w:rsidRDefault="00A16A06" w:rsidP="00A16A06">
      <w:pPr>
        <w:pStyle w:val="Heading3"/>
        <w:rPr>
          <w:lang w:val="en-GB"/>
        </w:rPr>
      </w:pPr>
      <w:r w:rsidRPr="00A16A06">
        <w:rPr>
          <w:lang w:val="en-GB"/>
        </w:rPr>
        <w:t>Serious AEFI (SAEFI)</w:t>
      </w:r>
    </w:p>
    <w:p w14:paraId="54C7ECAA" w14:textId="77777777" w:rsidR="00A16A06" w:rsidRPr="00A16A06" w:rsidRDefault="00A16A06" w:rsidP="00A16A06">
      <w:pPr>
        <w:rPr>
          <w:lang w:val="en-GB"/>
        </w:rPr>
      </w:pPr>
      <w:r w:rsidRPr="00A16A06">
        <w:rPr>
          <w:lang w:val="en-GB"/>
        </w:rPr>
        <w:t>Of the reports submitted in 2019 and 2020, there were respectively 155 (8.1%) and 135 (7.1%) which met the definition of SAEFI. The proportion of SAEFI reported has declined from an average reporting proportion of 11.3% during 2015–2018 to 7.1% in 2020 (</w:t>
      </w:r>
      <w:r w:rsidRPr="00A16A06">
        <w:rPr>
          <w:i/>
          <w:iCs/>
          <w:lang w:val="en-GB"/>
        </w:rPr>
        <w:t>p</w:t>
      </w:r>
      <w:r w:rsidRPr="00A16A06">
        <w:rPr>
          <w:lang w:val="en-GB"/>
        </w:rPr>
        <w:t xml:space="preserve"> &lt; 0.001) (Figure 1). In 2019, ninety-two of 155 SAEFI reports (59.4%) indicated a hospital admission and a further 30 (19.4%) indicated attending a hospital emergency department without admission. In 2020, seventy-six of 135 SAEFI reports (56.3%) were admitted to hospital and 27 (20.0%) attended a hospital emergency department without admission.</w:t>
      </w:r>
    </w:p>
    <w:p w14:paraId="14CF1A04" w14:textId="77777777" w:rsidR="00A16A06" w:rsidRPr="00A16A06" w:rsidRDefault="00A16A06" w:rsidP="00A16A06">
      <w:pPr>
        <w:pStyle w:val="Heading3"/>
        <w:rPr>
          <w:lang w:val="en-GB"/>
        </w:rPr>
      </w:pPr>
      <w:r w:rsidRPr="00A16A06">
        <w:rPr>
          <w:lang w:val="en-GB"/>
        </w:rPr>
        <w:t>Reporting modality</w:t>
      </w:r>
    </w:p>
    <w:p w14:paraId="6825C047" w14:textId="77777777" w:rsidR="00A16A06" w:rsidRDefault="00A16A06" w:rsidP="00A16A06">
      <w:pPr>
        <w:rPr>
          <w:lang w:val="en-GB"/>
        </w:rPr>
      </w:pPr>
      <w:r w:rsidRPr="00A16A06">
        <w:rPr>
          <w:lang w:val="en-GB"/>
        </w:rPr>
        <w:t>Online reporting to SAEFVIC remained the most common method of reporting AEFIs, accounting for 48.7% and 55.8% of reports in 2019 and 2020 respectively, followed by telephone (32.7% in 2019 and 27.0% in 2020) and fax (17.7% in 2019 and 16.2% in 2020) (Figure 2).</w:t>
      </w:r>
    </w:p>
    <w:p w14:paraId="6993E64C" w14:textId="77777777" w:rsidR="00A16A06" w:rsidRPr="00A16A06" w:rsidRDefault="00A16A06" w:rsidP="00A16A06">
      <w:pPr>
        <w:pStyle w:val="CDIFigure-Title"/>
        <w:rPr>
          <w:lang w:val="en-GB"/>
        </w:rPr>
      </w:pPr>
      <w:bookmarkStart w:id="33" w:name="_Toc222142541"/>
      <w:r w:rsidRPr="00A16A06">
        <w:rPr>
          <w:lang w:val="en-GB"/>
        </w:rPr>
        <w:lastRenderedPageBreak/>
        <w:t>Figure 2: Adverse events following immunisation (AEFI) reports by reporting modality and year, SAEFVIC, Victoria, Australia, 2015–2020</w:t>
      </w:r>
      <w:bookmarkEnd w:id="33"/>
    </w:p>
    <w:p w14:paraId="0497FF28" w14:textId="07AACC4D" w:rsidR="00A16A06" w:rsidRDefault="00A16A06" w:rsidP="00A16A06">
      <w:pPr>
        <w:pStyle w:val="CDIFigure-Placeholder"/>
        <w:rPr>
          <w:lang w:val="en-GB"/>
        </w:rPr>
      </w:pPr>
      <w:r>
        <w:rPr>
          <w:noProof/>
          <w:lang w:val="en-GB"/>
          <w14:ligatures w14:val="none"/>
        </w:rPr>
        <w:drawing>
          <wp:inline distT="0" distB="0" distL="0" distR="0" wp14:anchorId="3E6C5866" wp14:editId="1081C2AC">
            <wp:extent cx="6117336" cy="3063240"/>
            <wp:effectExtent l="0" t="0" r="0" b="3810"/>
            <wp:docPr id="1670171577" name="Picture 2" descr="One hundred percent stacked chart showing the mode in which the AEFI was reported to SAEFVIC from 2015 to 2020. The modes of reporting include: post, telephone, fax and online. Online reporting of AEFI to SAEFVIC was the most frequent reporting mode from 2015 to 2020, varying from as low as 40.3% in 2015 to as high as 55.8% in 2020. The second most frequently used mode of reporting AEFI was by telephone, varying from as low as 22.5% in 2018 to as high as 32.9% in 2015. The least used mode was by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171577" name="Picture 2" descr="One hundred percent stacked chart showing the mode in which the AEFI was reported to SAEFVIC from 2015 to 2020. The modes of reporting include: post, telephone, fax and online. Online reporting of AEFI to SAEFVIC was the most frequent reporting mode from 2015 to 2020, varying from as low as 40.3% in 2015 to as high as 55.8% in 2020. The second most frequently used mode of reporting AEFI was by telephone, varying from as low as 22.5% in 2018 to as high as 32.9% in 2015. The least used mode was by post."/>
                    <pic:cNvPicPr/>
                  </pic:nvPicPr>
                  <pic:blipFill>
                    <a:blip r:embed="rId19">
                      <a:extLst>
                        <a:ext uri="{28A0092B-C50C-407E-A947-70E740481C1C}">
                          <a14:useLocalDpi xmlns:a14="http://schemas.microsoft.com/office/drawing/2010/main" val="0"/>
                        </a:ext>
                      </a:extLst>
                    </a:blip>
                    <a:stretch>
                      <a:fillRect/>
                    </a:stretch>
                  </pic:blipFill>
                  <pic:spPr>
                    <a:xfrm>
                      <a:off x="0" y="0"/>
                      <a:ext cx="6117336" cy="3063240"/>
                    </a:xfrm>
                    <a:prstGeom prst="rect">
                      <a:avLst/>
                    </a:prstGeom>
                  </pic:spPr>
                </pic:pic>
              </a:graphicData>
            </a:graphic>
          </wp:inline>
        </w:drawing>
      </w:r>
    </w:p>
    <w:p w14:paraId="0B4E3FCF" w14:textId="77777777" w:rsidR="00A16A06" w:rsidRPr="00A16A06" w:rsidRDefault="00A16A06" w:rsidP="00A16A06">
      <w:pPr>
        <w:pStyle w:val="Heading3"/>
        <w:rPr>
          <w:lang w:val="en-GB"/>
        </w:rPr>
      </w:pPr>
      <w:r w:rsidRPr="00A16A06">
        <w:rPr>
          <w:lang w:val="en-GB"/>
        </w:rPr>
        <w:t>Active surveillance</w:t>
      </w:r>
    </w:p>
    <w:p w14:paraId="53F29DC6" w14:textId="77777777" w:rsidR="00A16A06" w:rsidRPr="00A16A06" w:rsidRDefault="00A16A06" w:rsidP="00A16A06">
      <w:pPr>
        <w:rPr>
          <w:lang w:val="en-GB"/>
        </w:rPr>
      </w:pPr>
      <w:r w:rsidRPr="00A16A06">
        <w:rPr>
          <w:lang w:val="en-GB"/>
        </w:rPr>
        <w:t xml:space="preserve">The proportion of reports originating from active surveillance decreased from 3% in 2015 to 1% in 2020. However, a high proportion of these reports are defined as SAEFI (13/23: 57% in 2019; 13/19: 68% in 2020) arising from provision of medically attended reports to SAEFVIC from </w:t>
      </w:r>
      <w:proofErr w:type="spellStart"/>
      <w:r w:rsidRPr="00A16A06">
        <w:rPr>
          <w:lang w:val="en-GB"/>
        </w:rPr>
        <w:t>AusVaxSafety</w:t>
      </w:r>
      <w:proofErr w:type="spellEnd"/>
      <w:r w:rsidRPr="00A16A06">
        <w:rPr>
          <w:lang w:val="en-GB"/>
        </w:rPr>
        <w:t xml:space="preserve"> for the purpose of clinical follow-up, and from cases identified from PAEDS that contain a relevant vaccination history. </w:t>
      </w:r>
    </w:p>
    <w:p w14:paraId="2EB1B251" w14:textId="77777777" w:rsidR="00A16A06" w:rsidRPr="00A16A06" w:rsidRDefault="00A16A06" w:rsidP="00A16A06">
      <w:pPr>
        <w:pStyle w:val="Heading3"/>
        <w:rPr>
          <w:lang w:val="en-GB"/>
        </w:rPr>
      </w:pPr>
      <w:r w:rsidRPr="00A16A06">
        <w:rPr>
          <w:lang w:val="en-GB"/>
        </w:rPr>
        <w:t>Reporter type</w:t>
      </w:r>
    </w:p>
    <w:p w14:paraId="7212A2EB" w14:textId="77777777" w:rsidR="00A16A06" w:rsidRPr="00A16A06" w:rsidRDefault="00A16A06" w:rsidP="00A16A06">
      <w:pPr>
        <w:rPr>
          <w:lang w:val="en-GB"/>
        </w:rPr>
      </w:pPr>
      <w:r w:rsidRPr="00A16A06">
        <w:rPr>
          <w:lang w:val="en-GB"/>
        </w:rPr>
        <w:t>Reporter type has remained consistent, with approximately two-thirds of all reports submitted by healthcare providers; one-third by consumers (vaccinees or their parent/guardian); and a small proportion of reports submitted by pharmacists (Victorian Pharmacist-Administered Vaccination Program commenced in 2016) (Figure 3). The remainder in the category of ‘other’ included immunisation coordinators, clinic management, and friends and relatives of the vaccinee. More than half of the reports made by healthcare providers were from the primary care setting (53.6%); 19.6% were from a hospital setting; with the remainder comprising reports from other settings such as council programs and school programs, or reports where insufficient information was provided to identify the setting.</w:t>
      </w:r>
    </w:p>
    <w:p w14:paraId="03605A73" w14:textId="77777777" w:rsidR="00A16A06" w:rsidRPr="00A16A06" w:rsidRDefault="00A16A06" w:rsidP="00A16A06">
      <w:pPr>
        <w:pStyle w:val="CDIFigure-Title"/>
        <w:rPr>
          <w:lang w:val="en-GB"/>
        </w:rPr>
      </w:pPr>
      <w:bookmarkStart w:id="34" w:name="_Toc222142542"/>
      <w:r w:rsidRPr="00A16A06">
        <w:rPr>
          <w:lang w:val="en-GB"/>
        </w:rPr>
        <w:lastRenderedPageBreak/>
        <w:t>Figure 3: Adverse events following immunisation (AEFI) reports by reporter type and year, SAEFVIC, Victoria, Australia, 2015–2020</w:t>
      </w:r>
      <w:bookmarkEnd w:id="34"/>
    </w:p>
    <w:p w14:paraId="2F351CB8" w14:textId="5C37819E" w:rsidR="001D719C" w:rsidRDefault="00A16A06" w:rsidP="00A16A06">
      <w:pPr>
        <w:pStyle w:val="CDIFigure-Placeholder"/>
      </w:pPr>
      <w:r>
        <w:rPr>
          <w:noProof/>
          <w14:ligatures w14:val="none"/>
        </w:rPr>
        <w:drawing>
          <wp:inline distT="0" distB="0" distL="0" distR="0" wp14:anchorId="58747984" wp14:editId="28AB4841">
            <wp:extent cx="6117336" cy="3063240"/>
            <wp:effectExtent l="0" t="0" r="0" b="3810"/>
            <wp:docPr id="175840278" name="Picture 3" descr="One hundred percent stacked chart showing the type of reporters that report AEFI to SAEFVIC from 2015 to 2020. The types of reporters consist of: Pharmacists, consumers (being the vaccinee themselves or their parents/guardians/carers), healthcare providers, and others. Healthcare providers were the most frequent reporter type to report AEFI to SAEFVIC in 2015 to 2020, varying from as low as 66.3% in 2015 to as high as 73.0% in 2018. The second most frequent reporter type were consumers, varying from as low as 22.2% in 2018 to as high as 27.8% in 2015. The reporter type least to report AEFI to SAEFVIC were Pharmaci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40278" name="Picture 3" descr="One hundred percent stacked chart showing the type of reporters that report AEFI to SAEFVIC from 2015 to 2020. The types of reporters consist of: Pharmacists, consumers (being the vaccinee themselves or their parents/guardians/carers), healthcare providers, and others. Healthcare providers were the most frequent reporter type to report AEFI to SAEFVIC in 2015 to 2020, varying from as low as 66.3% in 2015 to as high as 73.0% in 2018. The second most frequent reporter type were consumers, varying from as low as 22.2% in 2018 to as high as 27.8% in 2015. The reporter type least to report AEFI to SAEFVIC were Pharmacists."/>
                    <pic:cNvPicPr/>
                  </pic:nvPicPr>
                  <pic:blipFill>
                    <a:blip r:embed="rId20">
                      <a:extLst>
                        <a:ext uri="{28A0092B-C50C-407E-A947-70E740481C1C}">
                          <a14:useLocalDpi xmlns:a14="http://schemas.microsoft.com/office/drawing/2010/main" val="0"/>
                        </a:ext>
                      </a:extLst>
                    </a:blip>
                    <a:stretch>
                      <a:fillRect/>
                    </a:stretch>
                  </pic:blipFill>
                  <pic:spPr>
                    <a:xfrm>
                      <a:off x="0" y="0"/>
                      <a:ext cx="6117336" cy="3063240"/>
                    </a:xfrm>
                    <a:prstGeom prst="rect">
                      <a:avLst/>
                    </a:prstGeom>
                  </pic:spPr>
                </pic:pic>
              </a:graphicData>
            </a:graphic>
          </wp:inline>
        </w:drawing>
      </w:r>
    </w:p>
    <w:p w14:paraId="3BB50C9A" w14:textId="77777777" w:rsidR="00A16A06" w:rsidRPr="00A16A06" w:rsidRDefault="00A16A06" w:rsidP="00A16A06">
      <w:pPr>
        <w:pStyle w:val="Heading3"/>
        <w:rPr>
          <w:lang w:val="en-GB"/>
        </w:rPr>
      </w:pPr>
      <w:r w:rsidRPr="00A16A06">
        <w:rPr>
          <w:lang w:val="en-GB"/>
        </w:rPr>
        <w:t>Age and sex distribution</w:t>
      </w:r>
    </w:p>
    <w:p w14:paraId="2BB13D46" w14:textId="77777777" w:rsidR="00A16A06" w:rsidRPr="00A16A06" w:rsidRDefault="00A16A06" w:rsidP="00A16A06">
      <w:pPr>
        <w:rPr>
          <w:lang w:val="en-GB"/>
        </w:rPr>
      </w:pPr>
      <w:r w:rsidRPr="00A16A06">
        <w:rPr>
          <w:lang w:val="en-GB"/>
        </w:rPr>
        <w:t xml:space="preserve">Young children (age group 1–4 years) comprised the largest proportion of AEFI reports received in 2019 and 2020, consistent with reporting in previous years. At a population level, AEFI reporting for young children showed an increasing trend between 2016 and 2020 (Chi-squared test for trend </w:t>
      </w:r>
      <w:r w:rsidRPr="00A16A06">
        <w:rPr>
          <w:i/>
          <w:iCs/>
          <w:lang w:val="en-GB"/>
        </w:rPr>
        <w:t>p</w:t>
      </w:r>
      <w:r w:rsidRPr="00A16A06">
        <w:rPr>
          <w:lang w:val="en-GB"/>
        </w:rPr>
        <w:t xml:space="preserve"> &lt; 0.001, Figure 4). Reporting volume and rate per population for school-aged children (5–17 years) decreased in 2020 compared to 2019. Reporting trend differences for school-aged children, adults (18–64 years) and older persons (65+ years) for 2015 and 2016 are consistent with historical changes to vaccines offered in these age groups (Figure 4).</w:t>
      </w:r>
      <w:r w:rsidRPr="00A16A06">
        <w:rPr>
          <w:vertAlign w:val="superscript"/>
          <w:lang w:val="en-GB"/>
        </w:rPr>
        <w:t>21</w:t>
      </w:r>
      <w:r w:rsidRPr="00A16A06">
        <w:rPr>
          <w:lang w:val="en-GB"/>
        </w:rPr>
        <w:t xml:space="preserve"> The largest numbers of SAEFI reported were in young children (2019: 69/155 [44.8%]; 2020: 67/135 [49.6%]), whereas the proportions of AEFI which were SAEFI, by age group, were highest in infants for both years (13.3% in 2019; 10.2% in 2020) (Table 2). </w:t>
      </w:r>
    </w:p>
    <w:p w14:paraId="49886B4A" w14:textId="77777777" w:rsidR="00A16A06" w:rsidRPr="00A16A06" w:rsidRDefault="00A16A06" w:rsidP="00A16A06">
      <w:pPr>
        <w:rPr>
          <w:lang w:val="en-GB"/>
        </w:rPr>
      </w:pPr>
      <w:r w:rsidRPr="00A16A06">
        <w:rPr>
          <w:lang w:val="en-GB"/>
        </w:rPr>
        <w:t>Over half of all AEFI reporting in 2019 and 2020 were for female vaccinees (51.9% in 2019; 53.0% in 2020), with the greatest sex differences seen in adults (84.0% female in 2019; 82.5% in 2020) and older persons (65.3% in 2019; 75.8% in 2020) (Table 3).</w:t>
      </w:r>
    </w:p>
    <w:p w14:paraId="1188CCF4" w14:textId="77777777" w:rsidR="00A16A06" w:rsidRPr="00A16A06" w:rsidRDefault="00A16A06" w:rsidP="00A16A06">
      <w:pPr>
        <w:pStyle w:val="Heading3"/>
        <w:rPr>
          <w:lang w:val="en-GB"/>
        </w:rPr>
      </w:pPr>
      <w:r w:rsidRPr="00A16A06">
        <w:rPr>
          <w:lang w:val="en-GB"/>
        </w:rPr>
        <w:t>Specific populations</w:t>
      </w:r>
    </w:p>
    <w:p w14:paraId="482B62AA" w14:textId="77777777" w:rsidR="00A16A06" w:rsidRPr="00A16A06" w:rsidRDefault="00A16A06" w:rsidP="00A16A06">
      <w:pPr>
        <w:rPr>
          <w:lang w:val="en-GB"/>
        </w:rPr>
      </w:pPr>
      <w:r w:rsidRPr="00A16A06">
        <w:rPr>
          <w:lang w:val="en-GB"/>
        </w:rPr>
        <w:t xml:space="preserve">Aboriginal and/or Torres Strait Islander (Indigenous Australian) status was reported for 79.9% of AEFI reports in 2019 and 86.8% in 2020, with approximately 0.9% of reports being for vaccinees identifying as Indigenous Australians in both years (2019: 13/1,535 [0.8%]; 2020: 16/1,656 [1.0%]). </w:t>
      </w:r>
    </w:p>
    <w:p w14:paraId="4374EC2C" w14:textId="77777777" w:rsidR="00A16A06" w:rsidRPr="00A16A06" w:rsidRDefault="00A16A06" w:rsidP="00A16A06">
      <w:pPr>
        <w:rPr>
          <w:lang w:val="en-GB"/>
        </w:rPr>
      </w:pPr>
      <w:r w:rsidRPr="00A16A06">
        <w:rPr>
          <w:lang w:val="en-GB"/>
        </w:rPr>
        <w:t>Of the reports received for adult females in 2019 and 2020, there were respectively 35 (14.5%) and 21 (9.5%) for adverse events following vaccines administered during the vaccinee’s pregnancy.</w:t>
      </w:r>
    </w:p>
    <w:p w14:paraId="7C1C3E15" w14:textId="77777777" w:rsidR="00A16A06" w:rsidRPr="00A16A06" w:rsidRDefault="00A16A06" w:rsidP="00A16A06">
      <w:pPr>
        <w:pStyle w:val="CDIFigure-Title"/>
        <w:rPr>
          <w:lang w:val="en-GB"/>
        </w:rPr>
      </w:pPr>
      <w:bookmarkStart w:id="35" w:name="_Toc222142543"/>
      <w:r w:rsidRPr="00A16A06">
        <w:rPr>
          <w:lang w:val="en-GB"/>
        </w:rPr>
        <w:lastRenderedPageBreak/>
        <w:t>Figure 4: Adverse events following immunisation (AEFI) reports (A) and rate per 100,000 population (B) by age group and year reported, SAEFVIC, Victoria, Australia, 2015–2020</w:t>
      </w:r>
      <w:bookmarkEnd w:id="35"/>
    </w:p>
    <w:p w14:paraId="47F575BD" w14:textId="653DDE1C" w:rsidR="001A53DB" w:rsidRDefault="004514E9" w:rsidP="004514E9">
      <w:pPr>
        <w:pStyle w:val="CDIFigure-Placeholder"/>
      </w:pPr>
      <w:r>
        <w:rPr>
          <w:noProof/>
          <w14:ligatures w14:val="none"/>
        </w:rPr>
        <w:drawing>
          <wp:inline distT="0" distB="0" distL="0" distR="0" wp14:anchorId="424293F2" wp14:editId="1D5109A5">
            <wp:extent cx="6120765" cy="7497445"/>
            <wp:effectExtent l="0" t="0" r="0" b="8255"/>
            <wp:docPr id="4987503" name="Picture 8" descr="Figure 4A is a line chart showing the number of AEFI reports stratified by age group and year reported from 2015 to 2020. Age-specific reporting volume was highest in young children aged one to four years, peaking at 882 in 2020, whereas reporting was lowest in older persons aged 65 years and older, peaking at 178 in 2020. Figure 4B is a line chart showing the reporting rate per population of AEFI reports stratified by age group and year reported from 2015 to 2020. Age-specific reporting rate was highest in infants aged less than 12 months, peaking at 440.0 per 100,000 in 2020, with young children being the second-highest peaking at 272.2 per 100,000 in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7503" name="Picture 8" descr="Figure 4A is a line chart showing the number of AEFI reports stratified by age group and year reported from 2015 to 2020. Age-specific reporting volume was highest in young children aged one to four years, peaking at 882 in 2020, whereas reporting was lowest in older persons aged 65 years and older, peaking at 178 in 2020. Figure 4B is a line chart showing the reporting rate per population of AEFI reports stratified by age group and year reported from 2015 to 2020. Age-specific reporting rate was highest in infants aged less than 12 months, peaking at 440.0 per 100,000 in 2020, with young children being the second-highest peaking at 272.2 per 100,000 in 2020."/>
                    <pic:cNvPicPr/>
                  </pic:nvPicPr>
                  <pic:blipFill>
                    <a:blip r:embed="rId21">
                      <a:extLst>
                        <a:ext uri="{28A0092B-C50C-407E-A947-70E740481C1C}">
                          <a14:useLocalDpi xmlns:a14="http://schemas.microsoft.com/office/drawing/2010/main" val="0"/>
                        </a:ext>
                      </a:extLst>
                    </a:blip>
                    <a:stretch>
                      <a:fillRect/>
                    </a:stretch>
                  </pic:blipFill>
                  <pic:spPr>
                    <a:xfrm>
                      <a:off x="0" y="0"/>
                      <a:ext cx="6120765" cy="7497445"/>
                    </a:xfrm>
                    <a:prstGeom prst="rect">
                      <a:avLst/>
                    </a:prstGeom>
                  </pic:spPr>
                </pic:pic>
              </a:graphicData>
            </a:graphic>
          </wp:inline>
        </w:drawing>
      </w:r>
    </w:p>
    <w:p w14:paraId="2EF69D14" w14:textId="77777777" w:rsidR="001A53DB" w:rsidRDefault="001A53DB" w:rsidP="00EA3397">
      <w:pPr>
        <w:sectPr w:rsidR="001A53DB" w:rsidSect="001E3ECB">
          <w:headerReference w:type="even" r:id="rId22"/>
          <w:headerReference w:type="default" r:id="rId23"/>
          <w:footerReference w:type="even" r:id="rId24"/>
          <w:footerReference w:type="default" r:id="rId25"/>
          <w:headerReference w:type="first" r:id="rId26"/>
          <w:footerReference w:type="first" r:id="rId27"/>
          <w:footnotePr>
            <w:numFmt w:val="lowerRoman"/>
          </w:footnotePr>
          <w:pgSz w:w="11907" w:h="16840" w:code="9"/>
          <w:pgMar w:top="1134" w:right="1134" w:bottom="1134" w:left="1134" w:header="709" w:footer="567" w:gutter="0"/>
          <w:cols w:space="708"/>
          <w:docGrid w:linePitch="360"/>
        </w:sectPr>
      </w:pPr>
    </w:p>
    <w:p w14:paraId="1FE3FAF4" w14:textId="77777777" w:rsidR="001A53DB" w:rsidRPr="001A53DB" w:rsidRDefault="001A53DB" w:rsidP="00656BED">
      <w:pPr>
        <w:pStyle w:val="CDITable-Title"/>
        <w:spacing w:before="0"/>
        <w:rPr>
          <w:lang w:val="en-GB"/>
        </w:rPr>
      </w:pPr>
      <w:bookmarkStart w:id="36" w:name="_Toc222142529"/>
      <w:r w:rsidRPr="001A53DB">
        <w:rPr>
          <w:lang w:val="en-GB"/>
        </w:rPr>
        <w:lastRenderedPageBreak/>
        <w:t xml:space="preserve">Table 2: Serious adverse event following immunisation (AEFI) reports by age </w:t>
      </w:r>
      <w:proofErr w:type="spellStart"/>
      <w:proofErr w:type="gramStart"/>
      <w:r w:rsidRPr="001A53DB">
        <w:rPr>
          <w:lang w:val="en-GB"/>
        </w:rPr>
        <w:t>group,</w:t>
      </w:r>
      <w:r w:rsidRPr="001A53DB">
        <w:rPr>
          <w:vertAlign w:val="superscript"/>
          <w:lang w:val="en-GB"/>
        </w:rPr>
        <w:t>a</w:t>
      </w:r>
      <w:proofErr w:type="spellEnd"/>
      <w:proofErr w:type="gramEnd"/>
      <w:r w:rsidRPr="001A53DB">
        <w:rPr>
          <w:lang w:val="en-GB"/>
        </w:rPr>
        <w:t xml:space="preserve"> SAEFVIC, Victoria, Australia, 2019–2020</w:t>
      </w:r>
      <w:bookmarkEnd w:id="36"/>
    </w:p>
    <w:tbl>
      <w:tblPr>
        <w:tblW w:w="0" w:type="auto"/>
        <w:tblLayout w:type="fixed"/>
        <w:tblCellMar>
          <w:left w:w="0" w:type="dxa"/>
          <w:right w:w="0" w:type="dxa"/>
        </w:tblCellMar>
        <w:tblLook w:val="0000" w:firstRow="0" w:lastRow="0" w:firstColumn="0" w:lastColumn="0" w:noHBand="0" w:noVBand="0"/>
        <w:tblCaption w:val="Table 2: Serious adverse event following immunisation (AEFI) reports by age group,a SAEFVIC, Victoria, Australia, 2019–2020"/>
        <w:tblDescription w:val="Table 2 shows the count, percentage and 95% confidence intervals of serious AEFI reports stratified by age group for 2019 and 2020."/>
      </w:tblPr>
      <w:tblGrid>
        <w:gridCol w:w="1729"/>
        <w:gridCol w:w="1729"/>
        <w:gridCol w:w="1361"/>
        <w:gridCol w:w="1361"/>
        <w:gridCol w:w="1360"/>
        <w:gridCol w:w="1361"/>
        <w:gridCol w:w="1360"/>
        <w:gridCol w:w="1361"/>
        <w:gridCol w:w="1361"/>
        <w:gridCol w:w="1360"/>
      </w:tblGrid>
      <w:tr w:rsidR="00F22124" w:rsidRPr="00F22124" w14:paraId="6B0CAA9C" w14:textId="77777777" w:rsidTr="00DB5F45">
        <w:trPr>
          <w:trHeight w:val="20"/>
          <w:tblHeader/>
        </w:trPr>
        <w:tc>
          <w:tcPr>
            <w:tcW w:w="1729" w:type="dxa"/>
            <w:vMerge w:val="restart"/>
            <w:shd w:val="solid" w:color="1E4496" w:fill="auto"/>
            <w:tcMar>
              <w:top w:w="57" w:type="dxa"/>
              <w:left w:w="113" w:type="dxa"/>
              <w:bottom w:w="57" w:type="dxa"/>
              <w:right w:w="113" w:type="dxa"/>
            </w:tcMar>
            <w:vAlign w:val="bottom"/>
          </w:tcPr>
          <w:p w14:paraId="0DB95CB6" w14:textId="77777777" w:rsidR="00F22124" w:rsidRPr="00F22124" w:rsidRDefault="00F22124" w:rsidP="00F22124">
            <w:pPr>
              <w:pStyle w:val="CDITable-HeaderRowLeft"/>
            </w:pPr>
            <w:r w:rsidRPr="00F22124">
              <w:t>Age group</w:t>
            </w:r>
          </w:p>
        </w:tc>
        <w:tc>
          <w:tcPr>
            <w:tcW w:w="1729" w:type="dxa"/>
            <w:vMerge w:val="restart"/>
            <w:tcBorders>
              <w:right w:val="single" w:sz="6" w:space="0" w:color="FFFFFF" w:themeColor="background1"/>
            </w:tcBorders>
            <w:shd w:val="solid" w:color="1E4496" w:fill="auto"/>
            <w:tcMar>
              <w:top w:w="57" w:type="dxa"/>
              <w:left w:w="113" w:type="dxa"/>
              <w:bottom w:w="57" w:type="dxa"/>
              <w:right w:w="113" w:type="dxa"/>
            </w:tcMar>
            <w:vAlign w:val="bottom"/>
          </w:tcPr>
          <w:p w14:paraId="1B2666B8" w14:textId="77777777" w:rsidR="00F22124" w:rsidRPr="00F22124" w:rsidRDefault="00F22124" w:rsidP="00F22124">
            <w:pPr>
              <w:pStyle w:val="CDITable-HeaderRowLeft"/>
            </w:pPr>
            <w:r w:rsidRPr="00F22124">
              <w:t>Age category</w:t>
            </w:r>
          </w:p>
        </w:tc>
        <w:tc>
          <w:tcPr>
            <w:tcW w:w="5443" w:type="dxa"/>
            <w:gridSpan w:val="4"/>
            <w:tcBorders>
              <w:left w:val="single" w:sz="6" w:space="0" w:color="FFFFFF" w:themeColor="background1"/>
              <w:bottom w:val="single" w:sz="6" w:space="0" w:color="FFFFFF" w:themeColor="background1"/>
            </w:tcBorders>
            <w:shd w:val="solid" w:color="1E4496" w:fill="auto"/>
            <w:tcMar>
              <w:top w:w="57" w:type="dxa"/>
              <w:left w:w="113" w:type="dxa"/>
              <w:bottom w:w="57" w:type="dxa"/>
              <w:right w:w="113" w:type="dxa"/>
            </w:tcMar>
            <w:vAlign w:val="bottom"/>
          </w:tcPr>
          <w:p w14:paraId="2B3F67F4" w14:textId="77777777" w:rsidR="00F22124" w:rsidRPr="00F22124" w:rsidRDefault="00F22124" w:rsidP="00F22124">
            <w:pPr>
              <w:pStyle w:val="CDITable-HeaderRowCentre"/>
            </w:pPr>
            <w:r w:rsidRPr="00F22124">
              <w:t>AEFI: 2019</w:t>
            </w:r>
          </w:p>
        </w:tc>
        <w:tc>
          <w:tcPr>
            <w:tcW w:w="5442" w:type="dxa"/>
            <w:gridSpan w:val="4"/>
            <w:tcBorders>
              <w:bottom w:val="single" w:sz="6" w:space="0" w:color="FFFFFF" w:themeColor="background1"/>
            </w:tcBorders>
            <w:shd w:val="solid" w:color="1E4496" w:fill="auto"/>
            <w:tcMar>
              <w:top w:w="57" w:type="dxa"/>
              <w:left w:w="113" w:type="dxa"/>
              <w:bottom w:w="57" w:type="dxa"/>
              <w:right w:w="113" w:type="dxa"/>
            </w:tcMar>
            <w:vAlign w:val="bottom"/>
          </w:tcPr>
          <w:p w14:paraId="3A83BD94" w14:textId="77777777" w:rsidR="00F22124" w:rsidRPr="00F22124" w:rsidRDefault="00F22124" w:rsidP="00F22124">
            <w:pPr>
              <w:pStyle w:val="CDITable-HeaderRowCentre"/>
            </w:pPr>
            <w:r w:rsidRPr="00F22124">
              <w:t>AEFI: 2020</w:t>
            </w:r>
          </w:p>
        </w:tc>
      </w:tr>
      <w:tr w:rsidR="000B62CE" w:rsidRPr="00F22124" w14:paraId="48E0FB16" w14:textId="77777777" w:rsidTr="00DB5F45">
        <w:trPr>
          <w:trHeight w:val="20"/>
          <w:tblHeader/>
        </w:trPr>
        <w:tc>
          <w:tcPr>
            <w:tcW w:w="1729" w:type="dxa"/>
            <w:vMerge/>
            <w:tcMar>
              <w:top w:w="57" w:type="dxa"/>
              <w:bottom w:w="57" w:type="dxa"/>
            </w:tcMar>
          </w:tcPr>
          <w:p w14:paraId="5FFA0653" w14:textId="77777777" w:rsidR="00F22124" w:rsidRPr="00F22124" w:rsidRDefault="00F22124" w:rsidP="00F22124">
            <w:pPr>
              <w:pStyle w:val="CDITable-RowCentre"/>
            </w:pPr>
          </w:p>
        </w:tc>
        <w:tc>
          <w:tcPr>
            <w:tcW w:w="1729" w:type="dxa"/>
            <w:vMerge/>
            <w:tcBorders>
              <w:right w:val="single" w:sz="6" w:space="0" w:color="FFFFFF" w:themeColor="background1"/>
            </w:tcBorders>
            <w:tcMar>
              <w:top w:w="57" w:type="dxa"/>
              <w:bottom w:w="57" w:type="dxa"/>
            </w:tcMar>
          </w:tcPr>
          <w:p w14:paraId="15D18E79" w14:textId="77777777" w:rsidR="00F22124" w:rsidRPr="00F22124" w:rsidRDefault="00F22124" w:rsidP="00F22124">
            <w:pPr>
              <w:pStyle w:val="CDITable-RowCentre"/>
            </w:pPr>
          </w:p>
        </w:tc>
        <w:tc>
          <w:tcPr>
            <w:tcW w:w="1361" w:type="dxa"/>
            <w:vMerge w:val="restart"/>
            <w:tcBorders>
              <w:top w:val="single" w:sz="6" w:space="0" w:color="FFFFFF" w:themeColor="background1"/>
              <w:left w:val="single" w:sz="6" w:space="0" w:color="FFFFFF" w:themeColor="background1"/>
            </w:tcBorders>
            <w:shd w:val="solid" w:color="1E4496" w:fill="auto"/>
            <w:tcMar>
              <w:top w:w="57" w:type="dxa"/>
              <w:left w:w="113" w:type="dxa"/>
              <w:bottom w:w="57" w:type="dxa"/>
              <w:right w:w="113" w:type="dxa"/>
            </w:tcMar>
            <w:vAlign w:val="bottom"/>
          </w:tcPr>
          <w:p w14:paraId="23537626" w14:textId="77777777" w:rsidR="00F22124" w:rsidRPr="00F22124" w:rsidRDefault="00F22124" w:rsidP="00F22124">
            <w:pPr>
              <w:pStyle w:val="CDITable-HeaderRowCentre"/>
            </w:pPr>
            <w:r w:rsidRPr="00F22124">
              <w:t>Total</w:t>
            </w:r>
          </w:p>
        </w:tc>
        <w:tc>
          <w:tcPr>
            <w:tcW w:w="4082" w:type="dxa"/>
            <w:gridSpan w:val="3"/>
            <w:tcBorders>
              <w:top w:val="single" w:sz="6" w:space="0" w:color="FFFFFF" w:themeColor="background1"/>
              <w:bottom w:val="single" w:sz="6" w:space="0" w:color="FFFFFF" w:themeColor="background1"/>
              <w:right w:val="single" w:sz="6" w:space="0" w:color="FFFFFF" w:themeColor="background1"/>
            </w:tcBorders>
            <w:shd w:val="solid" w:color="1E4496" w:fill="auto"/>
            <w:tcMar>
              <w:top w:w="57" w:type="dxa"/>
              <w:left w:w="113" w:type="dxa"/>
              <w:bottom w:w="57" w:type="dxa"/>
              <w:right w:w="113" w:type="dxa"/>
            </w:tcMar>
            <w:vAlign w:val="bottom"/>
          </w:tcPr>
          <w:p w14:paraId="53E86080" w14:textId="77777777" w:rsidR="00F22124" w:rsidRPr="00F22124" w:rsidRDefault="00F22124" w:rsidP="00F22124">
            <w:pPr>
              <w:pStyle w:val="CDITable-HeaderRowCentre"/>
            </w:pPr>
            <w:r w:rsidRPr="00F22124">
              <w:t>Serious (SAEFI)</w:t>
            </w:r>
          </w:p>
        </w:tc>
        <w:tc>
          <w:tcPr>
            <w:tcW w:w="1360" w:type="dxa"/>
            <w:vMerge w:val="restart"/>
            <w:tcBorders>
              <w:top w:val="single" w:sz="6" w:space="0" w:color="FFFFFF" w:themeColor="background1"/>
              <w:left w:val="single" w:sz="6" w:space="0" w:color="FFFFFF" w:themeColor="background1"/>
            </w:tcBorders>
            <w:shd w:val="solid" w:color="1E4496" w:fill="auto"/>
            <w:tcMar>
              <w:top w:w="57" w:type="dxa"/>
              <w:left w:w="113" w:type="dxa"/>
              <w:bottom w:w="57" w:type="dxa"/>
              <w:right w:w="113" w:type="dxa"/>
            </w:tcMar>
            <w:vAlign w:val="bottom"/>
          </w:tcPr>
          <w:p w14:paraId="14CB0065" w14:textId="77777777" w:rsidR="00F22124" w:rsidRPr="00F22124" w:rsidRDefault="00F22124" w:rsidP="00F22124">
            <w:pPr>
              <w:pStyle w:val="CDITable-HeaderRowCentre"/>
            </w:pPr>
            <w:r w:rsidRPr="00F22124">
              <w:t>Total</w:t>
            </w:r>
          </w:p>
        </w:tc>
        <w:tc>
          <w:tcPr>
            <w:tcW w:w="4082" w:type="dxa"/>
            <w:gridSpan w:val="3"/>
            <w:tcBorders>
              <w:bottom w:val="single" w:sz="6" w:space="0" w:color="FFFFFF" w:themeColor="background1"/>
            </w:tcBorders>
            <w:shd w:val="solid" w:color="1E4496" w:fill="auto"/>
            <w:tcMar>
              <w:top w:w="57" w:type="dxa"/>
              <w:left w:w="113" w:type="dxa"/>
              <w:bottom w:w="57" w:type="dxa"/>
              <w:right w:w="113" w:type="dxa"/>
            </w:tcMar>
            <w:vAlign w:val="bottom"/>
          </w:tcPr>
          <w:p w14:paraId="4ADAD9C3" w14:textId="77777777" w:rsidR="00F22124" w:rsidRPr="00F22124" w:rsidRDefault="00F22124" w:rsidP="00F22124">
            <w:pPr>
              <w:pStyle w:val="CDITable-HeaderRowCentre"/>
            </w:pPr>
            <w:r w:rsidRPr="00F22124">
              <w:t>Serious (SAEFI)</w:t>
            </w:r>
          </w:p>
        </w:tc>
      </w:tr>
      <w:tr w:rsidR="000B62CE" w:rsidRPr="00F22124" w14:paraId="6C4E31D0" w14:textId="77777777" w:rsidTr="00DB5F45">
        <w:trPr>
          <w:trHeight w:val="20"/>
          <w:tblHeader/>
        </w:trPr>
        <w:tc>
          <w:tcPr>
            <w:tcW w:w="1729" w:type="dxa"/>
            <w:vMerge/>
            <w:tcBorders>
              <w:top w:val="single" w:sz="6" w:space="0" w:color="FFFFFF" w:themeColor="background1"/>
            </w:tcBorders>
            <w:tcMar>
              <w:top w:w="57" w:type="dxa"/>
              <w:bottom w:w="57" w:type="dxa"/>
            </w:tcMar>
          </w:tcPr>
          <w:p w14:paraId="7A0D4E62" w14:textId="77777777" w:rsidR="00F22124" w:rsidRPr="00F22124" w:rsidRDefault="00F22124" w:rsidP="00F22124">
            <w:pPr>
              <w:pStyle w:val="CDITable-RowCentre"/>
            </w:pPr>
          </w:p>
        </w:tc>
        <w:tc>
          <w:tcPr>
            <w:tcW w:w="1729" w:type="dxa"/>
            <w:vMerge/>
            <w:tcBorders>
              <w:top w:val="single" w:sz="6" w:space="0" w:color="FFFFFF" w:themeColor="background1"/>
              <w:right w:val="single" w:sz="6" w:space="0" w:color="FFFFFF" w:themeColor="background1"/>
            </w:tcBorders>
            <w:tcMar>
              <w:top w:w="57" w:type="dxa"/>
              <w:bottom w:w="57" w:type="dxa"/>
            </w:tcMar>
          </w:tcPr>
          <w:p w14:paraId="6B850C2C" w14:textId="77777777" w:rsidR="00F22124" w:rsidRPr="00F22124" w:rsidRDefault="00F22124" w:rsidP="00F22124">
            <w:pPr>
              <w:pStyle w:val="CDITable-RowCentre"/>
            </w:pPr>
          </w:p>
        </w:tc>
        <w:tc>
          <w:tcPr>
            <w:tcW w:w="1361" w:type="dxa"/>
            <w:vMerge/>
            <w:tcBorders>
              <w:top w:val="single" w:sz="6" w:space="0" w:color="FFFFFF" w:themeColor="background1"/>
              <w:left w:val="single" w:sz="6" w:space="0" w:color="FFFFFF" w:themeColor="background1"/>
            </w:tcBorders>
            <w:tcMar>
              <w:top w:w="57" w:type="dxa"/>
              <w:bottom w:w="57" w:type="dxa"/>
            </w:tcMar>
          </w:tcPr>
          <w:p w14:paraId="6A30D683" w14:textId="77777777" w:rsidR="00F22124" w:rsidRPr="00F22124" w:rsidRDefault="00F22124" w:rsidP="00F22124">
            <w:pPr>
              <w:pStyle w:val="CDITable-RowCentre"/>
            </w:pPr>
          </w:p>
        </w:tc>
        <w:tc>
          <w:tcPr>
            <w:tcW w:w="1361" w:type="dxa"/>
            <w:tcBorders>
              <w:top w:val="single" w:sz="6" w:space="0" w:color="FFFFFF" w:themeColor="background1"/>
            </w:tcBorders>
            <w:shd w:val="solid" w:color="1E4496" w:fill="auto"/>
            <w:tcMar>
              <w:top w:w="57" w:type="dxa"/>
              <w:left w:w="113" w:type="dxa"/>
              <w:bottom w:w="57" w:type="dxa"/>
              <w:right w:w="113" w:type="dxa"/>
            </w:tcMar>
            <w:vAlign w:val="bottom"/>
          </w:tcPr>
          <w:p w14:paraId="6EA25A65" w14:textId="77777777" w:rsidR="00F22124" w:rsidRPr="00F22124" w:rsidRDefault="00F22124" w:rsidP="00F22124">
            <w:pPr>
              <w:pStyle w:val="CDITable-HeaderRowCentre"/>
            </w:pPr>
            <w:r w:rsidRPr="00F22124">
              <w:t>Number</w:t>
            </w:r>
          </w:p>
        </w:tc>
        <w:tc>
          <w:tcPr>
            <w:tcW w:w="1360" w:type="dxa"/>
            <w:tcBorders>
              <w:top w:val="single" w:sz="6" w:space="0" w:color="FFFFFF" w:themeColor="background1"/>
            </w:tcBorders>
            <w:shd w:val="solid" w:color="1E4496" w:fill="auto"/>
            <w:tcMar>
              <w:top w:w="57" w:type="dxa"/>
              <w:left w:w="113" w:type="dxa"/>
              <w:bottom w:w="57" w:type="dxa"/>
              <w:right w:w="113" w:type="dxa"/>
            </w:tcMar>
            <w:vAlign w:val="bottom"/>
          </w:tcPr>
          <w:p w14:paraId="6572C9BA" w14:textId="77777777" w:rsidR="00F22124" w:rsidRPr="00F22124" w:rsidRDefault="00F22124" w:rsidP="00F22124">
            <w:pPr>
              <w:pStyle w:val="CDITable-HeaderRowCentre"/>
            </w:pPr>
            <w:r w:rsidRPr="00F22124">
              <w:t>Percentage</w:t>
            </w:r>
          </w:p>
        </w:tc>
        <w:tc>
          <w:tcPr>
            <w:tcW w:w="1361" w:type="dxa"/>
            <w:tcBorders>
              <w:top w:val="single" w:sz="6" w:space="0" w:color="FFFFFF" w:themeColor="background1"/>
              <w:right w:val="single" w:sz="6" w:space="0" w:color="FFFFFF" w:themeColor="background1"/>
            </w:tcBorders>
            <w:shd w:val="solid" w:color="1E4496" w:fill="auto"/>
            <w:tcMar>
              <w:top w:w="57" w:type="dxa"/>
              <w:left w:w="113" w:type="dxa"/>
              <w:bottom w:w="57" w:type="dxa"/>
              <w:right w:w="113" w:type="dxa"/>
            </w:tcMar>
            <w:vAlign w:val="bottom"/>
          </w:tcPr>
          <w:p w14:paraId="7FB1DA47" w14:textId="77777777" w:rsidR="00F22124" w:rsidRPr="00F22124" w:rsidRDefault="00F22124" w:rsidP="00F22124">
            <w:pPr>
              <w:pStyle w:val="CDITable-HeaderRowCentre"/>
            </w:pPr>
            <w:r w:rsidRPr="00F22124">
              <w:t xml:space="preserve">95% </w:t>
            </w:r>
            <w:proofErr w:type="spellStart"/>
            <w:r w:rsidRPr="00F22124">
              <w:t>CI</w:t>
            </w:r>
            <w:r w:rsidRPr="00F22124">
              <w:rPr>
                <w:vertAlign w:val="superscript"/>
              </w:rPr>
              <w:t>b</w:t>
            </w:r>
            <w:proofErr w:type="spellEnd"/>
          </w:p>
        </w:tc>
        <w:tc>
          <w:tcPr>
            <w:tcW w:w="1360" w:type="dxa"/>
            <w:vMerge/>
            <w:tcBorders>
              <w:top w:val="single" w:sz="6" w:space="0" w:color="FFFFFF" w:themeColor="background1"/>
              <w:left w:val="single" w:sz="6" w:space="0" w:color="FFFFFF" w:themeColor="background1"/>
            </w:tcBorders>
            <w:tcMar>
              <w:top w:w="57" w:type="dxa"/>
              <w:bottom w:w="57" w:type="dxa"/>
            </w:tcMar>
          </w:tcPr>
          <w:p w14:paraId="650FE3B5" w14:textId="77777777" w:rsidR="00F22124" w:rsidRPr="00F22124" w:rsidRDefault="00F22124" w:rsidP="00F22124">
            <w:pPr>
              <w:pStyle w:val="CDITable-HeaderRowCentre"/>
            </w:pPr>
          </w:p>
        </w:tc>
        <w:tc>
          <w:tcPr>
            <w:tcW w:w="1361" w:type="dxa"/>
            <w:tcBorders>
              <w:top w:val="single" w:sz="6" w:space="0" w:color="FFFFFF" w:themeColor="background1"/>
            </w:tcBorders>
            <w:shd w:val="solid" w:color="1E4496" w:fill="auto"/>
            <w:tcMar>
              <w:top w:w="57" w:type="dxa"/>
              <w:left w:w="113" w:type="dxa"/>
              <w:bottom w:w="57" w:type="dxa"/>
              <w:right w:w="113" w:type="dxa"/>
            </w:tcMar>
            <w:vAlign w:val="bottom"/>
          </w:tcPr>
          <w:p w14:paraId="2D9F71CB" w14:textId="77777777" w:rsidR="00F22124" w:rsidRPr="00F22124" w:rsidRDefault="00F22124" w:rsidP="00F22124">
            <w:pPr>
              <w:pStyle w:val="CDITable-HeaderRowCentre"/>
            </w:pPr>
            <w:r w:rsidRPr="00F22124">
              <w:t>Number</w:t>
            </w:r>
          </w:p>
        </w:tc>
        <w:tc>
          <w:tcPr>
            <w:tcW w:w="1361" w:type="dxa"/>
            <w:tcBorders>
              <w:top w:val="single" w:sz="6" w:space="0" w:color="FFFFFF" w:themeColor="background1"/>
            </w:tcBorders>
            <w:shd w:val="solid" w:color="1E4496" w:fill="auto"/>
            <w:tcMar>
              <w:top w:w="57" w:type="dxa"/>
              <w:left w:w="113" w:type="dxa"/>
              <w:bottom w:w="57" w:type="dxa"/>
              <w:right w:w="113" w:type="dxa"/>
            </w:tcMar>
            <w:vAlign w:val="bottom"/>
          </w:tcPr>
          <w:p w14:paraId="58DD46D2" w14:textId="77777777" w:rsidR="00F22124" w:rsidRPr="00F22124" w:rsidRDefault="00F22124" w:rsidP="00F22124">
            <w:pPr>
              <w:pStyle w:val="CDITable-HeaderRowCentre"/>
            </w:pPr>
            <w:r w:rsidRPr="00F22124">
              <w:t>Percentage</w:t>
            </w:r>
          </w:p>
        </w:tc>
        <w:tc>
          <w:tcPr>
            <w:tcW w:w="1360" w:type="dxa"/>
            <w:tcBorders>
              <w:top w:val="single" w:sz="6" w:space="0" w:color="FFFFFF" w:themeColor="background1"/>
            </w:tcBorders>
            <w:shd w:val="solid" w:color="1E4496" w:fill="auto"/>
            <w:tcMar>
              <w:top w:w="57" w:type="dxa"/>
              <w:left w:w="113" w:type="dxa"/>
              <w:bottom w:w="57" w:type="dxa"/>
              <w:right w:w="113" w:type="dxa"/>
            </w:tcMar>
            <w:vAlign w:val="bottom"/>
          </w:tcPr>
          <w:p w14:paraId="3BF2CA78" w14:textId="77777777" w:rsidR="00F22124" w:rsidRPr="00F22124" w:rsidRDefault="00F22124" w:rsidP="00F22124">
            <w:pPr>
              <w:pStyle w:val="CDITable-HeaderRowCentre"/>
            </w:pPr>
            <w:r w:rsidRPr="00F22124">
              <w:t xml:space="preserve">95% </w:t>
            </w:r>
            <w:proofErr w:type="spellStart"/>
            <w:r w:rsidRPr="00F22124">
              <w:t>CI</w:t>
            </w:r>
            <w:r w:rsidRPr="00F22124">
              <w:rPr>
                <w:vertAlign w:val="superscript"/>
              </w:rPr>
              <w:t>b</w:t>
            </w:r>
            <w:proofErr w:type="spellEnd"/>
          </w:p>
        </w:tc>
      </w:tr>
      <w:tr w:rsidR="00F22124" w:rsidRPr="00F22124" w14:paraId="40A41D3B" w14:textId="77777777" w:rsidTr="00DB5F45">
        <w:trPr>
          <w:trHeight w:val="20"/>
        </w:trPr>
        <w:tc>
          <w:tcPr>
            <w:tcW w:w="1729" w:type="dxa"/>
            <w:tcBorders>
              <w:bottom w:val="single" w:sz="6" w:space="0" w:color="1E4496" w:themeColor="text2"/>
            </w:tcBorders>
            <w:tcMar>
              <w:top w:w="57" w:type="dxa"/>
              <w:left w:w="113" w:type="dxa"/>
              <w:bottom w:w="57" w:type="dxa"/>
              <w:right w:w="113" w:type="dxa"/>
            </w:tcMar>
            <w:vAlign w:val="center"/>
          </w:tcPr>
          <w:p w14:paraId="0ED9D8B3" w14:textId="77777777" w:rsidR="00F22124" w:rsidRPr="00F22124" w:rsidRDefault="00F22124" w:rsidP="00F22124">
            <w:pPr>
              <w:pStyle w:val="CDITable-RowLeft"/>
            </w:pPr>
            <w:r w:rsidRPr="00F22124">
              <w:t>&lt; 12 months</w:t>
            </w:r>
          </w:p>
        </w:tc>
        <w:tc>
          <w:tcPr>
            <w:tcW w:w="1729" w:type="dxa"/>
            <w:tcBorders>
              <w:bottom w:val="single" w:sz="6" w:space="0" w:color="1E4496" w:themeColor="text2"/>
              <w:right w:val="single" w:sz="6" w:space="0" w:color="1E4496" w:themeColor="text2"/>
            </w:tcBorders>
            <w:tcMar>
              <w:top w:w="57" w:type="dxa"/>
              <w:left w:w="113" w:type="dxa"/>
              <w:bottom w:w="57" w:type="dxa"/>
              <w:right w:w="113" w:type="dxa"/>
            </w:tcMar>
            <w:vAlign w:val="center"/>
          </w:tcPr>
          <w:p w14:paraId="565B004D" w14:textId="77777777" w:rsidR="00F22124" w:rsidRPr="00F22124" w:rsidRDefault="00F22124" w:rsidP="00F22124">
            <w:pPr>
              <w:pStyle w:val="CDITable-RowLeft"/>
            </w:pPr>
            <w:r w:rsidRPr="00F22124">
              <w:t>Infants</w:t>
            </w:r>
          </w:p>
        </w:tc>
        <w:tc>
          <w:tcPr>
            <w:tcW w:w="1361" w:type="dxa"/>
            <w:tcBorders>
              <w:left w:val="single" w:sz="6" w:space="0" w:color="1E4496" w:themeColor="text2"/>
              <w:bottom w:val="single" w:sz="6" w:space="0" w:color="1E4496" w:themeColor="text2"/>
            </w:tcBorders>
            <w:tcMar>
              <w:top w:w="57" w:type="dxa"/>
              <w:left w:w="113" w:type="dxa"/>
              <w:bottom w:w="57" w:type="dxa"/>
              <w:right w:w="113" w:type="dxa"/>
            </w:tcMar>
            <w:vAlign w:val="center"/>
          </w:tcPr>
          <w:p w14:paraId="7C27696E" w14:textId="77777777" w:rsidR="00F22124" w:rsidRPr="00F22124" w:rsidRDefault="00F22124" w:rsidP="00F22124">
            <w:pPr>
              <w:pStyle w:val="CDITable-RowCentre"/>
            </w:pPr>
            <w:r w:rsidRPr="00F22124">
              <w:t>331</w:t>
            </w:r>
          </w:p>
        </w:tc>
        <w:tc>
          <w:tcPr>
            <w:tcW w:w="1361" w:type="dxa"/>
            <w:tcBorders>
              <w:bottom w:val="single" w:sz="6" w:space="0" w:color="1E4496" w:themeColor="text2"/>
            </w:tcBorders>
            <w:tcMar>
              <w:top w:w="57" w:type="dxa"/>
              <w:left w:w="113" w:type="dxa"/>
              <w:bottom w:w="57" w:type="dxa"/>
              <w:right w:w="113" w:type="dxa"/>
            </w:tcMar>
            <w:vAlign w:val="center"/>
          </w:tcPr>
          <w:p w14:paraId="0F048A8A" w14:textId="77777777" w:rsidR="00F22124" w:rsidRPr="00F22124" w:rsidRDefault="00F22124" w:rsidP="00F22124">
            <w:pPr>
              <w:pStyle w:val="CDITable-RowCentre"/>
            </w:pPr>
            <w:r w:rsidRPr="00F22124">
              <w:t>44</w:t>
            </w:r>
          </w:p>
        </w:tc>
        <w:tc>
          <w:tcPr>
            <w:tcW w:w="1360" w:type="dxa"/>
            <w:tcBorders>
              <w:bottom w:val="single" w:sz="6" w:space="0" w:color="1E4496" w:themeColor="text2"/>
            </w:tcBorders>
            <w:tcMar>
              <w:top w:w="57" w:type="dxa"/>
              <w:left w:w="113" w:type="dxa"/>
              <w:bottom w:w="57" w:type="dxa"/>
              <w:right w:w="113" w:type="dxa"/>
            </w:tcMar>
            <w:vAlign w:val="center"/>
          </w:tcPr>
          <w:p w14:paraId="3C438110" w14:textId="77777777" w:rsidR="00F22124" w:rsidRPr="00F22124" w:rsidRDefault="00F22124" w:rsidP="00F22124">
            <w:pPr>
              <w:pStyle w:val="CDITable-RowCentre"/>
            </w:pPr>
            <w:r w:rsidRPr="00F22124">
              <w:t>13.3</w:t>
            </w:r>
          </w:p>
        </w:tc>
        <w:tc>
          <w:tcPr>
            <w:tcW w:w="1361" w:type="dxa"/>
            <w:tcBorders>
              <w:bottom w:val="single" w:sz="6" w:space="0" w:color="1E4496" w:themeColor="text2"/>
              <w:right w:val="single" w:sz="6" w:space="0" w:color="1E4496" w:themeColor="text2"/>
            </w:tcBorders>
            <w:tcMar>
              <w:top w:w="57" w:type="dxa"/>
              <w:left w:w="113" w:type="dxa"/>
              <w:bottom w:w="57" w:type="dxa"/>
              <w:right w:w="113" w:type="dxa"/>
            </w:tcMar>
            <w:vAlign w:val="center"/>
          </w:tcPr>
          <w:p w14:paraId="04BB0DBF" w14:textId="77777777" w:rsidR="00F22124" w:rsidRPr="00F22124" w:rsidRDefault="00F22124" w:rsidP="00F22124">
            <w:pPr>
              <w:pStyle w:val="CDITable-RowCentre"/>
            </w:pPr>
            <w:r w:rsidRPr="00F22124">
              <w:t>11.8–14.8</w:t>
            </w:r>
          </w:p>
        </w:tc>
        <w:tc>
          <w:tcPr>
            <w:tcW w:w="1360" w:type="dxa"/>
            <w:tcBorders>
              <w:left w:val="single" w:sz="6" w:space="0" w:color="1E4496" w:themeColor="text2"/>
              <w:bottom w:val="single" w:sz="6" w:space="0" w:color="1E4496" w:themeColor="text2"/>
            </w:tcBorders>
            <w:tcMar>
              <w:top w:w="57" w:type="dxa"/>
              <w:left w:w="113" w:type="dxa"/>
              <w:bottom w:w="57" w:type="dxa"/>
              <w:right w:w="113" w:type="dxa"/>
            </w:tcMar>
            <w:vAlign w:val="center"/>
          </w:tcPr>
          <w:p w14:paraId="170AFE14" w14:textId="77777777" w:rsidR="00F22124" w:rsidRPr="00F22124" w:rsidRDefault="00F22124" w:rsidP="00F22124">
            <w:pPr>
              <w:pStyle w:val="CDITable-RowCentre"/>
            </w:pPr>
            <w:r w:rsidRPr="00F22124">
              <w:t>343</w:t>
            </w:r>
          </w:p>
        </w:tc>
        <w:tc>
          <w:tcPr>
            <w:tcW w:w="1361" w:type="dxa"/>
            <w:tcBorders>
              <w:bottom w:val="single" w:sz="6" w:space="0" w:color="1E4496" w:themeColor="text2"/>
            </w:tcBorders>
            <w:tcMar>
              <w:top w:w="57" w:type="dxa"/>
              <w:left w:w="113" w:type="dxa"/>
              <w:bottom w:w="57" w:type="dxa"/>
              <w:right w:w="113" w:type="dxa"/>
            </w:tcMar>
            <w:vAlign w:val="center"/>
          </w:tcPr>
          <w:p w14:paraId="1BC206C1" w14:textId="77777777" w:rsidR="00F22124" w:rsidRPr="00F22124" w:rsidRDefault="00F22124" w:rsidP="00F22124">
            <w:pPr>
              <w:pStyle w:val="CDITable-RowCentre"/>
            </w:pPr>
            <w:r w:rsidRPr="00F22124">
              <w:t>35</w:t>
            </w:r>
          </w:p>
        </w:tc>
        <w:tc>
          <w:tcPr>
            <w:tcW w:w="1361" w:type="dxa"/>
            <w:tcBorders>
              <w:bottom w:val="single" w:sz="6" w:space="0" w:color="1E4496" w:themeColor="text2"/>
            </w:tcBorders>
            <w:tcMar>
              <w:top w:w="57" w:type="dxa"/>
              <w:left w:w="113" w:type="dxa"/>
              <w:bottom w:w="57" w:type="dxa"/>
              <w:right w:w="113" w:type="dxa"/>
            </w:tcMar>
            <w:vAlign w:val="center"/>
          </w:tcPr>
          <w:p w14:paraId="7D89EA82" w14:textId="77777777" w:rsidR="00F22124" w:rsidRPr="00F22124" w:rsidRDefault="00F22124" w:rsidP="00F22124">
            <w:pPr>
              <w:pStyle w:val="CDITable-RowCentre"/>
            </w:pPr>
            <w:r w:rsidRPr="00F22124">
              <w:t>10.2</w:t>
            </w:r>
          </w:p>
        </w:tc>
        <w:tc>
          <w:tcPr>
            <w:tcW w:w="1360" w:type="dxa"/>
            <w:tcBorders>
              <w:bottom w:val="single" w:sz="6" w:space="0" w:color="1E4496" w:themeColor="text2"/>
            </w:tcBorders>
            <w:tcMar>
              <w:top w:w="57" w:type="dxa"/>
              <w:left w:w="113" w:type="dxa"/>
              <w:bottom w:w="57" w:type="dxa"/>
              <w:right w:w="113" w:type="dxa"/>
            </w:tcMar>
            <w:vAlign w:val="center"/>
          </w:tcPr>
          <w:p w14:paraId="2EF6799C" w14:textId="77777777" w:rsidR="00F22124" w:rsidRPr="00F22124" w:rsidRDefault="00F22124" w:rsidP="00F22124">
            <w:pPr>
              <w:pStyle w:val="CDITable-RowCentre"/>
            </w:pPr>
            <w:r w:rsidRPr="00F22124">
              <w:t>8.9–11.6</w:t>
            </w:r>
          </w:p>
        </w:tc>
      </w:tr>
      <w:tr w:rsidR="00F22124" w:rsidRPr="00F22124" w14:paraId="14089EAC" w14:textId="77777777" w:rsidTr="00DB5F45">
        <w:trPr>
          <w:trHeight w:val="20"/>
        </w:trPr>
        <w:tc>
          <w:tcPr>
            <w:tcW w:w="1729"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30225D0" w14:textId="77777777" w:rsidR="00F22124" w:rsidRPr="00F22124" w:rsidRDefault="00F22124" w:rsidP="00F22124">
            <w:pPr>
              <w:pStyle w:val="CDITable-RowLeft"/>
            </w:pPr>
            <w:r w:rsidRPr="00F22124">
              <w:t>1–4 years</w:t>
            </w:r>
          </w:p>
        </w:tc>
        <w:tc>
          <w:tcPr>
            <w:tcW w:w="1729" w:type="dxa"/>
            <w:tcBorders>
              <w:top w:val="single" w:sz="6" w:space="0" w:color="1E4496" w:themeColor="text2"/>
              <w:bottom w:val="single" w:sz="6" w:space="0" w:color="1E4496" w:themeColor="text2"/>
              <w:right w:val="single" w:sz="6" w:space="0" w:color="1E4496" w:themeColor="text2"/>
            </w:tcBorders>
            <w:tcMar>
              <w:top w:w="57" w:type="dxa"/>
              <w:left w:w="113" w:type="dxa"/>
              <w:bottom w:w="57" w:type="dxa"/>
              <w:right w:w="113" w:type="dxa"/>
            </w:tcMar>
            <w:vAlign w:val="center"/>
          </w:tcPr>
          <w:p w14:paraId="3471A469" w14:textId="77777777" w:rsidR="00F22124" w:rsidRPr="00F22124" w:rsidRDefault="00F22124" w:rsidP="00F22124">
            <w:pPr>
              <w:pStyle w:val="CDITable-RowLeft"/>
            </w:pPr>
            <w:r w:rsidRPr="00F22124">
              <w:t>Young children</w:t>
            </w:r>
          </w:p>
        </w:tc>
        <w:tc>
          <w:tcPr>
            <w:tcW w:w="1361" w:type="dxa"/>
            <w:tcBorders>
              <w:top w:val="single" w:sz="6" w:space="0" w:color="1E4496" w:themeColor="text2"/>
              <w:left w:val="single" w:sz="6" w:space="0" w:color="1E4496" w:themeColor="text2"/>
              <w:bottom w:val="single" w:sz="6" w:space="0" w:color="1E4496" w:themeColor="text2"/>
            </w:tcBorders>
            <w:tcMar>
              <w:top w:w="57" w:type="dxa"/>
              <w:left w:w="113" w:type="dxa"/>
              <w:bottom w:w="57" w:type="dxa"/>
              <w:right w:w="113" w:type="dxa"/>
            </w:tcMar>
            <w:vAlign w:val="center"/>
          </w:tcPr>
          <w:p w14:paraId="06BD0FC3" w14:textId="77777777" w:rsidR="00F22124" w:rsidRPr="00F22124" w:rsidRDefault="00F22124" w:rsidP="00F22124">
            <w:pPr>
              <w:pStyle w:val="CDITable-RowCentre"/>
            </w:pPr>
            <w:r w:rsidRPr="00F22124">
              <w:t>857</w:t>
            </w:r>
          </w:p>
        </w:tc>
        <w:tc>
          <w:tcPr>
            <w:tcW w:w="1361"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1E12677C" w14:textId="77777777" w:rsidR="00F22124" w:rsidRPr="00F22124" w:rsidRDefault="00F22124" w:rsidP="00F22124">
            <w:pPr>
              <w:pStyle w:val="CDITable-RowCentre"/>
            </w:pPr>
            <w:r w:rsidRPr="00F22124">
              <w:t>69</w:t>
            </w:r>
          </w:p>
        </w:tc>
        <w:tc>
          <w:tcPr>
            <w:tcW w:w="1360"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318CA00" w14:textId="77777777" w:rsidR="00F22124" w:rsidRPr="00F22124" w:rsidRDefault="00F22124" w:rsidP="00F22124">
            <w:pPr>
              <w:pStyle w:val="CDITable-RowCentre"/>
            </w:pPr>
            <w:r w:rsidRPr="00F22124">
              <w:t>8.1</w:t>
            </w:r>
          </w:p>
        </w:tc>
        <w:tc>
          <w:tcPr>
            <w:tcW w:w="1361" w:type="dxa"/>
            <w:tcBorders>
              <w:top w:val="single" w:sz="6" w:space="0" w:color="1E4496" w:themeColor="text2"/>
              <w:bottom w:val="single" w:sz="6" w:space="0" w:color="1E4496" w:themeColor="text2"/>
              <w:right w:val="single" w:sz="6" w:space="0" w:color="1E4496" w:themeColor="text2"/>
            </w:tcBorders>
            <w:tcMar>
              <w:top w:w="57" w:type="dxa"/>
              <w:left w:w="113" w:type="dxa"/>
              <w:bottom w:w="57" w:type="dxa"/>
              <w:right w:w="113" w:type="dxa"/>
            </w:tcMar>
            <w:vAlign w:val="center"/>
          </w:tcPr>
          <w:p w14:paraId="290A468E" w14:textId="77777777" w:rsidR="00F22124" w:rsidRPr="00F22124" w:rsidRDefault="00F22124" w:rsidP="00F22124">
            <w:pPr>
              <w:pStyle w:val="CDITable-RowCentre"/>
            </w:pPr>
            <w:r w:rsidRPr="00F22124">
              <w:t>6.8–9.3</w:t>
            </w:r>
          </w:p>
        </w:tc>
        <w:tc>
          <w:tcPr>
            <w:tcW w:w="1360" w:type="dxa"/>
            <w:tcBorders>
              <w:top w:val="single" w:sz="6" w:space="0" w:color="1E4496" w:themeColor="text2"/>
              <w:left w:val="single" w:sz="6" w:space="0" w:color="1E4496" w:themeColor="text2"/>
              <w:bottom w:val="single" w:sz="6" w:space="0" w:color="1E4496" w:themeColor="text2"/>
            </w:tcBorders>
            <w:tcMar>
              <w:top w:w="57" w:type="dxa"/>
              <w:left w:w="113" w:type="dxa"/>
              <w:bottom w:w="57" w:type="dxa"/>
              <w:right w:w="113" w:type="dxa"/>
            </w:tcMar>
            <w:vAlign w:val="center"/>
          </w:tcPr>
          <w:p w14:paraId="0A41864A" w14:textId="77777777" w:rsidR="00F22124" w:rsidRPr="00F22124" w:rsidRDefault="00F22124" w:rsidP="00F22124">
            <w:pPr>
              <w:pStyle w:val="CDITable-RowCentre"/>
            </w:pPr>
            <w:r w:rsidRPr="00F22124">
              <w:t>882</w:t>
            </w:r>
          </w:p>
        </w:tc>
        <w:tc>
          <w:tcPr>
            <w:tcW w:w="1361"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0EC96A0D" w14:textId="77777777" w:rsidR="00F22124" w:rsidRPr="00F22124" w:rsidRDefault="00F22124" w:rsidP="00F22124">
            <w:pPr>
              <w:pStyle w:val="CDITable-RowCentre"/>
            </w:pPr>
            <w:r w:rsidRPr="00F22124">
              <w:t>67</w:t>
            </w:r>
          </w:p>
        </w:tc>
        <w:tc>
          <w:tcPr>
            <w:tcW w:w="1361"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5FF62BCB" w14:textId="77777777" w:rsidR="00F22124" w:rsidRPr="00F22124" w:rsidRDefault="00F22124" w:rsidP="00F22124">
            <w:pPr>
              <w:pStyle w:val="CDITable-RowCentre"/>
            </w:pPr>
            <w:r w:rsidRPr="00F22124">
              <w:t>7.6</w:t>
            </w:r>
          </w:p>
        </w:tc>
        <w:tc>
          <w:tcPr>
            <w:tcW w:w="1360"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01FAF7FF" w14:textId="77777777" w:rsidR="00F22124" w:rsidRPr="00F22124" w:rsidRDefault="00F22124" w:rsidP="00F22124">
            <w:pPr>
              <w:pStyle w:val="CDITable-RowCentre"/>
            </w:pPr>
            <w:r w:rsidRPr="00F22124">
              <w:t>6.4–8.8</w:t>
            </w:r>
          </w:p>
        </w:tc>
      </w:tr>
      <w:tr w:rsidR="00F22124" w:rsidRPr="00F22124" w14:paraId="12C9EEBB" w14:textId="77777777" w:rsidTr="00DB5F45">
        <w:trPr>
          <w:trHeight w:val="20"/>
        </w:trPr>
        <w:tc>
          <w:tcPr>
            <w:tcW w:w="1729"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29BBE655" w14:textId="77777777" w:rsidR="00F22124" w:rsidRPr="00F22124" w:rsidRDefault="00F22124" w:rsidP="00F22124">
            <w:pPr>
              <w:pStyle w:val="CDITable-RowLeft"/>
            </w:pPr>
            <w:r w:rsidRPr="00F22124">
              <w:t>5–17 years</w:t>
            </w:r>
          </w:p>
        </w:tc>
        <w:tc>
          <w:tcPr>
            <w:tcW w:w="1729" w:type="dxa"/>
            <w:tcBorders>
              <w:top w:val="single" w:sz="6" w:space="0" w:color="1E4496" w:themeColor="text2"/>
              <w:bottom w:val="single" w:sz="6" w:space="0" w:color="1E4496" w:themeColor="text2"/>
              <w:right w:val="single" w:sz="6" w:space="0" w:color="1E4496" w:themeColor="text2"/>
            </w:tcBorders>
            <w:tcMar>
              <w:top w:w="57" w:type="dxa"/>
              <w:left w:w="113" w:type="dxa"/>
              <w:bottom w:w="57" w:type="dxa"/>
              <w:right w:w="113" w:type="dxa"/>
            </w:tcMar>
            <w:vAlign w:val="center"/>
          </w:tcPr>
          <w:p w14:paraId="28801E0D" w14:textId="77777777" w:rsidR="00F22124" w:rsidRPr="00F22124" w:rsidRDefault="00F22124" w:rsidP="00F22124">
            <w:pPr>
              <w:pStyle w:val="CDITable-RowLeft"/>
            </w:pPr>
            <w:r w:rsidRPr="00F22124">
              <w:t>School-aged</w:t>
            </w:r>
          </w:p>
        </w:tc>
        <w:tc>
          <w:tcPr>
            <w:tcW w:w="1361" w:type="dxa"/>
            <w:tcBorders>
              <w:top w:val="single" w:sz="6" w:space="0" w:color="1E4496" w:themeColor="text2"/>
              <w:left w:val="single" w:sz="6" w:space="0" w:color="1E4496" w:themeColor="text2"/>
              <w:bottom w:val="single" w:sz="6" w:space="0" w:color="1E4496" w:themeColor="text2"/>
            </w:tcBorders>
            <w:tcMar>
              <w:top w:w="57" w:type="dxa"/>
              <w:left w:w="113" w:type="dxa"/>
              <w:bottom w:w="57" w:type="dxa"/>
              <w:right w:w="113" w:type="dxa"/>
            </w:tcMar>
            <w:vAlign w:val="center"/>
          </w:tcPr>
          <w:p w14:paraId="560DA406" w14:textId="77777777" w:rsidR="00F22124" w:rsidRPr="00F22124" w:rsidRDefault="00F22124" w:rsidP="00F22124">
            <w:pPr>
              <w:pStyle w:val="CDITable-RowCentre"/>
            </w:pPr>
            <w:r w:rsidRPr="00F22124">
              <w:t>273</w:t>
            </w:r>
          </w:p>
        </w:tc>
        <w:tc>
          <w:tcPr>
            <w:tcW w:w="1361"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45A6912" w14:textId="77777777" w:rsidR="00F22124" w:rsidRPr="00F22124" w:rsidRDefault="00F22124" w:rsidP="00F22124">
            <w:pPr>
              <w:pStyle w:val="CDITable-RowCentre"/>
            </w:pPr>
            <w:r w:rsidRPr="00F22124">
              <w:t>19</w:t>
            </w:r>
          </w:p>
        </w:tc>
        <w:tc>
          <w:tcPr>
            <w:tcW w:w="1360"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B7DD125" w14:textId="77777777" w:rsidR="00F22124" w:rsidRPr="00F22124" w:rsidRDefault="00F22124" w:rsidP="00F22124">
            <w:pPr>
              <w:pStyle w:val="CDITable-RowCentre"/>
            </w:pPr>
            <w:r w:rsidRPr="00F22124">
              <w:t>7.0</w:t>
            </w:r>
          </w:p>
        </w:tc>
        <w:tc>
          <w:tcPr>
            <w:tcW w:w="1361" w:type="dxa"/>
            <w:tcBorders>
              <w:top w:val="single" w:sz="6" w:space="0" w:color="1E4496" w:themeColor="text2"/>
              <w:bottom w:val="single" w:sz="6" w:space="0" w:color="1E4496" w:themeColor="text2"/>
              <w:right w:val="single" w:sz="6" w:space="0" w:color="1E4496" w:themeColor="text2"/>
            </w:tcBorders>
            <w:tcMar>
              <w:top w:w="57" w:type="dxa"/>
              <w:left w:w="113" w:type="dxa"/>
              <w:bottom w:w="57" w:type="dxa"/>
              <w:right w:w="113" w:type="dxa"/>
            </w:tcMar>
            <w:vAlign w:val="center"/>
          </w:tcPr>
          <w:p w14:paraId="24CD7114" w14:textId="77777777" w:rsidR="00F22124" w:rsidRPr="00F22124" w:rsidRDefault="00F22124" w:rsidP="00F22124">
            <w:pPr>
              <w:pStyle w:val="CDITable-RowCentre"/>
            </w:pPr>
            <w:r w:rsidRPr="00F22124">
              <w:t>5.8–8.1</w:t>
            </w:r>
          </w:p>
        </w:tc>
        <w:tc>
          <w:tcPr>
            <w:tcW w:w="1360" w:type="dxa"/>
            <w:tcBorders>
              <w:top w:val="single" w:sz="6" w:space="0" w:color="1E4496" w:themeColor="text2"/>
              <w:left w:val="single" w:sz="6" w:space="0" w:color="1E4496" w:themeColor="text2"/>
              <w:bottom w:val="single" w:sz="6" w:space="0" w:color="1E4496" w:themeColor="text2"/>
            </w:tcBorders>
            <w:tcMar>
              <w:top w:w="57" w:type="dxa"/>
              <w:left w:w="113" w:type="dxa"/>
              <w:bottom w:w="57" w:type="dxa"/>
              <w:right w:w="113" w:type="dxa"/>
            </w:tcMar>
            <w:vAlign w:val="center"/>
          </w:tcPr>
          <w:p w14:paraId="7877D0D2" w14:textId="77777777" w:rsidR="00F22124" w:rsidRPr="00F22124" w:rsidRDefault="00F22124" w:rsidP="00F22124">
            <w:pPr>
              <w:pStyle w:val="CDITable-RowCentre"/>
            </w:pPr>
            <w:r w:rsidRPr="00F22124">
              <w:t>214</w:t>
            </w:r>
          </w:p>
        </w:tc>
        <w:tc>
          <w:tcPr>
            <w:tcW w:w="1361"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27931036" w14:textId="77777777" w:rsidR="00F22124" w:rsidRPr="00F22124" w:rsidRDefault="00F22124" w:rsidP="00F22124">
            <w:pPr>
              <w:pStyle w:val="CDITable-RowCentre"/>
            </w:pPr>
            <w:r w:rsidRPr="00F22124">
              <w:t>11</w:t>
            </w:r>
          </w:p>
        </w:tc>
        <w:tc>
          <w:tcPr>
            <w:tcW w:w="1361"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FE1AE46" w14:textId="77777777" w:rsidR="00F22124" w:rsidRPr="00F22124" w:rsidRDefault="00F22124" w:rsidP="00F22124">
            <w:pPr>
              <w:pStyle w:val="CDITable-RowCentre"/>
            </w:pPr>
            <w:r w:rsidRPr="00F22124">
              <w:t>5.1</w:t>
            </w:r>
          </w:p>
        </w:tc>
        <w:tc>
          <w:tcPr>
            <w:tcW w:w="1360"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1FE79849" w14:textId="77777777" w:rsidR="00F22124" w:rsidRPr="00F22124" w:rsidRDefault="00F22124" w:rsidP="00F22124">
            <w:pPr>
              <w:pStyle w:val="CDITable-RowCentre"/>
            </w:pPr>
            <w:r w:rsidRPr="00F22124">
              <w:t>4.2–6.1</w:t>
            </w:r>
          </w:p>
        </w:tc>
      </w:tr>
      <w:tr w:rsidR="00F22124" w:rsidRPr="00F22124" w14:paraId="72A9B6E3" w14:textId="77777777" w:rsidTr="00DB5F45">
        <w:trPr>
          <w:trHeight w:val="20"/>
        </w:trPr>
        <w:tc>
          <w:tcPr>
            <w:tcW w:w="1729"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7D836FA" w14:textId="77777777" w:rsidR="00F22124" w:rsidRPr="00F22124" w:rsidRDefault="00F22124" w:rsidP="00F22124">
            <w:pPr>
              <w:pStyle w:val="CDITable-RowLeft"/>
            </w:pPr>
            <w:r w:rsidRPr="00F22124">
              <w:t>18–64 years</w:t>
            </w:r>
          </w:p>
        </w:tc>
        <w:tc>
          <w:tcPr>
            <w:tcW w:w="1729" w:type="dxa"/>
            <w:tcBorders>
              <w:top w:val="single" w:sz="6" w:space="0" w:color="1E4496" w:themeColor="text2"/>
              <w:bottom w:val="single" w:sz="6" w:space="0" w:color="1E4496" w:themeColor="text2"/>
              <w:right w:val="single" w:sz="6" w:space="0" w:color="1E4496" w:themeColor="text2"/>
            </w:tcBorders>
            <w:tcMar>
              <w:top w:w="57" w:type="dxa"/>
              <w:left w:w="113" w:type="dxa"/>
              <w:bottom w:w="57" w:type="dxa"/>
              <w:right w:w="113" w:type="dxa"/>
            </w:tcMar>
            <w:vAlign w:val="center"/>
          </w:tcPr>
          <w:p w14:paraId="6CC1F3C1" w14:textId="77777777" w:rsidR="00F22124" w:rsidRPr="00F22124" w:rsidRDefault="00F22124" w:rsidP="00F22124">
            <w:pPr>
              <w:pStyle w:val="CDITable-RowLeft"/>
            </w:pPr>
            <w:r w:rsidRPr="00F22124">
              <w:t>Adults</w:t>
            </w:r>
          </w:p>
        </w:tc>
        <w:tc>
          <w:tcPr>
            <w:tcW w:w="1361" w:type="dxa"/>
            <w:tcBorders>
              <w:top w:val="single" w:sz="6" w:space="0" w:color="1E4496" w:themeColor="text2"/>
              <w:left w:val="single" w:sz="6" w:space="0" w:color="1E4496" w:themeColor="text2"/>
              <w:bottom w:val="single" w:sz="6" w:space="0" w:color="1E4496" w:themeColor="text2"/>
            </w:tcBorders>
            <w:tcMar>
              <w:top w:w="57" w:type="dxa"/>
              <w:left w:w="113" w:type="dxa"/>
              <w:bottom w:w="57" w:type="dxa"/>
              <w:right w:w="113" w:type="dxa"/>
            </w:tcMar>
            <w:vAlign w:val="center"/>
          </w:tcPr>
          <w:p w14:paraId="67B11245" w14:textId="77777777" w:rsidR="00F22124" w:rsidRPr="00F22124" w:rsidRDefault="00F22124" w:rsidP="00F22124">
            <w:pPr>
              <w:pStyle w:val="CDITable-RowCentre"/>
            </w:pPr>
            <w:r w:rsidRPr="00F22124">
              <w:t>288</w:t>
            </w:r>
          </w:p>
        </w:tc>
        <w:tc>
          <w:tcPr>
            <w:tcW w:w="1361"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0F16D549" w14:textId="77777777" w:rsidR="00F22124" w:rsidRPr="00F22124" w:rsidRDefault="00F22124" w:rsidP="00F22124">
            <w:pPr>
              <w:pStyle w:val="CDITable-RowCentre"/>
            </w:pPr>
            <w:r w:rsidRPr="00F22124">
              <w:t>13</w:t>
            </w:r>
          </w:p>
        </w:tc>
        <w:tc>
          <w:tcPr>
            <w:tcW w:w="1360"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A00FA6D" w14:textId="77777777" w:rsidR="00F22124" w:rsidRPr="00F22124" w:rsidRDefault="00F22124" w:rsidP="00F22124">
            <w:pPr>
              <w:pStyle w:val="CDITable-RowCentre"/>
            </w:pPr>
            <w:r w:rsidRPr="00F22124">
              <w:t>4.5</w:t>
            </w:r>
          </w:p>
        </w:tc>
        <w:tc>
          <w:tcPr>
            <w:tcW w:w="1361" w:type="dxa"/>
            <w:tcBorders>
              <w:top w:val="single" w:sz="6" w:space="0" w:color="1E4496" w:themeColor="text2"/>
              <w:bottom w:val="single" w:sz="6" w:space="0" w:color="1E4496" w:themeColor="text2"/>
              <w:right w:val="single" w:sz="6" w:space="0" w:color="1E4496" w:themeColor="text2"/>
            </w:tcBorders>
            <w:tcMar>
              <w:top w:w="57" w:type="dxa"/>
              <w:left w:w="113" w:type="dxa"/>
              <w:bottom w:w="57" w:type="dxa"/>
              <w:right w:w="113" w:type="dxa"/>
            </w:tcMar>
            <w:vAlign w:val="center"/>
          </w:tcPr>
          <w:p w14:paraId="12942E8C" w14:textId="77777777" w:rsidR="00F22124" w:rsidRPr="00F22124" w:rsidRDefault="00F22124" w:rsidP="00F22124">
            <w:pPr>
              <w:pStyle w:val="CDITable-RowCentre"/>
            </w:pPr>
            <w:r w:rsidRPr="00F22124">
              <w:t>3.6–5.4</w:t>
            </w:r>
          </w:p>
        </w:tc>
        <w:tc>
          <w:tcPr>
            <w:tcW w:w="1360" w:type="dxa"/>
            <w:tcBorders>
              <w:top w:val="single" w:sz="6" w:space="0" w:color="1E4496" w:themeColor="text2"/>
              <w:left w:val="single" w:sz="6" w:space="0" w:color="1E4496" w:themeColor="text2"/>
              <w:bottom w:val="single" w:sz="6" w:space="0" w:color="1E4496" w:themeColor="text2"/>
            </w:tcBorders>
            <w:tcMar>
              <w:top w:w="57" w:type="dxa"/>
              <w:left w:w="113" w:type="dxa"/>
              <w:bottom w:w="57" w:type="dxa"/>
              <w:right w:w="113" w:type="dxa"/>
            </w:tcMar>
            <w:vAlign w:val="center"/>
          </w:tcPr>
          <w:p w14:paraId="59CA6994" w14:textId="77777777" w:rsidR="00F22124" w:rsidRPr="00F22124" w:rsidRDefault="00F22124" w:rsidP="00F22124">
            <w:pPr>
              <w:pStyle w:val="CDITable-RowCentre"/>
            </w:pPr>
            <w:r w:rsidRPr="00F22124">
              <w:t>269</w:t>
            </w:r>
          </w:p>
        </w:tc>
        <w:tc>
          <w:tcPr>
            <w:tcW w:w="1361"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5413FDC" w14:textId="77777777" w:rsidR="00F22124" w:rsidRPr="00F22124" w:rsidRDefault="00F22124" w:rsidP="00F22124">
            <w:pPr>
              <w:pStyle w:val="CDITable-RowCentre"/>
            </w:pPr>
            <w:r w:rsidRPr="00F22124">
              <w:t>12</w:t>
            </w:r>
          </w:p>
        </w:tc>
        <w:tc>
          <w:tcPr>
            <w:tcW w:w="1361"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33BC6BE" w14:textId="77777777" w:rsidR="00F22124" w:rsidRPr="00F22124" w:rsidRDefault="00F22124" w:rsidP="00F22124">
            <w:pPr>
              <w:pStyle w:val="CDITable-RowCentre"/>
            </w:pPr>
            <w:r w:rsidRPr="00F22124">
              <w:t>4.5</w:t>
            </w:r>
          </w:p>
        </w:tc>
        <w:tc>
          <w:tcPr>
            <w:tcW w:w="1360"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57444F79" w14:textId="77777777" w:rsidR="00F22124" w:rsidRPr="00F22124" w:rsidRDefault="00F22124" w:rsidP="00F22124">
            <w:pPr>
              <w:pStyle w:val="CDITable-RowCentre"/>
            </w:pPr>
            <w:r w:rsidRPr="00F22124">
              <w:t>3.5–5.4</w:t>
            </w:r>
          </w:p>
        </w:tc>
      </w:tr>
      <w:tr w:rsidR="00F22124" w:rsidRPr="00F22124" w14:paraId="4B001BA1" w14:textId="77777777" w:rsidTr="00DB5F45">
        <w:trPr>
          <w:trHeight w:val="20"/>
        </w:trPr>
        <w:tc>
          <w:tcPr>
            <w:tcW w:w="1729" w:type="dxa"/>
            <w:tcBorders>
              <w:top w:val="single" w:sz="6" w:space="0" w:color="1E4496" w:themeColor="text2"/>
            </w:tcBorders>
            <w:tcMar>
              <w:top w:w="57" w:type="dxa"/>
              <w:left w:w="113" w:type="dxa"/>
              <w:bottom w:w="57" w:type="dxa"/>
              <w:right w:w="113" w:type="dxa"/>
            </w:tcMar>
            <w:vAlign w:val="center"/>
          </w:tcPr>
          <w:p w14:paraId="73DA0BD0" w14:textId="77777777" w:rsidR="00F22124" w:rsidRPr="00F22124" w:rsidRDefault="00F22124" w:rsidP="00F22124">
            <w:pPr>
              <w:pStyle w:val="CDITable-RowLeft"/>
            </w:pPr>
            <w:r w:rsidRPr="00F22124">
              <w:t>65+ years</w:t>
            </w:r>
          </w:p>
        </w:tc>
        <w:tc>
          <w:tcPr>
            <w:tcW w:w="1729" w:type="dxa"/>
            <w:tcBorders>
              <w:top w:val="single" w:sz="6" w:space="0" w:color="1E4496" w:themeColor="text2"/>
              <w:right w:val="single" w:sz="6" w:space="0" w:color="1E4496" w:themeColor="text2"/>
            </w:tcBorders>
            <w:tcMar>
              <w:top w:w="57" w:type="dxa"/>
              <w:left w:w="113" w:type="dxa"/>
              <w:bottom w:w="57" w:type="dxa"/>
              <w:right w:w="113" w:type="dxa"/>
            </w:tcMar>
            <w:vAlign w:val="center"/>
          </w:tcPr>
          <w:p w14:paraId="0F041364" w14:textId="77777777" w:rsidR="00F22124" w:rsidRPr="00F22124" w:rsidRDefault="00F22124" w:rsidP="00F22124">
            <w:pPr>
              <w:pStyle w:val="CDITable-RowLeft"/>
            </w:pPr>
            <w:r w:rsidRPr="00F22124">
              <w:t>Older persons</w:t>
            </w:r>
          </w:p>
        </w:tc>
        <w:tc>
          <w:tcPr>
            <w:tcW w:w="1361" w:type="dxa"/>
            <w:tcBorders>
              <w:top w:val="single" w:sz="6" w:space="0" w:color="1E4496" w:themeColor="text2"/>
              <w:left w:val="single" w:sz="6" w:space="0" w:color="1E4496" w:themeColor="text2"/>
            </w:tcBorders>
            <w:tcMar>
              <w:top w:w="57" w:type="dxa"/>
              <w:left w:w="113" w:type="dxa"/>
              <w:bottom w:w="57" w:type="dxa"/>
              <w:right w:w="113" w:type="dxa"/>
            </w:tcMar>
            <w:vAlign w:val="center"/>
          </w:tcPr>
          <w:p w14:paraId="2A689B4D" w14:textId="77777777" w:rsidR="00F22124" w:rsidRPr="00F22124" w:rsidRDefault="00F22124" w:rsidP="00F22124">
            <w:pPr>
              <w:pStyle w:val="CDITable-RowCentre"/>
            </w:pPr>
            <w:r w:rsidRPr="00F22124">
              <w:t>150</w:t>
            </w:r>
          </w:p>
        </w:tc>
        <w:tc>
          <w:tcPr>
            <w:tcW w:w="1361" w:type="dxa"/>
            <w:tcBorders>
              <w:top w:val="single" w:sz="6" w:space="0" w:color="1E4496" w:themeColor="text2"/>
            </w:tcBorders>
            <w:tcMar>
              <w:top w:w="57" w:type="dxa"/>
              <w:left w:w="113" w:type="dxa"/>
              <w:bottom w:w="57" w:type="dxa"/>
              <w:right w:w="113" w:type="dxa"/>
            </w:tcMar>
            <w:vAlign w:val="center"/>
          </w:tcPr>
          <w:p w14:paraId="0A1AA6C0" w14:textId="77777777" w:rsidR="00F22124" w:rsidRPr="00F22124" w:rsidRDefault="00F22124" w:rsidP="00F22124">
            <w:pPr>
              <w:pStyle w:val="CDITable-RowCentre"/>
            </w:pPr>
            <w:r w:rsidRPr="00F22124">
              <w:t>9</w:t>
            </w:r>
          </w:p>
        </w:tc>
        <w:tc>
          <w:tcPr>
            <w:tcW w:w="1360" w:type="dxa"/>
            <w:tcBorders>
              <w:top w:val="single" w:sz="6" w:space="0" w:color="1E4496" w:themeColor="text2"/>
            </w:tcBorders>
            <w:tcMar>
              <w:top w:w="57" w:type="dxa"/>
              <w:left w:w="113" w:type="dxa"/>
              <w:bottom w:w="57" w:type="dxa"/>
              <w:right w:w="113" w:type="dxa"/>
            </w:tcMar>
            <w:vAlign w:val="center"/>
          </w:tcPr>
          <w:p w14:paraId="3B7BDC0E" w14:textId="77777777" w:rsidR="00F22124" w:rsidRPr="00F22124" w:rsidRDefault="00F22124" w:rsidP="00F22124">
            <w:pPr>
              <w:pStyle w:val="CDITable-RowCentre"/>
            </w:pPr>
            <w:r w:rsidRPr="00F22124">
              <w:t>6.0</w:t>
            </w:r>
          </w:p>
        </w:tc>
        <w:tc>
          <w:tcPr>
            <w:tcW w:w="1361" w:type="dxa"/>
            <w:tcBorders>
              <w:top w:val="single" w:sz="6" w:space="0" w:color="1E4496" w:themeColor="text2"/>
              <w:right w:val="single" w:sz="6" w:space="0" w:color="1E4496" w:themeColor="text2"/>
            </w:tcBorders>
            <w:tcMar>
              <w:top w:w="57" w:type="dxa"/>
              <w:left w:w="113" w:type="dxa"/>
              <w:bottom w:w="57" w:type="dxa"/>
              <w:right w:w="113" w:type="dxa"/>
            </w:tcMar>
            <w:vAlign w:val="center"/>
          </w:tcPr>
          <w:p w14:paraId="19B5E9CB" w14:textId="77777777" w:rsidR="00F22124" w:rsidRPr="00F22124" w:rsidRDefault="00F22124" w:rsidP="00F22124">
            <w:pPr>
              <w:pStyle w:val="CDITable-RowCentre"/>
            </w:pPr>
            <w:r w:rsidRPr="00F22124">
              <w:t>4.9–7.1</w:t>
            </w:r>
          </w:p>
        </w:tc>
        <w:tc>
          <w:tcPr>
            <w:tcW w:w="1360" w:type="dxa"/>
            <w:tcBorders>
              <w:top w:val="single" w:sz="6" w:space="0" w:color="1E4496" w:themeColor="text2"/>
              <w:left w:val="single" w:sz="6" w:space="0" w:color="1E4496" w:themeColor="text2"/>
            </w:tcBorders>
            <w:tcMar>
              <w:top w:w="57" w:type="dxa"/>
              <w:left w:w="113" w:type="dxa"/>
              <w:bottom w:w="57" w:type="dxa"/>
              <w:right w:w="113" w:type="dxa"/>
            </w:tcMar>
            <w:vAlign w:val="center"/>
          </w:tcPr>
          <w:p w14:paraId="72D6C904" w14:textId="77777777" w:rsidR="00F22124" w:rsidRPr="00F22124" w:rsidRDefault="00F22124" w:rsidP="00F22124">
            <w:pPr>
              <w:pStyle w:val="CDITable-RowCentre"/>
            </w:pPr>
            <w:r w:rsidRPr="00F22124">
              <w:t>178</w:t>
            </w:r>
          </w:p>
        </w:tc>
        <w:tc>
          <w:tcPr>
            <w:tcW w:w="1361" w:type="dxa"/>
            <w:tcBorders>
              <w:top w:val="single" w:sz="6" w:space="0" w:color="1E4496" w:themeColor="text2"/>
            </w:tcBorders>
            <w:tcMar>
              <w:top w:w="57" w:type="dxa"/>
              <w:left w:w="113" w:type="dxa"/>
              <w:bottom w:w="57" w:type="dxa"/>
              <w:right w:w="113" w:type="dxa"/>
            </w:tcMar>
            <w:vAlign w:val="center"/>
          </w:tcPr>
          <w:p w14:paraId="34EA881A" w14:textId="77777777" w:rsidR="00F22124" w:rsidRPr="00F22124" w:rsidRDefault="00F22124" w:rsidP="00F22124">
            <w:pPr>
              <w:pStyle w:val="CDITable-RowCentre"/>
            </w:pPr>
            <w:r w:rsidRPr="00F22124">
              <w:t>10</w:t>
            </w:r>
          </w:p>
        </w:tc>
        <w:tc>
          <w:tcPr>
            <w:tcW w:w="1361" w:type="dxa"/>
            <w:tcBorders>
              <w:top w:val="single" w:sz="6" w:space="0" w:color="1E4496" w:themeColor="text2"/>
            </w:tcBorders>
            <w:tcMar>
              <w:top w:w="57" w:type="dxa"/>
              <w:left w:w="113" w:type="dxa"/>
              <w:bottom w:w="57" w:type="dxa"/>
              <w:right w:w="113" w:type="dxa"/>
            </w:tcMar>
            <w:vAlign w:val="center"/>
          </w:tcPr>
          <w:p w14:paraId="24742BC8" w14:textId="77777777" w:rsidR="00F22124" w:rsidRPr="00F22124" w:rsidRDefault="00F22124" w:rsidP="00F22124">
            <w:pPr>
              <w:pStyle w:val="CDITable-RowCentre"/>
            </w:pPr>
            <w:r w:rsidRPr="00F22124">
              <w:t>5.6</w:t>
            </w:r>
          </w:p>
        </w:tc>
        <w:tc>
          <w:tcPr>
            <w:tcW w:w="1360" w:type="dxa"/>
            <w:tcBorders>
              <w:top w:val="single" w:sz="6" w:space="0" w:color="1E4496" w:themeColor="text2"/>
            </w:tcBorders>
            <w:tcMar>
              <w:top w:w="57" w:type="dxa"/>
              <w:left w:w="113" w:type="dxa"/>
              <w:bottom w:w="57" w:type="dxa"/>
              <w:right w:w="113" w:type="dxa"/>
            </w:tcMar>
            <w:vAlign w:val="center"/>
          </w:tcPr>
          <w:p w14:paraId="17C0656F" w14:textId="77777777" w:rsidR="00F22124" w:rsidRPr="00F22124" w:rsidRDefault="00F22124" w:rsidP="00F22124">
            <w:pPr>
              <w:pStyle w:val="CDITable-RowCentre"/>
            </w:pPr>
            <w:r w:rsidRPr="00F22124">
              <w:t>4.6–6.6</w:t>
            </w:r>
          </w:p>
        </w:tc>
      </w:tr>
      <w:tr w:rsidR="00F22124" w:rsidRPr="00F22124" w14:paraId="17B6042F" w14:textId="77777777" w:rsidTr="00AB1368">
        <w:trPr>
          <w:trHeight w:val="20"/>
        </w:trPr>
        <w:tc>
          <w:tcPr>
            <w:tcW w:w="1729" w:type="dxa"/>
            <w:tcBorders>
              <w:bottom w:val="single" w:sz="6" w:space="0" w:color="1E4496" w:themeColor="text2"/>
            </w:tcBorders>
            <w:shd w:val="clear" w:color="auto" w:fill="53C9F1" w:themeFill="background2"/>
            <w:tcMar>
              <w:top w:w="57" w:type="dxa"/>
              <w:left w:w="113" w:type="dxa"/>
              <w:bottom w:w="57" w:type="dxa"/>
              <w:right w:w="113" w:type="dxa"/>
            </w:tcMar>
            <w:vAlign w:val="center"/>
          </w:tcPr>
          <w:p w14:paraId="5E30D431" w14:textId="77777777" w:rsidR="00F22124" w:rsidRPr="00F22124" w:rsidRDefault="00F22124" w:rsidP="00F22124">
            <w:pPr>
              <w:pStyle w:val="CDITable-TotalRowLeft"/>
            </w:pPr>
            <w:r w:rsidRPr="00F22124">
              <w:t>Total</w:t>
            </w:r>
          </w:p>
        </w:tc>
        <w:tc>
          <w:tcPr>
            <w:tcW w:w="1729" w:type="dxa"/>
            <w:tcBorders>
              <w:bottom w:val="single" w:sz="6" w:space="0" w:color="1E4496" w:themeColor="text2"/>
              <w:right w:val="single" w:sz="6" w:space="0" w:color="1E4496" w:themeColor="text2"/>
            </w:tcBorders>
            <w:shd w:val="clear" w:color="auto" w:fill="53C9F1" w:themeFill="background2"/>
            <w:tcMar>
              <w:top w:w="57" w:type="dxa"/>
              <w:left w:w="113" w:type="dxa"/>
              <w:bottom w:w="57" w:type="dxa"/>
              <w:right w:w="113" w:type="dxa"/>
            </w:tcMar>
            <w:vAlign w:val="center"/>
          </w:tcPr>
          <w:p w14:paraId="12493A70" w14:textId="77777777" w:rsidR="00F22124" w:rsidRPr="00F22124" w:rsidRDefault="00F22124" w:rsidP="00F22124">
            <w:pPr>
              <w:pStyle w:val="CDITable-TotalRowLeft"/>
            </w:pPr>
            <w:r w:rsidRPr="00F22124">
              <w:t>—</w:t>
            </w:r>
          </w:p>
        </w:tc>
        <w:tc>
          <w:tcPr>
            <w:tcW w:w="1361" w:type="dxa"/>
            <w:tcBorders>
              <w:left w:val="single" w:sz="6" w:space="0" w:color="1E4496" w:themeColor="text2"/>
              <w:bottom w:val="single" w:sz="6" w:space="0" w:color="1E4496" w:themeColor="text2"/>
            </w:tcBorders>
            <w:shd w:val="clear" w:color="auto" w:fill="53C9F1" w:themeFill="background2"/>
            <w:tcMar>
              <w:top w:w="57" w:type="dxa"/>
              <w:left w:w="113" w:type="dxa"/>
              <w:bottom w:w="57" w:type="dxa"/>
              <w:right w:w="113" w:type="dxa"/>
            </w:tcMar>
            <w:vAlign w:val="center"/>
          </w:tcPr>
          <w:p w14:paraId="1E539DFA" w14:textId="77777777" w:rsidR="00F22124" w:rsidRPr="00F22124" w:rsidRDefault="00F22124" w:rsidP="00F22124">
            <w:pPr>
              <w:pStyle w:val="CDITable-TotalRowCentre"/>
            </w:pPr>
            <w:r w:rsidRPr="00F22124">
              <w:t>1,899</w:t>
            </w:r>
          </w:p>
        </w:tc>
        <w:tc>
          <w:tcPr>
            <w:tcW w:w="1361" w:type="dxa"/>
            <w:tcBorders>
              <w:bottom w:val="single" w:sz="6" w:space="0" w:color="1E4496" w:themeColor="text2"/>
            </w:tcBorders>
            <w:shd w:val="clear" w:color="auto" w:fill="53C9F1" w:themeFill="background2"/>
            <w:tcMar>
              <w:top w:w="57" w:type="dxa"/>
              <w:left w:w="113" w:type="dxa"/>
              <w:bottom w:w="57" w:type="dxa"/>
              <w:right w:w="113" w:type="dxa"/>
            </w:tcMar>
            <w:vAlign w:val="center"/>
          </w:tcPr>
          <w:p w14:paraId="08E037A5" w14:textId="77777777" w:rsidR="00F22124" w:rsidRPr="00F22124" w:rsidRDefault="00F22124" w:rsidP="00F22124">
            <w:pPr>
              <w:pStyle w:val="CDITable-TotalRowCentre"/>
            </w:pPr>
            <w:r w:rsidRPr="00F22124">
              <w:t>154</w:t>
            </w:r>
          </w:p>
        </w:tc>
        <w:tc>
          <w:tcPr>
            <w:tcW w:w="1360" w:type="dxa"/>
            <w:tcBorders>
              <w:bottom w:val="single" w:sz="6" w:space="0" w:color="1E4496" w:themeColor="text2"/>
            </w:tcBorders>
            <w:shd w:val="clear" w:color="auto" w:fill="53C9F1" w:themeFill="background2"/>
            <w:tcMar>
              <w:top w:w="57" w:type="dxa"/>
              <w:left w:w="113" w:type="dxa"/>
              <w:bottom w:w="57" w:type="dxa"/>
              <w:right w:w="113" w:type="dxa"/>
            </w:tcMar>
            <w:vAlign w:val="center"/>
          </w:tcPr>
          <w:p w14:paraId="1CC374C8" w14:textId="77777777" w:rsidR="00F22124" w:rsidRPr="00F22124" w:rsidRDefault="00F22124" w:rsidP="00F22124">
            <w:pPr>
              <w:pStyle w:val="CDITable-TotalRowCentre"/>
            </w:pPr>
            <w:r w:rsidRPr="00F22124">
              <w:t>8.1</w:t>
            </w:r>
          </w:p>
        </w:tc>
        <w:tc>
          <w:tcPr>
            <w:tcW w:w="1361" w:type="dxa"/>
            <w:tcBorders>
              <w:bottom w:val="single" w:sz="6" w:space="0" w:color="1E4496" w:themeColor="text2"/>
              <w:right w:val="single" w:sz="6" w:space="0" w:color="1E4496" w:themeColor="text2"/>
            </w:tcBorders>
            <w:shd w:val="clear" w:color="auto" w:fill="53C9F1" w:themeFill="background2"/>
            <w:tcMar>
              <w:top w:w="57" w:type="dxa"/>
              <w:left w:w="113" w:type="dxa"/>
              <w:bottom w:w="57" w:type="dxa"/>
              <w:right w:w="113" w:type="dxa"/>
            </w:tcMar>
            <w:vAlign w:val="center"/>
          </w:tcPr>
          <w:p w14:paraId="1163ED35" w14:textId="77777777" w:rsidR="00F22124" w:rsidRPr="00F22124" w:rsidRDefault="00F22124" w:rsidP="00F22124">
            <w:pPr>
              <w:pStyle w:val="CDITable-TotalRowCentre"/>
            </w:pPr>
            <w:r w:rsidRPr="00F22124">
              <w:t>6.9–9.3</w:t>
            </w:r>
          </w:p>
        </w:tc>
        <w:tc>
          <w:tcPr>
            <w:tcW w:w="1360" w:type="dxa"/>
            <w:tcBorders>
              <w:left w:val="single" w:sz="6" w:space="0" w:color="1E4496" w:themeColor="text2"/>
              <w:bottom w:val="single" w:sz="6" w:space="0" w:color="1E4496" w:themeColor="text2"/>
            </w:tcBorders>
            <w:shd w:val="clear" w:color="auto" w:fill="53C9F1" w:themeFill="background2"/>
            <w:tcMar>
              <w:top w:w="57" w:type="dxa"/>
              <w:left w:w="113" w:type="dxa"/>
              <w:bottom w:w="57" w:type="dxa"/>
              <w:right w:w="113" w:type="dxa"/>
            </w:tcMar>
            <w:vAlign w:val="center"/>
          </w:tcPr>
          <w:p w14:paraId="418FC7D8" w14:textId="77777777" w:rsidR="00F22124" w:rsidRPr="00F22124" w:rsidRDefault="00F22124" w:rsidP="00F22124">
            <w:pPr>
              <w:pStyle w:val="CDITable-TotalRowCentre"/>
            </w:pPr>
            <w:r w:rsidRPr="00F22124">
              <w:t>1,886</w:t>
            </w:r>
          </w:p>
        </w:tc>
        <w:tc>
          <w:tcPr>
            <w:tcW w:w="1361" w:type="dxa"/>
            <w:tcBorders>
              <w:bottom w:val="single" w:sz="6" w:space="0" w:color="1E4496" w:themeColor="text2"/>
            </w:tcBorders>
            <w:shd w:val="clear" w:color="auto" w:fill="53C9F1" w:themeFill="background2"/>
            <w:tcMar>
              <w:top w:w="57" w:type="dxa"/>
              <w:left w:w="113" w:type="dxa"/>
              <w:bottom w:w="57" w:type="dxa"/>
              <w:right w:w="113" w:type="dxa"/>
            </w:tcMar>
            <w:vAlign w:val="center"/>
          </w:tcPr>
          <w:p w14:paraId="43F28F26" w14:textId="77777777" w:rsidR="00F22124" w:rsidRPr="00F22124" w:rsidRDefault="00F22124" w:rsidP="00F22124">
            <w:pPr>
              <w:pStyle w:val="CDITable-TotalRowCentre"/>
            </w:pPr>
            <w:r w:rsidRPr="00F22124">
              <w:t>135</w:t>
            </w:r>
          </w:p>
        </w:tc>
        <w:tc>
          <w:tcPr>
            <w:tcW w:w="1361" w:type="dxa"/>
            <w:tcBorders>
              <w:bottom w:val="single" w:sz="6" w:space="0" w:color="1E4496" w:themeColor="text2"/>
            </w:tcBorders>
            <w:shd w:val="clear" w:color="auto" w:fill="53C9F1" w:themeFill="background2"/>
            <w:tcMar>
              <w:top w:w="57" w:type="dxa"/>
              <w:left w:w="113" w:type="dxa"/>
              <w:bottom w:w="57" w:type="dxa"/>
              <w:right w:w="113" w:type="dxa"/>
            </w:tcMar>
            <w:vAlign w:val="center"/>
          </w:tcPr>
          <w:p w14:paraId="4B6A6AF0" w14:textId="77777777" w:rsidR="00F22124" w:rsidRPr="00F22124" w:rsidRDefault="00F22124" w:rsidP="00F22124">
            <w:pPr>
              <w:pStyle w:val="CDITable-TotalRowCentre"/>
            </w:pPr>
            <w:r w:rsidRPr="00F22124">
              <w:t>7.2</w:t>
            </w:r>
          </w:p>
        </w:tc>
        <w:tc>
          <w:tcPr>
            <w:tcW w:w="1360" w:type="dxa"/>
            <w:tcBorders>
              <w:bottom w:val="single" w:sz="6" w:space="0" w:color="1E4496" w:themeColor="text2"/>
            </w:tcBorders>
            <w:shd w:val="clear" w:color="auto" w:fill="53C9F1" w:themeFill="background2"/>
            <w:tcMar>
              <w:top w:w="57" w:type="dxa"/>
              <w:left w:w="113" w:type="dxa"/>
              <w:bottom w:w="57" w:type="dxa"/>
              <w:right w:w="113" w:type="dxa"/>
            </w:tcMar>
            <w:vAlign w:val="center"/>
          </w:tcPr>
          <w:p w14:paraId="4C9553A0" w14:textId="77777777" w:rsidR="00F22124" w:rsidRPr="00F22124" w:rsidRDefault="00F22124" w:rsidP="00F22124">
            <w:pPr>
              <w:pStyle w:val="CDITable-TotalRowCentre"/>
            </w:pPr>
            <w:r w:rsidRPr="00F22124">
              <w:t>6.0–8.3</w:t>
            </w:r>
          </w:p>
        </w:tc>
      </w:tr>
    </w:tbl>
    <w:p w14:paraId="3E29E0FB" w14:textId="77777777" w:rsidR="001A53DB" w:rsidRDefault="001A53DB" w:rsidP="001A53DB">
      <w:pPr>
        <w:pStyle w:val="CDITable-FirstFootnote"/>
      </w:pPr>
      <w:proofErr w:type="gramStart"/>
      <w:r>
        <w:t>a</w:t>
      </w:r>
      <w:proofErr w:type="gramEnd"/>
      <w:r>
        <w:tab/>
        <w:t>Age was not recorded for 23 cases.</w:t>
      </w:r>
    </w:p>
    <w:p w14:paraId="2D70344C" w14:textId="67A8CB42" w:rsidR="001A53DB" w:rsidRDefault="001A53DB" w:rsidP="001A53DB">
      <w:pPr>
        <w:pStyle w:val="CDITable-Footnote"/>
      </w:pPr>
      <w:r>
        <w:t>b</w:t>
      </w:r>
      <w:r>
        <w:tab/>
        <w:t>95% confidence interval, expressed as a percentage.</w:t>
      </w:r>
    </w:p>
    <w:p w14:paraId="456C7BB2" w14:textId="77777777" w:rsidR="001A53DB" w:rsidRPr="001A53DB" w:rsidRDefault="001A53DB" w:rsidP="00656BED">
      <w:pPr>
        <w:pStyle w:val="CDITable-Title"/>
        <w:rPr>
          <w:lang w:val="en-GB"/>
        </w:rPr>
      </w:pPr>
      <w:bookmarkStart w:id="37" w:name="_Toc222142530"/>
      <w:r w:rsidRPr="001A53DB">
        <w:rPr>
          <w:lang w:val="en-GB"/>
        </w:rPr>
        <w:t xml:space="preserve">Table 3: Adverse event following immunisation (AEFI) reports by </w:t>
      </w:r>
      <w:proofErr w:type="spellStart"/>
      <w:proofErr w:type="gramStart"/>
      <w:r w:rsidRPr="001A53DB">
        <w:rPr>
          <w:lang w:val="en-GB"/>
        </w:rPr>
        <w:t>sex,</w:t>
      </w:r>
      <w:r w:rsidRPr="001A53DB">
        <w:rPr>
          <w:vertAlign w:val="superscript"/>
          <w:lang w:val="en-GB"/>
        </w:rPr>
        <w:t>a</w:t>
      </w:r>
      <w:proofErr w:type="spellEnd"/>
      <w:proofErr w:type="gramEnd"/>
      <w:r w:rsidRPr="001A53DB">
        <w:rPr>
          <w:lang w:val="en-GB"/>
        </w:rPr>
        <w:t xml:space="preserve"> Indigenous status, and age </w:t>
      </w:r>
      <w:proofErr w:type="spellStart"/>
      <w:proofErr w:type="gramStart"/>
      <w:r w:rsidRPr="001A53DB">
        <w:rPr>
          <w:lang w:val="en-GB"/>
        </w:rPr>
        <w:t>group,</w:t>
      </w:r>
      <w:r w:rsidRPr="001A53DB">
        <w:rPr>
          <w:vertAlign w:val="superscript"/>
          <w:lang w:val="en-GB"/>
        </w:rPr>
        <w:t>b</w:t>
      </w:r>
      <w:proofErr w:type="spellEnd"/>
      <w:proofErr w:type="gramEnd"/>
      <w:r w:rsidRPr="001A53DB">
        <w:rPr>
          <w:lang w:val="en-GB"/>
        </w:rPr>
        <w:t xml:space="preserve"> SAEFVIC, Victoria, Australia, 2019–2020</w:t>
      </w:r>
      <w:bookmarkEnd w:id="37"/>
    </w:p>
    <w:tbl>
      <w:tblPr>
        <w:tblW w:w="0" w:type="auto"/>
        <w:tblLayout w:type="fixed"/>
        <w:tblCellMar>
          <w:left w:w="0" w:type="dxa"/>
          <w:right w:w="0" w:type="dxa"/>
        </w:tblCellMar>
        <w:tblLook w:val="0000" w:firstRow="0" w:lastRow="0" w:firstColumn="0" w:lastColumn="0" w:noHBand="0" w:noVBand="0"/>
        <w:tblCaption w:val="Table 3: Adverse event following immunisation (AEFI) reports by sex,a Indigenous status, and age group,b SAEFVIC, Victoria, Australia, 2019–2020"/>
        <w:tblDescription w:val="Table 3 shows the count of AEFI reports and rate per population stratified by age group and sex, and by age group and Indigenous Australian status for 2019 and 2020. Table 3 also shows the male to female population reporting ratio stratified by age group for the same period."/>
      </w:tblPr>
      <w:tblGrid>
        <w:gridCol w:w="1332"/>
        <w:gridCol w:w="1446"/>
        <w:gridCol w:w="879"/>
        <w:gridCol w:w="793"/>
        <w:gridCol w:w="879"/>
        <w:gridCol w:w="794"/>
        <w:gridCol w:w="879"/>
        <w:gridCol w:w="793"/>
        <w:gridCol w:w="879"/>
        <w:gridCol w:w="794"/>
        <w:gridCol w:w="737"/>
        <w:gridCol w:w="737"/>
        <w:gridCol w:w="878"/>
        <w:gridCol w:w="823"/>
        <w:gridCol w:w="878"/>
        <w:gridCol w:w="822"/>
      </w:tblGrid>
      <w:tr w:rsidR="00F22124" w:rsidRPr="00F22124" w14:paraId="67B958AA" w14:textId="77777777" w:rsidTr="00AB1368">
        <w:trPr>
          <w:trHeight w:val="60"/>
          <w:tblHeader/>
        </w:trPr>
        <w:tc>
          <w:tcPr>
            <w:tcW w:w="1332" w:type="dxa"/>
            <w:vMerge w:val="restart"/>
            <w:shd w:val="clear" w:color="auto" w:fill="1E4496" w:themeFill="text2"/>
            <w:tcMar>
              <w:top w:w="57" w:type="dxa"/>
              <w:left w:w="57" w:type="dxa"/>
              <w:bottom w:w="57" w:type="dxa"/>
              <w:right w:w="57" w:type="dxa"/>
            </w:tcMar>
            <w:vAlign w:val="bottom"/>
          </w:tcPr>
          <w:p w14:paraId="6652487A" w14:textId="77777777" w:rsidR="00F22124" w:rsidRPr="00F22124" w:rsidRDefault="00F22124" w:rsidP="00F22124">
            <w:pPr>
              <w:pStyle w:val="CDITable-HeaderRowLeft"/>
            </w:pPr>
            <w:r w:rsidRPr="00F22124">
              <w:t>Age group</w:t>
            </w:r>
          </w:p>
        </w:tc>
        <w:tc>
          <w:tcPr>
            <w:tcW w:w="1446" w:type="dxa"/>
            <w:vMerge w:val="restart"/>
            <w:shd w:val="clear" w:color="auto" w:fill="1E4496" w:themeFill="text2"/>
            <w:tcMar>
              <w:top w:w="57" w:type="dxa"/>
              <w:left w:w="57" w:type="dxa"/>
              <w:bottom w:w="57" w:type="dxa"/>
              <w:right w:w="57" w:type="dxa"/>
            </w:tcMar>
            <w:vAlign w:val="bottom"/>
          </w:tcPr>
          <w:p w14:paraId="7DB35DF0" w14:textId="77777777" w:rsidR="00F22124" w:rsidRPr="00F22124" w:rsidRDefault="00F22124" w:rsidP="00F22124">
            <w:pPr>
              <w:pStyle w:val="CDITable-HeaderRowLeft"/>
            </w:pPr>
            <w:r w:rsidRPr="00F22124">
              <w:t>Age category</w:t>
            </w:r>
          </w:p>
        </w:tc>
        <w:tc>
          <w:tcPr>
            <w:tcW w:w="3345" w:type="dxa"/>
            <w:gridSpan w:val="4"/>
            <w:shd w:val="clear" w:color="auto" w:fill="1E4496" w:themeFill="text2"/>
            <w:tcMar>
              <w:top w:w="57" w:type="dxa"/>
              <w:left w:w="57" w:type="dxa"/>
              <w:bottom w:w="57" w:type="dxa"/>
              <w:right w:w="57" w:type="dxa"/>
            </w:tcMar>
            <w:vAlign w:val="bottom"/>
          </w:tcPr>
          <w:p w14:paraId="6527B66C" w14:textId="77777777" w:rsidR="00F22124" w:rsidRPr="00F22124" w:rsidRDefault="00F22124" w:rsidP="00F22124">
            <w:pPr>
              <w:pStyle w:val="CDITable-HeaderRowCentre"/>
            </w:pPr>
            <w:r w:rsidRPr="00F22124">
              <w:t>Males</w:t>
            </w:r>
          </w:p>
        </w:tc>
        <w:tc>
          <w:tcPr>
            <w:tcW w:w="3345" w:type="dxa"/>
            <w:gridSpan w:val="4"/>
            <w:shd w:val="clear" w:color="auto" w:fill="1E4496" w:themeFill="text2"/>
            <w:tcMar>
              <w:top w:w="57" w:type="dxa"/>
              <w:left w:w="57" w:type="dxa"/>
              <w:bottom w:w="57" w:type="dxa"/>
              <w:right w:w="57" w:type="dxa"/>
            </w:tcMar>
            <w:vAlign w:val="bottom"/>
          </w:tcPr>
          <w:p w14:paraId="3F8E3F5A" w14:textId="77777777" w:rsidR="00F22124" w:rsidRPr="00F22124" w:rsidRDefault="00F22124" w:rsidP="00F22124">
            <w:pPr>
              <w:pStyle w:val="CDITable-HeaderRowCentre"/>
            </w:pPr>
            <w:r w:rsidRPr="00F22124">
              <w:t>Females</w:t>
            </w:r>
          </w:p>
        </w:tc>
        <w:tc>
          <w:tcPr>
            <w:tcW w:w="1474" w:type="dxa"/>
            <w:gridSpan w:val="2"/>
            <w:vMerge w:val="restart"/>
            <w:shd w:val="clear" w:color="auto" w:fill="1E4496" w:themeFill="text2"/>
            <w:tcMar>
              <w:top w:w="57" w:type="dxa"/>
              <w:left w:w="57" w:type="dxa"/>
              <w:bottom w:w="57" w:type="dxa"/>
              <w:right w:w="57" w:type="dxa"/>
            </w:tcMar>
            <w:vAlign w:val="bottom"/>
          </w:tcPr>
          <w:p w14:paraId="4F212BAC" w14:textId="77777777" w:rsidR="00F22124" w:rsidRPr="00F22124" w:rsidRDefault="00F22124" w:rsidP="00F22124">
            <w:pPr>
              <w:pStyle w:val="CDITable-HeaderRowCentre"/>
            </w:pPr>
            <w:r w:rsidRPr="00F22124">
              <w:t xml:space="preserve">Rate ratio, </w:t>
            </w:r>
            <w:proofErr w:type="spellStart"/>
            <w:proofErr w:type="gramStart"/>
            <w:r w:rsidRPr="00F22124">
              <w:t>male:female</w:t>
            </w:r>
            <w:proofErr w:type="spellEnd"/>
            <w:proofErr w:type="gramEnd"/>
          </w:p>
        </w:tc>
        <w:tc>
          <w:tcPr>
            <w:tcW w:w="3401" w:type="dxa"/>
            <w:gridSpan w:val="4"/>
            <w:shd w:val="clear" w:color="auto" w:fill="1E4496" w:themeFill="text2"/>
            <w:tcMar>
              <w:top w:w="57" w:type="dxa"/>
              <w:left w:w="57" w:type="dxa"/>
              <w:bottom w:w="57" w:type="dxa"/>
              <w:right w:w="57" w:type="dxa"/>
            </w:tcMar>
            <w:vAlign w:val="bottom"/>
          </w:tcPr>
          <w:p w14:paraId="4695465E" w14:textId="77777777" w:rsidR="00F22124" w:rsidRPr="00F22124" w:rsidRDefault="00F22124" w:rsidP="00F22124">
            <w:pPr>
              <w:pStyle w:val="CDITable-HeaderRowCentre"/>
            </w:pPr>
            <w:r w:rsidRPr="00F22124">
              <w:t>Indigenous Australians</w:t>
            </w:r>
          </w:p>
        </w:tc>
      </w:tr>
      <w:tr w:rsidR="00F22124" w:rsidRPr="00F22124" w14:paraId="1A607D6C" w14:textId="77777777" w:rsidTr="00AB1368">
        <w:trPr>
          <w:trHeight w:val="60"/>
          <w:tblHeader/>
        </w:trPr>
        <w:tc>
          <w:tcPr>
            <w:tcW w:w="1332" w:type="dxa"/>
            <w:vMerge/>
            <w:shd w:val="clear" w:color="auto" w:fill="1E4496" w:themeFill="text2"/>
            <w:tcMar>
              <w:top w:w="57" w:type="dxa"/>
              <w:bottom w:w="57" w:type="dxa"/>
            </w:tcMar>
          </w:tcPr>
          <w:p w14:paraId="4C8B6DC4" w14:textId="77777777" w:rsidR="00F22124" w:rsidRPr="00F22124" w:rsidRDefault="00F22124" w:rsidP="00F22124">
            <w:pPr>
              <w:pStyle w:val="CDITable-RowCentre"/>
            </w:pPr>
          </w:p>
        </w:tc>
        <w:tc>
          <w:tcPr>
            <w:tcW w:w="1446" w:type="dxa"/>
            <w:vMerge/>
            <w:shd w:val="clear" w:color="auto" w:fill="1E4496" w:themeFill="text2"/>
            <w:tcMar>
              <w:top w:w="57" w:type="dxa"/>
              <w:bottom w:w="57" w:type="dxa"/>
            </w:tcMar>
          </w:tcPr>
          <w:p w14:paraId="1BFEC349" w14:textId="77777777" w:rsidR="00F22124" w:rsidRPr="00F22124" w:rsidRDefault="00F22124" w:rsidP="00F22124">
            <w:pPr>
              <w:pStyle w:val="CDITable-RowCentre"/>
            </w:pPr>
          </w:p>
        </w:tc>
        <w:tc>
          <w:tcPr>
            <w:tcW w:w="1672" w:type="dxa"/>
            <w:gridSpan w:val="2"/>
            <w:tcBorders>
              <w:bottom w:val="single" w:sz="6" w:space="0" w:color="FFFFFF" w:themeColor="background1"/>
            </w:tcBorders>
            <w:shd w:val="clear" w:color="auto" w:fill="1E4496" w:themeFill="text2"/>
            <w:tcMar>
              <w:top w:w="57" w:type="dxa"/>
              <w:left w:w="57" w:type="dxa"/>
              <w:bottom w:w="57" w:type="dxa"/>
              <w:right w:w="57" w:type="dxa"/>
            </w:tcMar>
            <w:vAlign w:val="bottom"/>
          </w:tcPr>
          <w:p w14:paraId="17967B26" w14:textId="77777777" w:rsidR="00F22124" w:rsidRPr="00F22124" w:rsidRDefault="00F22124" w:rsidP="00F22124">
            <w:pPr>
              <w:pStyle w:val="CDITable-HeaderRowCentre"/>
            </w:pPr>
            <w:r w:rsidRPr="00F22124">
              <w:t>2019</w:t>
            </w:r>
          </w:p>
        </w:tc>
        <w:tc>
          <w:tcPr>
            <w:tcW w:w="1673" w:type="dxa"/>
            <w:gridSpan w:val="2"/>
            <w:tcBorders>
              <w:bottom w:val="single" w:sz="6" w:space="0" w:color="FFFFFF" w:themeColor="background1"/>
            </w:tcBorders>
            <w:shd w:val="clear" w:color="auto" w:fill="1E4496" w:themeFill="text2"/>
            <w:tcMar>
              <w:top w:w="57" w:type="dxa"/>
              <w:left w:w="57" w:type="dxa"/>
              <w:bottom w:w="57" w:type="dxa"/>
              <w:right w:w="57" w:type="dxa"/>
            </w:tcMar>
            <w:vAlign w:val="bottom"/>
          </w:tcPr>
          <w:p w14:paraId="02FF1A0E" w14:textId="77777777" w:rsidR="00F22124" w:rsidRPr="00F22124" w:rsidRDefault="00F22124" w:rsidP="00F22124">
            <w:pPr>
              <w:pStyle w:val="CDITable-HeaderRowCentre"/>
            </w:pPr>
            <w:r w:rsidRPr="00F22124">
              <w:t>2020</w:t>
            </w:r>
          </w:p>
        </w:tc>
        <w:tc>
          <w:tcPr>
            <w:tcW w:w="1672" w:type="dxa"/>
            <w:gridSpan w:val="2"/>
            <w:tcBorders>
              <w:bottom w:val="single" w:sz="6" w:space="0" w:color="FFFFFF" w:themeColor="background1"/>
            </w:tcBorders>
            <w:shd w:val="clear" w:color="auto" w:fill="1E4496" w:themeFill="text2"/>
            <w:tcMar>
              <w:top w:w="57" w:type="dxa"/>
              <w:left w:w="57" w:type="dxa"/>
              <w:bottom w:w="57" w:type="dxa"/>
              <w:right w:w="57" w:type="dxa"/>
            </w:tcMar>
            <w:vAlign w:val="bottom"/>
          </w:tcPr>
          <w:p w14:paraId="0F9735E0" w14:textId="77777777" w:rsidR="00F22124" w:rsidRPr="00F22124" w:rsidRDefault="00F22124" w:rsidP="00F22124">
            <w:pPr>
              <w:pStyle w:val="CDITable-HeaderRowCentre"/>
            </w:pPr>
            <w:r w:rsidRPr="00F22124">
              <w:t>2019</w:t>
            </w:r>
          </w:p>
        </w:tc>
        <w:tc>
          <w:tcPr>
            <w:tcW w:w="1673" w:type="dxa"/>
            <w:gridSpan w:val="2"/>
            <w:tcBorders>
              <w:bottom w:val="single" w:sz="6" w:space="0" w:color="FFFFFF" w:themeColor="background1"/>
            </w:tcBorders>
            <w:shd w:val="clear" w:color="auto" w:fill="1E4496" w:themeFill="text2"/>
            <w:tcMar>
              <w:top w:w="57" w:type="dxa"/>
              <w:left w:w="57" w:type="dxa"/>
              <w:bottom w:w="57" w:type="dxa"/>
              <w:right w:w="57" w:type="dxa"/>
            </w:tcMar>
            <w:vAlign w:val="bottom"/>
          </w:tcPr>
          <w:p w14:paraId="36FA7AFD" w14:textId="77777777" w:rsidR="00F22124" w:rsidRPr="00F22124" w:rsidRDefault="00F22124" w:rsidP="00F22124">
            <w:pPr>
              <w:pStyle w:val="CDITable-HeaderRowCentre"/>
            </w:pPr>
            <w:r w:rsidRPr="00F22124">
              <w:t>2020</w:t>
            </w:r>
          </w:p>
        </w:tc>
        <w:tc>
          <w:tcPr>
            <w:tcW w:w="1474" w:type="dxa"/>
            <w:gridSpan w:val="2"/>
            <w:vMerge/>
            <w:shd w:val="clear" w:color="auto" w:fill="1E4496" w:themeFill="text2"/>
            <w:tcMar>
              <w:top w:w="57" w:type="dxa"/>
              <w:bottom w:w="57" w:type="dxa"/>
            </w:tcMar>
          </w:tcPr>
          <w:p w14:paraId="424D179F" w14:textId="77777777" w:rsidR="00F22124" w:rsidRPr="00F22124" w:rsidRDefault="00F22124" w:rsidP="00F22124">
            <w:pPr>
              <w:pStyle w:val="CDITable-HeaderRowCentre"/>
            </w:pPr>
          </w:p>
        </w:tc>
        <w:tc>
          <w:tcPr>
            <w:tcW w:w="1701" w:type="dxa"/>
            <w:gridSpan w:val="2"/>
            <w:tcBorders>
              <w:bottom w:val="single" w:sz="6" w:space="0" w:color="FFFFFF" w:themeColor="background1"/>
            </w:tcBorders>
            <w:shd w:val="clear" w:color="auto" w:fill="1E4496" w:themeFill="text2"/>
            <w:tcMar>
              <w:top w:w="57" w:type="dxa"/>
              <w:left w:w="57" w:type="dxa"/>
              <w:bottom w:w="57" w:type="dxa"/>
              <w:right w:w="57" w:type="dxa"/>
            </w:tcMar>
            <w:vAlign w:val="bottom"/>
          </w:tcPr>
          <w:p w14:paraId="22901531" w14:textId="77777777" w:rsidR="00F22124" w:rsidRPr="00F22124" w:rsidRDefault="00F22124" w:rsidP="00F22124">
            <w:pPr>
              <w:pStyle w:val="CDITable-HeaderRowCentre"/>
            </w:pPr>
            <w:r w:rsidRPr="00F22124">
              <w:t>2019</w:t>
            </w:r>
          </w:p>
        </w:tc>
        <w:tc>
          <w:tcPr>
            <w:tcW w:w="1700" w:type="dxa"/>
            <w:gridSpan w:val="2"/>
            <w:tcBorders>
              <w:bottom w:val="single" w:sz="6" w:space="0" w:color="FFFFFF" w:themeColor="background1"/>
            </w:tcBorders>
            <w:shd w:val="clear" w:color="auto" w:fill="1E4496" w:themeFill="text2"/>
            <w:tcMar>
              <w:top w:w="57" w:type="dxa"/>
              <w:left w:w="57" w:type="dxa"/>
              <w:bottom w:w="57" w:type="dxa"/>
              <w:right w:w="57" w:type="dxa"/>
            </w:tcMar>
            <w:vAlign w:val="bottom"/>
          </w:tcPr>
          <w:p w14:paraId="0C89B7E5" w14:textId="77777777" w:rsidR="00F22124" w:rsidRPr="00F22124" w:rsidRDefault="00F22124" w:rsidP="00F22124">
            <w:pPr>
              <w:pStyle w:val="CDITable-HeaderRowCentre"/>
            </w:pPr>
            <w:r w:rsidRPr="00F22124">
              <w:t>2020</w:t>
            </w:r>
          </w:p>
        </w:tc>
      </w:tr>
      <w:tr w:rsidR="00DB5F45" w:rsidRPr="00F22124" w14:paraId="070CB566" w14:textId="77777777" w:rsidTr="00AB1368">
        <w:trPr>
          <w:trHeight w:val="60"/>
          <w:tblHeader/>
        </w:trPr>
        <w:tc>
          <w:tcPr>
            <w:tcW w:w="1332" w:type="dxa"/>
            <w:vMerge/>
            <w:shd w:val="clear" w:color="auto" w:fill="1E4496" w:themeFill="text2"/>
            <w:tcMar>
              <w:top w:w="57" w:type="dxa"/>
              <w:bottom w:w="57" w:type="dxa"/>
            </w:tcMar>
          </w:tcPr>
          <w:p w14:paraId="02B858AD" w14:textId="77777777" w:rsidR="00F22124" w:rsidRPr="00F22124" w:rsidRDefault="00F22124" w:rsidP="00F22124">
            <w:pPr>
              <w:pStyle w:val="CDITable-RowCentre"/>
            </w:pPr>
          </w:p>
        </w:tc>
        <w:tc>
          <w:tcPr>
            <w:tcW w:w="1446" w:type="dxa"/>
            <w:vMerge/>
            <w:shd w:val="clear" w:color="auto" w:fill="1E4496" w:themeFill="text2"/>
            <w:tcMar>
              <w:top w:w="57" w:type="dxa"/>
              <w:bottom w:w="57" w:type="dxa"/>
            </w:tcMar>
          </w:tcPr>
          <w:p w14:paraId="752EA06A" w14:textId="77777777" w:rsidR="00F22124" w:rsidRPr="00F22124" w:rsidRDefault="00F22124" w:rsidP="00F22124">
            <w:pPr>
              <w:pStyle w:val="CDITable-RowCentre"/>
            </w:pPr>
          </w:p>
        </w:tc>
        <w:tc>
          <w:tcPr>
            <w:tcW w:w="879" w:type="dxa"/>
            <w:tcBorders>
              <w:top w:val="single" w:sz="6" w:space="0" w:color="FFFFFF" w:themeColor="background1"/>
            </w:tcBorders>
            <w:shd w:val="clear" w:color="auto" w:fill="1E4496" w:themeFill="text2"/>
            <w:tcMar>
              <w:top w:w="57" w:type="dxa"/>
              <w:left w:w="57" w:type="dxa"/>
              <w:bottom w:w="57" w:type="dxa"/>
              <w:right w:w="57" w:type="dxa"/>
            </w:tcMar>
            <w:vAlign w:val="bottom"/>
          </w:tcPr>
          <w:p w14:paraId="18CCEBDD" w14:textId="77777777" w:rsidR="00F22124" w:rsidRPr="00F22124" w:rsidRDefault="00F22124" w:rsidP="00F22124">
            <w:pPr>
              <w:pStyle w:val="CDITable-HeaderRowCentre"/>
            </w:pPr>
            <w:r w:rsidRPr="00F22124">
              <w:t>Number</w:t>
            </w:r>
          </w:p>
        </w:tc>
        <w:tc>
          <w:tcPr>
            <w:tcW w:w="793" w:type="dxa"/>
            <w:tcBorders>
              <w:top w:val="single" w:sz="6" w:space="0" w:color="FFFFFF" w:themeColor="background1"/>
            </w:tcBorders>
            <w:shd w:val="clear" w:color="auto" w:fill="1E4496" w:themeFill="text2"/>
            <w:tcMar>
              <w:top w:w="57" w:type="dxa"/>
              <w:left w:w="57" w:type="dxa"/>
              <w:bottom w:w="57" w:type="dxa"/>
              <w:right w:w="57" w:type="dxa"/>
            </w:tcMar>
            <w:vAlign w:val="bottom"/>
          </w:tcPr>
          <w:p w14:paraId="08813051" w14:textId="77777777" w:rsidR="00F22124" w:rsidRPr="00F22124" w:rsidRDefault="00F22124" w:rsidP="00F22124">
            <w:pPr>
              <w:pStyle w:val="CDITable-HeaderRowCentre"/>
            </w:pPr>
            <w:proofErr w:type="spellStart"/>
            <w:r w:rsidRPr="00F22124">
              <w:t>Rate</w:t>
            </w:r>
            <w:r w:rsidRPr="00F22124">
              <w:rPr>
                <w:vertAlign w:val="superscript"/>
              </w:rPr>
              <w:t>c</w:t>
            </w:r>
            <w:proofErr w:type="spellEnd"/>
          </w:p>
        </w:tc>
        <w:tc>
          <w:tcPr>
            <w:tcW w:w="879" w:type="dxa"/>
            <w:tcBorders>
              <w:top w:val="single" w:sz="6" w:space="0" w:color="FFFFFF" w:themeColor="background1"/>
            </w:tcBorders>
            <w:shd w:val="clear" w:color="auto" w:fill="1E4496" w:themeFill="text2"/>
            <w:tcMar>
              <w:top w:w="57" w:type="dxa"/>
              <w:left w:w="57" w:type="dxa"/>
              <w:bottom w:w="57" w:type="dxa"/>
              <w:right w:w="57" w:type="dxa"/>
            </w:tcMar>
            <w:vAlign w:val="bottom"/>
          </w:tcPr>
          <w:p w14:paraId="5F273B49" w14:textId="77777777" w:rsidR="00F22124" w:rsidRPr="00F22124" w:rsidRDefault="00F22124" w:rsidP="00F22124">
            <w:pPr>
              <w:pStyle w:val="CDITable-HeaderRowCentre"/>
            </w:pPr>
            <w:r w:rsidRPr="00F22124">
              <w:t>Number</w:t>
            </w:r>
          </w:p>
        </w:tc>
        <w:tc>
          <w:tcPr>
            <w:tcW w:w="794" w:type="dxa"/>
            <w:tcBorders>
              <w:top w:val="single" w:sz="6" w:space="0" w:color="FFFFFF" w:themeColor="background1"/>
              <w:right w:val="single" w:sz="6" w:space="0" w:color="FFFFFF" w:themeColor="background1"/>
            </w:tcBorders>
            <w:shd w:val="clear" w:color="auto" w:fill="1E4496" w:themeFill="text2"/>
            <w:tcMar>
              <w:top w:w="57" w:type="dxa"/>
              <w:left w:w="57" w:type="dxa"/>
              <w:bottom w:w="57" w:type="dxa"/>
              <w:right w:w="57" w:type="dxa"/>
            </w:tcMar>
            <w:vAlign w:val="bottom"/>
          </w:tcPr>
          <w:p w14:paraId="7F1A51A2" w14:textId="77777777" w:rsidR="00F22124" w:rsidRPr="00F22124" w:rsidRDefault="00F22124" w:rsidP="00F22124">
            <w:pPr>
              <w:pStyle w:val="CDITable-HeaderRowCentre"/>
            </w:pPr>
            <w:proofErr w:type="spellStart"/>
            <w:r w:rsidRPr="00F22124">
              <w:t>Rate</w:t>
            </w:r>
            <w:r w:rsidRPr="00F22124">
              <w:rPr>
                <w:vertAlign w:val="superscript"/>
              </w:rPr>
              <w:t>c</w:t>
            </w:r>
            <w:proofErr w:type="spellEnd"/>
          </w:p>
        </w:tc>
        <w:tc>
          <w:tcPr>
            <w:tcW w:w="879" w:type="dxa"/>
            <w:tcBorders>
              <w:top w:val="single" w:sz="6" w:space="0" w:color="FFFFFF" w:themeColor="background1"/>
              <w:left w:val="single" w:sz="6" w:space="0" w:color="FFFFFF" w:themeColor="background1"/>
            </w:tcBorders>
            <w:shd w:val="clear" w:color="auto" w:fill="1E4496" w:themeFill="text2"/>
            <w:tcMar>
              <w:top w:w="57" w:type="dxa"/>
              <w:left w:w="57" w:type="dxa"/>
              <w:bottom w:w="57" w:type="dxa"/>
              <w:right w:w="57" w:type="dxa"/>
            </w:tcMar>
            <w:vAlign w:val="bottom"/>
          </w:tcPr>
          <w:p w14:paraId="2FBAA632" w14:textId="77777777" w:rsidR="00F22124" w:rsidRPr="00F22124" w:rsidRDefault="00F22124" w:rsidP="00F22124">
            <w:pPr>
              <w:pStyle w:val="CDITable-HeaderRowCentre"/>
            </w:pPr>
            <w:r w:rsidRPr="00F22124">
              <w:t>Number</w:t>
            </w:r>
          </w:p>
        </w:tc>
        <w:tc>
          <w:tcPr>
            <w:tcW w:w="793" w:type="dxa"/>
            <w:tcBorders>
              <w:top w:val="single" w:sz="6" w:space="0" w:color="FFFFFF" w:themeColor="background1"/>
            </w:tcBorders>
            <w:shd w:val="clear" w:color="auto" w:fill="1E4496" w:themeFill="text2"/>
            <w:tcMar>
              <w:top w:w="57" w:type="dxa"/>
              <w:left w:w="57" w:type="dxa"/>
              <w:bottom w:w="57" w:type="dxa"/>
              <w:right w:w="57" w:type="dxa"/>
            </w:tcMar>
            <w:vAlign w:val="bottom"/>
          </w:tcPr>
          <w:p w14:paraId="268686D6" w14:textId="77777777" w:rsidR="00F22124" w:rsidRPr="00F22124" w:rsidRDefault="00F22124" w:rsidP="00F22124">
            <w:pPr>
              <w:pStyle w:val="CDITable-HeaderRowCentre"/>
            </w:pPr>
            <w:proofErr w:type="spellStart"/>
            <w:r w:rsidRPr="00F22124">
              <w:t>Rate</w:t>
            </w:r>
            <w:r w:rsidRPr="00F22124">
              <w:rPr>
                <w:vertAlign w:val="superscript"/>
              </w:rPr>
              <w:t>c</w:t>
            </w:r>
            <w:proofErr w:type="spellEnd"/>
          </w:p>
        </w:tc>
        <w:tc>
          <w:tcPr>
            <w:tcW w:w="879" w:type="dxa"/>
            <w:tcBorders>
              <w:top w:val="single" w:sz="6" w:space="0" w:color="FFFFFF" w:themeColor="background1"/>
            </w:tcBorders>
            <w:shd w:val="clear" w:color="auto" w:fill="1E4496" w:themeFill="text2"/>
            <w:tcMar>
              <w:top w:w="57" w:type="dxa"/>
              <w:left w:w="57" w:type="dxa"/>
              <w:bottom w:w="57" w:type="dxa"/>
              <w:right w:w="57" w:type="dxa"/>
            </w:tcMar>
            <w:vAlign w:val="bottom"/>
          </w:tcPr>
          <w:p w14:paraId="11EF7BD6" w14:textId="77777777" w:rsidR="00F22124" w:rsidRPr="00F22124" w:rsidRDefault="00F22124" w:rsidP="00F22124">
            <w:pPr>
              <w:pStyle w:val="CDITable-HeaderRowCentre"/>
            </w:pPr>
            <w:r w:rsidRPr="00F22124">
              <w:t>Number</w:t>
            </w:r>
          </w:p>
        </w:tc>
        <w:tc>
          <w:tcPr>
            <w:tcW w:w="794" w:type="dxa"/>
            <w:tcBorders>
              <w:top w:val="single" w:sz="6" w:space="0" w:color="FFFFFF" w:themeColor="background1"/>
              <w:right w:val="single" w:sz="6" w:space="0" w:color="FFFFFF" w:themeColor="background1"/>
            </w:tcBorders>
            <w:shd w:val="clear" w:color="auto" w:fill="1E4496" w:themeFill="text2"/>
            <w:tcMar>
              <w:top w:w="57" w:type="dxa"/>
              <w:left w:w="57" w:type="dxa"/>
              <w:bottom w:w="57" w:type="dxa"/>
              <w:right w:w="57" w:type="dxa"/>
            </w:tcMar>
            <w:vAlign w:val="bottom"/>
          </w:tcPr>
          <w:p w14:paraId="2B6E8E25" w14:textId="77777777" w:rsidR="00F22124" w:rsidRPr="00F22124" w:rsidRDefault="00F22124" w:rsidP="00F22124">
            <w:pPr>
              <w:pStyle w:val="CDITable-HeaderRowCentre"/>
            </w:pPr>
            <w:proofErr w:type="spellStart"/>
            <w:r w:rsidRPr="00F22124">
              <w:t>Rate</w:t>
            </w:r>
            <w:r w:rsidRPr="00F22124">
              <w:rPr>
                <w:vertAlign w:val="superscript"/>
              </w:rPr>
              <w:t>c</w:t>
            </w:r>
            <w:proofErr w:type="spellEnd"/>
          </w:p>
        </w:tc>
        <w:tc>
          <w:tcPr>
            <w:tcW w:w="737" w:type="dxa"/>
            <w:tcBorders>
              <w:top w:val="single" w:sz="6" w:space="0" w:color="FFFFFF" w:themeColor="background1"/>
              <w:left w:val="single" w:sz="6" w:space="0" w:color="FFFFFF" w:themeColor="background1"/>
            </w:tcBorders>
            <w:shd w:val="clear" w:color="auto" w:fill="1E4496" w:themeFill="text2"/>
            <w:tcMar>
              <w:top w:w="57" w:type="dxa"/>
              <w:left w:w="57" w:type="dxa"/>
              <w:bottom w:w="57" w:type="dxa"/>
              <w:right w:w="57" w:type="dxa"/>
            </w:tcMar>
            <w:vAlign w:val="bottom"/>
          </w:tcPr>
          <w:p w14:paraId="4B4FED45" w14:textId="77777777" w:rsidR="00F22124" w:rsidRPr="00F22124" w:rsidRDefault="00F22124" w:rsidP="00F22124">
            <w:pPr>
              <w:pStyle w:val="CDITable-HeaderRowCentre"/>
            </w:pPr>
            <w:r w:rsidRPr="00F22124">
              <w:t>2019</w:t>
            </w:r>
          </w:p>
        </w:tc>
        <w:tc>
          <w:tcPr>
            <w:tcW w:w="737" w:type="dxa"/>
            <w:tcBorders>
              <w:top w:val="single" w:sz="6" w:space="0" w:color="FFFFFF" w:themeColor="background1"/>
              <w:right w:val="single" w:sz="6" w:space="0" w:color="FFFFFF" w:themeColor="background1"/>
            </w:tcBorders>
            <w:shd w:val="clear" w:color="auto" w:fill="1E4496" w:themeFill="text2"/>
            <w:tcMar>
              <w:top w:w="57" w:type="dxa"/>
              <w:left w:w="57" w:type="dxa"/>
              <w:bottom w:w="57" w:type="dxa"/>
              <w:right w:w="57" w:type="dxa"/>
            </w:tcMar>
            <w:vAlign w:val="bottom"/>
          </w:tcPr>
          <w:p w14:paraId="544E4303" w14:textId="77777777" w:rsidR="00F22124" w:rsidRPr="00F22124" w:rsidRDefault="00F22124" w:rsidP="00F22124">
            <w:pPr>
              <w:pStyle w:val="CDITable-HeaderRowCentre"/>
            </w:pPr>
            <w:r w:rsidRPr="00F22124">
              <w:t>2020</w:t>
            </w:r>
          </w:p>
        </w:tc>
        <w:tc>
          <w:tcPr>
            <w:tcW w:w="878" w:type="dxa"/>
            <w:tcBorders>
              <w:top w:val="single" w:sz="6" w:space="0" w:color="FFFFFF" w:themeColor="background1"/>
              <w:left w:val="single" w:sz="6" w:space="0" w:color="FFFFFF" w:themeColor="background1"/>
            </w:tcBorders>
            <w:shd w:val="clear" w:color="auto" w:fill="1E4496" w:themeFill="text2"/>
            <w:tcMar>
              <w:top w:w="57" w:type="dxa"/>
              <w:left w:w="57" w:type="dxa"/>
              <w:bottom w:w="57" w:type="dxa"/>
              <w:right w:w="57" w:type="dxa"/>
            </w:tcMar>
            <w:vAlign w:val="bottom"/>
          </w:tcPr>
          <w:p w14:paraId="596DA6DA" w14:textId="77777777" w:rsidR="00F22124" w:rsidRPr="00F22124" w:rsidRDefault="00F22124" w:rsidP="00F22124">
            <w:pPr>
              <w:pStyle w:val="CDITable-HeaderRowCentre"/>
            </w:pPr>
            <w:r w:rsidRPr="00F22124">
              <w:t>Number</w:t>
            </w:r>
          </w:p>
        </w:tc>
        <w:tc>
          <w:tcPr>
            <w:tcW w:w="823" w:type="dxa"/>
            <w:tcBorders>
              <w:top w:val="single" w:sz="6" w:space="0" w:color="FFFFFF" w:themeColor="background1"/>
            </w:tcBorders>
            <w:shd w:val="clear" w:color="auto" w:fill="1E4496" w:themeFill="text2"/>
            <w:tcMar>
              <w:top w:w="57" w:type="dxa"/>
              <w:left w:w="57" w:type="dxa"/>
              <w:bottom w:w="57" w:type="dxa"/>
              <w:right w:w="57" w:type="dxa"/>
            </w:tcMar>
            <w:vAlign w:val="bottom"/>
          </w:tcPr>
          <w:p w14:paraId="5EA6CE16" w14:textId="77777777" w:rsidR="00F22124" w:rsidRPr="00F22124" w:rsidRDefault="00F22124" w:rsidP="00F22124">
            <w:pPr>
              <w:pStyle w:val="CDITable-HeaderRowCentre"/>
            </w:pPr>
            <w:proofErr w:type="spellStart"/>
            <w:proofErr w:type="gramStart"/>
            <w:r w:rsidRPr="00F22124">
              <w:t>Rate</w:t>
            </w:r>
            <w:r w:rsidRPr="00F22124">
              <w:rPr>
                <w:vertAlign w:val="superscript"/>
              </w:rPr>
              <w:t>c,d</w:t>
            </w:r>
            <w:proofErr w:type="spellEnd"/>
            <w:proofErr w:type="gramEnd"/>
          </w:p>
        </w:tc>
        <w:tc>
          <w:tcPr>
            <w:tcW w:w="878" w:type="dxa"/>
            <w:tcBorders>
              <w:top w:val="single" w:sz="6" w:space="0" w:color="FFFFFF" w:themeColor="background1"/>
            </w:tcBorders>
            <w:shd w:val="clear" w:color="auto" w:fill="1E4496" w:themeFill="text2"/>
            <w:tcMar>
              <w:top w:w="57" w:type="dxa"/>
              <w:left w:w="57" w:type="dxa"/>
              <w:bottom w:w="57" w:type="dxa"/>
              <w:right w:w="57" w:type="dxa"/>
            </w:tcMar>
            <w:vAlign w:val="bottom"/>
          </w:tcPr>
          <w:p w14:paraId="403D1A7A" w14:textId="77777777" w:rsidR="00F22124" w:rsidRPr="00F22124" w:rsidRDefault="00F22124" w:rsidP="00F22124">
            <w:pPr>
              <w:pStyle w:val="CDITable-HeaderRowCentre"/>
            </w:pPr>
            <w:r w:rsidRPr="00F22124">
              <w:t>Number</w:t>
            </w:r>
          </w:p>
        </w:tc>
        <w:tc>
          <w:tcPr>
            <w:tcW w:w="822" w:type="dxa"/>
            <w:tcBorders>
              <w:top w:val="single" w:sz="6" w:space="0" w:color="FFFFFF" w:themeColor="background1"/>
            </w:tcBorders>
            <w:shd w:val="clear" w:color="auto" w:fill="1E4496" w:themeFill="text2"/>
            <w:tcMar>
              <w:top w:w="57" w:type="dxa"/>
              <w:left w:w="57" w:type="dxa"/>
              <w:bottom w:w="57" w:type="dxa"/>
              <w:right w:w="57" w:type="dxa"/>
            </w:tcMar>
            <w:vAlign w:val="bottom"/>
          </w:tcPr>
          <w:p w14:paraId="032D9729" w14:textId="77777777" w:rsidR="00F22124" w:rsidRPr="00F22124" w:rsidRDefault="00F22124" w:rsidP="00F22124">
            <w:pPr>
              <w:pStyle w:val="CDITable-HeaderRowCentre"/>
            </w:pPr>
            <w:proofErr w:type="spellStart"/>
            <w:proofErr w:type="gramStart"/>
            <w:r w:rsidRPr="00F22124">
              <w:t>Rate</w:t>
            </w:r>
            <w:r w:rsidRPr="00F22124">
              <w:rPr>
                <w:vertAlign w:val="superscript"/>
              </w:rPr>
              <w:t>c,d</w:t>
            </w:r>
            <w:proofErr w:type="spellEnd"/>
            <w:proofErr w:type="gramEnd"/>
          </w:p>
        </w:tc>
      </w:tr>
      <w:tr w:rsidR="00DB5F45" w:rsidRPr="00F22124" w14:paraId="111823B6" w14:textId="77777777" w:rsidTr="00DB5F45">
        <w:trPr>
          <w:trHeight w:val="60"/>
        </w:trPr>
        <w:tc>
          <w:tcPr>
            <w:tcW w:w="1332" w:type="dxa"/>
            <w:tcBorders>
              <w:bottom w:val="single" w:sz="6" w:space="0" w:color="1E4496" w:themeColor="text2"/>
            </w:tcBorders>
            <w:tcMar>
              <w:top w:w="57" w:type="dxa"/>
              <w:left w:w="57" w:type="dxa"/>
              <w:bottom w:w="57" w:type="dxa"/>
              <w:right w:w="57" w:type="dxa"/>
            </w:tcMar>
            <w:vAlign w:val="center"/>
          </w:tcPr>
          <w:p w14:paraId="0D97B1B3" w14:textId="77777777" w:rsidR="00F22124" w:rsidRPr="00F22124" w:rsidRDefault="00F22124" w:rsidP="00F22124">
            <w:pPr>
              <w:pStyle w:val="CDITable-RowLeft"/>
            </w:pPr>
            <w:r w:rsidRPr="00F22124">
              <w:t>&lt; 12 months</w:t>
            </w:r>
          </w:p>
        </w:tc>
        <w:tc>
          <w:tcPr>
            <w:tcW w:w="1446" w:type="dxa"/>
            <w:tcBorders>
              <w:bottom w:val="single" w:sz="6" w:space="0" w:color="1E4496" w:themeColor="text2"/>
            </w:tcBorders>
            <w:tcMar>
              <w:top w:w="57" w:type="dxa"/>
              <w:left w:w="57" w:type="dxa"/>
              <w:bottom w:w="57" w:type="dxa"/>
              <w:right w:w="57" w:type="dxa"/>
            </w:tcMar>
            <w:vAlign w:val="center"/>
          </w:tcPr>
          <w:p w14:paraId="0F88C782" w14:textId="77777777" w:rsidR="00F22124" w:rsidRPr="00F22124" w:rsidRDefault="00F22124" w:rsidP="00F22124">
            <w:pPr>
              <w:pStyle w:val="CDITable-RowLeft"/>
            </w:pPr>
            <w:r w:rsidRPr="00F22124">
              <w:t>Infants</w:t>
            </w:r>
          </w:p>
        </w:tc>
        <w:tc>
          <w:tcPr>
            <w:tcW w:w="879" w:type="dxa"/>
            <w:tcBorders>
              <w:bottom w:val="single" w:sz="6" w:space="0" w:color="1E4496" w:themeColor="text2"/>
            </w:tcBorders>
            <w:tcMar>
              <w:top w:w="57" w:type="dxa"/>
              <w:left w:w="57" w:type="dxa"/>
              <w:bottom w:w="57" w:type="dxa"/>
              <w:right w:w="57" w:type="dxa"/>
            </w:tcMar>
            <w:vAlign w:val="center"/>
          </w:tcPr>
          <w:p w14:paraId="0D5A8642" w14:textId="77777777" w:rsidR="00F22124" w:rsidRPr="00F22124" w:rsidRDefault="00F22124" w:rsidP="00F22124">
            <w:pPr>
              <w:pStyle w:val="CDITable-RowCentre"/>
            </w:pPr>
            <w:r w:rsidRPr="00F22124">
              <w:t>176</w:t>
            </w:r>
          </w:p>
        </w:tc>
        <w:tc>
          <w:tcPr>
            <w:tcW w:w="793" w:type="dxa"/>
            <w:tcBorders>
              <w:bottom w:val="single" w:sz="6" w:space="0" w:color="1E4496" w:themeColor="text2"/>
            </w:tcBorders>
            <w:tcMar>
              <w:top w:w="57" w:type="dxa"/>
              <w:left w:w="57" w:type="dxa"/>
              <w:bottom w:w="57" w:type="dxa"/>
              <w:right w:w="57" w:type="dxa"/>
            </w:tcMar>
            <w:vAlign w:val="center"/>
          </w:tcPr>
          <w:p w14:paraId="64DD3A66" w14:textId="77777777" w:rsidR="00F22124" w:rsidRPr="00F22124" w:rsidRDefault="00F22124" w:rsidP="00F22124">
            <w:pPr>
              <w:pStyle w:val="CDITable-RowCentre"/>
            </w:pPr>
            <w:r w:rsidRPr="00F22124">
              <w:t>441.6</w:t>
            </w:r>
          </w:p>
        </w:tc>
        <w:tc>
          <w:tcPr>
            <w:tcW w:w="879" w:type="dxa"/>
            <w:tcBorders>
              <w:bottom w:val="single" w:sz="6" w:space="0" w:color="1E4496" w:themeColor="text2"/>
            </w:tcBorders>
            <w:tcMar>
              <w:top w:w="57" w:type="dxa"/>
              <w:left w:w="57" w:type="dxa"/>
              <w:bottom w:w="57" w:type="dxa"/>
              <w:right w:w="57" w:type="dxa"/>
            </w:tcMar>
            <w:vAlign w:val="center"/>
          </w:tcPr>
          <w:p w14:paraId="161647E4" w14:textId="77777777" w:rsidR="00F22124" w:rsidRPr="00F22124" w:rsidRDefault="00F22124" w:rsidP="00F22124">
            <w:pPr>
              <w:pStyle w:val="CDITable-RowCentre"/>
            </w:pPr>
            <w:r w:rsidRPr="00F22124">
              <w:t>183</w:t>
            </w:r>
          </w:p>
        </w:tc>
        <w:tc>
          <w:tcPr>
            <w:tcW w:w="794" w:type="dxa"/>
            <w:tcBorders>
              <w:bottom w:val="single" w:sz="6" w:space="0" w:color="1E4496" w:themeColor="text2"/>
              <w:right w:val="single" w:sz="6" w:space="0" w:color="1E4496" w:themeColor="text2"/>
            </w:tcBorders>
            <w:tcMar>
              <w:top w:w="57" w:type="dxa"/>
              <w:left w:w="57" w:type="dxa"/>
              <w:bottom w:w="57" w:type="dxa"/>
              <w:right w:w="57" w:type="dxa"/>
            </w:tcMar>
            <w:vAlign w:val="center"/>
          </w:tcPr>
          <w:p w14:paraId="6FD0B61D" w14:textId="77777777" w:rsidR="00F22124" w:rsidRPr="00F22124" w:rsidRDefault="00F22124" w:rsidP="00F22124">
            <w:pPr>
              <w:pStyle w:val="CDITable-RowCentre"/>
            </w:pPr>
            <w:r w:rsidRPr="00F22124">
              <w:t>456.0</w:t>
            </w:r>
          </w:p>
        </w:tc>
        <w:tc>
          <w:tcPr>
            <w:tcW w:w="879" w:type="dxa"/>
            <w:tcBorders>
              <w:left w:val="single" w:sz="6" w:space="0" w:color="1E4496" w:themeColor="text2"/>
              <w:bottom w:val="single" w:sz="6" w:space="0" w:color="1E4496" w:themeColor="text2"/>
            </w:tcBorders>
            <w:tcMar>
              <w:top w:w="57" w:type="dxa"/>
              <w:left w:w="57" w:type="dxa"/>
              <w:bottom w:w="57" w:type="dxa"/>
              <w:right w:w="57" w:type="dxa"/>
            </w:tcMar>
            <w:vAlign w:val="center"/>
          </w:tcPr>
          <w:p w14:paraId="34E770E5" w14:textId="77777777" w:rsidR="00F22124" w:rsidRPr="00F22124" w:rsidRDefault="00F22124" w:rsidP="00F22124">
            <w:pPr>
              <w:pStyle w:val="CDITable-RowCentre"/>
            </w:pPr>
            <w:r w:rsidRPr="00F22124">
              <w:t>154</w:t>
            </w:r>
          </w:p>
        </w:tc>
        <w:tc>
          <w:tcPr>
            <w:tcW w:w="793" w:type="dxa"/>
            <w:tcBorders>
              <w:bottom w:val="single" w:sz="6" w:space="0" w:color="1E4496" w:themeColor="text2"/>
            </w:tcBorders>
            <w:tcMar>
              <w:top w:w="57" w:type="dxa"/>
              <w:left w:w="57" w:type="dxa"/>
              <w:bottom w:w="57" w:type="dxa"/>
              <w:right w:w="57" w:type="dxa"/>
            </w:tcMar>
            <w:vAlign w:val="center"/>
          </w:tcPr>
          <w:p w14:paraId="2DE2CC7F" w14:textId="77777777" w:rsidR="00F22124" w:rsidRPr="00F22124" w:rsidRDefault="00F22124" w:rsidP="00F22124">
            <w:pPr>
              <w:pStyle w:val="CDITable-RowCentre"/>
            </w:pPr>
            <w:r w:rsidRPr="00F22124">
              <w:t>407.3</w:t>
            </w:r>
          </w:p>
        </w:tc>
        <w:tc>
          <w:tcPr>
            <w:tcW w:w="879" w:type="dxa"/>
            <w:tcBorders>
              <w:bottom w:val="single" w:sz="6" w:space="0" w:color="1E4496" w:themeColor="text2"/>
            </w:tcBorders>
            <w:tcMar>
              <w:top w:w="57" w:type="dxa"/>
              <w:left w:w="57" w:type="dxa"/>
              <w:bottom w:w="57" w:type="dxa"/>
              <w:right w:w="57" w:type="dxa"/>
            </w:tcMar>
            <w:vAlign w:val="center"/>
          </w:tcPr>
          <w:p w14:paraId="70CBECAA" w14:textId="77777777" w:rsidR="00F22124" w:rsidRPr="00F22124" w:rsidRDefault="00F22124" w:rsidP="00F22124">
            <w:pPr>
              <w:pStyle w:val="CDITable-RowCentre"/>
            </w:pPr>
            <w:r w:rsidRPr="00F22124">
              <w:t>159</w:t>
            </w:r>
          </w:p>
        </w:tc>
        <w:tc>
          <w:tcPr>
            <w:tcW w:w="794" w:type="dxa"/>
            <w:tcBorders>
              <w:bottom w:val="single" w:sz="6" w:space="0" w:color="1E4496" w:themeColor="text2"/>
              <w:right w:val="single" w:sz="6" w:space="0" w:color="1E4496" w:themeColor="text2"/>
            </w:tcBorders>
            <w:tcMar>
              <w:top w:w="57" w:type="dxa"/>
              <w:left w:w="57" w:type="dxa"/>
              <w:bottom w:w="57" w:type="dxa"/>
              <w:right w:w="57" w:type="dxa"/>
            </w:tcMar>
            <w:vAlign w:val="center"/>
          </w:tcPr>
          <w:p w14:paraId="5A432F5D" w14:textId="77777777" w:rsidR="00F22124" w:rsidRPr="00F22124" w:rsidRDefault="00F22124" w:rsidP="00F22124">
            <w:pPr>
              <w:pStyle w:val="CDITable-RowCentre"/>
            </w:pPr>
            <w:r w:rsidRPr="00F22124">
              <w:t>420.5</w:t>
            </w:r>
          </w:p>
        </w:tc>
        <w:tc>
          <w:tcPr>
            <w:tcW w:w="737" w:type="dxa"/>
            <w:tcBorders>
              <w:left w:val="single" w:sz="6" w:space="0" w:color="1E4496" w:themeColor="text2"/>
              <w:bottom w:val="single" w:sz="6" w:space="0" w:color="1E4496" w:themeColor="text2"/>
            </w:tcBorders>
            <w:tcMar>
              <w:top w:w="57" w:type="dxa"/>
              <w:left w:w="57" w:type="dxa"/>
              <w:bottom w:w="57" w:type="dxa"/>
              <w:right w:w="57" w:type="dxa"/>
            </w:tcMar>
            <w:vAlign w:val="center"/>
          </w:tcPr>
          <w:p w14:paraId="5E7CFB7E" w14:textId="77777777" w:rsidR="00F22124" w:rsidRPr="00F22124" w:rsidRDefault="00F22124" w:rsidP="00F22124">
            <w:pPr>
              <w:pStyle w:val="CDITable-RowCentre"/>
            </w:pPr>
            <w:r w:rsidRPr="00F22124">
              <w:t>1.1</w:t>
            </w:r>
          </w:p>
        </w:tc>
        <w:tc>
          <w:tcPr>
            <w:tcW w:w="737" w:type="dxa"/>
            <w:tcBorders>
              <w:bottom w:val="single" w:sz="6" w:space="0" w:color="1E4496" w:themeColor="text2"/>
              <w:right w:val="single" w:sz="6" w:space="0" w:color="1E4496" w:themeColor="text2"/>
            </w:tcBorders>
            <w:tcMar>
              <w:top w:w="57" w:type="dxa"/>
              <w:left w:w="57" w:type="dxa"/>
              <w:bottom w:w="57" w:type="dxa"/>
              <w:right w:w="57" w:type="dxa"/>
            </w:tcMar>
            <w:vAlign w:val="center"/>
          </w:tcPr>
          <w:p w14:paraId="7BC90283" w14:textId="77777777" w:rsidR="00F22124" w:rsidRPr="00F22124" w:rsidRDefault="00F22124" w:rsidP="00F22124">
            <w:pPr>
              <w:pStyle w:val="CDITable-RowCentre"/>
            </w:pPr>
            <w:r w:rsidRPr="00F22124">
              <w:t>1.1</w:t>
            </w:r>
          </w:p>
        </w:tc>
        <w:tc>
          <w:tcPr>
            <w:tcW w:w="878" w:type="dxa"/>
            <w:tcBorders>
              <w:left w:val="single" w:sz="6" w:space="0" w:color="1E4496" w:themeColor="text2"/>
              <w:bottom w:val="single" w:sz="6" w:space="0" w:color="1E4496" w:themeColor="text2"/>
            </w:tcBorders>
            <w:tcMar>
              <w:top w:w="57" w:type="dxa"/>
              <w:left w:w="57" w:type="dxa"/>
              <w:bottom w:w="57" w:type="dxa"/>
              <w:right w:w="57" w:type="dxa"/>
            </w:tcMar>
            <w:vAlign w:val="center"/>
          </w:tcPr>
          <w:p w14:paraId="69725173" w14:textId="77777777" w:rsidR="00F22124" w:rsidRPr="00F22124" w:rsidRDefault="00F22124" w:rsidP="00F22124">
            <w:pPr>
              <w:pStyle w:val="CDITable-RowCentre"/>
            </w:pPr>
            <w:r w:rsidRPr="00F22124">
              <w:t>2</w:t>
            </w:r>
          </w:p>
        </w:tc>
        <w:tc>
          <w:tcPr>
            <w:tcW w:w="823" w:type="dxa"/>
            <w:tcBorders>
              <w:bottom w:val="single" w:sz="6" w:space="0" w:color="1E4496" w:themeColor="text2"/>
            </w:tcBorders>
            <w:tcMar>
              <w:top w:w="57" w:type="dxa"/>
              <w:left w:w="57" w:type="dxa"/>
              <w:bottom w:w="57" w:type="dxa"/>
              <w:right w:w="57" w:type="dxa"/>
            </w:tcMar>
            <w:vAlign w:val="center"/>
          </w:tcPr>
          <w:p w14:paraId="61AB9E57" w14:textId="77777777" w:rsidR="00F22124" w:rsidRPr="00F22124" w:rsidRDefault="00F22124" w:rsidP="00F22124">
            <w:pPr>
              <w:pStyle w:val="CDITable-RowCentre"/>
            </w:pPr>
            <w:r w:rsidRPr="00F22124">
              <w:t>—</w:t>
            </w:r>
          </w:p>
        </w:tc>
        <w:tc>
          <w:tcPr>
            <w:tcW w:w="878" w:type="dxa"/>
            <w:tcBorders>
              <w:bottom w:val="single" w:sz="6" w:space="0" w:color="1E4496" w:themeColor="text2"/>
            </w:tcBorders>
            <w:tcMar>
              <w:top w:w="57" w:type="dxa"/>
              <w:left w:w="57" w:type="dxa"/>
              <w:bottom w:w="57" w:type="dxa"/>
              <w:right w:w="57" w:type="dxa"/>
            </w:tcMar>
            <w:vAlign w:val="center"/>
          </w:tcPr>
          <w:p w14:paraId="0FE64939" w14:textId="77777777" w:rsidR="00F22124" w:rsidRPr="00F22124" w:rsidRDefault="00F22124" w:rsidP="00F22124">
            <w:pPr>
              <w:pStyle w:val="CDITable-RowCentre"/>
            </w:pPr>
            <w:r w:rsidRPr="00F22124">
              <w:t>2</w:t>
            </w:r>
          </w:p>
        </w:tc>
        <w:tc>
          <w:tcPr>
            <w:tcW w:w="822" w:type="dxa"/>
            <w:tcBorders>
              <w:bottom w:val="single" w:sz="6" w:space="0" w:color="1E4496" w:themeColor="text2"/>
            </w:tcBorders>
            <w:tcMar>
              <w:top w:w="57" w:type="dxa"/>
              <w:left w:w="57" w:type="dxa"/>
              <w:bottom w:w="57" w:type="dxa"/>
              <w:right w:w="57" w:type="dxa"/>
            </w:tcMar>
            <w:vAlign w:val="center"/>
          </w:tcPr>
          <w:p w14:paraId="1093CC7A" w14:textId="77777777" w:rsidR="00F22124" w:rsidRPr="00F22124" w:rsidRDefault="00F22124" w:rsidP="00F22124">
            <w:pPr>
              <w:pStyle w:val="CDITable-RowCentre"/>
            </w:pPr>
            <w:r w:rsidRPr="00F22124">
              <w:t>—</w:t>
            </w:r>
          </w:p>
        </w:tc>
      </w:tr>
      <w:tr w:rsidR="00DB5F45" w:rsidRPr="00F22124" w14:paraId="5638C489" w14:textId="77777777" w:rsidTr="00DB5F45">
        <w:trPr>
          <w:trHeight w:val="60"/>
        </w:trPr>
        <w:tc>
          <w:tcPr>
            <w:tcW w:w="133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661ECA37" w14:textId="77777777" w:rsidR="00F22124" w:rsidRPr="00F22124" w:rsidRDefault="00F22124" w:rsidP="00F22124">
            <w:pPr>
              <w:pStyle w:val="CDITable-RowLeft"/>
            </w:pPr>
            <w:r w:rsidRPr="00F22124">
              <w:t>1–4 years</w:t>
            </w:r>
          </w:p>
        </w:tc>
        <w:tc>
          <w:tcPr>
            <w:tcW w:w="1446"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46409CA9" w14:textId="77777777" w:rsidR="00F22124" w:rsidRPr="00F22124" w:rsidRDefault="00F22124" w:rsidP="00F22124">
            <w:pPr>
              <w:pStyle w:val="CDITable-RowLeft"/>
            </w:pPr>
            <w:r w:rsidRPr="00F22124">
              <w:t>Young children</w:t>
            </w:r>
          </w:p>
        </w:tc>
        <w:tc>
          <w:tcPr>
            <w:tcW w:w="879"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37C6E2D3" w14:textId="77777777" w:rsidR="00F22124" w:rsidRPr="00F22124" w:rsidRDefault="00F22124" w:rsidP="00F22124">
            <w:pPr>
              <w:pStyle w:val="CDITable-RowCentre"/>
            </w:pPr>
            <w:r w:rsidRPr="00F22124">
              <w:t>497</w:t>
            </w:r>
          </w:p>
        </w:tc>
        <w:tc>
          <w:tcPr>
            <w:tcW w:w="793"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63F893EA" w14:textId="77777777" w:rsidR="00F22124" w:rsidRPr="00F22124" w:rsidRDefault="00F22124" w:rsidP="00F22124">
            <w:pPr>
              <w:pStyle w:val="CDITable-RowCentre"/>
            </w:pPr>
            <w:r w:rsidRPr="00F22124">
              <w:t>294.1</w:t>
            </w:r>
          </w:p>
        </w:tc>
        <w:tc>
          <w:tcPr>
            <w:tcW w:w="879"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524F5AFD" w14:textId="77777777" w:rsidR="00F22124" w:rsidRPr="00F22124" w:rsidRDefault="00F22124" w:rsidP="00F22124">
            <w:pPr>
              <w:pStyle w:val="CDITable-RowCentre"/>
            </w:pPr>
            <w:r w:rsidRPr="00F22124">
              <w:t>495</w:t>
            </w:r>
          </w:p>
        </w:tc>
        <w:tc>
          <w:tcPr>
            <w:tcW w:w="794" w:type="dxa"/>
            <w:tcBorders>
              <w:top w:val="single" w:sz="6" w:space="0" w:color="1E4496" w:themeColor="text2"/>
              <w:bottom w:val="single" w:sz="6" w:space="0" w:color="1E4496" w:themeColor="text2"/>
              <w:right w:val="single" w:sz="6" w:space="0" w:color="1E4496" w:themeColor="text2"/>
            </w:tcBorders>
            <w:tcMar>
              <w:top w:w="57" w:type="dxa"/>
              <w:left w:w="57" w:type="dxa"/>
              <w:bottom w:w="57" w:type="dxa"/>
              <w:right w:w="57" w:type="dxa"/>
            </w:tcMar>
            <w:vAlign w:val="center"/>
          </w:tcPr>
          <w:p w14:paraId="496273BA" w14:textId="77777777" w:rsidR="00F22124" w:rsidRPr="00F22124" w:rsidRDefault="00F22124" w:rsidP="00F22124">
            <w:pPr>
              <w:pStyle w:val="CDITable-RowCentre"/>
            </w:pPr>
            <w:r w:rsidRPr="00F22124">
              <w:t>297.0</w:t>
            </w:r>
          </w:p>
        </w:tc>
        <w:tc>
          <w:tcPr>
            <w:tcW w:w="879" w:type="dxa"/>
            <w:tcBorders>
              <w:top w:val="single" w:sz="6" w:space="0" w:color="1E4496" w:themeColor="text2"/>
              <w:left w:val="single" w:sz="6" w:space="0" w:color="1E4496" w:themeColor="text2"/>
              <w:bottom w:val="single" w:sz="6" w:space="0" w:color="1E4496" w:themeColor="text2"/>
            </w:tcBorders>
            <w:tcMar>
              <w:top w:w="57" w:type="dxa"/>
              <w:left w:w="57" w:type="dxa"/>
              <w:bottom w:w="57" w:type="dxa"/>
              <w:right w:w="57" w:type="dxa"/>
            </w:tcMar>
            <w:vAlign w:val="center"/>
          </w:tcPr>
          <w:p w14:paraId="60FE7BE9" w14:textId="77777777" w:rsidR="00F22124" w:rsidRPr="00F22124" w:rsidRDefault="00F22124" w:rsidP="00F22124">
            <w:pPr>
              <w:pStyle w:val="CDITable-RowCentre"/>
            </w:pPr>
            <w:r w:rsidRPr="00F22124">
              <w:t>359</w:t>
            </w:r>
          </w:p>
        </w:tc>
        <w:tc>
          <w:tcPr>
            <w:tcW w:w="793"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1DE49594" w14:textId="77777777" w:rsidR="00F22124" w:rsidRPr="00F22124" w:rsidRDefault="00F22124" w:rsidP="00F22124">
            <w:pPr>
              <w:pStyle w:val="CDITable-RowCentre"/>
            </w:pPr>
            <w:r w:rsidRPr="00F22124">
              <w:t>225.1</w:t>
            </w:r>
          </w:p>
        </w:tc>
        <w:tc>
          <w:tcPr>
            <w:tcW w:w="879"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654B12E0" w14:textId="77777777" w:rsidR="00F22124" w:rsidRPr="00F22124" w:rsidRDefault="00F22124" w:rsidP="00F22124">
            <w:pPr>
              <w:pStyle w:val="CDITable-RowCentre"/>
            </w:pPr>
            <w:r w:rsidRPr="00F22124">
              <w:t>386</w:t>
            </w:r>
          </w:p>
        </w:tc>
        <w:tc>
          <w:tcPr>
            <w:tcW w:w="794" w:type="dxa"/>
            <w:tcBorders>
              <w:top w:val="single" w:sz="6" w:space="0" w:color="1E4496" w:themeColor="text2"/>
              <w:bottom w:val="single" w:sz="6" w:space="0" w:color="1E4496" w:themeColor="text2"/>
              <w:right w:val="single" w:sz="6" w:space="0" w:color="1E4496" w:themeColor="text2"/>
            </w:tcBorders>
            <w:tcMar>
              <w:top w:w="57" w:type="dxa"/>
              <w:left w:w="57" w:type="dxa"/>
              <w:bottom w:w="57" w:type="dxa"/>
              <w:right w:w="57" w:type="dxa"/>
            </w:tcMar>
            <w:vAlign w:val="center"/>
          </w:tcPr>
          <w:p w14:paraId="0C1FF97D" w14:textId="77777777" w:rsidR="00F22124" w:rsidRPr="00F22124" w:rsidRDefault="00F22124" w:rsidP="00F22124">
            <w:pPr>
              <w:pStyle w:val="CDITable-RowCentre"/>
            </w:pPr>
            <w:r w:rsidRPr="00F22124">
              <w:t>245.3</w:t>
            </w:r>
          </w:p>
        </w:tc>
        <w:tc>
          <w:tcPr>
            <w:tcW w:w="737" w:type="dxa"/>
            <w:tcBorders>
              <w:top w:val="single" w:sz="6" w:space="0" w:color="1E4496" w:themeColor="text2"/>
              <w:left w:val="single" w:sz="6" w:space="0" w:color="1E4496" w:themeColor="text2"/>
              <w:bottom w:val="single" w:sz="6" w:space="0" w:color="1E4496" w:themeColor="text2"/>
            </w:tcBorders>
            <w:tcMar>
              <w:top w:w="57" w:type="dxa"/>
              <w:left w:w="57" w:type="dxa"/>
              <w:bottom w:w="57" w:type="dxa"/>
              <w:right w:w="57" w:type="dxa"/>
            </w:tcMar>
            <w:vAlign w:val="center"/>
          </w:tcPr>
          <w:p w14:paraId="41B2E948" w14:textId="77777777" w:rsidR="00F22124" w:rsidRPr="00F22124" w:rsidRDefault="00F22124" w:rsidP="00F22124">
            <w:pPr>
              <w:pStyle w:val="CDITable-RowCentre"/>
            </w:pPr>
            <w:r w:rsidRPr="00F22124">
              <w:t>1.3</w:t>
            </w:r>
          </w:p>
        </w:tc>
        <w:tc>
          <w:tcPr>
            <w:tcW w:w="737" w:type="dxa"/>
            <w:tcBorders>
              <w:top w:val="single" w:sz="6" w:space="0" w:color="1E4496" w:themeColor="text2"/>
              <w:bottom w:val="single" w:sz="6" w:space="0" w:color="1E4496" w:themeColor="text2"/>
              <w:right w:val="single" w:sz="6" w:space="0" w:color="1E4496" w:themeColor="text2"/>
            </w:tcBorders>
            <w:tcMar>
              <w:top w:w="57" w:type="dxa"/>
              <w:left w:w="57" w:type="dxa"/>
              <w:bottom w:w="57" w:type="dxa"/>
              <w:right w:w="57" w:type="dxa"/>
            </w:tcMar>
            <w:vAlign w:val="center"/>
          </w:tcPr>
          <w:p w14:paraId="07AC43D4" w14:textId="77777777" w:rsidR="00F22124" w:rsidRPr="00F22124" w:rsidRDefault="00F22124" w:rsidP="00F22124">
            <w:pPr>
              <w:pStyle w:val="CDITable-RowCentre"/>
            </w:pPr>
            <w:r w:rsidRPr="00F22124">
              <w:t>1.2</w:t>
            </w:r>
          </w:p>
        </w:tc>
        <w:tc>
          <w:tcPr>
            <w:tcW w:w="878" w:type="dxa"/>
            <w:tcBorders>
              <w:top w:val="single" w:sz="6" w:space="0" w:color="1E4496" w:themeColor="text2"/>
              <w:left w:val="single" w:sz="6" w:space="0" w:color="1E4496" w:themeColor="text2"/>
              <w:bottom w:val="single" w:sz="6" w:space="0" w:color="1E4496" w:themeColor="text2"/>
            </w:tcBorders>
            <w:tcMar>
              <w:top w:w="57" w:type="dxa"/>
              <w:left w:w="57" w:type="dxa"/>
              <w:bottom w:w="57" w:type="dxa"/>
              <w:right w:w="57" w:type="dxa"/>
            </w:tcMar>
            <w:vAlign w:val="center"/>
          </w:tcPr>
          <w:p w14:paraId="76B2D93B" w14:textId="77777777" w:rsidR="00F22124" w:rsidRPr="00F22124" w:rsidRDefault="00F22124" w:rsidP="00F22124">
            <w:pPr>
              <w:pStyle w:val="CDITable-RowCentre"/>
            </w:pPr>
            <w:r w:rsidRPr="00F22124">
              <w:t>6</w:t>
            </w:r>
          </w:p>
        </w:tc>
        <w:tc>
          <w:tcPr>
            <w:tcW w:w="823"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464495A2" w14:textId="77777777" w:rsidR="00F22124" w:rsidRPr="00F22124" w:rsidRDefault="00F22124" w:rsidP="00F22124">
            <w:pPr>
              <w:pStyle w:val="CDITable-RowCentre"/>
            </w:pPr>
            <w:r w:rsidRPr="00F22124">
              <w:t>—</w:t>
            </w:r>
          </w:p>
        </w:tc>
        <w:tc>
          <w:tcPr>
            <w:tcW w:w="878"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502D4297" w14:textId="77777777" w:rsidR="00F22124" w:rsidRPr="00F22124" w:rsidRDefault="00F22124" w:rsidP="00F22124">
            <w:pPr>
              <w:pStyle w:val="CDITable-RowCentre"/>
            </w:pPr>
            <w:r w:rsidRPr="00F22124">
              <w:t>9</w:t>
            </w:r>
          </w:p>
        </w:tc>
        <w:tc>
          <w:tcPr>
            <w:tcW w:w="82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7360736B" w14:textId="77777777" w:rsidR="00F22124" w:rsidRPr="00F22124" w:rsidRDefault="00F22124" w:rsidP="00F22124">
            <w:pPr>
              <w:pStyle w:val="CDITable-RowCentre"/>
            </w:pPr>
            <w:r w:rsidRPr="00F22124">
              <w:t>—</w:t>
            </w:r>
          </w:p>
        </w:tc>
      </w:tr>
      <w:tr w:rsidR="00DB5F45" w:rsidRPr="00F22124" w14:paraId="6BCA03FB" w14:textId="77777777" w:rsidTr="00DB5F45">
        <w:trPr>
          <w:trHeight w:val="60"/>
        </w:trPr>
        <w:tc>
          <w:tcPr>
            <w:tcW w:w="133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5AD88E90" w14:textId="77777777" w:rsidR="00F22124" w:rsidRPr="00F22124" w:rsidRDefault="00F22124" w:rsidP="00F22124">
            <w:pPr>
              <w:pStyle w:val="CDITable-RowLeft"/>
            </w:pPr>
            <w:r w:rsidRPr="00F22124">
              <w:t>5–17 years</w:t>
            </w:r>
          </w:p>
        </w:tc>
        <w:tc>
          <w:tcPr>
            <w:tcW w:w="1446"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40E21F80" w14:textId="77777777" w:rsidR="00F22124" w:rsidRPr="00F22124" w:rsidRDefault="00F22124" w:rsidP="00F22124">
            <w:pPr>
              <w:pStyle w:val="CDITable-RowLeft"/>
            </w:pPr>
            <w:r w:rsidRPr="00F22124">
              <w:t>School-aged</w:t>
            </w:r>
          </w:p>
        </w:tc>
        <w:tc>
          <w:tcPr>
            <w:tcW w:w="879"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3DDF4EA3" w14:textId="77777777" w:rsidR="00F22124" w:rsidRPr="00F22124" w:rsidRDefault="00F22124" w:rsidP="00F22124">
            <w:pPr>
              <w:pStyle w:val="CDITable-RowCentre"/>
            </w:pPr>
            <w:r w:rsidRPr="00F22124">
              <w:t>128</w:t>
            </w:r>
          </w:p>
        </w:tc>
        <w:tc>
          <w:tcPr>
            <w:tcW w:w="793"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3AD89496" w14:textId="77777777" w:rsidR="00F22124" w:rsidRPr="00F22124" w:rsidRDefault="00F22124" w:rsidP="00F22124">
            <w:pPr>
              <w:pStyle w:val="CDITable-RowCentre"/>
            </w:pPr>
            <w:r w:rsidRPr="00F22124">
              <w:t>24.6</w:t>
            </w:r>
          </w:p>
        </w:tc>
        <w:tc>
          <w:tcPr>
            <w:tcW w:w="879"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21C92260" w14:textId="77777777" w:rsidR="00F22124" w:rsidRPr="00F22124" w:rsidRDefault="00F22124" w:rsidP="00F22124">
            <w:pPr>
              <w:pStyle w:val="CDITable-RowCentre"/>
            </w:pPr>
            <w:r w:rsidRPr="00F22124">
              <w:t>104</w:t>
            </w:r>
          </w:p>
        </w:tc>
        <w:tc>
          <w:tcPr>
            <w:tcW w:w="794" w:type="dxa"/>
            <w:tcBorders>
              <w:top w:val="single" w:sz="6" w:space="0" w:color="1E4496" w:themeColor="text2"/>
              <w:bottom w:val="single" w:sz="6" w:space="0" w:color="1E4496" w:themeColor="text2"/>
              <w:right w:val="single" w:sz="6" w:space="0" w:color="1E4496" w:themeColor="text2"/>
            </w:tcBorders>
            <w:tcMar>
              <w:top w:w="57" w:type="dxa"/>
              <w:left w:w="57" w:type="dxa"/>
              <w:bottom w:w="57" w:type="dxa"/>
              <w:right w:w="57" w:type="dxa"/>
            </w:tcMar>
            <w:vAlign w:val="center"/>
          </w:tcPr>
          <w:p w14:paraId="3C387539" w14:textId="77777777" w:rsidR="00F22124" w:rsidRPr="00F22124" w:rsidRDefault="00F22124" w:rsidP="00F22124">
            <w:pPr>
              <w:pStyle w:val="CDITable-RowCentre"/>
            </w:pPr>
            <w:r w:rsidRPr="00F22124">
              <w:t>19.6</w:t>
            </w:r>
          </w:p>
        </w:tc>
        <w:tc>
          <w:tcPr>
            <w:tcW w:w="879" w:type="dxa"/>
            <w:tcBorders>
              <w:top w:val="single" w:sz="6" w:space="0" w:color="1E4496" w:themeColor="text2"/>
              <w:left w:val="single" w:sz="6" w:space="0" w:color="1E4496" w:themeColor="text2"/>
              <w:bottom w:val="single" w:sz="6" w:space="0" w:color="1E4496" w:themeColor="text2"/>
            </w:tcBorders>
            <w:tcMar>
              <w:top w:w="57" w:type="dxa"/>
              <w:left w:w="57" w:type="dxa"/>
              <w:bottom w:w="57" w:type="dxa"/>
              <w:right w:w="57" w:type="dxa"/>
            </w:tcMar>
            <w:vAlign w:val="center"/>
          </w:tcPr>
          <w:p w14:paraId="5CF5D5F6" w14:textId="77777777" w:rsidR="00F22124" w:rsidRPr="00F22124" w:rsidRDefault="00F22124" w:rsidP="00F22124">
            <w:pPr>
              <w:pStyle w:val="CDITable-RowCentre"/>
            </w:pPr>
            <w:r w:rsidRPr="00F22124">
              <w:t>144</w:t>
            </w:r>
          </w:p>
        </w:tc>
        <w:tc>
          <w:tcPr>
            <w:tcW w:w="793"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5E1E186E" w14:textId="77777777" w:rsidR="00F22124" w:rsidRPr="00F22124" w:rsidRDefault="00F22124" w:rsidP="00F22124">
            <w:pPr>
              <w:pStyle w:val="CDITable-RowCentre"/>
            </w:pPr>
            <w:r w:rsidRPr="00F22124">
              <w:t>29.2</w:t>
            </w:r>
          </w:p>
        </w:tc>
        <w:tc>
          <w:tcPr>
            <w:tcW w:w="879"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439C1A8A" w14:textId="77777777" w:rsidR="00F22124" w:rsidRPr="00F22124" w:rsidRDefault="00F22124" w:rsidP="00F22124">
            <w:pPr>
              <w:pStyle w:val="CDITable-RowCentre"/>
            </w:pPr>
            <w:r w:rsidRPr="00F22124">
              <w:t>110</w:t>
            </w:r>
          </w:p>
        </w:tc>
        <w:tc>
          <w:tcPr>
            <w:tcW w:w="794" w:type="dxa"/>
            <w:tcBorders>
              <w:top w:val="single" w:sz="6" w:space="0" w:color="1E4496" w:themeColor="text2"/>
              <w:bottom w:val="single" w:sz="6" w:space="0" w:color="1E4496" w:themeColor="text2"/>
              <w:right w:val="single" w:sz="6" w:space="0" w:color="1E4496" w:themeColor="text2"/>
            </w:tcBorders>
            <w:tcMar>
              <w:top w:w="57" w:type="dxa"/>
              <w:left w:w="57" w:type="dxa"/>
              <w:bottom w:w="57" w:type="dxa"/>
              <w:right w:w="57" w:type="dxa"/>
            </w:tcMar>
            <w:vAlign w:val="center"/>
          </w:tcPr>
          <w:p w14:paraId="56B2ED28" w14:textId="77777777" w:rsidR="00F22124" w:rsidRPr="00F22124" w:rsidRDefault="00F22124" w:rsidP="00F22124">
            <w:pPr>
              <w:pStyle w:val="CDITable-RowCentre"/>
            </w:pPr>
            <w:r w:rsidRPr="00F22124">
              <w:t>21.9</w:t>
            </w:r>
          </w:p>
        </w:tc>
        <w:tc>
          <w:tcPr>
            <w:tcW w:w="737" w:type="dxa"/>
            <w:tcBorders>
              <w:top w:val="single" w:sz="6" w:space="0" w:color="1E4496" w:themeColor="text2"/>
              <w:left w:val="single" w:sz="6" w:space="0" w:color="1E4496" w:themeColor="text2"/>
              <w:bottom w:val="single" w:sz="6" w:space="0" w:color="1E4496" w:themeColor="text2"/>
            </w:tcBorders>
            <w:tcMar>
              <w:top w:w="57" w:type="dxa"/>
              <w:left w:w="57" w:type="dxa"/>
              <w:bottom w:w="57" w:type="dxa"/>
              <w:right w:w="57" w:type="dxa"/>
            </w:tcMar>
            <w:vAlign w:val="center"/>
          </w:tcPr>
          <w:p w14:paraId="29410D3F" w14:textId="77777777" w:rsidR="00F22124" w:rsidRPr="00F22124" w:rsidRDefault="00F22124" w:rsidP="00F22124">
            <w:pPr>
              <w:pStyle w:val="CDITable-RowCentre"/>
            </w:pPr>
            <w:r w:rsidRPr="00F22124">
              <w:t>0.8</w:t>
            </w:r>
          </w:p>
        </w:tc>
        <w:tc>
          <w:tcPr>
            <w:tcW w:w="737" w:type="dxa"/>
            <w:tcBorders>
              <w:top w:val="single" w:sz="6" w:space="0" w:color="1E4496" w:themeColor="text2"/>
              <w:bottom w:val="single" w:sz="6" w:space="0" w:color="1E4496" w:themeColor="text2"/>
              <w:right w:val="single" w:sz="6" w:space="0" w:color="1E4496" w:themeColor="text2"/>
            </w:tcBorders>
            <w:tcMar>
              <w:top w:w="57" w:type="dxa"/>
              <w:left w:w="57" w:type="dxa"/>
              <w:bottom w:w="57" w:type="dxa"/>
              <w:right w:w="57" w:type="dxa"/>
            </w:tcMar>
            <w:vAlign w:val="center"/>
          </w:tcPr>
          <w:p w14:paraId="3FA5EB13" w14:textId="77777777" w:rsidR="00F22124" w:rsidRPr="00F22124" w:rsidRDefault="00F22124" w:rsidP="00F22124">
            <w:pPr>
              <w:pStyle w:val="CDITable-RowCentre"/>
            </w:pPr>
            <w:r w:rsidRPr="00F22124">
              <w:t>0.9</w:t>
            </w:r>
          </w:p>
        </w:tc>
        <w:tc>
          <w:tcPr>
            <w:tcW w:w="878" w:type="dxa"/>
            <w:tcBorders>
              <w:top w:val="single" w:sz="6" w:space="0" w:color="1E4496" w:themeColor="text2"/>
              <w:left w:val="single" w:sz="6" w:space="0" w:color="1E4496" w:themeColor="text2"/>
              <w:bottom w:val="single" w:sz="6" w:space="0" w:color="1E4496" w:themeColor="text2"/>
            </w:tcBorders>
            <w:tcMar>
              <w:top w:w="57" w:type="dxa"/>
              <w:left w:w="57" w:type="dxa"/>
              <w:bottom w:w="57" w:type="dxa"/>
              <w:right w:w="57" w:type="dxa"/>
            </w:tcMar>
            <w:vAlign w:val="center"/>
          </w:tcPr>
          <w:p w14:paraId="5B3812CA" w14:textId="77777777" w:rsidR="00F22124" w:rsidRPr="00F22124" w:rsidRDefault="00F22124" w:rsidP="00F22124">
            <w:pPr>
              <w:pStyle w:val="CDITable-RowCentre"/>
            </w:pPr>
            <w:r w:rsidRPr="00F22124">
              <w:t>2</w:t>
            </w:r>
          </w:p>
        </w:tc>
        <w:tc>
          <w:tcPr>
            <w:tcW w:w="823"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1135B5E3" w14:textId="77777777" w:rsidR="00F22124" w:rsidRPr="00F22124" w:rsidRDefault="00F22124" w:rsidP="00F22124">
            <w:pPr>
              <w:pStyle w:val="CDITable-RowCentre"/>
            </w:pPr>
            <w:r w:rsidRPr="00F22124">
              <w:t>—</w:t>
            </w:r>
          </w:p>
        </w:tc>
        <w:tc>
          <w:tcPr>
            <w:tcW w:w="878"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548F8B86" w14:textId="77777777" w:rsidR="00F22124" w:rsidRPr="00F22124" w:rsidRDefault="00F22124" w:rsidP="00F22124">
            <w:pPr>
              <w:pStyle w:val="CDITable-RowCentre"/>
            </w:pPr>
            <w:r w:rsidRPr="00F22124">
              <w:t>3</w:t>
            </w:r>
          </w:p>
        </w:tc>
        <w:tc>
          <w:tcPr>
            <w:tcW w:w="82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21E86727" w14:textId="77777777" w:rsidR="00F22124" w:rsidRPr="00F22124" w:rsidRDefault="00F22124" w:rsidP="00F22124">
            <w:pPr>
              <w:pStyle w:val="CDITable-RowCentre"/>
            </w:pPr>
            <w:r w:rsidRPr="00F22124">
              <w:t>—</w:t>
            </w:r>
          </w:p>
        </w:tc>
      </w:tr>
      <w:tr w:rsidR="00DB5F45" w:rsidRPr="00F22124" w14:paraId="5CC8A2CD" w14:textId="77777777" w:rsidTr="00DB5F45">
        <w:trPr>
          <w:trHeight w:val="60"/>
        </w:trPr>
        <w:tc>
          <w:tcPr>
            <w:tcW w:w="133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40079298" w14:textId="77777777" w:rsidR="00F22124" w:rsidRPr="00F22124" w:rsidRDefault="00F22124" w:rsidP="00F22124">
            <w:pPr>
              <w:pStyle w:val="CDITable-RowLeft"/>
            </w:pPr>
            <w:r w:rsidRPr="00F22124">
              <w:t>18–64 years</w:t>
            </w:r>
          </w:p>
        </w:tc>
        <w:tc>
          <w:tcPr>
            <w:tcW w:w="1446"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7D8FA5F6" w14:textId="77777777" w:rsidR="00F22124" w:rsidRPr="00F22124" w:rsidRDefault="00F22124" w:rsidP="00F22124">
            <w:pPr>
              <w:pStyle w:val="CDITable-RowLeft"/>
            </w:pPr>
            <w:r w:rsidRPr="00F22124">
              <w:t>Adults</w:t>
            </w:r>
          </w:p>
        </w:tc>
        <w:tc>
          <w:tcPr>
            <w:tcW w:w="879"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0ADEB8EB" w14:textId="77777777" w:rsidR="00F22124" w:rsidRPr="00F22124" w:rsidRDefault="00F22124" w:rsidP="00F22124">
            <w:pPr>
              <w:pStyle w:val="CDITable-RowCentre"/>
            </w:pPr>
            <w:r w:rsidRPr="00F22124">
              <w:t>45</w:t>
            </w:r>
          </w:p>
        </w:tc>
        <w:tc>
          <w:tcPr>
            <w:tcW w:w="793"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1D68CE3D" w14:textId="77777777" w:rsidR="00F22124" w:rsidRPr="00F22124" w:rsidRDefault="00F22124" w:rsidP="00F22124">
            <w:pPr>
              <w:pStyle w:val="CDITable-RowCentre"/>
            </w:pPr>
            <w:r w:rsidRPr="00F22124">
              <w:t>2.2</w:t>
            </w:r>
          </w:p>
        </w:tc>
        <w:tc>
          <w:tcPr>
            <w:tcW w:w="879"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58BCBCD8" w14:textId="77777777" w:rsidR="00F22124" w:rsidRPr="00F22124" w:rsidRDefault="00F22124" w:rsidP="00F22124">
            <w:pPr>
              <w:pStyle w:val="CDITable-RowCentre"/>
            </w:pPr>
            <w:r w:rsidRPr="00F22124">
              <w:t>47</w:t>
            </w:r>
          </w:p>
        </w:tc>
        <w:tc>
          <w:tcPr>
            <w:tcW w:w="794" w:type="dxa"/>
            <w:tcBorders>
              <w:top w:val="single" w:sz="6" w:space="0" w:color="1E4496" w:themeColor="text2"/>
              <w:bottom w:val="single" w:sz="6" w:space="0" w:color="1E4496" w:themeColor="text2"/>
              <w:right w:val="single" w:sz="6" w:space="0" w:color="1E4496" w:themeColor="text2"/>
            </w:tcBorders>
            <w:tcMar>
              <w:top w:w="57" w:type="dxa"/>
              <w:left w:w="57" w:type="dxa"/>
              <w:bottom w:w="57" w:type="dxa"/>
              <w:right w:w="57" w:type="dxa"/>
            </w:tcMar>
            <w:vAlign w:val="center"/>
          </w:tcPr>
          <w:p w14:paraId="5BA59DA2" w14:textId="77777777" w:rsidR="00F22124" w:rsidRPr="00F22124" w:rsidRDefault="00F22124" w:rsidP="00F22124">
            <w:pPr>
              <w:pStyle w:val="CDITable-RowCentre"/>
            </w:pPr>
            <w:r w:rsidRPr="00F22124">
              <w:t>2.3</w:t>
            </w:r>
          </w:p>
        </w:tc>
        <w:tc>
          <w:tcPr>
            <w:tcW w:w="879" w:type="dxa"/>
            <w:tcBorders>
              <w:top w:val="single" w:sz="6" w:space="0" w:color="1E4496" w:themeColor="text2"/>
              <w:left w:val="single" w:sz="6" w:space="0" w:color="1E4496" w:themeColor="text2"/>
              <w:bottom w:val="single" w:sz="6" w:space="0" w:color="1E4496" w:themeColor="text2"/>
            </w:tcBorders>
            <w:tcMar>
              <w:top w:w="57" w:type="dxa"/>
              <w:left w:w="57" w:type="dxa"/>
              <w:bottom w:w="57" w:type="dxa"/>
              <w:right w:w="57" w:type="dxa"/>
            </w:tcMar>
            <w:vAlign w:val="center"/>
          </w:tcPr>
          <w:p w14:paraId="7B9D30A8" w14:textId="77777777" w:rsidR="00F22124" w:rsidRPr="00F22124" w:rsidRDefault="00F22124" w:rsidP="00F22124">
            <w:pPr>
              <w:pStyle w:val="CDITable-RowCentre"/>
            </w:pPr>
            <w:r w:rsidRPr="00F22124">
              <w:t>242</w:t>
            </w:r>
          </w:p>
        </w:tc>
        <w:tc>
          <w:tcPr>
            <w:tcW w:w="793"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586090F2" w14:textId="77777777" w:rsidR="00F22124" w:rsidRPr="00F22124" w:rsidRDefault="00F22124" w:rsidP="00F22124">
            <w:pPr>
              <w:pStyle w:val="CDITable-RowCentre"/>
            </w:pPr>
            <w:r w:rsidRPr="00F22124">
              <w:t>11.6</w:t>
            </w:r>
          </w:p>
        </w:tc>
        <w:tc>
          <w:tcPr>
            <w:tcW w:w="879"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0BA56DC2" w14:textId="77777777" w:rsidR="00F22124" w:rsidRPr="00F22124" w:rsidRDefault="00F22124" w:rsidP="00F22124">
            <w:pPr>
              <w:pStyle w:val="CDITable-RowCentre"/>
            </w:pPr>
            <w:r w:rsidRPr="00F22124">
              <w:t>222</w:t>
            </w:r>
          </w:p>
        </w:tc>
        <w:tc>
          <w:tcPr>
            <w:tcW w:w="794" w:type="dxa"/>
            <w:tcBorders>
              <w:top w:val="single" w:sz="6" w:space="0" w:color="1E4496" w:themeColor="text2"/>
              <w:bottom w:val="single" w:sz="6" w:space="0" w:color="1E4496" w:themeColor="text2"/>
              <w:right w:val="single" w:sz="6" w:space="0" w:color="1E4496" w:themeColor="text2"/>
            </w:tcBorders>
            <w:tcMar>
              <w:top w:w="57" w:type="dxa"/>
              <w:left w:w="57" w:type="dxa"/>
              <w:bottom w:w="57" w:type="dxa"/>
              <w:right w:w="57" w:type="dxa"/>
            </w:tcMar>
            <w:vAlign w:val="center"/>
          </w:tcPr>
          <w:p w14:paraId="647056C9" w14:textId="77777777" w:rsidR="00F22124" w:rsidRPr="00F22124" w:rsidRDefault="00F22124" w:rsidP="00F22124">
            <w:pPr>
              <w:pStyle w:val="CDITable-RowCentre"/>
            </w:pPr>
            <w:r w:rsidRPr="00F22124">
              <w:t>10.5</w:t>
            </w:r>
          </w:p>
        </w:tc>
        <w:tc>
          <w:tcPr>
            <w:tcW w:w="737" w:type="dxa"/>
            <w:tcBorders>
              <w:top w:val="single" w:sz="6" w:space="0" w:color="1E4496" w:themeColor="text2"/>
              <w:left w:val="single" w:sz="6" w:space="0" w:color="1E4496" w:themeColor="text2"/>
              <w:bottom w:val="single" w:sz="6" w:space="0" w:color="1E4496" w:themeColor="text2"/>
            </w:tcBorders>
            <w:tcMar>
              <w:top w:w="57" w:type="dxa"/>
              <w:left w:w="57" w:type="dxa"/>
              <w:bottom w:w="57" w:type="dxa"/>
              <w:right w:w="57" w:type="dxa"/>
            </w:tcMar>
            <w:vAlign w:val="center"/>
          </w:tcPr>
          <w:p w14:paraId="44BE3669" w14:textId="77777777" w:rsidR="00F22124" w:rsidRPr="00F22124" w:rsidRDefault="00F22124" w:rsidP="00F22124">
            <w:pPr>
              <w:pStyle w:val="CDITable-RowCentre"/>
            </w:pPr>
            <w:r w:rsidRPr="00F22124">
              <w:t>0.2</w:t>
            </w:r>
          </w:p>
        </w:tc>
        <w:tc>
          <w:tcPr>
            <w:tcW w:w="737" w:type="dxa"/>
            <w:tcBorders>
              <w:top w:val="single" w:sz="6" w:space="0" w:color="1E4496" w:themeColor="text2"/>
              <w:bottom w:val="single" w:sz="6" w:space="0" w:color="1E4496" w:themeColor="text2"/>
              <w:right w:val="single" w:sz="6" w:space="0" w:color="1E4496" w:themeColor="text2"/>
            </w:tcBorders>
            <w:tcMar>
              <w:top w:w="57" w:type="dxa"/>
              <w:left w:w="57" w:type="dxa"/>
              <w:bottom w:w="57" w:type="dxa"/>
              <w:right w:w="57" w:type="dxa"/>
            </w:tcMar>
            <w:vAlign w:val="center"/>
          </w:tcPr>
          <w:p w14:paraId="503A285E" w14:textId="77777777" w:rsidR="00F22124" w:rsidRPr="00F22124" w:rsidRDefault="00F22124" w:rsidP="00F22124">
            <w:pPr>
              <w:pStyle w:val="CDITable-RowCentre"/>
            </w:pPr>
            <w:r w:rsidRPr="00F22124">
              <w:t>0.2</w:t>
            </w:r>
          </w:p>
        </w:tc>
        <w:tc>
          <w:tcPr>
            <w:tcW w:w="878" w:type="dxa"/>
            <w:tcBorders>
              <w:top w:val="single" w:sz="6" w:space="0" w:color="1E4496" w:themeColor="text2"/>
              <w:left w:val="single" w:sz="6" w:space="0" w:color="1E4496" w:themeColor="text2"/>
              <w:bottom w:val="single" w:sz="6" w:space="0" w:color="1E4496" w:themeColor="text2"/>
            </w:tcBorders>
            <w:tcMar>
              <w:top w:w="57" w:type="dxa"/>
              <w:left w:w="57" w:type="dxa"/>
              <w:bottom w:w="57" w:type="dxa"/>
              <w:right w:w="57" w:type="dxa"/>
            </w:tcMar>
            <w:vAlign w:val="center"/>
          </w:tcPr>
          <w:p w14:paraId="622B9043" w14:textId="77777777" w:rsidR="00F22124" w:rsidRPr="00F22124" w:rsidRDefault="00F22124" w:rsidP="00F22124">
            <w:pPr>
              <w:pStyle w:val="CDITable-RowCentre"/>
            </w:pPr>
            <w:r w:rsidRPr="00F22124">
              <w:t>2</w:t>
            </w:r>
          </w:p>
        </w:tc>
        <w:tc>
          <w:tcPr>
            <w:tcW w:w="823"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3C4A4CAE" w14:textId="77777777" w:rsidR="00F22124" w:rsidRPr="00F22124" w:rsidRDefault="00F22124" w:rsidP="00F22124">
            <w:pPr>
              <w:pStyle w:val="CDITable-RowCentre"/>
            </w:pPr>
            <w:r w:rsidRPr="00F22124">
              <w:t>—</w:t>
            </w:r>
          </w:p>
        </w:tc>
        <w:tc>
          <w:tcPr>
            <w:tcW w:w="878"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096C9019" w14:textId="77777777" w:rsidR="00F22124" w:rsidRPr="00F22124" w:rsidRDefault="00F22124" w:rsidP="00F22124">
            <w:pPr>
              <w:pStyle w:val="CDITable-RowCentre"/>
            </w:pPr>
            <w:r w:rsidRPr="00F22124">
              <w:t>1</w:t>
            </w:r>
          </w:p>
        </w:tc>
        <w:tc>
          <w:tcPr>
            <w:tcW w:w="82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24E0BD3D" w14:textId="77777777" w:rsidR="00F22124" w:rsidRPr="00F22124" w:rsidRDefault="00F22124" w:rsidP="00F22124">
            <w:pPr>
              <w:pStyle w:val="CDITable-RowCentre"/>
            </w:pPr>
            <w:r w:rsidRPr="00F22124">
              <w:t>—</w:t>
            </w:r>
          </w:p>
        </w:tc>
      </w:tr>
      <w:tr w:rsidR="00DB5F45" w:rsidRPr="00F22124" w14:paraId="744F57D6" w14:textId="77777777" w:rsidTr="00DB5F45">
        <w:trPr>
          <w:trHeight w:val="60"/>
        </w:trPr>
        <w:tc>
          <w:tcPr>
            <w:tcW w:w="1332" w:type="dxa"/>
            <w:tcBorders>
              <w:top w:val="single" w:sz="6" w:space="0" w:color="1E4496" w:themeColor="text2"/>
            </w:tcBorders>
            <w:tcMar>
              <w:top w:w="57" w:type="dxa"/>
              <w:left w:w="57" w:type="dxa"/>
              <w:bottom w:w="57" w:type="dxa"/>
              <w:right w:w="57" w:type="dxa"/>
            </w:tcMar>
            <w:vAlign w:val="center"/>
          </w:tcPr>
          <w:p w14:paraId="181A83EB" w14:textId="77777777" w:rsidR="00F22124" w:rsidRPr="00F22124" w:rsidRDefault="00F22124" w:rsidP="00F22124">
            <w:pPr>
              <w:pStyle w:val="CDITable-RowLeft"/>
            </w:pPr>
            <w:r w:rsidRPr="00F22124">
              <w:t>65+ years</w:t>
            </w:r>
          </w:p>
        </w:tc>
        <w:tc>
          <w:tcPr>
            <w:tcW w:w="1446" w:type="dxa"/>
            <w:tcBorders>
              <w:top w:val="single" w:sz="6" w:space="0" w:color="1E4496" w:themeColor="text2"/>
            </w:tcBorders>
            <w:tcMar>
              <w:top w:w="57" w:type="dxa"/>
              <w:left w:w="57" w:type="dxa"/>
              <w:bottom w:w="57" w:type="dxa"/>
              <w:right w:w="57" w:type="dxa"/>
            </w:tcMar>
            <w:vAlign w:val="center"/>
          </w:tcPr>
          <w:p w14:paraId="4C4381FF" w14:textId="77777777" w:rsidR="00F22124" w:rsidRPr="00F22124" w:rsidRDefault="00F22124" w:rsidP="00F22124">
            <w:pPr>
              <w:pStyle w:val="CDITable-RowLeft"/>
            </w:pPr>
            <w:r w:rsidRPr="00F22124">
              <w:t>Older persons</w:t>
            </w:r>
          </w:p>
        </w:tc>
        <w:tc>
          <w:tcPr>
            <w:tcW w:w="879" w:type="dxa"/>
            <w:tcBorders>
              <w:top w:val="single" w:sz="6" w:space="0" w:color="1E4496" w:themeColor="text2"/>
            </w:tcBorders>
            <w:tcMar>
              <w:top w:w="57" w:type="dxa"/>
              <w:left w:w="57" w:type="dxa"/>
              <w:bottom w:w="57" w:type="dxa"/>
              <w:right w:w="57" w:type="dxa"/>
            </w:tcMar>
            <w:vAlign w:val="center"/>
          </w:tcPr>
          <w:p w14:paraId="54DEF33F" w14:textId="77777777" w:rsidR="00F22124" w:rsidRPr="00F22124" w:rsidRDefault="00F22124" w:rsidP="00F22124">
            <w:pPr>
              <w:pStyle w:val="CDITable-RowCentre"/>
            </w:pPr>
            <w:r w:rsidRPr="00F22124">
              <w:t>51</w:t>
            </w:r>
          </w:p>
        </w:tc>
        <w:tc>
          <w:tcPr>
            <w:tcW w:w="793" w:type="dxa"/>
            <w:tcBorders>
              <w:top w:val="single" w:sz="6" w:space="0" w:color="1E4496" w:themeColor="text2"/>
            </w:tcBorders>
            <w:tcMar>
              <w:top w:w="57" w:type="dxa"/>
              <w:left w:w="57" w:type="dxa"/>
              <w:bottom w:w="57" w:type="dxa"/>
              <w:right w:w="57" w:type="dxa"/>
            </w:tcMar>
            <w:vAlign w:val="center"/>
          </w:tcPr>
          <w:p w14:paraId="0826890A" w14:textId="77777777" w:rsidR="00F22124" w:rsidRPr="00F22124" w:rsidRDefault="00F22124" w:rsidP="00F22124">
            <w:pPr>
              <w:pStyle w:val="CDITable-RowCentre"/>
            </w:pPr>
            <w:r w:rsidRPr="00F22124">
              <w:t>10.8</w:t>
            </w:r>
          </w:p>
        </w:tc>
        <w:tc>
          <w:tcPr>
            <w:tcW w:w="879" w:type="dxa"/>
            <w:tcBorders>
              <w:top w:val="single" w:sz="6" w:space="0" w:color="1E4496" w:themeColor="text2"/>
            </w:tcBorders>
            <w:tcMar>
              <w:top w:w="57" w:type="dxa"/>
              <w:left w:w="57" w:type="dxa"/>
              <w:bottom w:w="57" w:type="dxa"/>
              <w:right w:w="57" w:type="dxa"/>
            </w:tcMar>
            <w:vAlign w:val="center"/>
          </w:tcPr>
          <w:p w14:paraId="4963ED3E" w14:textId="77777777" w:rsidR="00F22124" w:rsidRPr="00F22124" w:rsidRDefault="00F22124" w:rsidP="00F22124">
            <w:pPr>
              <w:pStyle w:val="CDITable-RowCentre"/>
            </w:pPr>
            <w:r w:rsidRPr="00F22124">
              <w:t>43</w:t>
            </w:r>
          </w:p>
        </w:tc>
        <w:tc>
          <w:tcPr>
            <w:tcW w:w="794" w:type="dxa"/>
            <w:tcBorders>
              <w:top w:val="single" w:sz="6" w:space="0" w:color="1E4496" w:themeColor="text2"/>
              <w:right w:val="single" w:sz="6" w:space="0" w:color="1E4496" w:themeColor="text2"/>
            </w:tcBorders>
            <w:tcMar>
              <w:top w:w="57" w:type="dxa"/>
              <w:left w:w="57" w:type="dxa"/>
              <w:bottom w:w="57" w:type="dxa"/>
              <w:right w:w="57" w:type="dxa"/>
            </w:tcMar>
            <w:vAlign w:val="center"/>
          </w:tcPr>
          <w:p w14:paraId="19914E99" w14:textId="77777777" w:rsidR="00F22124" w:rsidRPr="00F22124" w:rsidRDefault="00F22124" w:rsidP="00F22124">
            <w:pPr>
              <w:pStyle w:val="CDITable-RowCentre"/>
            </w:pPr>
            <w:r w:rsidRPr="00F22124">
              <w:t>8.8</w:t>
            </w:r>
          </w:p>
        </w:tc>
        <w:tc>
          <w:tcPr>
            <w:tcW w:w="879" w:type="dxa"/>
            <w:tcBorders>
              <w:top w:val="single" w:sz="6" w:space="0" w:color="1E4496" w:themeColor="text2"/>
              <w:left w:val="single" w:sz="6" w:space="0" w:color="1E4496" w:themeColor="text2"/>
            </w:tcBorders>
            <w:tcMar>
              <w:top w:w="57" w:type="dxa"/>
              <w:left w:w="57" w:type="dxa"/>
              <w:bottom w:w="57" w:type="dxa"/>
              <w:right w:w="57" w:type="dxa"/>
            </w:tcMar>
            <w:vAlign w:val="center"/>
          </w:tcPr>
          <w:p w14:paraId="76810CB6" w14:textId="77777777" w:rsidR="00F22124" w:rsidRPr="00F22124" w:rsidRDefault="00F22124" w:rsidP="00F22124">
            <w:pPr>
              <w:pStyle w:val="CDITable-RowCentre"/>
            </w:pPr>
            <w:r w:rsidRPr="00F22124">
              <w:t>98</w:t>
            </w:r>
          </w:p>
        </w:tc>
        <w:tc>
          <w:tcPr>
            <w:tcW w:w="793" w:type="dxa"/>
            <w:tcBorders>
              <w:top w:val="single" w:sz="6" w:space="0" w:color="1E4496" w:themeColor="text2"/>
            </w:tcBorders>
            <w:tcMar>
              <w:top w:w="57" w:type="dxa"/>
              <w:left w:w="57" w:type="dxa"/>
              <w:bottom w:w="57" w:type="dxa"/>
              <w:right w:w="57" w:type="dxa"/>
            </w:tcMar>
            <w:vAlign w:val="center"/>
          </w:tcPr>
          <w:p w14:paraId="4FD186BF" w14:textId="77777777" w:rsidR="00F22124" w:rsidRPr="00F22124" w:rsidRDefault="00F22124" w:rsidP="00F22124">
            <w:pPr>
              <w:pStyle w:val="CDITable-RowCentre"/>
            </w:pPr>
            <w:r w:rsidRPr="00F22124">
              <w:t>17.9</w:t>
            </w:r>
          </w:p>
        </w:tc>
        <w:tc>
          <w:tcPr>
            <w:tcW w:w="879" w:type="dxa"/>
            <w:tcBorders>
              <w:top w:val="single" w:sz="6" w:space="0" w:color="1E4496" w:themeColor="text2"/>
            </w:tcBorders>
            <w:tcMar>
              <w:top w:w="57" w:type="dxa"/>
              <w:left w:w="57" w:type="dxa"/>
              <w:bottom w:w="57" w:type="dxa"/>
              <w:right w:w="57" w:type="dxa"/>
            </w:tcMar>
            <w:vAlign w:val="center"/>
          </w:tcPr>
          <w:p w14:paraId="342B2521" w14:textId="77777777" w:rsidR="00F22124" w:rsidRPr="00F22124" w:rsidRDefault="00F22124" w:rsidP="00F22124">
            <w:pPr>
              <w:pStyle w:val="CDITable-RowCentre"/>
            </w:pPr>
            <w:r w:rsidRPr="00F22124">
              <w:t>135</w:t>
            </w:r>
          </w:p>
        </w:tc>
        <w:tc>
          <w:tcPr>
            <w:tcW w:w="794" w:type="dxa"/>
            <w:tcBorders>
              <w:top w:val="single" w:sz="6" w:space="0" w:color="1E4496" w:themeColor="text2"/>
              <w:right w:val="single" w:sz="6" w:space="0" w:color="1E4496" w:themeColor="text2"/>
            </w:tcBorders>
            <w:tcMar>
              <w:top w:w="57" w:type="dxa"/>
              <w:left w:w="57" w:type="dxa"/>
              <w:bottom w:w="57" w:type="dxa"/>
              <w:right w:w="57" w:type="dxa"/>
            </w:tcMar>
            <w:vAlign w:val="center"/>
          </w:tcPr>
          <w:p w14:paraId="763C315C" w14:textId="77777777" w:rsidR="00F22124" w:rsidRPr="00F22124" w:rsidRDefault="00F22124" w:rsidP="00F22124">
            <w:pPr>
              <w:pStyle w:val="CDITable-RowCentre"/>
            </w:pPr>
            <w:r w:rsidRPr="00F22124">
              <w:t>23.8</w:t>
            </w:r>
          </w:p>
        </w:tc>
        <w:tc>
          <w:tcPr>
            <w:tcW w:w="737" w:type="dxa"/>
            <w:tcBorders>
              <w:top w:val="single" w:sz="6" w:space="0" w:color="1E4496" w:themeColor="text2"/>
              <w:left w:val="single" w:sz="6" w:space="0" w:color="1E4496" w:themeColor="text2"/>
            </w:tcBorders>
            <w:tcMar>
              <w:top w:w="57" w:type="dxa"/>
              <w:left w:w="57" w:type="dxa"/>
              <w:bottom w:w="57" w:type="dxa"/>
              <w:right w:w="57" w:type="dxa"/>
            </w:tcMar>
            <w:vAlign w:val="center"/>
          </w:tcPr>
          <w:p w14:paraId="7E3E9679" w14:textId="77777777" w:rsidR="00F22124" w:rsidRPr="00F22124" w:rsidRDefault="00F22124" w:rsidP="00F22124">
            <w:pPr>
              <w:pStyle w:val="CDITable-RowCentre"/>
            </w:pPr>
            <w:r w:rsidRPr="00F22124">
              <w:t>0.6</w:t>
            </w:r>
          </w:p>
        </w:tc>
        <w:tc>
          <w:tcPr>
            <w:tcW w:w="737" w:type="dxa"/>
            <w:tcBorders>
              <w:top w:val="single" w:sz="6" w:space="0" w:color="1E4496" w:themeColor="text2"/>
              <w:right w:val="single" w:sz="6" w:space="0" w:color="1E4496" w:themeColor="text2"/>
            </w:tcBorders>
            <w:tcMar>
              <w:top w:w="57" w:type="dxa"/>
              <w:left w:w="57" w:type="dxa"/>
              <w:bottom w:w="57" w:type="dxa"/>
              <w:right w:w="57" w:type="dxa"/>
            </w:tcMar>
            <w:vAlign w:val="center"/>
          </w:tcPr>
          <w:p w14:paraId="421F8A21" w14:textId="77777777" w:rsidR="00F22124" w:rsidRPr="00F22124" w:rsidRDefault="00F22124" w:rsidP="00F22124">
            <w:pPr>
              <w:pStyle w:val="CDITable-RowCentre"/>
            </w:pPr>
            <w:r w:rsidRPr="00F22124">
              <w:t>0.4</w:t>
            </w:r>
          </w:p>
        </w:tc>
        <w:tc>
          <w:tcPr>
            <w:tcW w:w="878" w:type="dxa"/>
            <w:tcBorders>
              <w:top w:val="single" w:sz="6" w:space="0" w:color="1E4496" w:themeColor="text2"/>
              <w:left w:val="single" w:sz="6" w:space="0" w:color="1E4496" w:themeColor="text2"/>
            </w:tcBorders>
            <w:tcMar>
              <w:top w:w="57" w:type="dxa"/>
              <w:left w:w="57" w:type="dxa"/>
              <w:bottom w:w="57" w:type="dxa"/>
              <w:right w:w="57" w:type="dxa"/>
            </w:tcMar>
            <w:vAlign w:val="center"/>
          </w:tcPr>
          <w:p w14:paraId="4F02FCAA" w14:textId="77777777" w:rsidR="00F22124" w:rsidRPr="00F22124" w:rsidRDefault="00F22124" w:rsidP="00F22124">
            <w:pPr>
              <w:pStyle w:val="CDITable-RowCentre"/>
            </w:pPr>
            <w:r w:rsidRPr="00F22124">
              <w:t>1</w:t>
            </w:r>
          </w:p>
        </w:tc>
        <w:tc>
          <w:tcPr>
            <w:tcW w:w="823" w:type="dxa"/>
            <w:tcBorders>
              <w:top w:val="single" w:sz="6" w:space="0" w:color="1E4496" w:themeColor="text2"/>
            </w:tcBorders>
            <w:tcMar>
              <w:top w:w="57" w:type="dxa"/>
              <w:left w:w="57" w:type="dxa"/>
              <w:bottom w:w="57" w:type="dxa"/>
              <w:right w:w="57" w:type="dxa"/>
            </w:tcMar>
            <w:vAlign w:val="center"/>
          </w:tcPr>
          <w:p w14:paraId="40A3D615" w14:textId="77777777" w:rsidR="00F22124" w:rsidRPr="00F22124" w:rsidRDefault="00F22124" w:rsidP="00F22124">
            <w:pPr>
              <w:pStyle w:val="CDITable-RowCentre"/>
            </w:pPr>
            <w:r w:rsidRPr="00F22124">
              <w:t>—</w:t>
            </w:r>
          </w:p>
        </w:tc>
        <w:tc>
          <w:tcPr>
            <w:tcW w:w="878" w:type="dxa"/>
            <w:tcBorders>
              <w:top w:val="single" w:sz="6" w:space="0" w:color="1E4496" w:themeColor="text2"/>
            </w:tcBorders>
            <w:tcMar>
              <w:top w:w="57" w:type="dxa"/>
              <w:left w:w="57" w:type="dxa"/>
              <w:bottom w:w="57" w:type="dxa"/>
              <w:right w:w="57" w:type="dxa"/>
            </w:tcMar>
            <w:vAlign w:val="center"/>
          </w:tcPr>
          <w:p w14:paraId="6858B2AD" w14:textId="77777777" w:rsidR="00F22124" w:rsidRPr="00F22124" w:rsidRDefault="00F22124" w:rsidP="00F22124">
            <w:pPr>
              <w:pStyle w:val="CDITable-RowCentre"/>
            </w:pPr>
            <w:r w:rsidRPr="00F22124">
              <w:t>1</w:t>
            </w:r>
          </w:p>
        </w:tc>
        <w:tc>
          <w:tcPr>
            <w:tcW w:w="822" w:type="dxa"/>
            <w:tcBorders>
              <w:top w:val="single" w:sz="6" w:space="0" w:color="1E4496" w:themeColor="text2"/>
            </w:tcBorders>
            <w:tcMar>
              <w:top w:w="57" w:type="dxa"/>
              <w:left w:w="57" w:type="dxa"/>
              <w:bottom w:w="57" w:type="dxa"/>
              <w:right w:w="57" w:type="dxa"/>
            </w:tcMar>
            <w:vAlign w:val="center"/>
          </w:tcPr>
          <w:p w14:paraId="2DCB88E4" w14:textId="77777777" w:rsidR="00F22124" w:rsidRPr="00F22124" w:rsidRDefault="00F22124" w:rsidP="00F22124">
            <w:pPr>
              <w:pStyle w:val="CDITable-RowCentre"/>
            </w:pPr>
            <w:r w:rsidRPr="00F22124">
              <w:t>—</w:t>
            </w:r>
          </w:p>
        </w:tc>
      </w:tr>
      <w:tr w:rsidR="00DB5F45" w:rsidRPr="00F22124" w14:paraId="4CE76630" w14:textId="77777777" w:rsidTr="00AB1368">
        <w:trPr>
          <w:trHeight w:val="60"/>
        </w:trPr>
        <w:tc>
          <w:tcPr>
            <w:tcW w:w="1332" w:type="dxa"/>
            <w:tcBorders>
              <w:bottom w:val="single" w:sz="6" w:space="0" w:color="1E4496" w:themeColor="text2"/>
            </w:tcBorders>
            <w:shd w:val="clear" w:color="auto" w:fill="53C9F1" w:themeFill="background2"/>
            <w:tcMar>
              <w:top w:w="57" w:type="dxa"/>
              <w:left w:w="57" w:type="dxa"/>
              <w:bottom w:w="57" w:type="dxa"/>
              <w:right w:w="57" w:type="dxa"/>
            </w:tcMar>
            <w:vAlign w:val="center"/>
          </w:tcPr>
          <w:p w14:paraId="22E991BF" w14:textId="77777777" w:rsidR="00F22124" w:rsidRPr="00F22124" w:rsidRDefault="00F22124" w:rsidP="00F22124">
            <w:pPr>
              <w:pStyle w:val="CDITable-TotalRowLeft"/>
            </w:pPr>
            <w:r w:rsidRPr="00F22124">
              <w:t>Total</w:t>
            </w:r>
          </w:p>
        </w:tc>
        <w:tc>
          <w:tcPr>
            <w:tcW w:w="1446" w:type="dxa"/>
            <w:tcBorders>
              <w:bottom w:val="single" w:sz="6" w:space="0" w:color="1E4496" w:themeColor="text2"/>
            </w:tcBorders>
            <w:shd w:val="clear" w:color="auto" w:fill="53C9F1" w:themeFill="background2"/>
            <w:tcMar>
              <w:top w:w="57" w:type="dxa"/>
              <w:left w:w="57" w:type="dxa"/>
              <w:bottom w:w="57" w:type="dxa"/>
              <w:right w:w="57" w:type="dxa"/>
            </w:tcMar>
            <w:vAlign w:val="center"/>
          </w:tcPr>
          <w:p w14:paraId="75892087" w14:textId="77777777" w:rsidR="00F22124" w:rsidRPr="00F22124" w:rsidRDefault="00F22124" w:rsidP="00F22124">
            <w:pPr>
              <w:pStyle w:val="CDITable-TotalRowLeft"/>
            </w:pPr>
            <w:r w:rsidRPr="00F22124">
              <w:t>—</w:t>
            </w:r>
          </w:p>
        </w:tc>
        <w:tc>
          <w:tcPr>
            <w:tcW w:w="879" w:type="dxa"/>
            <w:tcBorders>
              <w:bottom w:val="single" w:sz="6" w:space="0" w:color="1E4496" w:themeColor="text2"/>
            </w:tcBorders>
            <w:shd w:val="clear" w:color="auto" w:fill="53C9F1" w:themeFill="background2"/>
            <w:tcMar>
              <w:top w:w="57" w:type="dxa"/>
              <w:left w:w="57" w:type="dxa"/>
              <w:bottom w:w="57" w:type="dxa"/>
              <w:right w:w="57" w:type="dxa"/>
            </w:tcMar>
            <w:vAlign w:val="center"/>
          </w:tcPr>
          <w:p w14:paraId="28B1DA93" w14:textId="77777777" w:rsidR="00F22124" w:rsidRPr="00F22124" w:rsidRDefault="00F22124" w:rsidP="00F22124">
            <w:pPr>
              <w:pStyle w:val="CDITable-TotalRowCentre"/>
            </w:pPr>
            <w:r w:rsidRPr="00F22124">
              <w:t>897</w:t>
            </w:r>
          </w:p>
        </w:tc>
        <w:tc>
          <w:tcPr>
            <w:tcW w:w="793" w:type="dxa"/>
            <w:tcBorders>
              <w:bottom w:val="single" w:sz="6" w:space="0" w:color="1E4496" w:themeColor="text2"/>
            </w:tcBorders>
            <w:shd w:val="clear" w:color="auto" w:fill="53C9F1" w:themeFill="background2"/>
            <w:tcMar>
              <w:top w:w="57" w:type="dxa"/>
              <w:left w:w="57" w:type="dxa"/>
              <w:bottom w:w="57" w:type="dxa"/>
              <w:right w:w="57" w:type="dxa"/>
            </w:tcMar>
            <w:vAlign w:val="center"/>
          </w:tcPr>
          <w:p w14:paraId="4A1AF2DF" w14:textId="77777777" w:rsidR="00F22124" w:rsidRPr="00F22124" w:rsidRDefault="00F22124" w:rsidP="00F22124">
            <w:pPr>
              <w:pStyle w:val="CDITable-TotalRowCentre"/>
            </w:pPr>
            <w:r w:rsidRPr="00F22124">
              <w:t>27.5</w:t>
            </w:r>
          </w:p>
        </w:tc>
        <w:tc>
          <w:tcPr>
            <w:tcW w:w="879" w:type="dxa"/>
            <w:tcBorders>
              <w:bottom w:val="single" w:sz="6" w:space="0" w:color="1E4496" w:themeColor="text2"/>
            </w:tcBorders>
            <w:shd w:val="clear" w:color="auto" w:fill="53C9F1" w:themeFill="background2"/>
            <w:tcMar>
              <w:top w:w="57" w:type="dxa"/>
              <w:left w:w="57" w:type="dxa"/>
              <w:bottom w:w="57" w:type="dxa"/>
              <w:right w:w="57" w:type="dxa"/>
            </w:tcMar>
            <w:vAlign w:val="center"/>
          </w:tcPr>
          <w:p w14:paraId="06E43B11" w14:textId="77777777" w:rsidR="00F22124" w:rsidRPr="00F22124" w:rsidRDefault="00F22124" w:rsidP="00F22124">
            <w:pPr>
              <w:pStyle w:val="CDITable-TotalRowCentre"/>
            </w:pPr>
            <w:r w:rsidRPr="00F22124">
              <w:t>872</w:t>
            </w:r>
          </w:p>
        </w:tc>
        <w:tc>
          <w:tcPr>
            <w:tcW w:w="794" w:type="dxa"/>
            <w:tcBorders>
              <w:bottom w:val="single" w:sz="6" w:space="0" w:color="1E4496" w:themeColor="text2"/>
              <w:right w:val="single" w:sz="6" w:space="0" w:color="1E4496" w:themeColor="text2"/>
            </w:tcBorders>
            <w:shd w:val="clear" w:color="auto" w:fill="53C9F1" w:themeFill="background2"/>
            <w:tcMar>
              <w:top w:w="57" w:type="dxa"/>
              <w:left w:w="57" w:type="dxa"/>
              <w:bottom w:w="57" w:type="dxa"/>
              <w:right w:w="57" w:type="dxa"/>
            </w:tcMar>
            <w:vAlign w:val="center"/>
          </w:tcPr>
          <w:p w14:paraId="7CBABDC9" w14:textId="77777777" w:rsidR="00F22124" w:rsidRPr="00F22124" w:rsidRDefault="00F22124" w:rsidP="00F22124">
            <w:pPr>
              <w:pStyle w:val="CDITable-TotalRowCentre"/>
            </w:pPr>
            <w:r w:rsidRPr="00F22124">
              <w:t>26.3</w:t>
            </w:r>
          </w:p>
        </w:tc>
        <w:tc>
          <w:tcPr>
            <w:tcW w:w="879" w:type="dxa"/>
            <w:tcBorders>
              <w:left w:val="single" w:sz="6" w:space="0" w:color="1E4496" w:themeColor="text2"/>
              <w:bottom w:val="single" w:sz="6" w:space="0" w:color="1E4496" w:themeColor="text2"/>
            </w:tcBorders>
            <w:shd w:val="clear" w:color="auto" w:fill="53C9F1" w:themeFill="background2"/>
            <w:tcMar>
              <w:top w:w="57" w:type="dxa"/>
              <w:left w:w="57" w:type="dxa"/>
              <w:bottom w:w="57" w:type="dxa"/>
              <w:right w:w="57" w:type="dxa"/>
            </w:tcMar>
            <w:vAlign w:val="center"/>
          </w:tcPr>
          <w:p w14:paraId="230FB438" w14:textId="77777777" w:rsidR="00F22124" w:rsidRPr="00F22124" w:rsidRDefault="00F22124" w:rsidP="00F22124">
            <w:pPr>
              <w:pStyle w:val="CDITable-TotalRowCentre"/>
            </w:pPr>
            <w:r w:rsidRPr="00F22124">
              <w:t>997</w:t>
            </w:r>
          </w:p>
        </w:tc>
        <w:tc>
          <w:tcPr>
            <w:tcW w:w="793" w:type="dxa"/>
            <w:tcBorders>
              <w:bottom w:val="single" w:sz="6" w:space="0" w:color="1E4496" w:themeColor="text2"/>
            </w:tcBorders>
            <w:shd w:val="clear" w:color="auto" w:fill="53C9F1" w:themeFill="background2"/>
            <w:tcMar>
              <w:top w:w="57" w:type="dxa"/>
              <w:left w:w="57" w:type="dxa"/>
              <w:bottom w:w="57" w:type="dxa"/>
              <w:right w:w="57" w:type="dxa"/>
            </w:tcMar>
            <w:vAlign w:val="center"/>
          </w:tcPr>
          <w:p w14:paraId="2C8186E9" w14:textId="77777777" w:rsidR="00F22124" w:rsidRPr="00F22124" w:rsidRDefault="00F22124" w:rsidP="00F22124">
            <w:pPr>
              <w:pStyle w:val="CDITable-TotalRowCentre"/>
            </w:pPr>
            <w:r w:rsidRPr="00F22124">
              <w:t>29.9</w:t>
            </w:r>
          </w:p>
        </w:tc>
        <w:tc>
          <w:tcPr>
            <w:tcW w:w="879" w:type="dxa"/>
            <w:tcBorders>
              <w:bottom w:val="single" w:sz="6" w:space="0" w:color="1E4496" w:themeColor="text2"/>
            </w:tcBorders>
            <w:shd w:val="clear" w:color="auto" w:fill="53C9F1" w:themeFill="background2"/>
            <w:tcMar>
              <w:top w:w="57" w:type="dxa"/>
              <w:left w:w="57" w:type="dxa"/>
              <w:bottom w:w="57" w:type="dxa"/>
              <w:right w:w="57" w:type="dxa"/>
            </w:tcMar>
            <w:vAlign w:val="center"/>
          </w:tcPr>
          <w:p w14:paraId="002165D3" w14:textId="77777777" w:rsidR="00F22124" w:rsidRPr="00F22124" w:rsidRDefault="00F22124" w:rsidP="00F22124">
            <w:pPr>
              <w:pStyle w:val="CDITable-TotalRowCentre"/>
            </w:pPr>
            <w:r w:rsidRPr="00F22124">
              <w:t>1,012</w:t>
            </w:r>
          </w:p>
        </w:tc>
        <w:tc>
          <w:tcPr>
            <w:tcW w:w="794" w:type="dxa"/>
            <w:tcBorders>
              <w:bottom w:val="single" w:sz="6" w:space="0" w:color="1E4496" w:themeColor="text2"/>
              <w:right w:val="single" w:sz="6" w:space="0" w:color="1E4496" w:themeColor="text2"/>
            </w:tcBorders>
            <w:shd w:val="clear" w:color="auto" w:fill="53C9F1" w:themeFill="background2"/>
            <w:tcMar>
              <w:top w:w="57" w:type="dxa"/>
              <w:left w:w="57" w:type="dxa"/>
              <w:bottom w:w="57" w:type="dxa"/>
              <w:right w:w="57" w:type="dxa"/>
            </w:tcMar>
            <w:vAlign w:val="center"/>
          </w:tcPr>
          <w:p w14:paraId="1C4C0694" w14:textId="77777777" w:rsidR="00F22124" w:rsidRPr="00F22124" w:rsidRDefault="00F22124" w:rsidP="00F22124">
            <w:pPr>
              <w:pStyle w:val="CDITable-TotalRowCentre"/>
            </w:pPr>
            <w:r w:rsidRPr="00F22124">
              <w:t>29.9</w:t>
            </w:r>
          </w:p>
        </w:tc>
        <w:tc>
          <w:tcPr>
            <w:tcW w:w="737" w:type="dxa"/>
            <w:tcBorders>
              <w:left w:val="single" w:sz="6" w:space="0" w:color="1E4496" w:themeColor="text2"/>
              <w:bottom w:val="single" w:sz="6" w:space="0" w:color="1E4496" w:themeColor="text2"/>
            </w:tcBorders>
            <w:shd w:val="clear" w:color="auto" w:fill="53C9F1" w:themeFill="background2"/>
            <w:tcMar>
              <w:top w:w="57" w:type="dxa"/>
              <w:left w:w="57" w:type="dxa"/>
              <w:bottom w:w="57" w:type="dxa"/>
              <w:right w:w="57" w:type="dxa"/>
            </w:tcMar>
            <w:vAlign w:val="center"/>
          </w:tcPr>
          <w:p w14:paraId="2BA514B7" w14:textId="77777777" w:rsidR="00F22124" w:rsidRPr="00F22124" w:rsidRDefault="00F22124" w:rsidP="00F22124">
            <w:pPr>
              <w:pStyle w:val="CDITable-TotalRowCentre"/>
            </w:pPr>
            <w:r w:rsidRPr="00F22124">
              <w:t>0.9</w:t>
            </w:r>
          </w:p>
        </w:tc>
        <w:tc>
          <w:tcPr>
            <w:tcW w:w="737" w:type="dxa"/>
            <w:tcBorders>
              <w:bottom w:val="single" w:sz="6" w:space="0" w:color="1E4496" w:themeColor="text2"/>
              <w:right w:val="single" w:sz="6" w:space="0" w:color="1E4496" w:themeColor="text2"/>
            </w:tcBorders>
            <w:shd w:val="clear" w:color="auto" w:fill="53C9F1" w:themeFill="background2"/>
            <w:tcMar>
              <w:top w:w="57" w:type="dxa"/>
              <w:left w:w="57" w:type="dxa"/>
              <w:bottom w:w="57" w:type="dxa"/>
              <w:right w:w="57" w:type="dxa"/>
            </w:tcMar>
            <w:vAlign w:val="center"/>
          </w:tcPr>
          <w:p w14:paraId="77187423" w14:textId="77777777" w:rsidR="00F22124" w:rsidRPr="00F22124" w:rsidRDefault="00F22124" w:rsidP="00F22124">
            <w:pPr>
              <w:pStyle w:val="CDITable-TotalRowCentre"/>
            </w:pPr>
            <w:r w:rsidRPr="00F22124">
              <w:t>0.9</w:t>
            </w:r>
          </w:p>
        </w:tc>
        <w:tc>
          <w:tcPr>
            <w:tcW w:w="878" w:type="dxa"/>
            <w:tcBorders>
              <w:left w:val="single" w:sz="6" w:space="0" w:color="1E4496" w:themeColor="text2"/>
              <w:bottom w:val="single" w:sz="6" w:space="0" w:color="1E4496" w:themeColor="text2"/>
            </w:tcBorders>
            <w:shd w:val="clear" w:color="auto" w:fill="53C9F1" w:themeFill="background2"/>
            <w:tcMar>
              <w:top w:w="57" w:type="dxa"/>
              <w:left w:w="57" w:type="dxa"/>
              <w:bottom w:w="57" w:type="dxa"/>
              <w:right w:w="57" w:type="dxa"/>
            </w:tcMar>
            <w:vAlign w:val="center"/>
          </w:tcPr>
          <w:p w14:paraId="002C63BF" w14:textId="77777777" w:rsidR="00F22124" w:rsidRPr="00F22124" w:rsidRDefault="00F22124" w:rsidP="00F22124">
            <w:pPr>
              <w:pStyle w:val="CDITable-TotalRowCentre"/>
            </w:pPr>
            <w:r w:rsidRPr="00F22124">
              <w:t>13</w:t>
            </w:r>
          </w:p>
        </w:tc>
        <w:tc>
          <w:tcPr>
            <w:tcW w:w="823" w:type="dxa"/>
            <w:tcBorders>
              <w:bottom w:val="single" w:sz="6" w:space="0" w:color="1E4496" w:themeColor="text2"/>
            </w:tcBorders>
            <w:shd w:val="clear" w:color="auto" w:fill="53C9F1" w:themeFill="background2"/>
            <w:tcMar>
              <w:top w:w="57" w:type="dxa"/>
              <w:left w:w="57" w:type="dxa"/>
              <w:bottom w:w="57" w:type="dxa"/>
              <w:right w:w="57" w:type="dxa"/>
            </w:tcMar>
            <w:vAlign w:val="center"/>
          </w:tcPr>
          <w:p w14:paraId="41FB41C5" w14:textId="77777777" w:rsidR="00F22124" w:rsidRPr="00F22124" w:rsidRDefault="00F22124" w:rsidP="00F22124">
            <w:pPr>
              <w:pStyle w:val="CDITable-TotalRowCentre"/>
            </w:pPr>
            <w:r w:rsidRPr="00F22124">
              <w:t>20.9</w:t>
            </w:r>
          </w:p>
        </w:tc>
        <w:tc>
          <w:tcPr>
            <w:tcW w:w="878" w:type="dxa"/>
            <w:tcBorders>
              <w:bottom w:val="single" w:sz="6" w:space="0" w:color="1E4496" w:themeColor="text2"/>
            </w:tcBorders>
            <w:shd w:val="clear" w:color="auto" w:fill="53C9F1" w:themeFill="background2"/>
            <w:tcMar>
              <w:top w:w="57" w:type="dxa"/>
              <w:left w:w="57" w:type="dxa"/>
              <w:bottom w:w="57" w:type="dxa"/>
              <w:right w:w="57" w:type="dxa"/>
            </w:tcMar>
            <w:vAlign w:val="center"/>
          </w:tcPr>
          <w:p w14:paraId="5F1702ED" w14:textId="77777777" w:rsidR="00F22124" w:rsidRPr="00F22124" w:rsidRDefault="00F22124" w:rsidP="00F22124">
            <w:pPr>
              <w:pStyle w:val="CDITable-TotalRowCentre"/>
            </w:pPr>
            <w:r w:rsidRPr="00F22124">
              <w:t>16</w:t>
            </w:r>
          </w:p>
        </w:tc>
        <w:tc>
          <w:tcPr>
            <w:tcW w:w="822" w:type="dxa"/>
            <w:tcBorders>
              <w:bottom w:val="single" w:sz="6" w:space="0" w:color="1E4496" w:themeColor="text2"/>
            </w:tcBorders>
            <w:shd w:val="clear" w:color="auto" w:fill="53C9F1" w:themeFill="background2"/>
            <w:tcMar>
              <w:top w:w="57" w:type="dxa"/>
              <w:left w:w="57" w:type="dxa"/>
              <w:bottom w:w="57" w:type="dxa"/>
              <w:right w:w="57" w:type="dxa"/>
            </w:tcMar>
            <w:vAlign w:val="center"/>
          </w:tcPr>
          <w:p w14:paraId="10D81697" w14:textId="77777777" w:rsidR="00F22124" w:rsidRPr="00F22124" w:rsidRDefault="00F22124" w:rsidP="00F22124">
            <w:pPr>
              <w:pStyle w:val="CDITable-TotalRowCentre"/>
            </w:pPr>
            <w:r w:rsidRPr="00F22124">
              <w:t>25.1</w:t>
            </w:r>
          </w:p>
        </w:tc>
      </w:tr>
    </w:tbl>
    <w:p w14:paraId="7D26BFC0" w14:textId="77777777" w:rsidR="001A53DB" w:rsidRDefault="001A53DB" w:rsidP="001A53DB">
      <w:pPr>
        <w:pStyle w:val="CDITable-FirstFootnote"/>
      </w:pPr>
      <w:r>
        <w:t>a</w:t>
      </w:r>
      <w:r>
        <w:tab/>
        <w:t>Sex was not recorded for 5 cases.</w:t>
      </w:r>
    </w:p>
    <w:p w14:paraId="529734A4" w14:textId="77777777" w:rsidR="001A53DB" w:rsidRDefault="001A53DB" w:rsidP="001A53DB">
      <w:pPr>
        <w:pStyle w:val="CDITable-Footnote"/>
      </w:pPr>
      <w:r>
        <w:t>b</w:t>
      </w:r>
      <w:r>
        <w:tab/>
        <w:t>Age was not recorded for 23 cases.</w:t>
      </w:r>
    </w:p>
    <w:p w14:paraId="0DCB5637" w14:textId="77777777" w:rsidR="001A53DB" w:rsidRDefault="001A53DB" w:rsidP="001A53DB">
      <w:pPr>
        <w:pStyle w:val="CDITable-Footnote"/>
      </w:pPr>
      <w:r>
        <w:t>c</w:t>
      </w:r>
      <w:r>
        <w:tab/>
        <w:t>Reporting rate per 100,000 population per year.</w:t>
      </w:r>
    </w:p>
    <w:p w14:paraId="45F4C8B4" w14:textId="77777777" w:rsidR="001A53DB" w:rsidRDefault="001A53DB" w:rsidP="001A53DB">
      <w:pPr>
        <w:pStyle w:val="CDITable-Footnote"/>
        <w:sectPr w:rsidR="001A53DB" w:rsidSect="001A53DB">
          <w:footnotePr>
            <w:numFmt w:val="lowerRoman"/>
          </w:footnotePr>
          <w:pgSz w:w="16840" w:h="11907" w:orient="landscape" w:code="9"/>
          <w:pgMar w:top="1134" w:right="1134" w:bottom="1134" w:left="1134" w:header="709" w:footer="567" w:gutter="0"/>
          <w:cols w:space="708"/>
          <w:docGrid w:linePitch="360"/>
        </w:sectPr>
      </w:pPr>
      <w:r>
        <w:t>d</w:t>
      </w:r>
      <w:r>
        <w:tab/>
        <w:t>Rate was not calculated for groups with fewer than 10 reports.</w:t>
      </w:r>
    </w:p>
    <w:p w14:paraId="2C4F8C58" w14:textId="77777777" w:rsidR="001A53DB" w:rsidRPr="001A53DB" w:rsidRDefault="001A53DB" w:rsidP="001A53DB">
      <w:pPr>
        <w:pStyle w:val="Heading3-nospacebefore"/>
      </w:pPr>
      <w:r w:rsidRPr="001A53DB">
        <w:lastRenderedPageBreak/>
        <w:t>Vaccines</w:t>
      </w:r>
    </w:p>
    <w:p w14:paraId="02C7E67C" w14:textId="77777777" w:rsidR="001A53DB" w:rsidRPr="001A53DB" w:rsidRDefault="001A53DB" w:rsidP="001A53DB">
      <w:pPr>
        <w:rPr>
          <w:lang w:val="en-GB"/>
        </w:rPr>
      </w:pPr>
      <w:r w:rsidRPr="001A53DB">
        <w:rPr>
          <w:lang w:val="en-GB"/>
        </w:rPr>
        <w:t>A vaccinee may receive more than one vaccine per encounter: therefore, there were 3,269 vaccines associated with the 1,908 AEFI reports in 2019 and 3,326 with the 1,920 AEFI reports in 2020, a median of one vaccine (range: one to six vaccines) per encounter for both years. The reporting rate increased in 2020 compared to 2019 for vaccines to protect young children against meningococcal B and influenza (Table 4), at the same time as changes were made to the national schedule to include Bexsero</w:t>
      </w:r>
      <w:r w:rsidRPr="001A53DB">
        <w:rPr>
          <w:vertAlign w:val="superscript"/>
          <w:lang w:val="en-GB"/>
        </w:rPr>
        <w:t>®</w:t>
      </w:r>
      <w:r w:rsidRPr="001A53DB">
        <w:rPr>
          <w:lang w:val="en-GB"/>
        </w:rPr>
        <w:t xml:space="preserve"> for at-risk groups as well as additional influenza vaccines.</w:t>
      </w:r>
      <w:r w:rsidRPr="001A53DB">
        <w:rPr>
          <w:vertAlign w:val="superscript"/>
          <w:lang w:val="en-GB"/>
        </w:rPr>
        <w:t>22</w:t>
      </w:r>
      <w:r w:rsidRPr="001A53DB">
        <w:rPr>
          <w:lang w:val="en-GB"/>
        </w:rPr>
        <w:t xml:space="preserve"> Additionally, the rate of AEFI reporting increased for vaccines to protect the same cohort against meningococcal (ACWY) and tuberculosis in 2020 compared to 2019. However, AEFI reporting rates significantly decreased in 2020 compared to 2019 for several vaccines, including those to protect school children against meningococcal (ACWY) disease; school children and adults against influenza; adults and older persons against pneumococcal disease; and adults against diphtheria, tetanus and pertussis (Table 4). No changes were made to the NIP schedule for these vaccines in 2019 or 2020; however, there were changes in the school-based vaccination program due to the coronavirus disease 2019 (COVID-19) pandemic.</w:t>
      </w:r>
      <w:r w:rsidRPr="001A53DB">
        <w:rPr>
          <w:vertAlign w:val="superscript"/>
          <w:lang w:val="en-GB"/>
        </w:rPr>
        <w:t>23</w:t>
      </w:r>
    </w:p>
    <w:p w14:paraId="49E1E6B5" w14:textId="77777777" w:rsidR="001A53DB" w:rsidRPr="001A53DB" w:rsidRDefault="001A53DB" w:rsidP="001A53DB">
      <w:pPr>
        <w:pStyle w:val="Heading3"/>
        <w:rPr>
          <w:lang w:val="en-GB"/>
        </w:rPr>
      </w:pPr>
      <w:r w:rsidRPr="001A53DB">
        <w:rPr>
          <w:lang w:val="en-GB"/>
        </w:rPr>
        <w:t>Adverse events</w:t>
      </w:r>
    </w:p>
    <w:p w14:paraId="7A5C886B" w14:textId="77777777" w:rsidR="001A53DB" w:rsidRPr="001A53DB" w:rsidRDefault="001A53DB" w:rsidP="001A53DB">
      <w:pPr>
        <w:rPr>
          <w:lang w:val="en-GB"/>
        </w:rPr>
      </w:pPr>
      <w:r w:rsidRPr="001A53DB">
        <w:rPr>
          <w:lang w:val="en-GB"/>
        </w:rPr>
        <w:t>More than one adverse event may be described per vaccinee AEFI report. Of the 1,920 AEFI reports in 2019, there were 2,968 adverse events described; and of the 1,908 AEFI reports in 2020, there were 3,050 adverse events described.</w:t>
      </w:r>
    </w:p>
    <w:p w14:paraId="3895C6E9" w14:textId="77777777" w:rsidR="001A53DB" w:rsidRDefault="001A53DB" w:rsidP="001A53DB">
      <w:pPr>
        <w:rPr>
          <w:lang w:val="en-GB"/>
        </w:rPr>
        <w:sectPr w:rsidR="001A53DB" w:rsidSect="001E3ECB">
          <w:footnotePr>
            <w:numFmt w:val="lowerRoman"/>
          </w:footnotePr>
          <w:pgSz w:w="11907" w:h="16840" w:code="9"/>
          <w:pgMar w:top="1134" w:right="1134" w:bottom="1134" w:left="1134" w:header="709" w:footer="567" w:gutter="0"/>
          <w:cols w:space="708"/>
          <w:docGrid w:linePitch="360"/>
        </w:sectPr>
      </w:pPr>
      <w:r w:rsidRPr="001A53DB">
        <w:rPr>
          <w:lang w:val="en-GB"/>
        </w:rPr>
        <w:t xml:space="preserve">Minor injection site reaction was the most frequently reported adverse event across 2019–2020 overall (14.0%) and for each age group, except infants for whom rash was the most frequently reported adverse event (12.8%) (Table 5). Notable variation was observed in the types of reaction reported by age groups, with higher proportions of severe injection site reaction in young children (17.1%) and older persons (9.4%), and vasovagal episodes in school-aged children (8.3%). Hypotonic-hyporesponsive episode (HHE)—only diagnosed in toddlers under two years of age—was predominantly reported in infants, and for vaccines scheduled at two and four months of age. </w:t>
      </w:r>
    </w:p>
    <w:p w14:paraId="5305291B" w14:textId="77777777" w:rsidR="001A53DB" w:rsidRPr="001A53DB" w:rsidRDefault="001A53DB" w:rsidP="001A53DB">
      <w:pPr>
        <w:pStyle w:val="CDITable-Title"/>
        <w:spacing w:before="0"/>
        <w:rPr>
          <w:lang w:val="en-GB"/>
        </w:rPr>
      </w:pPr>
      <w:bookmarkStart w:id="38" w:name="_Toc222142531"/>
      <w:r w:rsidRPr="001A53DB">
        <w:rPr>
          <w:lang w:val="en-GB"/>
        </w:rPr>
        <w:lastRenderedPageBreak/>
        <w:t>Table 4: Adverse event following immunisation (AEFI) reports by national immunisation program (NIP) age group and vaccine antigen, SAEFVIC, Victoria, Australia, 2019–2020</w:t>
      </w:r>
      <w:bookmarkEnd w:id="38"/>
    </w:p>
    <w:tbl>
      <w:tblPr>
        <w:tblW w:w="0" w:type="auto"/>
        <w:tblLayout w:type="fixed"/>
        <w:tblCellMar>
          <w:left w:w="0" w:type="dxa"/>
          <w:right w:w="0" w:type="dxa"/>
        </w:tblCellMar>
        <w:tblLook w:val="0000" w:firstRow="0" w:lastRow="0" w:firstColumn="0" w:lastColumn="0" w:noHBand="0" w:noVBand="0"/>
        <w:tblCaption w:val="Table 4: Adverse event following immunisation (AEFI) reports by national immunisation program (NIP) age group and vaccine antigen, SAEFVIC, Victoria, Australia, 2019–2020"/>
        <w:tblDescription w:val="Table 4 shows the count of AEFI reports, reporting rate per vaccine doses administered, and 95% confidence interval stratified by National Immunisation Program age group and vaccine antigen for 2019 and 2020. Table 4 also shows the reporting rate ratio and p-value stratified by National Immunisation Program age group and vaccine antigen."/>
      </w:tblPr>
      <w:tblGrid>
        <w:gridCol w:w="2381"/>
        <w:gridCol w:w="1928"/>
        <w:gridCol w:w="1247"/>
        <w:gridCol w:w="1247"/>
        <w:gridCol w:w="1417"/>
        <w:gridCol w:w="1248"/>
        <w:gridCol w:w="1247"/>
        <w:gridCol w:w="1587"/>
        <w:gridCol w:w="1021"/>
        <w:gridCol w:w="1020"/>
      </w:tblGrid>
      <w:tr w:rsidR="00AB1368" w:rsidRPr="00AB1368" w14:paraId="77936A4D" w14:textId="77777777" w:rsidTr="008D0261">
        <w:trPr>
          <w:trHeight w:val="60"/>
          <w:tblHeader/>
        </w:trPr>
        <w:tc>
          <w:tcPr>
            <w:tcW w:w="2381" w:type="dxa"/>
            <w:vMerge w:val="restart"/>
            <w:shd w:val="clear" w:color="auto" w:fill="1E4496" w:themeFill="text2"/>
            <w:tcMar>
              <w:top w:w="102" w:type="dxa"/>
              <w:left w:w="113" w:type="dxa"/>
              <w:bottom w:w="102" w:type="dxa"/>
              <w:right w:w="113" w:type="dxa"/>
            </w:tcMar>
            <w:vAlign w:val="bottom"/>
          </w:tcPr>
          <w:p w14:paraId="1D0580E6" w14:textId="77777777" w:rsidR="00AB1368" w:rsidRPr="00AB1368" w:rsidRDefault="00AB1368" w:rsidP="00AB1368">
            <w:pPr>
              <w:pStyle w:val="CDITable-HeaderRowLeft"/>
            </w:pPr>
            <w:r w:rsidRPr="00AB1368">
              <w:t>Age group</w:t>
            </w:r>
          </w:p>
        </w:tc>
        <w:tc>
          <w:tcPr>
            <w:tcW w:w="1928" w:type="dxa"/>
            <w:vMerge w:val="restart"/>
            <w:shd w:val="clear" w:color="auto" w:fill="1E4496" w:themeFill="text2"/>
            <w:tcMar>
              <w:top w:w="102" w:type="dxa"/>
              <w:left w:w="113" w:type="dxa"/>
              <w:bottom w:w="102" w:type="dxa"/>
              <w:right w:w="113" w:type="dxa"/>
            </w:tcMar>
            <w:vAlign w:val="bottom"/>
          </w:tcPr>
          <w:p w14:paraId="772ECA59" w14:textId="77777777" w:rsidR="00AB1368" w:rsidRPr="00AB1368" w:rsidRDefault="00AB1368" w:rsidP="00AB1368">
            <w:pPr>
              <w:pStyle w:val="CDITable-HeaderRowLeft"/>
            </w:pPr>
            <w:r w:rsidRPr="00AB1368">
              <w:t xml:space="preserve">Vaccine </w:t>
            </w:r>
            <w:proofErr w:type="spellStart"/>
            <w:proofErr w:type="gramStart"/>
            <w:r w:rsidRPr="00AB1368">
              <w:t>antigen</w:t>
            </w:r>
            <w:r w:rsidRPr="00AB1368">
              <w:rPr>
                <w:vertAlign w:val="superscript"/>
              </w:rPr>
              <w:t>a,b</w:t>
            </w:r>
            <w:proofErr w:type="spellEnd"/>
            <w:proofErr w:type="gramEnd"/>
          </w:p>
        </w:tc>
        <w:tc>
          <w:tcPr>
            <w:tcW w:w="3911" w:type="dxa"/>
            <w:gridSpan w:val="3"/>
            <w:tcBorders>
              <w:bottom w:val="single" w:sz="6" w:space="0" w:color="FFFFFF" w:themeColor="background1"/>
            </w:tcBorders>
            <w:shd w:val="clear" w:color="auto" w:fill="1E4496" w:themeFill="text2"/>
            <w:tcMar>
              <w:top w:w="102" w:type="dxa"/>
              <w:left w:w="113" w:type="dxa"/>
              <w:bottom w:w="102" w:type="dxa"/>
              <w:right w:w="113" w:type="dxa"/>
            </w:tcMar>
            <w:vAlign w:val="bottom"/>
          </w:tcPr>
          <w:p w14:paraId="5915AD85" w14:textId="77777777" w:rsidR="00AB1368" w:rsidRPr="00AB1368" w:rsidRDefault="00AB1368" w:rsidP="00AB1368">
            <w:pPr>
              <w:pStyle w:val="CDITable-HeaderRowCentre"/>
            </w:pPr>
            <w:r w:rsidRPr="00AB1368">
              <w:t>2019</w:t>
            </w:r>
          </w:p>
        </w:tc>
        <w:tc>
          <w:tcPr>
            <w:tcW w:w="4082" w:type="dxa"/>
            <w:gridSpan w:val="3"/>
            <w:tcBorders>
              <w:bottom w:val="single" w:sz="6" w:space="0" w:color="FFFFFF" w:themeColor="background1"/>
            </w:tcBorders>
            <w:shd w:val="clear" w:color="auto" w:fill="1E4496" w:themeFill="text2"/>
            <w:tcMar>
              <w:top w:w="102" w:type="dxa"/>
              <w:left w:w="113" w:type="dxa"/>
              <w:bottom w:w="102" w:type="dxa"/>
              <w:right w:w="113" w:type="dxa"/>
            </w:tcMar>
            <w:vAlign w:val="bottom"/>
          </w:tcPr>
          <w:p w14:paraId="2FAEA474" w14:textId="77777777" w:rsidR="00AB1368" w:rsidRPr="00AB1368" w:rsidRDefault="00AB1368" w:rsidP="00AB1368">
            <w:pPr>
              <w:pStyle w:val="CDITable-HeaderRowCentre"/>
            </w:pPr>
            <w:r w:rsidRPr="00AB1368">
              <w:t>2020</w:t>
            </w:r>
          </w:p>
        </w:tc>
        <w:tc>
          <w:tcPr>
            <w:tcW w:w="1021" w:type="dxa"/>
            <w:vMerge w:val="restart"/>
            <w:shd w:val="clear" w:color="auto" w:fill="1E4496" w:themeFill="text2"/>
            <w:tcMar>
              <w:top w:w="102" w:type="dxa"/>
              <w:left w:w="113" w:type="dxa"/>
              <w:bottom w:w="102" w:type="dxa"/>
              <w:right w:w="113" w:type="dxa"/>
            </w:tcMar>
            <w:vAlign w:val="bottom"/>
          </w:tcPr>
          <w:p w14:paraId="59E7C783" w14:textId="77777777" w:rsidR="00AB1368" w:rsidRPr="00AB1368" w:rsidRDefault="00AB1368" w:rsidP="00AB1368">
            <w:pPr>
              <w:pStyle w:val="CDITable-HeaderRowCentre"/>
            </w:pPr>
            <w:r w:rsidRPr="00AB1368">
              <w:t xml:space="preserve">Rate </w:t>
            </w:r>
            <w:proofErr w:type="spellStart"/>
            <w:r w:rsidRPr="00AB1368">
              <w:t>ratio</w:t>
            </w:r>
            <w:r w:rsidRPr="00AB1368">
              <w:rPr>
                <w:vertAlign w:val="superscript"/>
              </w:rPr>
              <w:t>e</w:t>
            </w:r>
            <w:proofErr w:type="spellEnd"/>
          </w:p>
        </w:tc>
        <w:tc>
          <w:tcPr>
            <w:tcW w:w="1020" w:type="dxa"/>
            <w:vMerge w:val="restart"/>
            <w:shd w:val="clear" w:color="auto" w:fill="1E4496" w:themeFill="text2"/>
            <w:tcMar>
              <w:top w:w="102" w:type="dxa"/>
              <w:left w:w="113" w:type="dxa"/>
              <w:bottom w:w="102" w:type="dxa"/>
              <w:right w:w="113" w:type="dxa"/>
            </w:tcMar>
            <w:vAlign w:val="bottom"/>
          </w:tcPr>
          <w:p w14:paraId="2BDDD079" w14:textId="77777777" w:rsidR="00AB1368" w:rsidRPr="00AB1368" w:rsidRDefault="00AB1368" w:rsidP="00AB1368">
            <w:pPr>
              <w:pStyle w:val="CDITable-HeaderRowCentre"/>
            </w:pPr>
            <w:r w:rsidRPr="00AB1368">
              <w:rPr>
                <w:i/>
                <w:iCs/>
              </w:rPr>
              <w:t>p</w:t>
            </w:r>
            <w:r w:rsidRPr="00AB1368">
              <w:t xml:space="preserve"> value</w:t>
            </w:r>
          </w:p>
        </w:tc>
      </w:tr>
      <w:tr w:rsidR="00AB1368" w:rsidRPr="00AB1368" w14:paraId="52312481" w14:textId="77777777" w:rsidTr="008D0261">
        <w:trPr>
          <w:trHeight w:val="60"/>
          <w:tblHeader/>
        </w:trPr>
        <w:tc>
          <w:tcPr>
            <w:tcW w:w="2381" w:type="dxa"/>
            <w:vMerge/>
            <w:shd w:val="clear" w:color="auto" w:fill="1E4496" w:themeFill="text2"/>
            <w:tcMar>
              <w:top w:w="102" w:type="dxa"/>
              <w:bottom w:w="102" w:type="dxa"/>
            </w:tcMar>
          </w:tcPr>
          <w:p w14:paraId="6D61FC96" w14:textId="77777777" w:rsidR="00AB1368" w:rsidRPr="00AB1368" w:rsidRDefault="00AB1368" w:rsidP="00AB1368"/>
        </w:tc>
        <w:tc>
          <w:tcPr>
            <w:tcW w:w="1928" w:type="dxa"/>
            <w:vMerge/>
            <w:shd w:val="clear" w:color="auto" w:fill="1E4496" w:themeFill="text2"/>
            <w:tcMar>
              <w:top w:w="102" w:type="dxa"/>
              <w:bottom w:w="102" w:type="dxa"/>
            </w:tcMar>
          </w:tcPr>
          <w:p w14:paraId="632406FE" w14:textId="77777777" w:rsidR="00AB1368" w:rsidRPr="00AB1368" w:rsidRDefault="00AB1368" w:rsidP="00AB1368"/>
        </w:tc>
        <w:tc>
          <w:tcPr>
            <w:tcW w:w="1247" w:type="dxa"/>
            <w:tcBorders>
              <w:top w:val="single" w:sz="6" w:space="0" w:color="FFFFFF" w:themeColor="background1"/>
            </w:tcBorders>
            <w:shd w:val="clear" w:color="auto" w:fill="1E4496" w:themeFill="text2"/>
            <w:tcMar>
              <w:top w:w="102" w:type="dxa"/>
              <w:left w:w="113" w:type="dxa"/>
              <w:bottom w:w="102" w:type="dxa"/>
              <w:right w:w="113" w:type="dxa"/>
            </w:tcMar>
            <w:vAlign w:val="bottom"/>
          </w:tcPr>
          <w:p w14:paraId="782D2BE4" w14:textId="77777777" w:rsidR="00AB1368" w:rsidRPr="00AB1368" w:rsidRDefault="00AB1368" w:rsidP="00AB1368">
            <w:pPr>
              <w:pStyle w:val="CDITable-HeaderRowCentre"/>
            </w:pPr>
            <w:r w:rsidRPr="00AB1368">
              <w:t>Number of reports</w:t>
            </w:r>
          </w:p>
        </w:tc>
        <w:tc>
          <w:tcPr>
            <w:tcW w:w="1247" w:type="dxa"/>
            <w:tcBorders>
              <w:top w:val="single" w:sz="6" w:space="0" w:color="FFFFFF" w:themeColor="background1"/>
            </w:tcBorders>
            <w:shd w:val="clear" w:color="auto" w:fill="1E4496" w:themeFill="text2"/>
            <w:tcMar>
              <w:top w:w="102" w:type="dxa"/>
              <w:left w:w="113" w:type="dxa"/>
              <w:bottom w:w="102" w:type="dxa"/>
              <w:right w:w="113" w:type="dxa"/>
            </w:tcMar>
            <w:vAlign w:val="bottom"/>
          </w:tcPr>
          <w:p w14:paraId="77F9C010" w14:textId="77777777" w:rsidR="00AB1368" w:rsidRPr="00AB1368" w:rsidRDefault="00AB1368" w:rsidP="00AB1368">
            <w:pPr>
              <w:pStyle w:val="CDITable-HeaderRowCentre"/>
            </w:pPr>
            <w:r w:rsidRPr="00AB1368">
              <w:t xml:space="preserve">Reporting </w:t>
            </w:r>
            <w:proofErr w:type="spellStart"/>
            <w:r w:rsidRPr="00AB1368">
              <w:t>rate</w:t>
            </w:r>
            <w:r w:rsidRPr="00AB1368">
              <w:rPr>
                <w:vertAlign w:val="superscript"/>
              </w:rPr>
              <w:t>c</w:t>
            </w:r>
            <w:proofErr w:type="spellEnd"/>
          </w:p>
        </w:tc>
        <w:tc>
          <w:tcPr>
            <w:tcW w:w="1417" w:type="dxa"/>
            <w:tcBorders>
              <w:top w:val="single" w:sz="6" w:space="0" w:color="FFFFFF" w:themeColor="background1"/>
              <w:right w:val="single" w:sz="6" w:space="0" w:color="FFFFFF" w:themeColor="background1"/>
            </w:tcBorders>
            <w:shd w:val="clear" w:color="auto" w:fill="1E4496" w:themeFill="text2"/>
            <w:tcMar>
              <w:top w:w="102" w:type="dxa"/>
              <w:left w:w="113" w:type="dxa"/>
              <w:bottom w:w="102" w:type="dxa"/>
              <w:right w:w="113" w:type="dxa"/>
            </w:tcMar>
            <w:vAlign w:val="bottom"/>
          </w:tcPr>
          <w:p w14:paraId="434A17EE" w14:textId="77777777" w:rsidR="00AB1368" w:rsidRPr="00AB1368" w:rsidRDefault="00AB1368" w:rsidP="00AB1368">
            <w:pPr>
              <w:pStyle w:val="CDITable-HeaderRowCentre"/>
            </w:pPr>
            <w:r w:rsidRPr="00AB1368">
              <w:t xml:space="preserve">95% </w:t>
            </w:r>
            <w:proofErr w:type="spellStart"/>
            <w:r w:rsidRPr="00AB1368">
              <w:t>CI</w:t>
            </w:r>
            <w:r w:rsidRPr="00AB1368">
              <w:rPr>
                <w:vertAlign w:val="superscript"/>
              </w:rPr>
              <w:t>d</w:t>
            </w:r>
            <w:proofErr w:type="spellEnd"/>
          </w:p>
        </w:tc>
        <w:tc>
          <w:tcPr>
            <w:tcW w:w="1248" w:type="dxa"/>
            <w:tcBorders>
              <w:top w:val="single" w:sz="6" w:space="0" w:color="FFFFFF" w:themeColor="background1"/>
              <w:left w:val="single" w:sz="6" w:space="0" w:color="FFFFFF" w:themeColor="background1"/>
            </w:tcBorders>
            <w:shd w:val="clear" w:color="auto" w:fill="1E4496" w:themeFill="text2"/>
            <w:tcMar>
              <w:top w:w="102" w:type="dxa"/>
              <w:left w:w="113" w:type="dxa"/>
              <w:bottom w:w="102" w:type="dxa"/>
              <w:right w:w="113" w:type="dxa"/>
            </w:tcMar>
            <w:vAlign w:val="bottom"/>
          </w:tcPr>
          <w:p w14:paraId="0C84D184" w14:textId="77777777" w:rsidR="00AB1368" w:rsidRPr="00AB1368" w:rsidRDefault="00AB1368" w:rsidP="00AB1368">
            <w:pPr>
              <w:pStyle w:val="CDITable-HeaderRowCentre"/>
            </w:pPr>
            <w:r w:rsidRPr="00AB1368">
              <w:t>Number of reports</w:t>
            </w:r>
          </w:p>
        </w:tc>
        <w:tc>
          <w:tcPr>
            <w:tcW w:w="1247" w:type="dxa"/>
            <w:tcBorders>
              <w:top w:val="single" w:sz="6" w:space="0" w:color="FFFFFF" w:themeColor="background1"/>
            </w:tcBorders>
            <w:shd w:val="clear" w:color="auto" w:fill="1E4496" w:themeFill="text2"/>
            <w:tcMar>
              <w:top w:w="102" w:type="dxa"/>
              <w:left w:w="113" w:type="dxa"/>
              <w:bottom w:w="102" w:type="dxa"/>
              <w:right w:w="113" w:type="dxa"/>
            </w:tcMar>
            <w:vAlign w:val="bottom"/>
          </w:tcPr>
          <w:p w14:paraId="5E667670" w14:textId="77777777" w:rsidR="00AB1368" w:rsidRPr="00AB1368" w:rsidRDefault="00AB1368" w:rsidP="00AB1368">
            <w:pPr>
              <w:pStyle w:val="CDITable-HeaderRowCentre"/>
            </w:pPr>
            <w:r w:rsidRPr="00AB1368">
              <w:t xml:space="preserve">Reporting </w:t>
            </w:r>
            <w:proofErr w:type="spellStart"/>
            <w:r w:rsidRPr="00AB1368">
              <w:t>rate</w:t>
            </w:r>
            <w:r w:rsidRPr="00AB1368">
              <w:rPr>
                <w:vertAlign w:val="superscript"/>
              </w:rPr>
              <w:t>c</w:t>
            </w:r>
            <w:proofErr w:type="spellEnd"/>
          </w:p>
        </w:tc>
        <w:tc>
          <w:tcPr>
            <w:tcW w:w="1587" w:type="dxa"/>
            <w:tcBorders>
              <w:top w:val="single" w:sz="6" w:space="0" w:color="FFFFFF" w:themeColor="background1"/>
            </w:tcBorders>
            <w:shd w:val="clear" w:color="auto" w:fill="1E4496" w:themeFill="text2"/>
            <w:tcMar>
              <w:top w:w="102" w:type="dxa"/>
              <w:left w:w="113" w:type="dxa"/>
              <w:bottom w:w="102" w:type="dxa"/>
              <w:right w:w="113" w:type="dxa"/>
            </w:tcMar>
            <w:vAlign w:val="bottom"/>
          </w:tcPr>
          <w:p w14:paraId="1BDA9D74" w14:textId="77777777" w:rsidR="00AB1368" w:rsidRPr="00AB1368" w:rsidRDefault="00AB1368" w:rsidP="00AB1368">
            <w:pPr>
              <w:pStyle w:val="CDITable-HeaderRowCentre"/>
            </w:pPr>
            <w:r w:rsidRPr="00AB1368">
              <w:t xml:space="preserve">95% </w:t>
            </w:r>
            <w:proofErr w:type="spellStart"/>
            <w:r w:rsidRPr="00AB1368">
              <w:t>CI</w:t>
            </w:r>
            <w:r w:rsidRPr="00AB1368">
              <w:rPr>
                <w:vertAlign w:val="superscript"/>
              </w:rPr>
              <w:t>d</w:t>
            </w:r>
            <w:proofErr w:type="spellEnd"/>
          </w:p>
        </w:tc>
        <w:tc>
          <w:tcPr>
            <w:tcW w:w="1021" w:type="dxa"/>
            <w:vMerge/>
            <w:shd w:val="clear" w:color="auto" w:fill="1E4496" w:themeFill="text2"/>
            <w:tcMar>
              <w:top w:w="102" w:type="dxa"/>
              <w:bottom w:w="102" w:type="dxa"/>
            </w:tcMar>
          </w:tcPr>
          <w:p w14:paraId="2CD71ACC" w14:textId="77777777" w:rsidR="00AB1368" w:rsidRPr="00AB1368" w:rsidRDefault="00AB1368" w:rsidP="00AB1368"/>
        </w:tc>
        <w:tc>
          <w:tcPr>
            <w:tcW w:w="1020" w:type="dxa"/>
            <w:vMerge/>
            <w:shd w:val="clear" w:color="auto" w:fill="1E4496" w:themeFill="text2"/>
            <w:tcMar>
              <w:top w:w="102" w:type="dxa"/>
              <w:bottom w:w="102" w:type="dxa"/>
            </w:tcMar>
          </w:tcPr>
          <w:p w14:paraId="532BCBAA" w14:textId="77777777" w:rsidR="00AB1368" w:rsidRPr="00AB1368" w:rsidRDefault="00AB1368" w:rsidP="00AB1368"/>
        </w:tc>
      </w:tr>
      <w:tr w:rsidR="00AB1368" w:rsidRPr="00AB1368" w14:paraId="0B06F94B" w14:textId="77777777" w:rsidTr="008D0261">
        <w:trPr>
          <w:trHeight w:val="60"/>
        </w:trPr>
        <w:tc>
          <w:tcPr>
            <w:tcW w:w="2381" w:type="dxa"/>
            <w:vMerge w:val="restart"/>
            <w:tcBorders>
              <w:bottom w:val="single" w:sz="6" w:space="0" w:color="1E4496" w:themeColor="text2"/>
            </w:tcBorders>
            <w:shd w:val="clear" w:color="auto" w:fill="DCF4FC" w:themeFill="background2" w:themeFillTint="33"/>
            <w:tcMar>
              <w:top w:w="102" w:type="dxa"/>
              <w:left w:w="113" w:type="dxa"/>
              <w:bottom w:w="102" w:type="dxa"/>
              <w:right w:w="113" w:type="dxa"/>
            </w:tcMar>
            <w:vAlign w:val="center"/>
          </w:tcPr>
          <w:p w14:paraId="42524A58" w14:textId="77777777" w:rsidR="00AB1368" w:rsidRPr="00AB1368" w:rsidRDefault="00AB1368" w:rsidP="00AB1368">
            <w:pPr>
              <w:pStyle w:val="CDITable-RowLeft"/>
            </w:pPr>
            <w:r w:rsidRPr="00AB1368">
              <w:t>&lt; 12 months (infants)</w:t>
            </w:r>
          </w:p>
        </w:tc>
        <w:tc>
          <w:tcPr>
            <w:tcW w:w="1928" w:type="dxa"/>
            <w:tcBorders>
              <w:bottom w:val="single" w:sz="6" w:space="0" w:color="1E4496" w:themeColor="text2"/>
            </w:tcBorders>
            <w:tcMar>
              <w:top w:w="102" w:type="dxa"/>
              <w:left w:w="113" w:type="dxa"/>
              <w:bottom w:w="102" w:type="dxa"/>
              <w:right w:w="113" w:type="dxa"/>
            </w:tcMar>
            <w:vAlign w:val="center"/>
          </w:tcPr>
          <w:p w14:paraId="69FAF7DE" w14:textId="77777777" w:rsidR="00AB1368" w:rsidRPr="00AB1368" w:rsidRDefault="00AB1368" w:rsidP="00AB1368">
            <w:pPr>
              <w:pStyle w:val="CDITable-RowLeft"/>
            </w:pPr>
            <w:r w:rsidRPr="00AB1368">
              <w:t>Total for age group</w:t>
            </w:r>
          </w:p>
        </w:tc>
        <w:tc>
          <w:tcPr>
            <w:tcW w:w="1247" w:type="dxa"/>
            <w:tcBorders>
              <w:bottom w:val="single" w:sz="6" w:space="0" w:color="1E4496" w:themeColor="text2"/>
            </w:tcBorders>
            <w:tcMar>
              <w:top w:w="102" w:type="dxa"/>
              <w:left w:w="113" w:type="dxa"/>
              <w:bottom w:w="102" w:type="dxa"/>
              <w:right w:w="113" w:type="dxa"/>
            </w:tcMar>
            <w:vAlign w:val="center"/>
          </w:tcPr>
          <w:p w14:paraId="5C04010C" w14:textId="77777777" w:rsidR="00AB1368" w:rsidRPr="00AB1368" w:rsidRDefault="00AB1368" w:rsidP="00AB1368">
            <w:pPr>
              <w:pStyle w:val="CDITable-RowCentre"/>
            </w:pPr>
            <w:r w:rsidRPr="00AB1368">
              <w:t>331</w:t>
            </w:r>
          </w:p>
        </w:tc>
        <w:tc>
          <w:tcPr>
            <w:tcW w:w="1247" w:type="dxa"/>
            <w:tcBorders>
              <w:bottom w:val="single" w:sz="6" w:space="0" w:color="1E4496" w:themeColor="text2"/>
            </w:tcBorders>
            <w:tcMar>
              <w:top w:w="102" w:type="dxa"/>
              <w:left w:w="113" w:type="dxa"/>
              <w:bottom w:w="102" w:type="dxa"/>
              <w:right w:w="113" w:type="dxa"/>
            </w:tcMar>
            <w:vAlign w:val="center"/>
          </w:tcPr>
          <w:p w14:paraId="20A91DCD" w14:textId="77777777" w:rsidR="00AB1368" w:rsidRPr="00AB1368" w:rsidRDefault="00AB1368" w:rsidP="00AB1368">
            <w:pPr>
              <w:pStyle w:val="CDITable-RowCentre"/>
            </w:pPr>
            <w:r w:rsidRPr="00AB1368">
              <w:t>—</w:t>
            </w:r>
          </w:p>
        </w:tc>
        <w:tc>
          <w:tcPr>
            <w:tcW w:w="1417" w:type="dxa"/>
            <w:tcBorders>
              <w:bottom w:val="single" w:sz="6" w:space="0" w:color="1E4496" w:themeColor="text2"/>
              <w:right w:val="single" w:sz="6" w:space="0" w:color="1E4496" w:themeColor="text2"/>
            </w:tcBorders>
            <w:tcMar>
              <w:top w:w="102" w:type="dxa"/>
              <w:left w:w="113" w:type="dxa"/>
              <w:bottom w:w="102" w:type="dxa"/>
              <w:right w:w="113" w:type="dxa"/>
            </w:tcMar>
            <w:vAlign w:val="center"/>
          </w:tcPr>
          <w:p w14:paraId="12E8FF4B" w14:textId="77777777" w:rsidR="00AB1368" w:rsidRPr="00AB1368" w:rsidRDefault="00AB1368" w:rsidP="00AB1368">
            <w:pPr>
              <w:pStyle w:val="CDITable-RowCentre"/>
            </w:pPr>
            <w:r w:rsidRPr="00AB1368">
              <w:t>—</w:t>
            </w:r>
          </w:p>
        </w:tc>
        <w:tc>
          <w:tcPr>
            <w:tcW w:w="1248" w:type="dxa"/>
            <w:tcBorders>
              <w:left w:val="single" w:sz="6" w:space="0" w:color="1E4496" w:themeColor="text2"/>
              <w:bottom w:val="single" w:sz="6" w:space="0" w:color="1E4496" w:themeColor="text2"/>
            </w:tcBorders>
            <w:tcMar>
              <w:top w:w="102" w:type="dxa"/>
              <w:left w:w="113" w:type="dxa"/>
              <w:bottom w:w="102" w:type="dxa"/>
              <w:right w:w="113" w:type="dxa"/>
            </w:tcMar>
            <w:vAlign w:val="center"/>
          </w:tcPr>
          <w:p w14:paraId="0F968E1B" w14:textId="77777777" w:rsidR="00AB1368" w:rsidRPr="00AB1368" w:rsidRDefault="00AB1368" w:rsidP="00AB1368">
            <w:pPr>
              <w:pStyle w:val="CDITable-RowCentre"/>
            </w:pPr>
            <w:r w:rsidRPr="00AB1368">
              <w:t>342</w:t>
            </w:r>
          </w:p>
        </w:tc>
        <w:tc>
          <w:tcPr>
            <w:tcW w:w="1247" w:type="dxa"/>
            <w:tcBorders>
              <w:bottom w:val="single" w:sz="6" w:space="0" w:color="1E4496" w:themeColor="text2"/>
            </w:tcBorders>
            <w:tcMar>
              <w:top w:w="102" w:type="dxa"/>
              <w:left w:w="113" w:type="dxa"/>
              <w:bottom w:w="102" w:type="dxa"/>
              <w:right w:w="113" w:type="dxa"/>
            </w:tcMar>
            <w:vAlign w:val="center"/>
          </w:tcPr>
          <w:p w14:paraId="1DD65B95" w14:textId="77777777" w:rsidR="00AB1368" w:rsidRPr="00AB1368" w:rsidRDefault="00AB1368" w:rsidP="00AB1368">
            <w:pPr>
              <w:pStyle w:val="CDITable-RowCentre"/>
            </w:pPr>
            <w:r w:rsidRPr="00AB1368">
              <w:t>—</w:t>
            </w:r>
          </w:p>
        </w:tc>
        <w:tc>
          <w:tcPr>
            <w:tcW w:w="1587" w:type="dxa"/>
            <w:tcBorders>
              <w:bottom w:val="single" w:sz="6" w:space="0" w:color="1E4496" w:themeColor="text2"/>
            </w:tcBorders>
            <w:tcMar>
              <w:top w:w="102" w:type="dxa"/>
              <w:left w:w="113" w:type="dxa"/>
              <w:bottom w:w="102" w:type="dxa"/>
              <w:right w:w="113" w:type="dxa"/>
            </w:tcMar>
            <w:vAlign w:val="center"/>
          </w:tcPr>
          <w:p w14:paraId="43841854" w14:textId="77777777" w:rsidR="00AB1368" w:rsidRPr="00AB1368" w:rsidRDefault="00AB1368" w:rsidP="00AB1368">
            <w:pPr>
              <w:pStyle w:val="CDITable-RowCentre"/>
            </w:pPr>
            <w:r w:rsidRPr="00AB1368">
              <w:t>—</w:t>
            </w:r>
          </w:p>
        </w:tc>
        <w:tc>
          <w:tcPr>
            <w:tcW w:w="1021" w:type="dxa"/>
            <w:tcBorders>
              <w:bottom w:val="single" w:sz="6" w:space="0" w:color="1E4496" w:themeColor="text2"/>
            </w:tcBorders>
            <w:tcMar>
              <w:top w:w="102" w:type="dxa"/>
              <w:left w:w="113" w:type="dxa"/>
              <w:bottom w:w="102" w:type="dxa"/>
              <w:right w:w="113" w:type="dxa"/>
            </w:tcMar>
            <w:vAlign w:val="center"/>
          </w:tcPr>
          <w:p w14:paraId="3DA62702" w14:textId="77777777" w:rsidR="00AB1368" w:rsidRPr="00AB1368" w:rsidRDefault="00AB1368" w:rsidP="00AB1368">
            <w:pPr>
              <w:pStyle w:val="CDITable-RowCentre"/>
            </w:pPr>
            <w:r w:rsidRPr="00AB1368">
              <w:t>—</w:t>
            </w:r>
          </w:p>
        </w:tc>
        <w:tc>
          <w:tcPr>
            <w:tcW w:w="1020" w:type="dxa"/>
            <w:tcBorders>
              <w:bottom w:val="single" w:sz="6" w:space="0" w:color="1E4496" w:themeColor="text2"/>
            </w:tcBorders>
            <w:tcMar>
              <w:top w:w="102" w:type="dxa"/>
              <w:left w:w="113" w:type="dxa"/>
              <w:bottom w:w="102" w:type="dxa"/>
              <w:right w:w="113" w:type="dxa"/>
            </w:tcMar>
            <w:vAlign w:val="center"/>
          </w:tcPr>
          <w:p w14:paraId="2A333F0F" w14:textId="77777777" w:rsidR="00AB1368" w:rsidRPr="00AB1368" w:rsidRDefault="00AB1368" w:rsidP="00AB1368">
            <w:pPr>
              <w:pStyle w:val="CDITable-RowCentre"/>
            </w:pPr>
            <w:r w:rsidRPr="00AB1368">
              <w:t>—</w:t>
            </w:r>
          </w:p>
        </w:tc>
      </w:tr>
      <w:tr w:rsidR="00AB1368" w:rsidRPr="00AB1368" w14:paraId="1147735C" w14:textId="77777777" w:rsidTr="008D0261">
        <w:trPr>
          <w:trHeight w:val="60"/>
        </w:trPr>
        <w:tc>
          <w:tcPr>
            <w:tcW w:w="2381" w:type="dxa"/>
            <w:vMerge/>
            <w:tcBorders>
              <w:top w:val="single" w:sz="6" w:space="0" w:color="1E4496" w:themeColor="text2"/>
              <w:bottom w:val="single" w:sz="6" w:space="0" w:color="1E4496" w:themeColor="text2"/>
            </w:tcBorders>
            <w:shd w:val="clear" w:color="auto" w:fill="DCF4FC" w:themeFill="background2" w:themeFillTint="33"/>
            <w:tcMar>
              <w:top w:w="102" w:type="dxa"/>
              <w:bottom w:w="102" w:type="dxa"/>
            </w:tcMar>
          </w:tcPr>
          <w:p w14:paraId="259679BB" w14:textId="77777777" w:rsidR="00AB1368" w:rsidRPr="00AB1368" w:rsidRDefault="00AB1368" w:rsidP="00AB1368">
            <w:pPr>
              <w:pStyle w:val="CDITable-RowLeft"/>
            </w:pPr>
          </w:p>
        </w:tc>
        <w:tc>
          <w:tcPr>
            <w:tcW w:w="1928"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8C8B95A" w14:textId="77777777" w:rsidR="00AB1368" w:rsidRPr="00AB1368" w:rsidRDefault="00AB1368" w:rsidP="00AB1368">
            <w:pPr>
              <w:pStyle w:val="CDITable-RowLeft"/>
            </w:pPr>
            <w:r w:rsidRPr="00AB1368">
              <w:t>HepB (at birth)</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77B70EF" w14:textId="77777777" w:rsidR="00AB1368" w:rsidRPr="00AB1368" w:rsidRDefault="00AB1368" w:rsidP="00AB1368">
            <w:pPr>
              <w:pStyle w:val="CDITable-RowCentre"/>
            </w:pPr>
            <w:r w:rsidRPr="00AB1368">
              <w:t>1</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5A8665B" w14:textId="77777777" w:rsidR="00AB1368" w:rsidRPr="00AB1368" w:rsidRDefault="00AB1368" w:rsidP="00AB1368">
            <w:pPr>
              <w:pStyle w:val="CDITable-RowCentre"/>
            </w:pPr>
            <w:r w:rsidRPr="00AB1368">
              <w:t>39.1</w:t>
            </w:r>
          </w:p>
        </w:tc>
        <w:tc>
          <w:tcPr>
            <w:tcW w:w="1417"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286B6942" w14:textId="77777777" w:rsidR="00AB1368" w:rsidRPr="00AB1368" w:rsidRDefault="00AB1368" w:rsidP="00AB1368">
            <w:pPr>
              <w:pStyle w:val="CDITable-RowCentre"/>
            </w:pPr>
            <w:r w:rsidRPr="00AB1368">
              <w:t>0–115.8</w:t>
            </w:r>
          </w:p>
        </w:tc>
        <w:tc>
          <w:tcPr>
            <w:tcW w:w="124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3BB1C54B" w14:textId="77777777" w:rsidR="00AB1368" w:rsidRPr="00AB1368" w:rsidRDefault="00AB1368" w:rsidP="00AB1368">
            <w:pPr>
              <w:pStyle w:val="CDITable-RowCentre"/>
            </w:pPr>
            <w:r w:rsidRPr="00AB1368">
              <w:t>3</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DEAB08E" w14:textId="77777777" w:rsidR="00AB1368" w:rsidRPr="00AB1368" w:rsidRDefault="00AB1368" w:rsidP="00AB1368">
            <w:pPr>
              <w:pStyle w:val="CDITable-RowCentre"/>
            </w:pPr>
            <w:r w:rsidRPr="00AB1368">
              <w:t>143.5</w:t>
            </w:r>
          </w:p>
        </w:tc>
        <w:tc>
          <w:tcPr>
            <w:tcW w:w="158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F83F70D" w14:textId="77777777" w:rsidR="00AB1368" w:rsidRPr="00AB1368" w:rsidRDefault="00AB1368" w:rsidP="00AB1368">
            <w:pPr>
              <w:pStyle w:val="CDITable-RowCentre"/>
            </w:pPr>
            <w:r w:rsidRPr="00AB1368">
              <w:t>0–305.8</w:t>
            </w:r>
          </w:p>
        </w:tc>
        <w:tc>
          <w:tcPr>
            <w:tcW w:w="102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4A981CB" w14:textId="77777777" w:rsidR="00AB1368" w:rsidRPr="00AB1368" w:rsidRDefault="00AB1368" w:rsidP="00AB1368">
            <w:pPr>
              <w:pStyle w:val="CDITable-RowCentre"/>
            </w:pPr>
            <w:r w:rsidRPr="00AB1368">
              <w:t>3.67</w:t>
            </w:r>
          </w:p>
        </w:tc>
        <w:tc>
          <w:tcPr>
            <w:tcW w:w="1020"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5E51AF2" w14:textId="77777777" w:rsidR="00AB1368" w:rsidRPr="00AB1368" w:rsidRDefault="00AB1368" w:rsidP="00AB1368">
            <w:pPr>
              <w:pStyle w:val="CDITable-RowCentre"/>
            </w:pPr>
            <w:r w:rsidRPr="00AB1368">
              <w:t>0.282</w:t>
            </w:r>
          </w:p>
        </w:tc>
      </w:tr>
      <w:tr w:rsidR="00AB1368" w:rsidRPr="00AB1368" w14:paraId="2F773285" w14:textId="77777777" w:rsidTr="008D0261">
        <w:trPr>
          <w:trHeight w:val="60"/>
        </w:trPr>
        <w:tc>
          <w:tcPr>
            <w:tcW w:w="2381" w:type="dxa"/>
            <w:vMerge/>
            <w:tcBorders>
              <w:bottom w:val="single" w:sz="6" w:space="0" w:color="1E4496" w:themeColor="text2"/>
            </w:tcBorders>
            <w:shd w:val="clear" w:color="auto" w:fill="DCF4FC" w:themeFill="background2" w:themeFillTint="33"/>
            <w:tcMar>
              <w:top w:w="102" w:type="dxa"/>
              <w:bottom w:w="102" w:type="dxa"/>
            </w:tcMar>
          </w:tcPr>
          <w:p w14:paraId="7D2141CC" w14:textId="77777777" w:rsidR="00AB1368" w:rsidRPr="00AB1368" w:rsidRDefault="00AB1368" w:rsidP="00AB1368">
            <w:pPr>
              <w:pStyle w:val="CDITable-RowLeft"/>
            </w:pPr>
          </w:p>
        </w:tc>
        <w:tc>
          <w:tcPr>
            <w:tcW w:w="1928"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FE623D8" w14:textId="77777777" w:rsidR="00AB1368" w:rsidRPr="00AB1368" w:rsidRDefault="00AB1368" w:rsidP="00AB1368">
            <w:pPr>
              <w:pStyle w:val="CDITable-RowLeft"/>
            </w:pPr>
            <w:r w:rsidRPr="00AB1368">
              <w:t>DTP HepB Hib Polio</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AFA15AC" w14:textId="77777777" w:rsidR="00AB1368" w:rsidRPr="00AB1368" w:rsidRDefault="00AB1368" w:rsidP="00AB1368">
            <w:pPr>
              <w:pStyle w:val="CDITable-RowCentre"/>
            </w:pPr>
            <w:r w:rsidRPr="00AB1368">
              <w:t>239</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71E393C" w14:textId="77777777" w:rsidR="00AB1368" w:rsidRPr="00AB1368" w:rsidRDefault="00AB1368" w:rsidP="00AB1368">
            <w:pPr>
              <w:pStyle w:val="CDITable-RowCentre"/>
            </w:pPr>
            <w:r w:rsidRPr="00AB1368">
              <w:t>106.4</w:t>
            </w:r>
          </w:p>
        </w:tc>
        <w:tc>
          <w:tcPr>
            <w:tcW w:w="1417"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4D866CCA" w14:textId="77777777" w:rsidR="00AB1368" w:rsidRPr="00AB1368" w:rsidRDefault="00AB1368" w:rsidP="00AB1368">
            <w:pPr>
              <w:pStyle w:val="CDITable-RowCentre"/>
            </w:pPr>
            <w:r w:rsidRPr="00AB1368">
              <w:t>92.9–119.9</w:t>
            </w:r>
          </w:p>
        </w:tc>
        <w:tc>
          <w:tcPr>
            <w:tcW w:w="124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390871DA" w14:textId="77777777" w:rsidR="00AB1368" w:rsidRPr="00AB1368" w:rsidRDefault="00AB1368" w:rsidP="00AB1368">
            <w:pPr>
              <w:pStyle w:val="CDITable-RowCentre"/>
            </w:pPr>
            <w:r w:rsidRPr="00AB1368">
              <w:t>252</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4048453" w14:textId="77777777" w:rsidR="00AB1368" w:rsidRPr="00AB1368" w:rsidRDefault="00AB1368" w:rsidP="00AB1368">
            <w:pPr>
              <w:pStyle w:val="CDITable-RowCentre"/>
            </w:pPr>
            <w:r w:rsidRPr="00AB1368">
              <w:t>115.2</w:t>
            </w:r>
          </w:p>
        </w:tc>
        <w:tc>
          <w:tcPr>
            <w:tcW w:w="158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C552C9D" w14:textId="77777777" w:rsidR="00AB1368" w:rsidRPr="00AB1368" w:rsidRDefault="00AB1368" w:rsidP="00AB1368">
            <w:pPr>
              <w:pStyle w:val="CDITable-RowCentre"/>
            </w:pPr>
            <w:r w:rsidRPr="00AB1368">
              <w:t>101.0–129.4</w:t>
            </w:r>
          </w:p>
        </w:tc>
        <w:tc>
          <w:tcPr>
            <w:tcW w:w="102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A9D28F3" w14:textId="77777777" w:rsidR="00AB1368" w:rsidRPr="00AB1368" w:rsidRDefault="00AB1368" w:rsidP="00AB1368">
            <w:pPr>
              <w:pStyle w:val="CDITable-RowCentre"/>
            </w:pPr>
            <w:r w:rsidRPr="00AB1368">
              <w:t>1.08</w:t>
            </w:r>
          </w:p>
        </w:tc>
        <w:tc>
          <w:tcPr>
            <w:tcW w:w="1020"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A38C8AC" w14:textId="77777777" w:rsidR="00AB1368" w:rsidRPr="00AB1368" w:rsidRDefault="00AB1368" w:rsidP="00AB1368">
            <w:pPr>
              <w:pStyle w:val="CDITable-RowCentre"/>
            </w:pPr>
            <w:r w:rsidRPr="00AB1368">
              <w:t>0.377</w:t>
            </w:r>
          </w:p>
        </w:tc>
      </w:tr>
      <w:tr w:rsidR="00AB1368" w:rsidRPr="00AB1368" w14:paraId="0D6DF0E5" w14:textId="77777777" w:rsidTr="008D0261">
        <w:trPr>
          <w:trHeight w:val="60"/>
        </w:trPr>
        <w:tc>
          <w:tcPr>
            <w:tcW w:w="2381" w:type="dxa"/>
            <w:vMerge/>
            <w:tcBorders>
              <w:bottom w:val="single" w:sz="6" w:space="0" w:color="1E4496" w:themeColor="text2"/>
            </w:tcBorders>
            <w:shd w:val="clear" w:color="auto" w:fill="DCF4FC" w:themeFill="background2" w:themeFillTint="33"/>
            <w:tcMar>
              <w:top w:w="102" w:type="dxa"/>
              <w:bottom w:w="102" w:type="dxa"/>
            </w:tcMar>
          </w:tcPr>
          <w:p w14:paraId="0AD9EF76" w14:textId="77777777" w:rsidR="00AB1368" w:rsidRPr="00AB1368" w:rsidRDefault="00AB1368" w:rsidP="00AB1368">
            <w:pPr>
              <w:pStyle w:val="CDITable-RowLeft"/>
            </w:pPr>
          </w:p>
        </w:tc>
        <w:tc>
          <w:tcPr>
            <w:tcW w:w="1928"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5C43EDB" w14:textId="77777777" w:rsidR="00AB1368" w:rsidRPr="00AB1368" w:rsidRDefault="00AB1368" w:rsidP="00AB1368">
            <w:pPr>
              <w:pStyle w:val="CDITable-RowLeft"/>
            </w:pPr>
            <w:proofErr w:type="spellStart"/>
            <w:r w:rsidRPr="00AB1368">
              <w:t>Rotavirus</w:t>
            </w:r>
            <w:r w:rsidRPr="00AB1368">
              <w:rPr>
                <w:vertAlign w:val="superscript"/>
              </w:rPr>
              <w:t>f</w:t>
            </w:r>
            <w:proofErr w:type="spellEnd"/>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4AC5238" w14:textId="77777777" w:rsidR="00AB1368" w:rsidRPr="00AB1368" w:rsidRDefault="00AB1368" w:rsidP="00AB1368">
            <w:pPr>
              <w:pStyle w:val="CDITable-RowCentre"/>
            </w:pPr>
            <w:r w:rsidRPr="00AB1368">
              <w:t>195</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1DAEF15" w14:textId="77777777" w:rsidR="00AB1368" w:rsidRPr="00AB1368" w:rsidRDefault="00AB1368" w:rsidP="00AB1368">
            <w:pPr>
              <w:pStyle w:val="CDITable-RowCentre"/>
            </w:pPr>
            <w:r w:rsidRPr="00AB1368">
              <w:t>133.7</w:t>
            </w:r>
          </w:p>
        </w:tc>
        <w:tc>
          <w:tcPr>
            <w:tcW w:w="1417"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5712D012" w14:textId="77777777" w:rsidR="00AB1368" w:rsidRPr="00AB1368" w:rsidRDefault="00AB1368" w:rsidP="00AB1368">
            <w:pPr>
              <w:pStyle w:val="CDITable-RowCentre"/>
            </w:pPr>
            <w:r w:rsidRPr="00AB1368">
              <w:t>114.9–152.5</w:t>
            </w:r>
          </w:p>
        </w:tc>
        <w:tc>
          <w:tcPr>
            <w:tcW w:w="124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07C51B68" w14:textId="77777777" w:rsidR="00AB1368" w:rsidRPr="00AB1368" w:rsidRDefault="00AB1368" w:rsidP="00AB1368">
            <w:pPr>
              <w:pStyle w:val="CDITable-RowCentre"/>
            </w:pPr>
            <w:r w:rsidRPr="00AB1368">
              <w:t>195</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FB92898" w14:textId="77777777" w:rsidR="00AB1368" w:rsidRPr="00AB1368" w:rsidRDefault="00AB1368" w:rsidP="00AB1368">
            <w:pPr>
              <w:pStyle w:val="CDITable-RowCentre"/>
            </w:pPr>
            <w:r w:rsidRPr="00AB1368">
              <w:t>138.0</w:t>
            </w:r>
          </w:p>
        </w:tc>
        <w:tc>
          <w:tcPr>
            <w:tcW w:w="158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D571174" w14:textId="77777777" w:rsidR="00AB1368" w:rsidRPr="00AB1368" w:rsidRDefault="00AB1368" w:rsidP="00AB1368">
            <w:pPr>
              <w:pStyle w:val="CDITable-RowCentre"/>
            </w:pPr>
            <w:r w:rsidRPr="00AB1368">
              <w:t>118.6–157.4</w:t>
            </w:r>
          </w:p>
        </w:tc>
        <w:tc>
          <w:tcPr>
            <w:tcW w:w="102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0457EDC" w14:textId="77777777" w:rsidR="00AB1368" w:rsidRPr="00AB1368" w:rsidRDefault="00AB1368" w:rsidP="00AB1368">
            <w:pPr>
              <w:pStyle w:val="CDITable-RowCentre"/>
            </w:pPr>
            <w:r w:rsidRPr="00AB1368">
              <w:t>1.03</w:t>
            </w:r>
          </w:p>
        </w:tc>
        <w:tc>
          <w:tcPr>
            <w:tcW w:w="1020"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520912B" w14:textId="77777777" w:rsidR="00AB1368" w:rsidRPr="00AB1368" w:rsidRDefault="00AB1368" w:rsidP="00AB1368">
            <w:pPr>
              <w:pStyle w:val="CDITable-RowCentre"/>
            </w:pPr>
            <w:r w:rsidRPr="00AB1368">
              <w:t>0.755</w:t>
            </w:r>
          </w:p>
        </w:tc>
      </w:tr>
      <w:tr w:rsidR="00AB1368" w:rsidRPr="00AB1368" w14:paraId="5CEAC95C" w14:textId="77777777" w:rsidTr="008D0261">
        <w:trPr>
          <w:trHeight w:val="60"/>
        </w:trPr>
        <w:tc>
          <w:tcPr>
            <w:tcW w:w="2381" w:type="dxa"/>
            <w:vMerge/>
            <w:tcBorders>
              <w:bottom w:val="single" w:sz="6" w:space="0" w:color="1E4496" w:themeColor="text2"/>
            </w:tcBorders>
            <w:shd w:val="clear" w:color="auto" w:fill="DCF4FC" w:themeFill="background2" w:themeFillTint="33"/>
            <w:tcMar>
              <w:top w:w="102" w:type="dxa"/>
              <w:bottom w:w="102" w:type="dxa"/>
            </w:tcMar>
          </w:tcPr>
          <w:p w14:paraId="4DBF459A" w14:textId="77777777" w:rsidR="00AB1368" w:rsidRPr="00AB1368" w:rsidRDefault="00AB1368" w:rsidP="00AB1368">
            <w:pPr>
              <w:pStyle w:val="CDITable-RowLeft"/>
            </w:pPr>
          </w:p>
        </w:tc>
        <w:tc>
          <w:tcPr>
            <w:tcW w:w="1928"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DDDF891" w14:textId="77777777" w:rsidR="00AB1368" w:rsidRPr="00AB1368" w:rsidRDefault="00AB1368" w:rsidP="00AB1368">
            <w:pPr>
              <w:pStyle w:val="CDITable-RowLeft"/>
            </w:pPr>
            <w:r w:rsidRPr="00AB1368">
              <w:t>Pneumococcal</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795A16E" w14:textId="77777777" w:rsidR="00AB1368" w:rsidRPr="00AB1368" w:rsidRDefault="00AB1368" w:rsidP="00AB1368">
            <w:pPr>
              <w:pStyle w:val="CDITable-RowCentre"/>
            </w:pPr>
            <w:r w:rsidRPr="00AB1368">
              <w:t>201</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25EA8C5" w14:textId="77777777" w:rsidR="00AB1368" w:rsidRPr="00AB1368" w:rsidRDefault="00AB1368" w:rsidP="00AB1368">
            <w:pPr>
              <w:pStyle w:val="CDITable-RowCentre"/>
            </w:pPr>
            <w:r w:rsidRPr="00AB1368">
              <w:t>129.2</w:t>
            </w:r>
          </w:p>
        </w:tc>
        <w:tc>
          <w:tcPr>
            <w:tcW w:w="1417"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547D3CB2" w14:textId="77777777" w:rsidR="00AB1368" w:rsidRPr="00AB1368" w:rsidRDefault="00AB1368" w:rsidP="00AB1368">
            <w:pPr>
              <w:pStyle w:val="CDITable-RowCentre"/>
            </w:pPr>
            <w:r w:rsidRPr="00AB1368">
              <w:t>111.4–147.1</w:t>
            </w:r>
          </w:p>
        </w:tc>
        <w:tc>
          <w:tcPr>
            <w:tcW w:w="124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638E5C2B" w14:textId="77777777" w:rsidR="00AB1368" w:rsidRPr="00AB1368" w:rsidRDefault="00AB1368" w:rsidP="00AB1368">
            <w:pPr>
              <w:pStyle w:val="CDITable-RowCentre"/>
            </w:pPr>
            <w:r w:rsidRPr="00AB1368">
              <w:t>205</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772BFDA" w14:textId="77777777" w:rsidR="00AB1368" w:rsidRPr="00AB1368" w:rsidRDefault="00AB1368" w:rsidP="00AB1368">
            <w:pPr>
              <w:pStyle w:val="CDITable-RowCentre"/>
            </w:pPr>
            <w:r w:rsidRPr="00AB1368">
              <w:t>137.8</w:t>
            </w:r>
          </w:p>
        </w:tc>
        <w:tc>
          <w:tcPr>
            <w:tcW w:w="158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836ED0E" w14:textId="77777777" w:rsidR="00AB1368" w:rsidRPr="00AB1368" w:rsidRDefault="00AB1368" w:rsidP="00AB1368">
            <w:pPr>
              <w:pStyle w:val="CDITable-RowCentre"/>
            </w:pPr>
            <w:r w:rsidRPr="00AB1368">
              <w:t>118.9–156.7</w:t>
            </w:r>
          </w:p>
        </w:tc>
        <w:tc>
          <w:tcPr>
            <w:tcW w:w="102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E310A47" w14:textId="77777777" w:rsidR="00AB1368" w:rsidRPr="00AB1368" w:rsidRDefault="00AB1368" w:rsidP="00AB1368">
            <w:pPr>
              <w:pStyle w:val="CDITable-RowCentre"/>
            </w:pPr>
            <w:r w:rsidRPr="00AB1368">
              <w:t>1.07</w:t>
            </w:r>
          </w:p>
        </w:tc>
        <w:tc>
          <w:tcPr>
            <w:tcW w:w="1020"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A64179E" w14:textId="77777777" w:rsidR="00AB1368" w:rsidRPr="00AB1368" w:rsidRDefault="00AB1368" w:rsidP="00AB1368">
            <w:pPr>
              <w:pStyle w:val="CDITable-RowCentre"/>
            </w:pPr>
            <w:r w:rsidRPr="00AB1368">
              <w:t>0.518</w:t>
            </w:r>
          </w:p>
        </w:tc>
      </w:tr>
      <w:tr w:rsidR="00AB1368" w:rsidRPr="00AB1368" w14:paraId="502F8245" w14:textId="77777777" w:rsidTr="008D0261">
        <w:trPr>
          <w:trHeight w:val="60"/>
        </w:trPr>
        <w:tc>
          <w:tcPr>
            <w:tcW w:w="2381" w:type="dxa"/>
            <w:vMerge/>
            <w:tcBorders>
              <w:bottom w:val="single" w:sz="6" w:space="0" w:color="1E4496" w:themeColor="text2"/>
            </w:tcBorders>
            <w:shd w:val="clear" w:color="auto" w:fill="DCF4FC" w:themeFill="background2" w:themeFillTint="33"/>
            <w:tcMar>
              <w:top w:w="102" w:type="dxa"/>
              <w:bottom w:w="102" w:type="dxa"/>
            </w:tcMar>
          </w:tcPr>
          <w:p w14:paraId="363BBAC5" w14:textId="77777777" w:rsidR="00AB1368" w:rsidRPr="00AB1368" w:rsidRDefault="00AB1368" w:rsidP="00AB1368">
            <w:pPr>
              <w:pStyle w:val="CDITable-RowLeft"/>
            </w:pPr>
          </w:p>
        </w:tc>
        <w:tc>
          <w:tcPr>
            <w:tcW w:w="1928"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C78E412" w14:textId="77777777" w:rsidR="00AB1368" w:rsidRPr="00AB1368" w:rsidRDefault="00AB1368" w:rsidP="00AB1368">
            <w:pPr>
              <w:pStyle w:val="CDITable-RowLeft"/>
            </w:pPr>
            <w:r w:rsidRPr="00AB1368">
              <w:t xml:space="preserve">Meningococcal </w:t>
            </w:r>
            <w:proofErr w:type="spellStart"/>
            <w:r w:rsidRPr="00AB1368">
              <w:t>B</w:t>
            </w:r>
            <w:r w:rsidRPr="00AB1368">
              <w:rPr>
                <w:vertAlign w:val="superscript"/>
              </w:rPr>
              <w:t>g</w:t>
            </w:r>
            <w:proofErr w:type="spellEnd"/>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4D24B79" w14:textId="77777777" w:rsidR="00AB1368" w:rsidRPr="00AB1368" w:rsidRDefault="00AB1368" w:rsidP="00AB1368">
            <w:pPr>
              <w:pStyle w:val="CDITable-RowCentre"/>
            </w:pPr>
            <w:r w:rsidRPr="00AB1368">
              <w:t>41</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2A63EFF" w14:textId="77777777" w:rsidR="00AB1368" w:rsidRPr="00AB1368" w:rsidRDefault="00AB1368" w:rsidP="00AB1368">
            <w:pPr>
              <w:pStyle w:val="CDITable-RowCentre"/>
            </w:pPr>
            <w:r w:rsidRPr="00AB1368">
              <w:t>168.0</w:t>
            </w:r>
          </w:p>
        </w:tc>
        <w:tc>
          <w:tcPr>
            <w:tcW w:w="1417"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3ECB6E8A" w14:textId="77777777" w:rsidR="00AB1368" w:rsidRPr="00AB1368" w:rsidRDefault="00AB1368" w:rsidP="00AB1368">
            <w:pPr>
              <w:pStyle w:val="CDITable-RowCentre"/>
            </w:pPr>
            <w:r w:rsidRPr="00AB1368">
              <w:t>116.6–219.5</w:t>
            </w:r>
          </w:p>
        </w:tc>
        <w:tc>
          <w:tcPr>
            <w:tcW w:w="124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1D5C7CED" w14:textId="77777777" w:rsidR="00AB1368" w:rsidRPr="00AB1368" w:rsidRDefault="00AB1368" w:rsidP="00AB1368">
            <w:pPr>
              <w:pStyle w:val="CDITable-RowCentre"/>
            </w:pPr>
            <w:r w:rsidRPr="00AB1368">
              <w:t>46</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03163F2" w14:textId="77777777" w:rsidR="00AB1368" w:rsidRPr="00AB1368" w:rsidRDefault="00AB1368" w:rsidP="00AB1368">
            <w:pPr>
              <w:pStyle w:val="CDITable-RowCentre"/>
            </w:pPr>
            <w:r w:rsidRPr="00AB1368">
              <w:t>172.4</w:t>
            </w:r>
          </w:p>
        </w:tc>
        <w:tc>
          <w:tcPr>
            <w:tcW w:w="158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1D3F836" w14:textId="77777777" w:rsidR="00AB1368" w:rsidRPr="00AB1368" w:rsidRDefault="00AB1368" w:rsidP="00AB1368">
            <w:pPr>
              <w:pStyle w:val="CDITable-RowCentre"/>
            </w:pPr>
            <w:r w:rsidRPr="00AB1368">
              <w:t>122.6–222.2</w:t>
            </w:r>
          </w:p>
        </w:tc>
        <w:tc>
          <w:tcPr>
            <w:tcW w:w="102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BE5D30F" w14:textId="77777777" w:rsidR="00AB1368" w:rsidRPr="00AB1368" w:rsidRDefault="00AB1368" w:rsidP="00AB1368">
            <w:pPr>
              <w:pStyle w:val="CDITable-RowCentre"/>
            </w:pPr>
            <w:r w:rsidRPr="00AB1368">
              <w:t>1.03</w:t>
            </w:r>
          </w:p>
        </w:tc>
        <w:tc>
          <w:tcPr>
            <w:tcW w:w="1020"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ADECB70" w14:textId="77777777" w:rsidR="00AB1368" w:rsidRPr="00AB1368" w:rsidRDefault="00AB1368" w:rsidP="00AB1368">
            <w:pPr>
              <w:pStyle w:val="CDITable-RowCentre"/>
            </w:pPr>
            <w:r w:rsidRPr="00AB1368">
              <w:t>0.907</w:t>
            </w:r>
          </w:p>
        </w:tc>
      </w:tr>
      <w:tr w:rsidR="00AB1368" w:rsidRPr="00AB1368" w14:paraId="0F9F3D6F" w14:textId="77777777" w:rsidTr="008D0261">
        <w:trPr>
          <w:trHeight w:val="60"/>
        </w:trPr>
        <w:tc>
          <w:tcPr>
            <w:tcW w:w="2381" w:type="dxa"/>
            <w:vMerge/>
            <w:tcBorders>
              <w:bottom w:val="single" w:sz="6" w:space="0" w:color="1E4496" w:themeColor="text2"/>
            </w:tcBorders>
            <w:shd w:val="clear" w:color="auto" w:fill="DCF4FC" w:themeFill="background2" w:themeFillTint="33"/>
            <w:tcMar>
              <w:top w:w="102" w:type="dxa"/>
              <w:bottom w:w="102" w:type="dxa"/>
            </w:tcMar>
          </w:tcPr>
          <w:p w14:paraId="49A57133" w14:textId="77777777" w:rsidR="00AB1368" w:rsidRPr="00AB1368" w:rsidRDefault="00AB1368" w:rsidP="00AB1368">
            <w:pPr>
              <w:pStyle w:val="CDITable-RowLeft"/>
            </w:pPr>
          </w:p>
        </w:tc>
        <w:tc>
          <w:tcPr>
            <w:tcW w:w="1928"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AF48D16" w14:textId="77777777" w:rsidR="00AB1368" w:rsidRPr="00AB1368" w:rsidRDefault="00AB1368" w:rsidP="00AB1368">
            <w:pPr>
              <w:pStyle w:val="CDITable-RowLeft"/>
            </w:pPr>
            <w:r w:rsidRPr="00AB1368">
              <w:t>Influenza</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2D583D9" w14:textId="77777777" w:rsidR="00AB1368" w:rsidRPr="00AB1368" w:rsidRDefault="00AB1368" w:rsidP="00AB1368">
            <w:pPr>
              <w:pStyle w:val="CDITable-RowCentre"/>
            </w:pPr>
            <w:r w:rsidRPr="00AB1368">
              <w:t>37</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42FE33E" w14:textId="77777777" w:rsidR="00AB1368" w:rsidRPr="00AB1368" w:rsidRDefault="00AB1368" w:rsidP="00AB1368">
            <w:pPr>
              <w:pStyle w:val="CDITable-RowCentre"/>
            </w:pPr>
            <w:r w:rsidRPr="00AB1368">
              <w:t>70.4</w:t>
            </w:r>
          </w:p>
        </w:tc>
        <w:tc>
          <w:tcPr>
            <w:tcW w:w="1417"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0C2D78F9" w14:textId="77777777" w:rsidR="00AB1368" w:rsidRPr="00AB1368" w:rsidRDefault="00AB1368" w:rsidP="00AB1368">
            <w:pPr>
              <w:pStyle w:val="CDITable-RowCentre"/>
            </w:pPr>
            <w:r w:rsidRPr="00AB1368">
              <w:t>47.7–93.1</w:t>
            </w:r>
          </w:p>
        </w:tc>
        <w:tc>
          <w:tcPr>
            <w:tcW w:w="124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4786ABD1" w14:textId="77777777" w:rsidR="00AB1368" w:rsidRPr="00AB1368" w:rsidRDefault="00AB1368" w:rsidP="00AB1368">
            <w:pPr>
              <w:pStyle w:val="CDITable-RowCentre"/>
            </w:pPr>
            <w:r w:rsidRPr="00AB1368">
              <w:t>36</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47A5615" w14:textId="77777777" w:rsidR="00AB1368" w:rsidRPr="00AB1368" w:rsidRDefault="00AB1368" w:rsidP="00AB1368">
            <w:pPr>
              <w:pStyle w:val="CDITable-RowCentre"/>
            </w:pPr>
            <w:r w:rsidRPr="00AB1368">
              <w:t>75.6</w:t>
            </w:r>
          </w:p>
        </w:tc>
        <w:tc>
          <w:tcPr>
            <w:tcW w:w="158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4451F59" w14:textId="77777777" w:rsidR="00AB1368" w:rsidRPr="00AB1368" w:rsidRDefault="00AB1368" w:rsidP="00AB1368">
            <w:pPr>
              <w:pStyle w:val="CDITable-RowCentre"/>
            </w:pPr>
            <w:r w:rsidRPr="00AB1368">
              <w:t>50.9–100.2</w:t>
            </w:r>
          </w:p>
        </w:tc>
        <w:tc>
          <w:tcPr>
            <w:tcW w:w="102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AD06A41" w14:textId="77777777" w:rsidR="00AB1368" w:rsidRPr="00AB1368" w:rsidRDefault="00AB1368" w:rsidP="00AB1368">
            <w:pPr>
              <w:pStyle w:val="CDITable-RowCentre"/>
            </w:pPr>
            <w:r w:rsidRPr="00AB1368">
              <w:t>1.07</w:t>
            </w:r>
          </w:p>
        </w:tc>
        <w:tc>
          <w:tcPr>
            <w:tcW w:w="1020"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889200D" w14:textId="77777777" w:rsidR="00AB1368" w:rsidRPr="00AB1368" w:rsidRDefault="00AB1368" w:rsidP="00AB1368">
            <w:pPr>
              <w:pStyle w:val="CDITable-RowCentre"/>
            </w:pPr>
            <w:r w:rsidRPr="00AB1368">
              <w:t>0.762</w:t>
            </w:r>
          </w:p>
        </w:tc>
      </w:tr>
      <w:tr w:rsidR="00AB1368" w:rsidRPr="00AB1368" w14:paraId="52D177CE" w14:textId="77777777" w:rsidTr="008D0261">
        <w:trPr>
          <w:trHeight w:val="60"/>
        </w:trPr>
        <w:tc>
          <w:tcPr>
            <w:tcW w:w="2381" w:type="dxa"/>
            <w:vMerge w:val="restart"/>
            <w:tcBorders>
              <w:top w:val="single" w:sz="6" w:space="0" w:color="1E4496" w:themeColor="text2"/>
              <w:bottom w:val="single" w:sz="6" w:space="0" w:color="1E4496" w:themeColor="text2"/>
            </w:tcBorders>
            <w:shd w:val="clear" w:color="auto" w:fill="DCF4FC" w:themeFill="background2" w:themeFillTint="33"/>
            <w:tcMar>
              <w:top w:w="102" w:type="dxa"/>
              <w:left w:w="113" w:type="dxa"/>
              <w:bottom w:w="102" w:type="dxa"/>
              <w:right w:w="113" w:type="dxa"/>
            </w:tcMar>
            <w:vAlign w:val="center"/>
          </w:tcPr>
          <w:p w14:paraId="6B049354" w14:textId="77777777" w:rsidR="00AB1368" w:rsidRPr="00AB1368" w:rsidRDefault="00AB1368" w:rsidP="00AB1368">
            <w:pPr>
              <w:pStyle w:val="CDITable-RowLeft"/>
            </w:pPr>
            <w:r w:rsidRPr="00AB1368">
              <w:t>1–4 years (young children)</w:t>
            </w:r>
          </w:p>
        </w:tc>
        <w:tc>
          <w:tcPr>
            <w:tcW w:w="1928"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994ECB6" w14:textId="77777777" w:rsidR="00AB1368" w:rsidRPr="00AB1368" w:rsidRDefault="00AB1368" w:rsidP="00AB1368">
            <w:pPr>
              <w:pStyle w:val="CDITable-RowLeft"/>
            </w:pPr>
            <w:r w:rsidRPr="00AB1368">
              <w:t>Total for age group</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149CADF" w14:textId="77777777" w:rsidR="00AB1368" w:rsidRPr="00AB1368" w:rsidRDefault="00AB1368" w:rsidP="00AB1368">
            <w:pPr>
              <w:pStyle w:val="CDITable-RowCentre"/>
            </w:pPr>
            <w:r w:rsidRPr="00AB1368">
              <w:t>863</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6F8B52A" w14:textId="77777777" w:rsidR="00AB1368" w:rsidRPr="00AB1368" w:rsidRDefault="00AB1368" w:rsidP="00AB1368">
            <w:pPr>
              <w:pStyle w:val="CDITable-RowCentre"/>
            </w:pPr>
            <w:r w:rsidRPr="00AB1368">
              <w:t>—</w:t>
            </w:r>
          </w:p>
        </w:tc>
        <w:tc>
          <w:tcPr>
            <w:tcW w:w="1417"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5E4AD22A" w14:textId="77777777" w:rsidR="00AB1368" w:rsidRPr="00AB1368" w:rsidRDefault="00AB1368" w:rsidP="00AB1368">
            <w:pPr>
              <w:pStyle w:val="CDITable-RowCentre"/>
            </w:pPr>
            <w:r w:rsidRPr="00AB1368">
              <w:t>—</w:t>
            </w:r>
          </w:p>
        </w:tc>
        <w:tc>
          <w:tcPr>
            <w:tcW w:w="124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776D8127" w14:textId="77777777" w:rsidR="00AB1368" w:rsidRPr="00AB1368" w:rsidRDefault="00AB1368" w:rsidP="00AB1368">
            <w:pPr>
              <w:pStyle w:val="CDITable-RowCentre"/>
            </w:pPr>
            <w:r w:rsidRPr="00AB1368">
              <w:t>906</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F00A496" w14:textId="77777777" w:rsidR="00AB1368" w:rsidRPr="00AB1368" w:rsidRDefault="00AB1368" w:rsidP="00AB1368">
            <w:pPr>
              <w:pStyle w:val="CDITable-RowCentre"/>
            </w:pPr>
            <w:r w:rsidRPr="00AB1368">
              <w:t>—</w:t>
            </w:r>
          </w:p>
        </w:tc>
        <w:tc>
          <w:tcPr>
            <w:tcW w:w="158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6B6EC3B" w14:textId="77777777" w:rsidR="00AB1368" w:rsidRPr="00AB1368" w:rsidRDefault="00AB1368" w:rsidP="00AB1368">
            <w:pPr>
              <w:pStyle w:val="CDITable-RowCentre"/>
            </w:pPr>
            <w:r w:rsidRPr="00AB1368">
              <w:t>—</w:t>
            </w:r>
          </w:p>
        </w:tc>
        <w:tc>
          <w:tcPr>
            <w:tcW w:w="102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2914FD4" w14:textId="77777777" w:rsidR="00AB1368" w:rsidRPr="00AB1368" w:rsidRDefault="00AB1368" w:rsidP="00AB1368">
            <w:pPr>
              <w:pStyle w:val="CDITable-RowCentre"/>
            </w:pPr>
            <w:r w:rsidRPr="00AB1368">
              <w:t>—</w:t>
            </w:r>
          </w:p>
        </w:tc>
        <w:tc>
          <w:tcPr>
            <w:tcW w:w="1020"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BB03AEE" w14:textId="77777777" w:rsidR="00AB1368" w:rsidRPr="00AB1368" w:rsidRDefault="00AB1368" w:rsidP="00AB1368">
            <w:pPr>
              <w:pStyle w:val="CDITable-RowCentre"/>
            </w:pPr>
            <w:r w:rsidRPr="00AB1368">
              <w:t>—</w:t>
            </w:r>
          </w:p>
        </w:tc>
      </w:tr>
      <w:tr w:rsidR="00AB1368" w:rsidRPr="00AB1368" w14:paraId="34A4CF6D" w14:textId="77777777" w:rsidTr="008D0261">
        <w:trPr>
          <w:trHeight w:val="60"/>
        </w:trPr>
        <w:tc>
          <w:tcPr>
            <w:tcW w:w="2381" w:type="dxa"/>
            <w:vMerge/>
            <w:tcBorders>
              <w:bottom w:val="single" w:sz="6" w:space="0" w:color="1E4496" w:themeColor="text2"/>
            </w:tcBorders>
            <w:shd w:val="clear" w:color="auto" w:fill="DCF4FC" w:themeFill="background2" w:themeFillTint="33"/>
            <w:tcMar>
              <w:top w:w="102" w:type="dxa"/>
              <w:bottom w:w="102" w:type="dxa"/>
            </w:tcMar>
          </w:tcPr>
          <w:p w14:paraId="48EE0548" w14:textId="77777777" w:rsidR="00AB1368" w:rsidRPr="00AB1368" w:rsidRDefault="00AB1368" w:rsidP="00AB1368"/>
        </w:tc>
        <w:tc>
          <w:tcPr>
            <w:tcW w:w="1928"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E4D8720" w14:textId="77777777" w:rsidR="00AB1368" w:rsidRPr="00AB1368" w:rsidRDefault="00AB1368" w:rsidP="00AB1368">
            <w:pPr>
              <w:pStyle w:val="CDITable-RowLeft"/>
            </w:pPr>
            <w:r w:rsidRPr="00AB1368">
              <w:t>Pneumococcal</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F45CD03" w14:textId="77777777" w:rsidR="00AB1368" w:rsidRPr="00AB1368" w:rsidRDefault="00AB1368" w:rsidP="00AB1368">
            <w:pPr>
              <w:pStyle w:val="CDITable-RowCentre"/>
            </w:pPr>
            <w:r w:rsidRPr="00AB1368">
              <w:t>120</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3D6C5A2" w14:textId="77777777" w:rsidR="00AB1368" w:rsidRPr="00AB1368" w:rsidRDefault="00AB1368" w:rsidP="00AB1368">
            <w:pPr>
              <w:pStyle w:val="CDITable-RowCentre"/>
            </w:pPr>
            <w:r w:rsidRPr="00AB1368">
              <w:t>161.7</w:t>
            </w:r>
          </w:p>
        </w:tc>
        <w:tc>
          <w:tcPr>
            <w:tcW w:w="1417"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01688DA7" w14:textId="77777777" w:rsidR="00AB1368" w:rsidRPr="00AB1368" w:rsidRDefault="00AB1368" w:rsidP="00AB1368">
            <w:pPr>
              <w:pStyle w:val="CDITable-RowCentre"/>
            </w:pPr>
            <w:r w:rsidRPr="00AB1368">
              <w:t>132.8–190.7</w:t>
            </w:r>
          </w:p>
        </w:tc>
        <w:tc>
          <w:tcPr>
            <w:tcW w:w="124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230F032E" w14:textId="77777777" w:rsidR="00AB1368" w:rsidRPr="00AB1368" w:rsidRDefault="00AB1368" w:rsidP="00AB1368">
            <w:pPr>
              <w:pStyle w:val="CDITable-RowCentre"/>
            </w:pPr>
            <w:r w:rsidRPr="00AB1368">
              <w:t>150</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1F9C871" w14:textId="77777777" w:rsidR="00AB1368" w:rsidRPr="00AB1368" w:rsidRDefault="00AB1368" w:rsidP="00AB1368">
            <w:pPr>
              <w:pStyle w:val="CDITable-RowCentre"/>
            </w:pPr>
            <w:r w:rsidRPr="00AB1368">
              <w:t>205.2</w:t>
            </w:r>
          </w:p>
        </w:tc>
        <w:tc>
          <w:tcPr>
            <w:tcW w:w="158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68B5607" w14:textId="77777777" w:rsidR="00AB1368" w:rsidRPr="00AB1368" w:rsidRDefault="00AB1368" w:rsidP="00AB1368">
            <w:pPr>
              <w:pStyle w:val="CDITable-RowCentre"/>
            </w:pPr>
            <w:r w:rsidRPr="00AB1368">
              <w:t>172.3–238.0</w:t>
            </w:r>
          </w:p>
        </w:tc>
        <w:tc>
          <w:tcPr>
            <w:tcW w:w="102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A702ADE" w14:textId="77777777" w:rsidR="00AB1368" w:rsidRPr="00AB1368" w:rsidRDefault="00AB1368" w:rsidP="00AB1368">
            <w:pPr>
              <w:pStyle w:val="CDITable-RowCentre"/>
            </w:pPr>
            <w:r w:rsidRPr="00AB1368">
              <w:t>1.27</w:t>
            </w:r>
          </w:p>
        </w:tc>
        <w:tc>
          <w:tcPr>
            <w:tcW w:w="1020"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C293A0C" w14:textId="77777777" w:rsidR="00AB1368" w:rsidRPr="00AB1368" w:rsidRDefault="00AB1368" w:rsidP="00AB1368">
            <w:pPr>
              <w:pStyle w:val="CDITable-RowCentre"/>
            </w:pPr>
            <w:r w:rsidRPr="00AB1368">
              <w:t>0.052</w:t>
            </w:r>
          </w:p>
        </w:tc>
      </w:tr>
      <w:tr w:rsidR="00AB1368" w:rsidRPr="00AB1368" w14:paraId="63360413" w14:textId="77777777" w:rsidTr="008D0261">
        <w:trPr>
          <w:trHeight w:val="60"/>
        </w:trPr>
        <w:tc>
          <w:tcPr>
            <w:tcW w:w="2381" w:type="dxa"/>
            <w:vMerge/>
            <w:tcBorders>
              <w:bottom w:val="single" w:sz="6" w:space="0" w:color="1E4496" w:themeColor="text2"/>
            </w:tcBorders>
            <w:shd w:val="clear" w:color="auto" w:fill="DCF4FC" w:themeFill="background2" w:themeFillTint="33"/>
            <w:tcMar>
              <w:top w:w="102" w:type="dxa"/>
              <w:bottom w:w="102" w:type="dxa"/>
            </w:tcMar>
          </w:tcPr>
          <w:p w14:paraId="31B6661C" w14:textId="77777777" w:rsidR="00AB1368" w:rsidRPr="00AB1368" w:rsidRDefault="00AB1368" w:rsidP="00AB1368"/>
        </w:tc>
        <w:tc>
          <w:tcPr>
            <w:tcW w:w="1928"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D780E06" w14:textId="77777777" w:rsidR="00AB1368" w:rsidRPr="008D0261" w:rsidRDefault="00AB1368" w:rsidP="00AB1368">
            <w:pPr>
              <w:pStyle w:val="CDITable-RowLeft"/>
              <w:rPr>
                <w:b/>
                <w:bCs/>
              </w:rPr>
            </w:pPr>
            <w:r w:rsidRPr="008D0261">
              <w:rPr>
                <w:b/>
                <w:bCs/>
              </w:rPr>
              <w:t xml:space="preserve">Meningococcal </w:t>
            </w:r>
            <w:proofErr w:type="spellStart"/>
            <w:r w:rsidRPr="008D0261">
              <w:rPr>
                <w:b/>
                <w:bCs/>
              </w:rPr>
              <w:t>B</w:t>
            </w:r>
            <w:r w:rsidRPr="008D0261">
              <w:rPr>
                <w:b/>
                <w:bCs/>
                <w:vertAlign w:val="superscript"/>
              </w:rPr>
              <w:t>g</w:t>
            </w:r>
            <w:proofErr w:type="spellEnd"/>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1BECB74" w14:textId="77777777" w:rsidR="00AB1368" w:rsidRPr="008D0261" w:rsidRDefault="00AB1368" w:rsidP="00AB1368">
            <w:pPr>
              <w:pStyle w:val="CDITable-RowCentre"/>
              <w:rPr>
                <w:b/>
                <w:bCs/>
              </w:rPr>
            </w:pPr>
            <w:r w:rsidRPr="008D0261">
              <w:rPr>
                <w:b/>
                <w:bCs/>
              </w:rPr>
              <w:t>50</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F9001B9" w14:textId="77777777" w:rsidR="00AB1368" w:rsidRPr="008D0261" w:rsidRDefault="00AB1368" w:rsidP="00AB1368">
            <w:pPr>
              <w:pStyle w:val="CDITable-RowCentre"/>
              <w:rPr>
                <w:b/>
                <w:bCs/>
              </w:rPr>
            </w:pPr>
            <w:r w:rsidRPr="008D0261">
              <w:rPr>
                <w:b/>
                <w:bCs/>
              </w:rPr>
              <w:t>169.5</w:t>
            </w:r>
          </w:p>
        </w:tc>
        <w:tc>
          <w:tcPr>
            <w:tcW w:w="1417"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629EF537" w14:textId="77777777" w:rsidR="00AB1368" w:rsidRPr="008D0261" w:rsidRDefault="00AB1368" w:rsidP="00AB1368">
            <w:pPr>
              <w:pStyle w:val="CDITable-RowCentre"/>
              <w:rPr>
                <w:b/>
                <w:bCs/>
              </w:rPr>
            </w:pPr>
            <w:r w:rsidRPr="008D0261">
              <w:rPr>
                <w:b/>
                <w:bCs/>
              </w:rPr>
              <w:t>122.5–216.5</w:t>
            </w:r>
          </w:p>
        </w:tc>
        <w:tc>
          <w:tcPr>
            <w:tcW w:w="124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0732251D" w14:textId="77777777" w:rsidR="00AB1368" w:rsidRPr="008D0261" w:rsidRDefault="00AB1368" w:rsidP="00AB1368">
            <w:pPr>
              <w:pStyle w:val="CDITable-RowCentre"/>
              <w:rPr>
                <w:b/>
                <w:bCs/>
              </w:rPr>
            </w:pPr>
            <w:r w:rsidRPr="008D0261">
              <w:rPr>
                <w:b/>
                <w:bCs/>
              </w:rPr>
              <w:t>70</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9C66CC1" w14:textId="77777777" w:rsidR="00AB1368" w:rsidRPr="008D0261" w:rsidRDefault="00AB1368" w:rsidP="00AB1368">
            <w:pPr>
              <w:pStyle w:val="CDITable-RowCentre"/>
              <w:rPr>
                <w:b/>
                <w:bCs/>
              </w:rPr>
            </w:pPr>
            <w:r w:rsidRPr="008D0261">
              <w:rPr>
                <w:b/>
                <w:bCs/>
              </w:rPr>
              <w:t>296.8</w:t>
            </w:r>
          </w:p>
        </w:tc>
        <w:tc>
          <w:tcPr>
            <w:tcW w:w="158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C46E9D3" w14:textId="77777777" w:rsidR="00AB1368" w:rsidRPr="008D0261" w:rsidRDefault="00AB1368" w:rsidP="00AB1368">
            <w:pPr>
              <w:pStyle w:val="CDITable-RowCentre"/>
              <w:rPr>
                <w:b/>
                <w:bCs/>
              </w:rPr>
            </w:pPr>
            <w:r w:rsidRPr="008D0261">
              <w:rPr>
                <w:b/>
                <w:bCs/>
              </w:rPr>
              <w:t>227.3–366.3</w:t>
            </w:r>
          </w:p>
        </w:tc>
        <w:tc>
          <w:tcPr>
            <w:tcW w:w="102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78528F6" w14:textId="77777777" w:rsidR="00AB1368" w:rsidRPr="008D0261" w:rsidRDefault="00AB1368" w:rsidP="00AB1368">
            <w:pPr>
              <w:pStyle w:val="CDITable-RowCentre"/>
              <w:rPr>
                <w:b/>
                <w:bCs/>
              </w:rPr>
            </w:pPr>
            <w:r w:rsidRPr="008D0261">
              <w:rPr>
                <w:b/>
                <w:bCs/>
              </w:rPr>
              <w:t>1.75</w:t>
            </w:r>
          </w:p>
        </w:tc>
        <w:tc>
          <w:tcPr>
            <w:tcW w:w="1020"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A8108A9" w14:textId="77777777" w:rsidR="00AB1368" w:rsidRPr="008D0261" w:rsidRDefault="00AB1368" w:rsidP="00AB1368">
            <w:pPr>
              <w:pStyle w:val="CDITable-RowCentre"/>
              <w:rPr>
                <w:b/>
                <w:bCs/>
              </w:rPr>
            </w:pPr>
            <w:r w:rsidRPr="008D0261">
              <w:rPr>
                <w:b/>
                <w:bCs/>
              </w:rPr>
              <w:t>0.002</w:t>
            </w:r>
          </w:p>
        </w:tc>
      </w:tr>
      <w:tr w:rsidR="00AB1368" w:rsidRPr="00AB1368" w14:paraId="12109B5F" w14:textId="77777777" w:rsidTr="008D0261">
        <w:trPr>
          <w:trHeight w:val="60"/>
        </w:trPr>
        <w:tc>
          <w:tcPr>
            <w:tcW w:w="2381" w:type="dxa"/>
            <w:vMerge/>
            <w:tcBorders>
              <w:bottom w:val="single" w:sz="6" w:space="0" w:color="1E4496" w:themeColor="text2"/>
            </w:tcBorders>
            <w:shd w:val="clear" w:color="auto" w:fill="DCF4FC" w:themeFill="background2" w:themeFillTint="33"/>
            <w:tcMar>
              <w:top w:w="102" w:type="dxa"/>
              <w:bottom w:w="102" w:type="dxa"/>
            </w:tcMar>
          </w:tcPr>
          <w:p w14:paraId="2A472E16" w14:textId="77777777" w:rsidR="00AB1368" w:rsidRPr="00AB1368" w:rsidRDefault="00AB1368" w:rsidP="00AB1368"/>
        </w:tc>
        <w:tc>
          <w:tcPr>
            <w:tcW w:w="1928"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7BFCC06" w14:textId="77777777" w:rsidR="00AB1368" w:rsidRPr="008D0261" w:rsidRDefault="00AB1368" w:rsidP="00AB1368">
            <w:pPr>
              <w:pStyle w:val="CDITable-RowLeft"/>
              <w:rPr>
                <w:b/>
                <w:bCs/>
              </w:rPr>
            </w:pPr>
            <w:r w:rsidRPr="008D0261">
              <w:rPr>
                <w:b/>
                <w:bCs/>
              </w:rPr>
              <w:t>Influenza</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402C756" w14:textId="77777777" w:rsidR="00AB1368" w:rsidRPr="008D0261" w:rsidRDefault="00AB1368" w:rsidP="00AB1368">
            <w:pPr>
              <w:pStyle w:val="CDITable-RowCentre"/>
              <w:rPr>
                <w:b/>
                <w:bCs/>
              </w:rPr>
            </w:pPr>
            <w:r w:rsidRPr="008D0261">
              <w:rPr>
                <w:b/>
                <w:bCs/>
              </w:rPr>
              <w:t>148</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9A6212E" w14:textId="77777777" w:rsidR="00AB1368" w:rsidRPr="008D0261" w:rsidRDefault="00AB1368" w:rsidP="00AB1368">
            <w:pPr>
              <w:pStyle w:val="CDITable-RowCentre"/>
              <w:rPr>
                <w:b/>
                <w:bCs/>
              </w:rPr>
            </w:pPr>
            <w:r w:rsidRPr="008D0261">
              <w:rPr>
                <w:b/>
                <w:bCs/>
              </w:rPr>
              <w:t>78.7</w:t>
            </w:r>
          </w:p>
        </w:tc>
        <w:tc>
          <w:tcPr>
            <w:tcW w:w="1417"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5553D3FA" w14:textId="77777777" w:rsidR="00AB1368" w:rsidRPr="008D0261" w:rsidRDefault="00AB1368" w:rsidP="00AB1368">
            <w:pPr>
              <w:pStyle w:val="CDITable-RowCentre"/>
              <w:rPr>
                <w:b/>
                <w:bCs/>
              </w:rPr>
            </w:pPr>
            <w:r w:rsidRPr="008D0261">
              <w:rPr>
                <w:b/>
                <w:bCs/>
              </w:rPr>
              <w:t>66.0–91.4</w:t>
            </w:r>
          </w:p>
        </w:tc>
        <w:tc>
          <w:tcPr>
            <w:tcW w:w="124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0BF7F7BD" w14:textId="77777777" w:rsidR="00AB1368" w:rsidRPr="008D0261" w:rsidRDefault="00AB1368" w:rsidP="00AB1368">
            <w:pPr>
              <w:pStyle w:val="CDITable-RowCentre"/>
              <w:rPr>
                <w:b/>
                <w:bCs/>
              </w:rPr>
            </w:pPr>
            <w:r w:rsidRPr="008D0261">
              <w:rPr>
                <w:b/>
                <w:bCs/>
              </w:rPr>
              <w:t>176</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2E7BFF0" w14:textId="77777777" w:rsidR="00AB1368" w:rsidRPr="008D0261" w:rsidRDefault="00AB1368" w:rsidP="00AB1368">
            <w:pPr>
              <w:pStyle w:val="CDITable-RowCentre"/>
              <w:rPr>
                <w:b/>
                <w:bCs/>
              </w:rPr>
            </w:pPr>
            <w:r w:rsidRPr="008D0261">
              <w:rPr>
                <w:b/>
                <w:bCs/>
              </w:rPr>
              <w:t>99.4</w:t>
            </w:r>
          </w:p>
        </w:tc>
        <w:tc>
          <w:tcPr>
            <w:tcW w:w="158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FBB2F75" w14:textId="77777777" w:rsidR="00AB1368" w:rsidRPr="008D0261" w:rsidRDefault="00AB1368" w:rsidP="00AB1368">
            <w:pPr>
              <w:pStyle w:val="CDITable-RowCentre"/>
              <w:rPr>
                <w:b/>
                <w:bCs/>
              </w:rPr>
            </w:pPr>
            <w:r w:rsidRPr="008D0261">
              <w:rPr>
                <w:b/>
                <w:bCs/>
              </w:rPr>
              <w:t>84.7–114.1</w:t>
            </w:r>
          </w:p>
        </w:tc>
        <w:tc>
          <w:tcPr>
            <w:tcW w:w="102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B186A1A" w14:textId="77777777" w:rsidR="00AB1368" w:rsidRPr="008D0261" w:rsidRDefault="00AB1368" w:rsidP="00AB1368">
            <w:pPr>
              <w:pStyle w:val="CDITable-RowCentre"/>
              <w:rPr>
                <w:b/>
                <w:bCs/>
              </w:rPr>
            </w:pPr>
            <w:r w:rsidRPr="008D0261">
              <w:rPr>
                <w:b/>
                <w:bCs/>
              </w:rPr>
              <w:t>1.26</w:t>
            </w:r>
          </w:p>
        </w:tc>
        <w:tc>
          <w:tcPr>
            <w:tcW w:w="1020"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2AB560A" w14:textId="77777777" w:rsidR="00AB1368" w:rsidRPr="008D0261" w:rsidRDefault="00AB1368" w:rsidP="00AB1368">
            <w:pPr>
              <w:pStyle w:val="CDITable-RowCentre"/>
              <w:rPr>
                <w:b/>
                <w:bCs/>
              </w:rPr>
            </w:pPr>
            <w:r w:rsidRPr="008D0261">
              <w:rPr>
                <w:b/>
                <w:bCs/>
              </w:rPr>
              <w:t>0.036</w:t>
            </w:r>
          </w:p>
        </w:tc>
      </w:tr>
      <w:tr w:rsidR="00AB1368" w:rsidRPr="00AB1368" w14:paraId="32CAA757" w14:textId="77777777" w:rsidTr="008D0261">
        <w:trPr>
          <w:trHeight w:val="60"/>
        </w:trPr>
        <w:tc>
          <w:tcPr>
            <w:tcW w:w="2381" w:type="dxa"/>
            <w:vMerge/>
            <w:tcBorders>
              <w:bottom w:val="single" w:sz="6" w:space="0" w:color="1E4496" w:themeColor="text2"/>
            </w:tcBorders>
            <w:shd w:val="clear" w:color="auto" w:fill="DCF4FC" w:themeFill="background2" w:themeFillTint="33"/>
            <w:tcMar>
              <w:top w:w="102" w:type="dxa"/>
              <w:bottom w:w="102" w:type="dxa"/>
            </w:tcMar>
          </w:tcPr>
          <w:p w14:paraId="222547E8" w14:textId="77777777" w:rsidR="00AB1368" w:rsidRPr="00AB1368" w:rsidRDefault="00AB1368" w:rsidP="00AB1368"/>
        </w:tc>
        <w:tc>
          <w:tcPr>
            <w:tcW w:w="1928"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B445232" w14:textId="77777777" w:rsidR="00AB1368" w:rsidRPr="00AB1368" w:rsidRDefault="00AB1368" w:rsidP="00AB1368">
            <w:pPr>
              <w:pStyle w:val="CDITable-RowLeft"/>
            </w:pPr>
            <w:r w:rsidRPr="00AB1368">
              <w:t>MMR/MMRV</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7120382" w14:textId="77777777" w:rsidR="00AB1368" w:rsidRPr="00AB1368" w:rsidRDefault="00AB1368" w:rsidP="00AB1368">
            <w:pPr>
              <w:pStyle w:val="CDITable-RowCentre"/>
            </w:pPr>
            <w:r w:rsidRPr="00AB1368">
              <w:t>333</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91D66AB" w14:textId="77777777" w:rsidR="00AB1368" w:rsidRPr="00AB1368" w:rsidRDefault="00AB1368" w:rsidP="00AB1368">
            <w:pPr>
              <w:pStyle w:val="CDITable-RowCentre"/>
            </w:pPr>
            <w:r w:rsidRPr="00AB1368">
              <w:t>212.1</w:t>
            </w:r>
          </w:p>
        </w:tc>
        <w:tc>
          <w:tcPr>
            <w:tcW w:w="1417"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27F8A329" w14:textId="77777777" w:rsidR="00AB1368" w:rsidRPr="00AB1368" w:rsidRDefault="00AB1368" w:rsidP="00AB1368">
            <w:pPr>
              <w:pStyle w:val="CDITable-RowCentre"/>
            </w:pPr>
            <w:r w:rsidRPr="00AB1368">
              <w:t>189.3–234.9</w:t>
            </w:r>
          </w:p>
        </w:tc>
        <w:tc>
          <w:tcPr>
            <w:tcW w:w="124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08982B19" w14:textId="77777777" w:rsidR="00AB1368" w:rsidRPr="00AB1368" w:rsidRDefault="00AB1368" w:rsidP="00AB1368">
            <w:pPr>
              <w:pStyle w:val="CDITable-RowCentre"/>
            </w:pPr>
            <w:r w:rsidRPr="00AB1368">
              <w:t>339</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0BA1155" w14:textId="77777777" w:rsidR="00AB1368" w:rsidRPr="00AB1368" w:rsidRDefault="00AB1368" w:rsidP="00AB1368">
            <w:pPr>
              <w:pStyle w:val="CDITable-RowCentre"/>
            </w:pPr>
            <w:r w:rsidRPr="00AB1368">
              <w:t>225.9</w:t>
            </w:r>
          </w:p>
        </w:tc>
        <w:tc>
          <w:tcPr>
            <w:tcW w:w="158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D37CD03" w14:textId="77777777" w:rsidR="00AB1368" w:rsidRPr="00AB1368" w:rsidRDefault="00AB1368" w:rsidP="00AB1368">
            <w:pPr>
              <w:pStyle w:val="CDITable-RowCentre"/>
            </w:pPr>
            <w:r w:rsidRPr="00AB1368">
              <w:t>201.8–249.9</w:t>
            </w:r>
          </w:p>
        </w:tc>
        <w:tc>
          <w:tcPr>
            <w:tcW w:w="102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0C0AB7B" w14:textId="77777777" w:rsidR="00AB1368" w:rsidRPr="00AB1368" w:rsidRDefault="00AB1368" w:rsidP="00AB1368">
            <w:pPr>
              <w:pStyle w:val="CDITable-RowCentre"/>
            </w:pPr>
            <w:r w:rsidRPr="00AB1368">
              <w:t>1.06</w:t>
            </w:r>
          </w:p>
        </w:tc>
        <w:tc>
          <w:tcPr>
            <w:tcW w:w="1020"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A7F5AC8" w14:textId="77777777" w:rsidR="00AB1368" w:rsidRPr="00AB1368" w:rsidRDefault="00AB1368" w:rsidP="00AB1368">
            <w:pPr>
              <w:pStyle w:val="CDITable-RowCentre"/>
            </w:pPr>
            <w:r w:rsidRPr="00AB1368">
              <w:t>0.415</w:t>
            </w:r>
          </w:p>
        </w:tc>
      </w:tr>
      <w:tr w:rsidR="00AB1368" w:rsidRPr="00AB1368" w14:paraId="08E1CDA1" w14:textId="77777777" w:rsidTr="008D0261">
        <w:trPr>
          <w:trHeight w:val="60"/>
        </w:trPr>
        <w:tc>
          <w:tcPr>
            <w:tcW w:w="2381" w:type="dxa"/>
            <w:vMerge/>
            <w:tcBorders>
              <w:bottom w:val="single" w:sz="6" w:space="0" w:color="1E4496" w:themeColor="text2"/>
            </w:tcBorders>
            <w:shd w:val="clear" w:color="auto" w:fill="DCF4FC" w:themeFill="background2" w:themeFillTint="33"/>
            <w:tcMar>
              <w:top w:w="102" w:type="dxa"/>
              <w:bottom w:w="102" w:type="dxa"/>
            </w:tcMar>
          </w:tcPr>
          <w:p w14:paraId="238271AD" w14:textId="77777777" w:rsidR="00AB1368" w:rsidRPr="00AB1368" w:rsidRDefault="00AB1368" w:rsidP="00AB1368"/>
        </w:tc>
        <w:tc>
          <w:tcPr>
            <w:tcW w:w="1928"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E4FAEBF" w14:textId="77777777" w:rsidR="00AB1368" w:rsidRPr="008D0261" w:rsidRDefault="00AB1368" w:rsidP="00AB1368">
            <w:pPr>
              <w:pStyle w:val="CDITable-RowLeft"/>
              <w:rPr>
                <w:b/>
                <w:bCs/>
              </w:rPr>
            </w:pPr>
            <w:r w:rsidRPr="008D0261">
              <w:rPr>
                <w:b/>
                <w:bCs/>
              </w:rPr>
              <w:t>Meningococcal</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1EFB85E" w14:textId="77777777" w:rsidR="00AB1368" w:rsidRPr="008D0261" w:rsidRDefault="00AB1368" w:rsidP="00AB1368">
            <w:pPr>
              <w:pStyle w:val="CDITable-RowCentre"/>
              <w:rPr>
                <w:b/>
                <w:bCs/>
              </w:rPr>
            </w:pPr>
            <w:r w:rsidRPr="008D0261">
              <w:rPr>
                <w:b/>
                <w:bCs/>
              </w:rPr>
              <w:t>126</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480C5F7" w14:textId="77777777" w:rsidR="00AB1368" w:rsidRPr="008D0261" w:rsidRDefault="00AB1368" w:rsidP="00AB1368">
            <w:pPr>
              <w:pStyle w:val="CDITable-RowCentre"/>
              <w:rPr>
                <w:b/>
                <w:bCs/>
              </w:rPr>
            </w:pPr>
            <w:r w:rsidRPr="008D0261">
              <w:rPr>
                <w:b/>
                <w:bCs/>
              </w:rPr>
              <w:t>152.2</w:t>
            </w:r>
          </w:p>
        </w:tc>
        <w:tc>
          <w:tcPr>
            <w:tcW w:w="1417"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6B376A12" w14:textId="77777777" w:rsidR="00AB1368" w:rsidRPr="008D0261" w:rsidRDefault="00AB1368" w:rsidP="00AB1368">
            <w:pPr>
              <w:pStyle w:val="CDITable-RowCentre"/>
              <w:rPr>
                <w:b/>
                <w:bCs/>
              </w:rPr>
            </w:pPr>
            <w:r w:rsidRPr="008D0261">
              <w:rPr>
                <w:b/>
                <w:bCs/>
              </w:rPr>
              <w:t>125.6–178.8</w:t>
            </w:r>
          </w:p>
        </w:tc>
        <w:tc>
          <w:tcPr>
            <w:tcW w:w="124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47ED3078" w14:textId="77777777" w:rsidR="00AB1368" w:rsidRPr="008D0261" w:rsidRDefault="00AB1368" w:rsidP="00AB1368">
            <w:pPr>
              <w:pStyle w:val="CDITable-RowCentre"/>
              <w:rPr>
                <w:b/>
                <w:bCs/>
              </w:rPr>
            </w:pPr>
            <w:r w:rsidRPr="008D0261">
              <w:rPr>
                <w:b/>
                <w:bCs/>
              </w:rPr>
              <w:t>147</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1695637" w14:textId="77777777" w:rsidR="00AB1368" w:rsidRPr="008D0261" w:rsidRDefault="00AB1368" w:rsidP="00AB1368">
            <w:pPr>
              <w:pStyle w:val="CDITable-RowCentre"/>
              <w:rPr>
                <w:b/>
                <w:bCs/>
              </w:rPr>
            </w:pPr>
            <w:r w:rsidRPr="008D0261">
              <w:rPr>
                <w:b/>
                <w:bCs/>
              </w:rPr>
              <w:t>193.9</w:t>
            </w:r>
          </w:p>
        </w:tc>
        <w:tc>
          <w:tcPr>
            <w:tcW w:w="158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11D6806" w14:textId="77777777" w:rsidR="00AB1368" w:rsidRPr="008D0261" w:rsidRDefault="00AB1368" w:rsidP="00AB1368">
            <w:pPr>
              <w:pStyle w:val="CDITable-RowCentre"/>
              <w:rPr>
                <w:b/>
                <w:bCs/>
              </w:rPr>
            </w:pPr>
            <w:r w:rsidRPr="008D0261">
              <w:rPr>
                <w:b/>
                <w:bCs/>
              </w:rPr>
              <w:t>162.6–225.3</w:t>
            </w:r>
          </w:p>
        </w:tc>
        <w:tc>
          <w:tcPr>
            <w:tcW w:w="102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02CABB0" w14:textId="77777777" w:rsidR="00AB1368" w:rsidRPr="008D0261" w:rsidRDefault="00AB1368" w:rsidP="00AB1368">
            <w:pPr>
              <w:pStyle w:val="CDITable-RowCentre"/>
              <w:rPr>
                <w:b/>
                <w:bCs/>
              </w:rPr>
            </w:pPr>
            <w:r w:rsidRPr="008D0261">
              <w:rPr>
                <w:b/>
                <w:bCs/>
              </w:rPr>
              <w:t>1.27</w:t>
            </w:r>
          </w:p>
        </w:tc>
        <w:tc>
          <w:tcPr>
            <w:tcW w:w="1020"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CC33C02" w14:textId="77777777" w:rsidR="00AB1368" w:rsidRPr="008D0261" w:rsidRDefault="00AB1368" w:rsidP="00AB1368">
            <w:pPr>
              <w:pStyle w:val="CDITable-RowCentre"/>
              <w:rPr>
                <w:b/>
                <w:bCs/>
              </w:rPr>
            </w:pPr>
            <w:r w:rsidRPr="008D0261">
              <w:rPr>
                <w:b/>
                <w:bCs/>
              </w:rPr>
              <w:t>0.046</w:t>
            </w:r>
          </w:p>
        </w:tc>
      </w:tr>
      <w:tr w:rsidR="00AB1368" w:rsidRPr="00AB1368" w14:paraId="061BBBE6" w14:textId="77777777" w:rsidTr="008D0261">
        <w:trPr>
          <w:trHeight w:val="60"/>
        </w:trPr>
        <w:tc>
          <w:tcPr>
            <w:tcW w:w="2381" w:type="dxa"/>
            <w:vMerge/>
            <w:tcBorders>
              <w:bottom w:val="single" w:sz="6" w:space="0" w:color="1E4496" w:themeColor="text2"/>
            </w:tcBorders>
            <w:shd w:val="clear" w:color="auto" w:fill="DCF4FC" w:themeFill="background2" w:themeFillTint="33"/>
            <w:tcMar>
              <w:top w:w="102" w:type="dxa"/>
              <w:bottom w:w="102" w:type="dxa"/>
            </w:tcMar>
          </w:tcPr>
          <w:p w14:paraId="599A561B" w14:textId="77777777" w:rsidR="00AB1368" w:rsidRPr="00AB1368" w:rsidRDefault="00AB1368" w:rsidP="00AB1368"/>
        </w:tc>
        <w:tc>
          <w:tcPr>
            <w:tcW w:w="1928"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0E621A1" w14:textId="77777777" w:rsidR="00AB1368" w:rsidRPr="00AB1368" w:rsidRDefault="00AB1368" w:rsidP="00AB1368">
            <w:pPr>
              <w:pStyle w:val="CDITable-RowLeft"/>
            </w:pPr>
            <w:r w:rsidRPr="00AB1368">
              <w:t>DTP ± polio</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7A4CC77" w14:textId="77777777" w:rsidR="00AB1368" w:rsidRPr="00AB1368" w:rsidRDefault="00AB1368" w:rsidP="00AB1368">
            <w:pPr>
              <w:pStyle w:val="CDITable-RowCentre"/>
            </w:pPr>
            <w:r w:rsidRPr="00AB1368">
              <w:t>508</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844ED2A" w14:textId="77777777" w:rsidR="00AB1368" w:rsidRPr="00AB1368" w:rsidRDefault="00AB1368" w:rsidP="00AB1368">
            <w:pPr>
              <w:pStyle w:val="CDITable-RowCentre"/>
            </w:pPr>
            <w:r w:rsidRPr="00AB1368">
              <w:t>319.1</w:t>
            </w:r>
          </w:p>
        </w:tc>
        <w:tc>
          <w:tcPr>
            <w:tcW w:w="1417"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474B285E" w14:textId="77777777" w:rsidR="00AB1368" w:rsidRPr="00AB1368" w:rsidRDefault="00AB1368" w:rsidP="00AB1368">
            <w:pPr>
              <w:pStyle w:val="CDITable-RowCentre"/>
            </w:pPr>
            <w:r w:rsidRPr="00AB1368">
              <w:t>291.4–346.9</w:t>
            </w:r>
          </w:p>
        </w:tc>
        <w:tc>
          <w:tcPr>
            <w:tcW w:w="124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29587C43" w14:textId="77777777" w:rsidR="00AB1368" w:rsidRPr="00AB1368" w:rsidRDefault="00AB1368" w:rsidP="00AB1368">
            <w:pPr>
              <w:pStyle w:val="CDITable-RowCentre"/>
            </w:pPr>
            <w:r w:rsidRPr="00AB1368">
              <w:t>483</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2A3CF36" w14:textId="77777777" w:rsidR="00AB1368" w:rsidRPr="00AB1368" w:rsidRDefault="00AB1368" w:rsidP="00AB1368">
            <w:pPr>
              <w:pStyle w:val="CDITable-RowCentre"/>
            </w:pPr>
            <w:r w:rsidRPr="00AB1368">
              <w:t>312.2</w:t>
            </w:r>
          </w:p>
        </w:tc>
        <w:tc>
          <w:tcPr>
            <w:tcW w:w="158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1511F4A" w14:textId="77777777" w:rsidR="00AB1368" w:rsidRPr="00AB1368" w:rsidRDefault="00AB1368" w:rsidP="00AB1368">
            <w:pPr>
              <w:pStyle w:val="CDITable-RowCentre"/>
            </w:pPr>
            <w:r w:rsidRPr="00AB1368">
              <w:t>284.4–340.1</w:t>
            </w:r>
          </w:p>
        </w:tc>
        <w:tc>
          <w:tcPr>
            <w:tcW w:w="102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02A1719" w14:textId="77777777" w:rsidR="00AB1368" w:rsidRPr="00AB1368" w:rsidRDefault="00AB1368" w:rsidP="00AB1368">
            <w:pPr>
              <w:pStyle w:val="CDITable-RowCentre"/>
            </w:pPr>
            <w:r w:rsidRPr="00AB1368">
              <w:t>0.98</w:t>
            </w:r>
          </w:p>
        </w:tc>
        <w:tc>
          <w:tcPr>
            <w:tcW w:w="1020"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9C50348" w14:textId="77777777" w:rsidR="00AB1368" w:rsidRPr="00AB1368" w:rsidRDefault="00AB1368" w:rsidP="00AB1368">
            <w:pPr>
              <w:pStyle w:val="CDITable-RowCentre"/>
            </w:pPr>
            <w:r w:rsidRPr="00AB1368">
              <w:t>0.730</w:t>
            </w:r>
          </w:p>
        </w:tc>
      </w:tr>
      <w:tr w:rsidR="00AB1368" w:rsidRPr="00AB1368" w14:paraId="4A07DD04" w14:textId="77777777" w:rsidTr="008D0261">
        <w:trPr>
          <w:trHeight w:val="60"/>
        </w:trPr>
        <w:tc>
          <w:tcPr>
            <w:tcW w:w="2381" w:type="dxa"/>
            <w:vMerge/>
            <w:tcBorders>
              <w:bottom w:val="single" w:sz="6" w:space="0" w:color="1E4496" w:themeColor="text2"/>
            </w:tcBorders>
            <w:shd w:val="clear" w:color="auto" w:fill="DCF4FC" w:themeFill="background2" w:themeFillTint="33"/>
            <w:tcMar>
              <w:top w:w="102" w:type="dxa"/>
              <w:bottom w:w="102" w:type="dxa"/>
            </w:tcMar>
          </w:tcPr>
          <w:p w14:paraId="710418C1" w14:textId="77777777" w:rsidR="00AB1368" w:rsidRPr="00AB1368" w:rsidRDefault="00AB1368" w:rsidP="00AB1368"/>
        </w:tc>
        <w:tc>
          <w:tcPr>
            <w:tcW w:w="1928"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53698C7" w14:textId="77777777" w:rsidR="00AB1368" w:rsidRPr="00AB1368" w:rsidRDefault="00AB1368" w:rsidP="00AB1368">
            <w:pPr>
              <w:pStyle w:val="CDITable-RowLeft"/>
            </w:pPr>
            <w:r w:rsidRPr="00AB1368">
              <w:t>Hib</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A8FDD16" w14:textId="77777777" w:rsidR="00AB1368" w:rsidRPr="00AB1368" w:rsidRDefault="00AB1368" w:rsidP="00AB1368">
            <w:pPr>
              <w:pStyle w:val="CDITable-RowCentre"/>
            </w:pPr>
            <w:r w:rsidRPr="00AB1368">
              <w:t>166</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C218A2E" w14:textId="77777777" w:rsidR="00AB1368" w:rsidRPr="00AB1368" w:rsidRDefault="00AB1368" w:rsidP="00AB1368">
            <w:pPr>
              <w:pStyle w:val="CDITable-RowCentre"/>
            </w:pPr>
            <w:r w:rsidRPr="00AB1368">
              <w:t>218.6</w:t>
            </w:r>
          </w:p>
        </w:tc>
        <w:tc>
          <w:tcPr>
            <w:tcW w:w="1417"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0DBEE3DA" w14:textId="77777777" w:rsidR="00AB1368" w:rsidRPr="00AB1368" w:rsidRDefault="00AB1368" w:rsidP="00AB1368">
            <w:pPr>
              <w:pStyle w:val="CDITable-RowCentre"/>
            </w:pPr>
            <w:r w:rsidRPr="00AB1368">
              <w:t>185.4–251.9</w:t>
            </w:r>
          </w:p>
        </w:tc>
        <w:tc>
          <w:tcPr>
            <w:tcW w:w="124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6F37CD34" w14:textId="77777777" w:rsidR="00AB1368" w:rsidRPr="00AB1368" w:rsidRDefault="00AB1368" w:rsidP="00AB1368">
            <w:pPr>
              <w:pStyle w:val="CDITable-RowCentre"/>
            </w:pPr>
            <w:r w:rsidRPr="00AB1368">
              <w:t>184</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AC827C5" w14:textId="77777777" w:rsidR="00AB1368" w:rsidRPr="00AB1368" w:rsidRDefault="00AB1368" w:rsidP="00AB1368">
            <w:pPr>
              <w:pStyle w:val="CDITable-RowCentre"/>
            </w:pPr>
            <w:r w:rsidRPr="00AB1368">
              <w:t>247.5</w:t>
            </w:r>
          </w:p>
        </w:tc>
        <w:tc>
          <w:tcPr>
            <w:tcW w:w="158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BAA8F59" w14:textId="77777777" w:rsidR="00AB1368" w:rsidRPr="00AB1368" w:rsidRDefault="00AB1368" w:rsidP="00AB1368">
            <w:pPr>
              <w:pStyle w:val="CDITable-RowCentre"/>
            </w:pPr>
            <w:r w:rsidRPr="00AB1368">
              <w:t>211.8–283.3</w:t>
            </w:r>
          </w:p>
        </w:tc>
        <w:tc>
          <w:tcPr>
            <w:tcW w:w="102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94A40EB" w14:textId="77777777" w:rsidR="00AB1368" w:rsidRPr="00AB1368" w:rsidRDefault="00AB1368" w:rsidP="00AB1368">
            <w:pPr>
              <w:pStyle w:val="CDITable-RowCentre"/>
            </w:pPr>
            <w:r w:rsidRPr="00AB1368">
              <w:t>1.13</w:t>
            </w:r>
          </w:p>
        </w:tc>
        <w:tc>
          <w:tcPr>
            <w:tcW w:w="1020"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0A94D51" w14:textId="77777777" w:rsidR="00AB1368" w:rsidRPr="00AB1368" w:rsidRDefault="00AB1368" w:rsidP="00AB1368">
            <w:pPr>
              <w:pStyle w:val="CDITable-RowCentre"/>
            </w:pPr>
            <w:r w:rsidRPr="00AB1368">
              <w:t>0.246</w:t>
            </w:r>
          </w:p>
        </w:tc>
      </w:tr>
      <w:tr w:rsidR="00AB1368" w:rsidRPr="00AB1368" w14:paraId="6171FB34" w14:textId="77777777" w:rsidTr="008D0261">
        <w:trPr>
          <w:trHeight w:val="60"/>
        </w:trPr>
        <w:tc>
          <w:tcPr>
            <w:tcW w:w="2381" w:type="dxa"/>
            <w:vMerge/>
            <w:tcBorders>
              <w:bottom w:val="single" w:sz="6" w:space="0" w:color="1E4496" w:themeColor="text2"/>
            </w:tcBorders>
            <w:shd w:val="clear" w:color="auto" w:fill="DCF4FC" w:themeFill="background2" w:themeFillTint="33"/>
            <w:tcMar>
              <w:top w:w="102" w:type="dxa"/>
              <w:bottom w:w="102" w:type="dxa"/>
            </w:tcMar>
          </w:tcPr>
          <w:p w14:paraId="2AB6ABF6" w14:textId="77777777" w:rsidR="00AB1368" w:rsidRPr="00AB1368" w:rsidRDefault="00AB1368" w:rsidP="00AB1368"/>
        </w:tc>
        <w:tc>
          <w:tcPr>
            <w:tcW w:w="1928"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CEFB71D" w14:textId="77777777" w:rsidR="00AB1368" w:rsidRPr="00AB1368" w:rsidRDefault="00AB1368" w:rsidP="00AB1368">
            <w:pPr>
              <w:pStyle w:val="CDITable-RowLeft"/>
            </w:pPr>
            <w:r w:rsidRPr="00AB1368">
              <w:t>TB</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3509698" w14:textId="77777777" w:rsidR="00AB1368" w:rsidRPr="00AB1368" w:rsidRDefault="00AB1368" w:rsidP="00AB1368">
            <w:pPr>
              <w:pStyle w:val="CDITable-RowCentre"/>
            </w:pPr>
            <w:r w:rsidRPr="00AB1368">
              <w:t>13</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5AE34DC" w14:textId="77777777" w:rsidR="00AB1368" w:rsidRPr="00AB1368" w:rsidRDefault="00AB1368" w:rsidP="00AB1368">
            <w:pPr>
              <w:pStyle w:val="CDITable-RowCentre"/>
            </w:pPr>
            <w:r w:rsidRPr="00AB1368">
              <w:t>834.4</w:t>
            </w:r>
          </w:p>
        </w:tc>
        <w:tc>
          <w:tcPr>
            <w:tcW w:w="1417"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172ECE7D" w14:textId="77777777" w:rsidR="00AB1368" w:rsidRPr="00AB1368" w:rsidRDefault="00AB1368" w:rsidP="00AB1368">
            <w:pPr>
              <w:pStyle w:val="CDITable-RowCentre"/>
            </w:pPr>
            <w:r w:rsidRPr="00AB1368">
              <w:t>380.8–1,288.0</w:t>
            </w:r>
          </w:p>
        </w:tc>
        <w:tc>
          <w:tcPr>
            <w:tcW w:w="124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79B460D5" w14:textId="77777777" w:rsidR="00AB1368" w:rsidRPr="00AB1368" w:rsidRDefault="00AB1368" w:rsidP="00AB1368">
            <w:pPr>
              <w:pStyle w:val="CDITable-RowCentre"/>
            </w:pPr>
            <w:r w:rsidRPr="00AB1368">
              <w:t>24</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7F3B9E7" w14:textId="77777777" w:rsidR="00AB1368" w:rsidRPr="00AB1368" w:rsidRDefault="00AB1368" w:rsidP="00AB1368">
            <w:pPr>
              <w:pStyle w:val="CDITable-RowCentre"/>
            </w:pPr>
            <w:r w:rsidRPr="00AB1368">
              <w:t>3380.3</w:t>
            </w:r>
          </w:p>
        </w:tc>
        <w:tc>
          <w:tcPr>
            <w:tcW w:w="158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C2F8365" w14:textId="77777777" w:rsidR="00AB1368" w:rsidRPr="00AB1368" w:rsidRDefault="00AB1368" w:rsidP="00AB1368">
            <w:pPr>
              <w:pStyle w:val="CDITable-RowCentre"/>
            </w:pPr>
            <w:r w:rsidRPr="00AB1368">
              <w:t>2,027.9–4,732.7</w:t>
            </w:r>
          </w:p>
        </w:tc>
        <w:tc>
          <w:tcPr>
            <w:tcW w:w="102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5D0A789" w14:textId="77777777" w:rsidR="00AB1368" w:rsidRPr="00AB1368" w:rsidRDefault="00AB1368" w:rsidP="00AB1368">
            <w:pPr>
              <w:pStyle w:val="CDITable-RowCentre"/>
            </w:pPr>
            <w:r w:rsidRPr="00AB1368">
              <w:t>4.05</w:t>
            </w:r>
          </w:p>
        </w:tc>
        <w:tc>
          <w:tcPr>
            <w:tcW w:w="1020"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0B817B2" w14:textId="77777777" w:rsidR="00AB1368" w:rsidRPr="00AB1368" w:rsidRDefault="00AB1368" w:rsidP="00AB1368">
            <w:pPr>
              <w:pStyle w:val="CDITable-RowCentre"/>
            </w:pPr>
            <w:r w:rsidRPr="00AB1368">
              <w:t>&lt; 0.001</w:t>
            </w:r>
          </w:p>
        </w:tc>
      </w:tr>
      <w:tr w:rsidR="00AB1368" w:rsidRPr="00AB1368" w14:paraId="5267CA70" w14:textId="77777777" w:rsidTr="008D0261">
        <w:trPr>
          <w:trHeight w:val="60"/>
        </w:trPr>
        <w:tc>
          <w:tcPr>
            <w:tcW w:w="2381" w:type="dxa"/>
            <w:vMerge w:val="restart"/>
            <w:tcBorders>
              <w:top w:val="single" w:sz="6" w:space="0" w:color="1E4496" w:themeColor="text2"/>
              <w:bottom w:val="single" w:sz="6" w:space="0" w:color="1E4496" w:themeColor="text2"/>
            </w:tcBorders>
            <w:shd w:val="clear" w:color="auto" w:fill="DCF4FC" w:themeFill="background2" w:themeFillTint="33"/>
            <w:tcMar>
              <w:top w:w="102" w:type="dxa"/>
              <w:left w:w="113" w:type="dxa"/>
              <w:bottom w:w="102" w:type="dxa"/>
              <w:right w:w="113" w:type="dxa"/>
            </w:tcMar>
            <w:vAlign w:val="center"/>
          </w:tcPr>
          <w:p w14:paraId="6CBED753" w14:textId="77777777" w:rsidR="00AB1368" w:rsidRPr="00AB1368" w:rsidRDefault="00AB1368" w:rsidP="008D0261">
            <w:pPr>
              <w:pStyle w:val="CDITable-RowLeft"/>
              <w:keepNext/>
            </w:pPr>
            <w:r w:rsidRPr="00AB1368">
              <w:lastRenderedPageBreak/>
              <w:t>5–17 years (school aged)</w:t>
            </w:r>
          </w:p>
        </w:tc>
        <w:tc>
          <w:tcPr>
            <w:tcW w:w="1928"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0577865" w14:textId="77777777" w:rsidR="00AB1368" w:rsidRPr="00AB1368" w:rsidRDefault="00AB1368" w:rsidP="00AB1368">
            <w:pPr>
              <w:pStyle w:val="CDITable-RowLeft"/>
            </w:pPr>
            <w:r w:rsidRPr="00AB1368">
              <w:t>Total for age group</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6B2B499" w14:textId="77777777" w:rsidR="00AB1368" w:rsidRPr="00AB1368" w:rsidRDefault="00AB1368" w:rsidP="00AB1368">
            <w:pPr>
              <w:pStyle w:val="CDITable-RowCentre"/>
            </w:pPr>
            <w:r w:rsidRPr="00AB1368">
              <w:t>273</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0C73FCD" w14:textId="77777777" w:rsidR="00AB1368" w:rsidRPr="00AB1368" w:rsidRDefault="00AB1368" w:rsidP="00AB1368">
            <w:pPr>
              <w:pStyle w:val="CDITable-RowCentre"/>
            </w:pPr>
            <w:r w:rsidRPr="00AB1368">
              <w:t>—</w:t>
            </w:r>
          </w:p>
        </w:tc>
        <w:tc>
          <w:tcPr>
            <w:tcW w:w="1417"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26E77CBB" w14:textId="77777777" w:rsidR="00AB1368" w:rsidRPr="00AB1368" w:rsidRDefault="00AB1368" w:rsidP="00AB1368">
            <w:pPr>
              <w:pStyle w:val="CDITable-RowCentre"/>
            </w:pPr>
            <w:r w:rsidRPr="00AB1368">
              <w:t>—</w:t>
            </w:r>
          </w:p>
        </w:tc>
        <w:tc>
          <w:tcPr>
            <w:tcW w:w="124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19A8E315" w14:textId="77777777" w:rsidR="00AB1368" w:rsidRPr="00AB1368" w:rsidRDefault="00AB1368" w:rsidP="00AB1368">
            <w:pPr>
              <w:pStyle w:val="CDITable-RowCentre"/>
            </w:pPr>
            <w:r w:rsidRPr="00AB1368">
              <w:t>214</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F1C6B9A" w14:textId="77777777" w:rsidR="00AB1368" w:rsidRPr="00AB1368" w:rsidRDefault="00AB1368" w:rsidP="00AB1368">
            <w:pPr>
              <w:pStyle w:val="CDITable-RowCentre"/>
            </w:pPr>
            <w:r w:rsidRPr="00AB1368">
              <w:t>—</w:t>
            </w:r>
          </w:p>
        </w:tc>
        <w:tc>
          <w:tcPr>
            <w:tcW w:w="158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058DE06" w14:textId="77777777" w:rsidR="00AB1368" w:rsidRPr="00AB1368" w:rsidRDefault="00AB1368" w:rsidP="00AB1368">
            <w:pPr>
              <w:pStyle w:val="CDITable-RowCentre"/>
            </w:pPr>
            <w:r w:rsidRPr="00AB1368">
              <w:t>—</w:t>
            </w:r>
          </w:p>
        </w:tc>
        <w:tc>
          <w:tcPr>
            <w:tcW w:w="102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C4A2F05" w14:textId="77777777" w:rsidR="00AB1368" w:rsidRPr="00AB1368" w:rsidRDefault="00AB1368" w:rsidP="00AB1368">
            <w:pPr>
              <w:pStyle w:val="CDITable-RowCentre"/>
            </w:pPr>
            <w:r w:rsidRPr="00AB1368">
              <w:t>—</w:t>
            </w:r>
          </w:p>
        </w:tc>
        <w:tc>
          <w:tcPr>
            <w:tcW w:w="1020"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4FABE69" w14:textId="77777777" w:rsidR="00AB1368" w:rsidRPr="00AB1368" w:rsidRDefault="00AB1368" w:rsidP="00AB1368">
            <w:pPr>
              <w:pStyle w:val="CDITable-RowCentre"/>
            </w:pPr>
            <w:r w:rsidRPr="00AB1368">
              <w:t>—</w:t>
            </w:r>
          </w:p>
        </w:tc>
      </w:tr>
      <w:tr w:rsidR="00AB1368" w:rsidRPr="00AB1368" w14:paraId="3D096815" w14:textId="77777777" w:rsidTr="008D0261">
        <w:trPr>
          <w:trHeight w:val="60"/>
        </w:trPr>
        <w:tc>
          <w:tcPr>
            <w:tcW w:w="2381" w:type="dxa"/>
            <w:vMerge/>
            <w:tcBorders>
              <w:bottom w:val="single" w:sz="6" w:space="0" w:color="1E4496" w:themeColor="text2"/>
            </w:tcBorders>
            <w:shd w:val="clear" w:color="auto" w:fill="DCF4FC" w:themeFill="background2" w:themeFillTint="33"/>
            <w:tcMar>
              <w:top w:w="102" w:type="dxa"/>
              <w:bottom w:w="102" w:type="dxa"/>
            </w:tcMar>
          </w:tcPr>
          <w:p w14:paraId="72CE141C" w14:textId="77777777" w:rsidR="00AB1368" w:rsidRPr="00AB1368" w:rsidRDefault="00AB1368" w:rsidP="008D0261">
            <w:pPr>
              <w:pStyle w:val="CDITable-RowLeft"/>
              <w:keepNext/>
            </w:pPr>
          </w:p>
        </w:tc>
        <w:tc>
          <w:tcPr>
            <w:tcW w:w="1928"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6E665D0" w14:textId="77777777" w:rsidR="00AB1368" w:rsidRPr="008D0261" w:rsidRDefault="00AB1368" w:rsidP="00AB1368">
            <w:pPr>
              <w:pStyle w:val="CDITable-RowLeft"/>
              <w:rPr>
                <w:b/>
                <w:bCs/>
              </w:rPr>
            </w:pPr>
            <w:r w:rsidRPr="008D0261">
              <w:rPr>
                <w:b/>
                <w:bCs/>
              </w:rPr>
              <w:t>Influenza</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FDCCF47" w14:textId="77777777" w:rsidR="00AB1368" w:rsidRPr="008D0261" w:rsidRDefault="00AB1368" w:rsidP="00AB1368">
            <w:pPr>
              <w:pStyle w:val="CDITable-RowCentre"/>
              <w:rPr>
                <w:b/>
                <w:bCs/>
              </w:rPr>
            </w:pPr>
            <w:r w:rsidRPr="008D0261">
              <w:rPr>
                <w:b/>
                <w:bCs/>
              </w:rPr>
              <w:t>90</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508B427" w14:textId="77777777" w:rsidR="00AB1368" w:rsidRPr="008D0261" w:rsidRDefault="00AB1368" w:rsidP="00AB1368">
            <w:pPr>
              <w:pStyle w:val="CDITable-RowCentre"/>
              <w:rPr>
                <w:b/>
                <w:bCs/>
              </w:rPr>
            </w:pPr>
            <w:r w:rsidRPr="008D0261">
              <w:rPr>
                <w:b/>
                <w:bCs/>
              </w:rPr>
              <w:t>43.0</w:t>
            </w:r>
          </w:p>
        </w:tc>
        <w:tc>
          <w:tcPr>
            <w:tcW w:w="1417"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79F42271" w14:textId="77777777" w:rsidR="00AB1368" w:rsidRPr="008D0261" w:rsidRDefault="00AB1368" w:rsidP="00AB1368">
            <w:pPr>
              <w:pStyle w:val="CDITable-RowCentre"/>
              <w:rPr>
                <w:b/>
                <w:bCs/>
              </w:rPr>
            </w:pPr>
            <w:r w:rsidRPr="008D0261">
              <w:rPr>
                <w:b/>
                <w:bCs/>
              </w:rPr>
              <w:t>34.1–51.9</w:t>
            </w:r>
          </w:p>
        </w:tc>
        <w:tc>
          <w:tcPr>
            <w:tcW w:w="124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25DA46EF" w14:textId="77777777" w:rsidR="00AB1368" w:rsidRPr="008D0261" w:rsidRDefault="00AB1368" w:rsidP="00AB1368">
            <w:pPr>
              <w:pStyle w:val="CDITable-RowCentre"/>
              <w:rPr>
                <w:b/>
                <w:bCs/>
              </w:rPr>
            </w:pPr>
            <w:r w:rsidRPr="008D0261">
              <w:rPr>
                <w:b/>
                <w:bCs/>
              </w:rPr>
              <w:t>75</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1DFF84B" w14:textId="77777777" w:rsidR="00AB1368" w:rsidRPr="008D0261" w:rsidRDefault="00AB1368" w:rsidP="00AB1368">
            <w:pPr>
              <w:pStyle w:val="CDITable-RowCentre"/>
              <w:rPr>
                <w:b/>
                <w:bCs/>
              </w:rPr>
            </w:pPr>
            <w:r w:rsidRPr="008D0261">
              <w:rPr>
                <w:b/>
                <w:bCs/>
              </w:rPr>
              <w:t>29.9</w:t>
            </w:r>
          </w:p>
        </w:tc>
        <w:tc>
          <w:tcPr>
            <w:tcW w:w="158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8453B4C" w14:textId="77777777" w:rsidR="00AB1368" w:rsidRPr="008D0261" w:rsidRDefault="00AB1368" w:rsidP="00AB1368">
            <w:pPr>
              <w:pStyle w:val="CDITable-RowCentre"/>
              <w:rPr>
                <w:b/>
                <w:bCs/>
              </w:rPr>
            </w:pPr>
            <w:r w:rsidRPr="008D0261">
              <w:rPr>
                <w:b/>
                <w:bCs/>
              </w:rPr>
              <w:t>23.1–36.7</w:t>
            </w:r>
          </w:p>
        </w:tc>
        <w:tc>
          <w:tcPr>
            <w:tcW w:w="102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300BB96" w14:textId="77777777" w:rsidR="00AB1368" w:rsidRPr="008D0261" w:rsidRDefault="00AB1368" w:rsidP="00AB1368">
            <w:pPr>
              <w:pStyle w:val="CDITable-RowCentre"/>
              <w:rPr>
                <w:b/>
                <w:bCs/>
              </w:rPr>
            </w:pPr>
            <w:r w:rsidRPr="008D0261">
              <w:rPr>
                <w:b/>
                <w:bCs/>
              </w:rPr>
              <w:t>0.70</w:t>
            </w:r>
          </w:p>
        </w:tc>
        <w:tc>
          <w:tcPr>
            <w:tcW w:w="1020"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E292F53" w14:textId="77777777" w:rsidR="00AB1368" w:rsidRPr="008D0261" w:rsidRDefault="00AB1368" w:rsidP="00AB1368">
            <w:pPr>
              <w:pStyle w:val="CDITable-RowCentre"/>
              <w:rPr>
                <w:b/>
                <w:bCs/>
              </w:rPr>
            </w:pPr>
            <w:r w:rsidRPr="008D0261">
              <w:rPr>
                <w:b/>
                <w:bCs/>
              </w:rPr>
              <w:t>0.020</w:t>
            </w:r>
          </w:p>
        </w:tc>
      </w:tr>
      <w:tr w:rsidR="00AB1368" w:rsidRPr="00AB1368" w14:paraId="17F4517C" w14:textId="77777777" w:rsidTr="008D0261">
        <w:trPr>
          <w:trHeight w:val="60"/>
        </w:trPr>
        <w:tc>
          <w:tcPr>
            <w:tcW w:w="2381" w:type="dxa"/>
            <w:vMerge/>
            <w:tcBorders>
              <w:bottom w:val="single" w:sz="6" w:space="0" w:color="1E4496" w:themeColor="text2"/>
            </w:tcBorders>
            <w:shd w:val="clear" w:color="auto" w:fill="DCF4FC" w:themeFill="background2" w:themeFillTint="33"/>
            <w:tcMar>
              <w:top w:w="102" w:type="dxa"/>
              <w:bottom w:w="102" w:type="dxa"/>
            </w:tcMar>
          </w:tcPr>
          <w:p w14:paraId="2CEABAE2" w14:textId="77777777" w:rsidR="00AB1368" w:rsidRPr="00AB1368" w:rsidRDefault="00AB1368" w:rsidP="008D0261">
            <w:pPr>
              <w:pStyle w:val="CDITable-RowLeft"/>
              <w:keepNext/>
            </w:pPr>
          </w:p>
        </w:tc>
        <w:tc>
          <w:tcPr>
            <w:tcW w:w="1928"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4102DFE" w14:textId="77777777" w:rsidR="00AB1368" w:rsidRPr="008D0261" w:rsidRDefault="00AB1368" w:rsidP="00AB1368">
            <w:pPr>
              <w:pStyle w:val="CDITable-RowLeft"/>
              <w:rPr>
                <w:b/>
                <w:bCs/>
              </w:rPr>
            </w:pPr>
            <w:r w:rsidRPr="008D0261">
              <w:rPr>
                <w:b/>
                <w:bCs/>
              </w:rPr>
              <w:t>Meningococcal</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BC14476" w14:textId="77777777" w:rsidR="00AB1368" w:rsidRPr="008D0261" w:rsidRDefault="00AB1368" w:rsidP="00AB1368">
            <w:pPr>
              <w:pStyle w:val="CDITable-RowCentre"/>
              <w:rPr>
                <w:b/>
                <w:bCs/>
              </w:rPr>
            </w:pPr>
            <w:r w:rsidRPr="008D0261">
              <w:rPr>
                <w:b/>
                <w:bCs/>
              </w:rPr>
              <w:t>26</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06C3EE2" w14:textId="77777777" w:rsidR="00AB1368" w:rsidRPr="008D0261" w:rsidRDefault="00AB1368" w:rsidP="00AB1368">
            <w:pPr>
              <w:pStyle w:val="CDITable-RowCentre"/>
              <w:rPr>
                <w:b/>
                <w:bCs/>
              </w:rPr>
            </w:pPr>
            <w:r w:rsidRPr="008D0261">
              <w:rPr>
                <w:b/>
                <w:bCs/>
              </w:rPr>
              <w:t>287.1</w:t>
            </w:r>
          </w:p>
        </w:tc>
        <w:tc>
          <w:tcPr>
            <w:tcW w:w="1417"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53B519AD" w14:textId="77777777" w:rsidR="00AB1368" w:rsidRPr="008D0261" w:rsidRDefault="00AB1368" w:rsidP="00AB1368">
            <w:pPr>
              <w:pStyle w:val="CDITable-RowCentre"/>
              <w:rPr>
                <w:b/>
                <w:bCs/>
              </w:rPr>
            </w:pPr>
            <w:r w:rsidRPr="008D0261">
              <w:rPr>
                <w:b/>
                <w:bCs/>
              </w:rPr>
              <w:t>176.8–397.5</w:t>
            </w:r>
          </w:p>
        </w:tc>
        <w:tc>
          <w:tcPr>
            <w:tcW w:w="124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65A6D6D1" w14:textId="77777777" w:rsidR="00AB1368" w:rsidRPr="008D0261" w:rsidRDefault="00AB1368" w:rsidP="00AB1368">
            <w:pPr>
              <w:pStyle w:val="CDITable-RowCentre"/>
              <w:rPr>
                <w:b/>
                <w:bCs/>
              </w:rPr>
            </w:pPr>
            <w:r w:rsidRPr="008D0261">
              <w:rPr>
                <w:b/>
                <w:bCs/>
              </w:rPr>
              <w:t>28</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C8BF47B" w14:textId="77777777" w:rsidR="00AB1368" w:rsidRPr="008D0261" w:rsidRDefault="00AB1368" w:rsidP="00AB1368">
            <w:pPr>
              <w:pStyle w:val="CDITable-RowCentre"/>
              <w:rPr>
                <w:b/>
                <w:bCs/>
              </w:rPr>
            </w:pPr>
            <w:r w:rsidRPr="008D0261">
              <w:rPr>
                <w:b/>
                <w:bCs/>
              </w:rPr>
              <w:t>127.7</w:t>
            </w:r>
          </w:p>
        </w:tc>
        <w:tc>
          <w:tcPr>
            <w:tcW w:w="158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02EE362" w14:textId="77777777" w:rsidR="00AB1368" w:rsidRPr="008D0261" w:rsidRDefault="00AB1368" w:rsidP="00AB1368">
            <w:pPr>
              <w:pStyle w:val="CDITable-RowCentre"/>
              <w:rPr>
                <w:b/>
                <w:bCs/>
              </w:rPr>
            </w:pPr>
            <w:r w:rsidRPr="008D0261">
              <w:rPr>
                <w:b/>
                <w:bCs/>
              </w:rPr>
              <w:t>80.4–175.1</w:t>
            </w:r>
          </w:p>
        </w:tc>
        <w:tc>
          <w:tcPr>
            <w:tcW w:w="102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1D5F222" w14:textId="77777777" w:rsidR="00AB1368" w:rsidRPr="008D0261" w:rsidRDefault="00AB1368" w:rsidP="00AB1368">
            <w:pPr>
              <w:pStyle w:val="CDITable-RowCentre"/>
              <w:rPr>
                <w:b/>
                <w:bCs/>
              </w:rPr>
            </w:pPr>
            <w:r w:rsidRPr="008D0261">
              <w:rPr>
                <w:b/>
                <w:bCs/>
              </w:rPr>
              <w:t>0.44</w:t>
            </w:r>
          </w:p>
        </w:tc>
        <w:tc>
          <w:tcPr>
            <w:tcW w:w="1020"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7B6B96C" w14:textId="77777777" w:rsidR="00AB1368" w:rsidRPr="008D0261" w:rsidRDefault="00AB1368" w:rsidP="00AB1368">
            <w:pPr>
              <w:pStyle w:val="CDITable-RowCentre"/>
              <w:rPr>
                <w:b/>
                <w:bCs/>
              </w:rPr>
            </w:pPr>
            <w:r w:rsidRPr="008D0261">
              <w:rPr>
                <w:b/>
                <w:bCs/>
              </w:rPr>
              <w:t>0.004</w:t>
            </w:r>
          </w:p>
        </w:tc>
      </w:tr>
      <w:tr w:rsidR="00AB1368" w:rsidRPr="00AB1368" w14:paraId="5484468C" w14:textId="77777777" w:rsidTr="008D0261">
        <w:trPr>
          <w:trHeight w:val="60"/>
        </w:trPr>
        <w:tc>
          <w:tcPr>
            <w:tcW w:w="2381" w:type="dxa"/>
            <w:vMerge/>
            <w:tcBorders>
              <w:bottom w:val="single" w:sz="6" w:space="0" w:color="1E4496" w:themeColor="text2"/>
            </w:tcBorders>
            <w:shd w:val="clear" w:color="auto" w:fill="DCF4FC" w:themeFill="background2" w:themeFillTint="33"/>
            <w:tcMar>
              <w:top w:w="102" w:type="dxa"/>
              <w:bottom w:w="102" w:type="dxa"/>
            </w:tcMar>
          </w:tcPr>
          <w:p w14:paraId="12E6AF15" w14:textId="77777777" w:rsidR="00AB1368" w:rsidRPr="00AB1368" w:rsidRDefault="00AB1368" w:rsidP="008D0261">
            <w:pPr>
              <w:pStyle w:val="CDITable-RowLeft"/>
              <w:keepNext/>
            </w:pPr>
          </w:p>
        </w:tc>
        <w:tc>
          <w:tcPr>
            <w:tcW w:w="1928"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6D77279" w14:textId="77777777" w:rsidR="00AB1368" w:rsidRPr="00AB1368" w:rsidRDefault="00AB1368" w:rsidP="00AB1368">
            <w:pPr>
              <w:pStyle w:val="CDITable-RowLeft"/>
            </w:pPr>
            <w:r w:rsidRPr="00AB1368">
              <w:t>DTP</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24F6E7E" w14:textId="77777777" w:rsidR="00AB1368" w:rsidRPr="00AB1368" w:rsidRDefault="00AB1368" w:rsidP="00AB1368">
            <w:pPr>
              <w:pStyle w:val="CDITable-RowCentre"/>
            </w:pPr>
            <w:r w:rsidRPr="00AB1368">
              <w:t>80</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C4E85C8" w14:textId="77777777" w:rsidR="00AB1368" w:rsidRPr="00AB1368" w:rsidRDefault="00AB1368" w:rsidP="00AB1368">
            <w:pPr>
              <w:pStyle w:val="CDITable-RowCentre"/>
            </w:pPr>
            <w:r w:rsidRPr="00AB1368">
              <w:t>109.0</w:t>
            </w:r>
          </w:p>
        </w:tc>
        <w:tc>
          <w:tcPr>
            <w:tcW w:w="1417"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2B6F115E" w14:textId="77777777" w:rsidR="00AB1368" w:rsidRPr="00AB1368" w:rsidRDefault="00AB1368" w:rsidP="00AB1368">
            <w:pPr>
              <w:pStyle w:val="CDITable-RowCentre"/>
            </w:pPr>
            <w:r w:rsidRPr="00AB1368">
              <w:t>85.1, 132.9</w:t>
            </w:r>
          </w:p>
        </w:tc>
        <w:tc>
          <w:tcPr>
            <w:tcW w:w="124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5EFA071B" w14:textId="77777777" w:rsidR="00AB1368" w:rsidRPr="00AB1368" w:rsidRDefault="00AB1368" w:rsidP="00AB1368">
            <w:pPr>
              <w:pStyle w:val="CDITable-RowCentre"/>
            </w:pPr>
            <w:r w:rsidRPr="00AB1368">
              <w:t>62</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8EF8D59" w14:textId="77777777" w:rsidR="00AB1368" w:rsidRPr="00AB1368" w:rsidRDefault="00AB1368" w:rsidP="00AB1368">
            <w:pPr>
              <w:pStyle w:val="CDITable-RowCentre"/>
            </w:pPr>
            <w:r w:rsidRPr="00AB1368">
              <w:t>88.6</w:t>
            </w:r>
          </w:p>
        </w:tc>
        <w:tc>
          <w:tcPr>
            <w:tcW w:w="158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90E5072" w14:textId="77777777" w:rsidR="00AB1368" w:rsidRPr="00AB1368" w:rsidRDefault="00AB1368" w:rsidP="00AB1368">
            <w:pPr>
              <w:pStyle w:val="CDITable-RowCentre"/>
            </w:pPr>
            <w:r w:rsidRPr="00AB1368">
              <w:t>66.5–110.6</w:t>
            </w:r>
          </w:p>
        </w:tc>
        <w:tc>
          <w:tcPr>
            <w:tcW w:w="102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530F956" w14:textId="77777777" w:rsidR="00AB1368" w:rsidRPr="00AB1368" w:rsidRDefault="00AB1368" w:rsidP="00AB1368">
            <w:pPr>
              <w:pStyle w:val="CDITable-RowCentre"/>
            </w:pPr>
            <w:r w:rsidRPr="00AB1368">
              <w:t>0.81</w:t>
            </w:r>
          </w:p>
        </w:tc>
        <w:tc>
          <w:tcPr>
            <w:tcW w:w="1020"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2DA1C81" w14:textId="77777777" w:rsidR="00AB1368" w:rsidRPr="00AB1368" w:rsidRDefault="00AB1368" w:rsidP="00AB1368">
            <w:pPr>
              <w:pStyle w:val="CDITable-RowCentre"/>
            </w:pPr>
            <w:r w:rsidRPr="00AB1368">
              <w:t>0.220</w:t>
            </w:r>
          </w:p>
        </w:tc>
      </w:tr>
      <w:tr w:rsidR="00AB1368" w:rsidRPr="00AB1368" w14:paraId="2EB1E5B1" w14:textId="77777777" w:rsidTr="008D0261">
        <w:trPr>
          <w:trHeight w:val="60"/>
        </w:trPr>
        <w:tc>
          <w:tcPr>
            <w:tcW w:w="2381" w:type="dxa"/>
            <w:vMerge/>
            <w:tcBorders>
              <w:bottom w:val="single" w:sz="6" w:space="0" w:color="1E4496" w:themeColor="text2"/>
            </w:tcBorders>
            <w:shd w:val="clear" w:color="auto" w:fill="DCF4FC" w:themeFill="background2" w:themeFillTint="33"/>
            <w:tcMar>
              <w:top w:w="102" w:type="dxa"/>
              <w:bottom w:w="102" w:type="dxa"/>
            </w:tcMar>
          </w:tcPr>
          <w:p w14:paraId="71933FD9" w14:textId="77777777" w:rsidR="00AB1368" w:rsidRPr="00AB1368" w:rsidRDefault="00AB1368" w:rsidP="008D0261">
            <w:pPr>
              <w:pStyle w:val="CDITable-RowLeft"/>
              <w:keepNext/>
            </w:pPr>
          </w:p>
        </w:tc>
        <w:tc>
          <w:tcPr>
            <w:tcW w:w="1928"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905639D" w14:textId="77777777" w:rsidR="00AB1368" w:rsidRPr="00AB1368" w:rsidRDefault="00AB1368" w:rsidP="00AB1368">
            <w:pPr>
              <w:pStyle w:val="CDITable-RowLeft"/>
            </w:pPr>
            <w:r w:rsidRPr="00AB1368">
              <w:t>HPV</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ECB5A93" w14:textId="77777777" w:rsidR="00AB1368" w:rsidRPr="00AB1368" w:rsidRDefault="00AB1368" w:rsidP="00AB1368">
            <w:pPr>
              <w:pStyle w:val="CDITable-RowCentre"/>
            </w:pPr>
            <w:r w:rsidRPr="00AB1368">
              <w:t>96</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A5E7963" w14:textId="77777777" w:rsidR="00AB1368" w:rsidRPr="00AB1368" w:rsidRDefault="00AB1368" w:rsidP="00AB1368">
            <w:pPr>
              <w:pStyle w:val="CDITable-RowCentre"/>
            </w:pPr>
            <w:r w:rsidRPr="00AB1368">
              <w:t>69.9</w:t>
            </w:r>
          </w:p>
        </w:tc>
        <w:tc>
          <w:tcPr>
            <w:tcW w:w="1417"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1563CFD1" w14:textId="77777777" w:rsidR="00AB1368" w:rsidRPr="00AB1368" w:rsidRDefault="00AB1368" w:rsidP="00AB1368">
            <w:pPr>
              <w:pStyle w:val="CDITable-RowCentre"/>
            </w:pPr>
            <w:r w:rsidRPr="00AB1368">
              <w:t>55.9, 83.9</w:t>
            </w:r>
          </w:p>
        </w:tc>
        <w:tc>
          <w:tcPr>
            <w:tcW w:w="124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31283A5A" w14:textId="77777777" w:rsidR="00AB1368" w:rsidRPr="00AB1368" w:rsidRDefault="00AB1368" w:rsidP="00AB1368">
            <w:pPr>
              <w:pStyle w:val="CDITable-RowCentre"/>
            </w:pPr>
            <w:r w:rsidRPr="00AB1368">
              <w:t>77</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F5355BA" w14:textId="77777777" w:rsidR="00AB1368" w:rsidRPr="00AB1368" w:rsidRDefault="00AB1368" w:rsidP="00AB1368">
            <w:pPr>
              <w:pStyle w:val="CDITable-RowCentre"/>
            </w:pPr>
            <w:r w:rsidRPr="00AB1368">
              <w:t>60.4</w:t>
            </w:r>
          </w:p>
        </w:tc>
        <w:tc>
          <w:tcPr>
            <w:tcW w:w="158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B0CA1E6" w14:textId="77777777" w:rsidR="00AB1368" w:rsidRPr="00AB1368" w:rsidRDefault="00AB1368" w:rsidP="00AB1368">
            <w:pPr>
              <w:pStyle w:val="CDITable-RowCentre"/>
            </w:pPr>
            <w:r w:rsidRPr="00AB1368">
              <w:t>46.9–73.9</w:t>
            </w:r>
          </w:p>
        </w:tc>
        <w:tc>
          <w:tcPr>
            <w:tcW w:w="102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EABF2F5" w14:textId="77777777" w:rsidR="00AB1368" w:rsidRPr="00AB1368" w:rsidRDefault="00AB1368" w:rsidP="00AB1368">
            <w:pPr>
              <w:pStyle w:val="CDITable-RowCentre"/>
            </w:pPr>
            <w:r w:rsidRPr="00AB1368">
              <w:t>0.86</w:t>
            </w:r>
          </w:p>
        </w:tc>
        <w:tc>
          <w:tcPr>
            <w:tcW w:w="1020"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5948B55" w14:textId="77777777" w:rsidR="00AB1368" w:rsidRPr="00AB1368" w:rsidRDefault="00AB1368" w:rsidP="00AB1368">
            <w:pPr>
              <w:pStyle w:val="CDITable-RowCentre"/>
            </w:pPr>
            <w:r w:rsidRPr="00AB1368">
              <w:t>0.340</w:t>
            </w:r>
          </w:p>
        </w:tc>
      </w:tr>
      <w:tr w:rsidR="00AB1368" w:rsidRPr="00AB1368" w14:paraId="38A04294" w14:textId="77777777" w:rsidTr="008D0261">
        <w:trPr>
          <w:trHeight w:val="60"/>
        </w:trPr>
        <w:tc>
          <w:tcPr>
            <w:tcW w:w="2381" w:type="dxa"/>
            <w:vMerge w:val="restart"/>
            <w:tcBorders>
              <w:top w:val="single" w:sz="6" w:space="0" w:color="1E4496" w:themeColor="text2"/>
              <w:bottom w:val="single" w:sz="6" w:space="0" w:color="1E4496" w:themeColor="text2"/>
            </w:tcBorders>
            <w:shd w:val="clear" w:color="auto" w:fill="DCF4FC" w:themeFill="background2" w:themeFillTint="33"/>
            <w:tcMar>
              <w:top w:w="102" w:type="dxa"/>
              <w:left w:w="113" w:type="dxa"/>
              <w:bottom w:w="102" w:type="dxa"/>
              <w:right w:w="113" w:type="dxa"/>
            </w:tcMar>
            <w:vAlign w:val="center"/>
          </w:tcPr>
          <w:p w14:paraId="79C57869" w14:textId="77777777" w:rsidR="00AB1368" w:rsidRPr="00AB1368" w:rsidRDefault="00AB1368" w:rsidP="008D0261">
            <w:pPr>
              <w:pStyle w:val="CDITable-RowLeft"/>
              <w:keepNext/>
            </w:pPr>
            <w:r w:rsidRPr="00AB1368">
              <w:t>18–64 years (adults)</w:t>
            </w:r>
          </w:p>
        </w:tc>
        <w:tc>
          <w:tcPr>
            <w:tcW w:w="1928"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7A94E6E" w14:textId="77777777" w:rsidR="00AB1368" w:rsidRPr="00AB1368" w:rsidRDefault="00AB1368" w:rsidP="00AB1368">
            <w:pPr>
              <w:pStyle w:val="CDITable-RowLeft"/>
            </w:pPr>
            <w:r w:rsidRPr="00AB1368">
              <w:t>Total for age group</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5329639" w14:textId="77777777" w:rsidR="00AB1368" w:rsidRPr="00AB1368" w:rsidRDefault="00AB1368" w:rsidP="00AB1368">
            <w:pPr>
              <w:pStyle w:val="CDITable-RowCentre"/>
            </w:pPr>
            <w:r w:rsidRPr="00AB1368">
              <w:t>288</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0B9CE65" w14:textId="77777777" w:rsidR="00AB1368" w:rsidRPr="00AB1368" w:rsidRDefault="00AB1368" w:rsidP="00AB1368">
            <w:pPr>
              <w:pStyle w:val="CDITable-RowCentre"/>
            </w:pPr>
            <w:r w:rsidRPr="00AB1368">
              <w:t>—</w:t>
            </w:r>
          </w:p>
        </w:tc>
        <w:tc>
          <w:tcPr>
            <w:tcW w:w="1417"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132FA953" w14:textId="77777777" w:rsidR="00AB1368" w:rsidRPr="00AB1368" w:rsidRDefault="00AB1368" w:rsidP="00AB1368">
            <w:pPr>
              <w:pStyle w:val="CDITable-RowCentre"/>
            </w:pPr>
            <w:r w:rsidRPr="00AB1368">
              <w:t>—</w:t>
            </w:r>
          </w:p>
        </w:tc>
        <w:tc>
          <w:tcPr>
            <w:tcW w:w="124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267F8436" w14:textId="77777777" w:rsidR="00AB1368" w:rsidRPr="00AB1368" w:rsidRDefault="00AB1368" w:rsidP="00AB1368">
            <w:pPr>
              <w:pStyle w:val="CDITable-RowCentre"/>
            </w:pPr>
            <w:r w:rsidRPr="00AB1368">
              <w:t>269</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4FFC1CB" w14:textId="77777777" w:rsidR="00AB1368" w:rsidRPr="00AB1368" w:rsidRDefault="00AB1368" w:rsidP="00AB1368">
            <w:pPr>
              <w:pStyle w:val="CDITable-RowCentre"/>
            </w:pPr>
            <w:r w:rsidRPr="00AB1368">
              <w:t>—</w:t>
            </w:r>
          </w:p>
        </w:tc>
        <w:tc>
          <w:tcPr>
            <w:tcW w:w="158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2BA48BC" w14:textId="77777777" w:rsidR="00AB1368" w:rsidRPr="00AB1368" w:rsidRDefault="00AB1368" w:rsidP="00AB1368">
            <w:pPr>
              <w:pStyle w:val="CDITable-RowCentre"/>
            </w:pPr>
            <w:r w:rsidRPr="00AB1368">
              <w:t>—</w:t>
            </w:r>
          </w:p>
        </w:tc>
        <w:tc>
          <w:tcPr>
            <w:tcW w:w="102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F8532C9" w14:textId="77777777" w:rsidR="00AB1368" w:rsidRPr="00AB1368" w:rsidRDefault="00AB1368" w:rsidP="00AB1368">
            <w:pPr>
              <w:pStyle w:val="CDITable-RowCentre"/>
            </w:pPr>
            <w:r w:rsidRPr="00AB1368">
              <w:t>—</w:t>
            </w:r>
          </w:p>
        </w:tc>
        <w:tc>
          <w:tcPr>
            <w:tcW w:w="1020"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3F9FE5E" w14:textId="77777777" w:rsidR="00AB1368" w:rsidRPr="00AB1368" w:rsidRDefault="00AB1368" w:rsidP="00AB1368">
            <w:pPr>
              <w:pStyle w:val="CDITable-RowCentre"/>
            </w:pPr>
            <w:r w:rsidRPr="00AB1368">
              <w:t>—</w:t>
            </w:r>
          </w:p>
        </w:tc>
      </w:tr>
      <w:tr w:rsidR="00AB1368" w:rsidRPr="00AB1368" w14:paraId="70F2DB03" w14:textId="77777777" w:rsidTr="008D0261">
        <w:trPr>
          <w:trHeight w:val="60"/>
        </w:trPr>
        <w:tc>
          <w:tcPr>
            <w:tcW w:w="2381" w:type="dxa"/>
            <w:vMerge/>
            <w:tcBorders>
              <w:bottom w:val="single" w:sz="6" w:space="0" w:color="1E4496" w:themeColor="text2"/>
            </w:tcBorders>
            <w:shd w:val="clear" w:color="auto" w:fill="DCF4FC" w:themeFill="background2" w:themeFillTint="33"/>
            <w:tcMar>
              <w:top w:w="102" w:type="dxa"/>
              <w:bottom w:w="102" w:type="dxa"/>
            </w:tcMar>
          </w:tcPr>
          <w:p w14:paraId="7726E6DA" w14:textId="77777777" w:rsidR="00AB1368" w:rsidRPr="00AB1368" w:rsidRDefault="00AB1368" w:rsidP="00AB1368"/>
        </w:tc>
        <w:tc>
          <w:tcPr>
            <w:tcW w:w="1928"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A733727" w14:textId="77777777" w:rsidR="00AB1368" w:rsidRPr="008D0261" w:rsidRDefault="00AB1368" w:rsidP="00AB1368">
            <w:pPr>
              <w:pStyle w:val="CDITable-RowLeft"/>
              <w:rPr>
                <w:b/>
                <w:bCs/>
              </w:rPr>
            </w:pPr>
            <w:proofErr w:type="spellStart"/>
            <w:r w:rsidRPr="008D0261">
              <w:rPr>
                <w:b/>
                <w:bCs/>
              </w:rPr>
              <w:t>Pneumococcal</w:t>
            </w:r>
            <w:r w:rsidRPr="008D0261">
              <w:rPr>
                <w:b/>
                <w:bCs/>
                <w:vertAlign w:val="superscript"/>
              </w:rPr>
              <w:t>g</w:t>
            </w:r>
            <w:proofErr w:type="spellEnd"/>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11793AF" w14:textId="77777777" w:rsidR="00AB1368" w:rsidRPr="008D0261" w:rsidRDefault="00AB1368" w:rsidP="00AB1368">
            <w:pPr>
              <w:pStyle w:val="CDITable-RowCentre"/>
              <w:rPr>
                <w:b/>
                <w:bCs/>
              </w:rPr>
            </w:pPr>
            <w:r w:rsidRPr="008D0261">
              <w:rPr>
                <w:b/>
                <w:bCs/>
              </w:rPr>
              <w:t>17</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089631D" w14:textId="77777777" w:rsidR="00AB1368" w:rsidRPr="008D0261" w:rsidRDefault="00AB1368" w:rsidP="00AB1368">
            <w:pPr>
              <w:pStyle w:val="CDITable-RowCentre"/>
              <w:rPr>
                <w:b/>
                <w:bCs/>
              </w:rPr>
            </w:pPr>
            <w:r w:rsidRPr="008D0261">
              <w:rPr>
                <w:b/>
                <w:bCs/>
              </w:rPr>
              <w:t>206.6</w:t>
            </w:r>
          </w:p>
        </w:tc>
        <w:tc>
          <w:tcPr>
            <w:tcW w:w="1417"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51AC0E66" w14:textId="77777777" w:rsidR="00AB1368" w:rsidRPr="008D0261" w:rsidRDefault="00AB1368" w:rsidP="00AB1368">
            <w:pPr>
              <w:pStyle w:val="CDITable-RowCentre"/>
              <w:rPr>
                <w:b/>
                <w:bCs/>
              </w:rPr>
            </w:pPr>
            <w:r w:rsidRPr="008D0261">
              <w:rPr>
                <w:b/>
                <w:bCs/>
              </w:rPr>
              <w:t>108.4–304.8</w:t>
            </w:r>
          </w:p>
        </w:tc>
        <w:tc>
          <w:tcPr>
            <w:tcW w:w="124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50B1481A" w14:textId="77777777" w:rsidR="00AB1368" w:rsidRPr="008D0261" w:rsidRDefault="00AB1368" w:rsidP="00AB1368">
            <w:pPr>
              <w:pStyle w:val="CDITable-RowCentre"/>
              <w:rPr>
                <w:b/>
                <w:bCs/>
              </w:rPr>
            </w:pPr>
            <w:r w:rsidRPr="008D0261">
              <w:rPr>
                <w:b/>
                <w:bCs/>
              </w:rPr>
              <w:t>14</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C28009C" w14:textId="77777777" w:rsidR="00AB1368" w:rsidRPr="008D0261" w:rsidRDefault="00AB1368" w:rsidP="00AB1368">
            <w:pPr>
              <w:pStyle w:val="CDITable-RowCentre"/>
              <w:rPr>
                <w:b/>
                <w:bCs/>
              </w:rPr>
            </w:pPr>
            <w:r w:rsidRPr="008D0261">
              <w:rPr>
                <w:b/>
                <w:bCs/>
              </w:rPr>
              <w:t>56.8</w:t>
            </w:r>
          </w:p>
        </w:tc>
        <w:tc>
          <w:tcPr>
            <w:tcW w:w="158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5AC417A" w14:textId="77777777" w:rsidR="00AB1368" w:rsidRPr="008D0261" w:rsidRDefault="00AB1368" w:rsidP="00AB1368">
            <w:pPr>
              <w:pStyle w:val="CDITable-RowCentre"/>
              <w:rPr>
                <w:b/>
                <w:bCs/>
              </w:rPr>
            </w:pPr>
            <w:r w:rsidRPr="008D0261">
              <w:rPr>
                <w:b/>
                <w:bCs/>
              </w:rPr>
              <w:t>27.1–86.6</w:t>
            </w:r>
          </w:p>
        </w:tc>
        <w:tc>
          <w:tcPr>
            <w:tcW w:w="102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C58D93D" w14:textId="77777777" w:rsidR="00AB1368" w:rsidRPr="008D0261" w:rsidRDefault="00AB1368" w:rsidP="00AB1368">
            <w:pPr>
              <w:pStyle w:val="CDITable-RowCentre"/>
              <w:rPr>
                <w:b/>
                <w:bCs/>
              </w:rPr>
            </w:pPr>
            <w:r w:rsidRPr="008D0261">
              <w:rPr>
                <w:b/>
                <w:bCs/>
              </w:rPr>
              <w:t>0.28</w:t>
            </w:r>
          </w:p>
        </w:tc>
        <w:tc>
          <w:tcPr>
            <w:tcW w:w="1020"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792AC90" w14:textId="77777777" w:rsidR="00AB1368" w:rsidRPr="008D0261" w:rsidRDefault="00AB1368" w:rsidP="00AB1368">
            <w:pPr>
              <w:pStyle w:val="CDITable-RowCentre"/>
              <w:rPr>
                <w:b/>
                <w:bCs/>
              </w:rPr>
            </w:pPr>
            <w:r w:rsidRPr="008D0261">
              <w:rPr>
                <w:b/>
                <w:bCs/>
              </w:rPr>
              <w:t>0.001</w:t>
            </w:r>
          </w:p>
        </w:tc>
      </w:tr>
      <w:tr w:rsidR="00AB1368" w:rsidRPr="00AB1368" w14:paraId="3D9E75E6" w14:textId="77777777" w:rsidTr="008D0261">
        <w:trPr>
          <w:trHeight w:val="60"/>
        </w:trPr>
        <w:tc>
          <w:tcPr>
            <w:tcW w:w="2381" w:type="dxa"/>
            <w:vMerge/>
            <w:tcBorders>
              <w:bottom w:val="single" w:sz="6" w:space="0" w:color="1E4496" w:themeColor="text2"/>
            </w:tcBorders>
            <w:shd w:val="clear" w:color="auto" w:fill="DCF4FC" w:themeFill="background2" w:themeFillTint="33"/>
            <w:tcMar>
              <w:top w:w="102" w:type="dxa"/>
              <w:bottom w:w="102" w:type="dxa"/>
            </w:tcMar>
          </w:tcPr>
          <w:p w14:paraId="2FC905F7" w14:textId="77777777" w:rsidR="00AB1368" w:rsidRPr="00AB1368" w:rsidRDefault="00AB1368" w:rsidP="00AB1368"/>
        </w:tc>
        <w:tc>
          <w:tcPr>
            <w:tcW w:w="1928"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DF6A295" w14:textId="77777777" w:rsidR="00AB1368" w:rsidRPr="008D0261" w:rsidRDefault="00AB1368" w:rsidP="00AB1368">
            <w:pPr>
              <w:pStyle w:val="CDITable-RowLeft"/>
              <w:rPr>
                <w:b/>
                <w:bCs/>
              </w:rPr>
            </w:pPr>
            <w:proofErr w:type="spellStart"/>
            <w:r w:rsidRPr="008D0261">
              <w:rPr>
                <w:b/>
                <w:bCs/>
              </w:rPr>
              <w:t>Influenza</w:t>
            </w:r>
            <w:r w:rsidRPr="008D0261">
              <w:rPr>
                <w:b/>
                <w:bCs/>
                <w:vertAlign w:val="superscript"/>
              </w:rPr>
              <w:t>h</w:t>
            </w:r>
            <w:proofErr w:type="spellEnd"/>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9C7FD68" w14:textId="77777777" w:rsidR="00AB1368" w:rsidRPr="008D0261" w:rsidRDefault="00AB1368" w:rsidP="00AB1368">
            <w:pPr>
              <w:pStyle w:val="CDITable-RowCentre"/>
              <w:rPr>
                <w:b/>
                <w:bCs/>
              </w:rPr>
            </w:pPr>
            <w:r w:rsidRPr="008D0261">
              <w:rPr>
                <w:b/>
                <w:bCs/>
              </w:rPr>
              <w:t>137</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8513900" w14:textId="77777777" w:rsidR="00AB1368" w:rsidRPr="008D0261" w:rsidRDefault="00AB1368" w:rsidP="00AB1368">
            <w:pPr>
              <w:pStyle w:val="CDITable-RowCentre"/>
              <w:rPr>
                <w:b/>
                <w:bCs/>
              </w:rPr>
            </w:pPr>
            <w:r w:rsidRPr="008D0261">
              <w:rPr>
                <w:b/>
                <w:bCs/>
              </w:rPr>
              <w:t>17.4</w:t>
            </w:r>
          </w:p>
        </w:tc>
        <w:tc>
          <w:tcPr>
            <w:tcW w:w="1417"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3F049402" w14:textId="77777777" w:rsidR="00AB1368" w:rsidRPr="008D0261" w:rsidRDefault="00AB1368" w:rsidP="00AB1368">
            <w:pPr>
              <w:pStyle w:val="CDITable-RowCentre"/>
              <w:rPr>
                <w:b/>
                <w:bCs/>
              </w:rPr>
            </w:pPr>
            <w:r w:rsidRPr="008D0261">
              <w:rPr>
                <w:b/>
                <w:bCs/>
              </w:rPr>
              <w:t>14.5–20.3</w:t>
            </w:r>
          </w:p>
        </w:tc>
        <w:tc>
          <w:tcPr>
            <w:tcW w:w="124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2DAEF6DB" w14:textId="77777777" w:rsidR="00AB1368" w:rsidRPr="008D0261" w:rsidRDefault="00AB1368" w:rsidP="00AB1368">
            <w:pPr>
              <w:pStyle w:val="CDITable-RowCentre"/>
              <w:rPr>
                <w:b/>
                <w:bCs/>
              </w:rPr>
            </w:pPr>
            <w:r w:rsidRPr="008D0261">
              <w:rPr>
                <w:b/>
                <w:bCs/>
              </w:rPr>
              <w:t>137</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C40F924" w14:textId="77777777" w:rsidR="00AB1368" w:rsidRPr="008D0261" w:rsidRDefault="00AB1368" w:rsidP="00AB1368">
            <w:pPr>
              <w:pStyle w:val="CDITable-RowCentre"/>
              <w:rPr>
                <w:b/>
                <w:bCs/>
              </w:rPr>
            </w:pPr>
            <w:r w:rsidRPr="008D0261">
              <w:rPr>
                <w:b/>
                <w:bCs/>
              </w:rPr>
              <w:t>7.0</w:t>
            </w:r>
          </w:p>
        </w:tc>
        <w:tc>
          <w:tcPr>
            <w:tcW w:w="158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3A29BCA" w14:textId="77777777" w:rsidR="00AB1368" w:rsidRPr="008D0261" w:rsidRDefault="00AB1368" w:rsidP="00AB1368">
            <w:pPr>
              <w:pStyle w:val="CDITable-RowCentre"/>
              <w:rPr>
                <w:b/>
                <w:bCs/>
              </w:rPr>
            </w:pPr>
            <w:r w:rsidRPr="008D0261">
              <w:rPr>
                <w:b/>
                <w:bCs/>
              </w:rPr>
              <w:t>5.8–8.2</w:t>
            </w:r>
          </w:p>
        </w:tc>
        <w:tc>
          <w:tcPr>
            <w:tcW w:w="102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03F79B0" w14:textId="77777777" w:rsidR="00AB1368" w:rsidRPr="008D0261" w:rsidRDefault="00AB1368" w:rsidP="00AB1368">
            <w:pPr>
              <w:pStyle w:val="CDITable-RowCentre"/>
              <w:rPr>
                <w:b/>
                <w:bCs/>
              </w:rPr>
            </w:pPr>
            <w:r w:rsidRPr="008D0261">
              <w:rPr>
                <w:b/>
                <w:bCs/>
              </w:rPr>
              <w:t>0.40</w:t>
            </w:r>
          </w:p>
        </w:tc>
        <w:tc>
          <w:tcPr>
            <w:tcW w:w="1020"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E2C1E98" w14:textId="77777777" w:rsidR="00AB1368" w:rsidRPr="008D0261" w:rsidRDefault="00AB1368" w:rsidP="00AB1368">
            <w:pPr>
              <w:pStyle w:val="CDITable-RowCentre"/>
              <w:rPr>
                <w:b/>
                <w:bCs/>
              </w:rPr>
            </w:pPr>
            <w:r w:rsidRPr="008D0261">
              <w:rPr>
                <w:b/>
                <w:bCs/>
              </w:rPr>
              <w:t>&lt; 0.001</w:t>
            </w:r>
          </w:p>
        </w:tc>
      </w:tr>
      <w:tr w:rsidR="00AB1368" w:rsidRPr="00AB1368" w14:paraId="6EA27B31" w14:textId="77777777" w:rsidTr="008D0261">
        <w:trPr>
          <w:trHeight w:val="60"/>
        </w:trPr>
        <w:tc>
          <w:tcPr>
            <w:tcW w:w="2381" w:type="dxa"/>
            <w:vMerge/>
            <w:tcBorders>
              <w:bottom w:val="single" w:sz="6" w:space="0" w:color="1E4496" w:themeColor="text2"/>
            </w:tcBorders>
            <w:shd w:val="clear" w:color="auto" w:fill="DCF4FC" w:themeFill="background2" w:themeFillTint="33"/>
            <w:tcMar>
              <w:top w:w="102" w:type="dxa"/>
              <w:bottom w:w="102" w:type="dxa"/>
            </w:tcMar>
          </w:tcPr>
          <w:p w14:paraId="031DD9BE" w14:textId="77777777" w:rsidR="00AB1368" w:rsidRPr="00AB1368" w:rsidRDefault="00AB1368" w:rsidP="00AB1368"/>
        </w:tc>
        <w:tc>
          <w:tcPr>
            <w:tcW w:w="1928"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B36F1B1" w14:textId="77777777" w:rsidR="00AB1368" w:rsidRPr="008D0261" w:rsidRDefault="00AB1368" w:rsidP="00AB1368">
            <w:pPr>
              <w:pStyle w:val="CDITable-RowLeft"/>
              <w:rPr>
                <w:b/>
                <w:bCs/>
              </w:rPr>
            </w:pPr>
            <w:proofErr w:type="spellStart"/>
            <w:r w:rsidRPr="008D0261">
              <w:rPr>
                <w:b/>
                <w:bCs/>
              </w:rPr>
              <w:t>DTP</w:t>
            </w:r>
            <w:r w:rsidRPr="008D0261">
              <w:rPr>
                <w:b/>
                <w:bCs/>
                <w:vertAlign w:val="superscript"/>
              </w:rPr>
              <w:t>i</w:t>
            </w:r>
            <w:proofErr w:type="spellEnd"/>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5E2D875" w14:textId="77777777" w:rsidR="00AB1368" w:rsidRPr="008D0261" w:rsidRDefault="00AB1368" w:rsidP="00AB1368">
            <w:pPr>
              <w:pStyle w:val="CDITable-RowCentre"/>
              <w:rPr>
                <w:b/>
                <w:bCs/>
              </w:rPr>
            </w:pPr>
            <w:r w:rsidRPr="008D0261">
              <w:rPr>
                <w:b/>
                <w:bCs/>
              </w:rPr>
              <w:t>44</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A970A73" w14:textId="77777777" w:rsidR="00AB1368" w:rsidRPr="008D0261" w:rsidRDefault="00AB1368" w:rsidP="00AB1368">
            <w:pPr>
              <w:pStyle w:val="CDITable-RowCentre"/>
              <w:rPr>
                <w:b/>
                <w:bCs/>
              </w:rPr>
            </w:pPr>
            <w:r w:rsidRPr="008D0261">
              <w:rPr>
                <w:b/>
                <w:bCs/>
              </w:rPr>
              <w:t>20.3</w:t>
            </w:r>
          </w:p>
        </w:tc>
        <w:tc>
          <w:tcPr>
            <w:tcW w:w="1417"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2F78A0B1" w14:textId="77777777" w:rsidR="00AB1368" w:rsidRPr="008D0261" w:rsidRDefault="00AB1368" w:rsidP="00AB1368">
            <w:pPr>
              <w:pStyle w:val="CDITable-RowCentre"/>
              <w:rPr>
                <w:b/>
                <w:bCs/>
              </w:rPr>
            </w:pPr>
            <w:r w:rsidRPr="008D0261">
              <w:rPr>
                <w:b/>
                <w:bCs/>
              </w:rPr>
              <w:t>14.3–26.3</w:t>
            </w:r>
          </w:p>
        </w:tc>
        <w:tc>
          <w:tcPr>
            <w:tcW w:w="124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41B961A5" w14:textId="77777777" w:rsidR="00AB1368" w:rsidRPr="008D0261" w:rsidRDefault="00AB1368" w:rsidP="00AB1368">
            <w:pPr>
              <w:pStyle w:val="CDITable-RowCentre"/>
              <w:rPr>
                <w:b/>
                <w:bCs/>
              </w:rPr>
            </w:pPr>
            <w:r w:rsidRPr="008D0261">
              <w:rPr>
                <w:b/>
                <w:bCs/>
              </w:rPr>
              <w:t>49</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FE3CB62" w14:textId="77777777" w:rsidR="00AB1368" w:rsidRPr="008D0261" w:rsidRDefault="00AB1368" w:rsidP="00AB1368">
            <w:pPr>
              <w:pStyle w:val="CDITable-RowCentre"/>
              <w:rPr>
                <w:b/>
                <w:bCs/>
              </w:rPr>
            </w:pPr>
            <w:r w:rsidRPr="008D0261">
              <w:rPr>
                <w:b/>
                <w:bCs/>
              </w:rPr>
              <w:t>11.2</w:t>
            </w:r>
          </w:p>
        </w:tc>
        <w:tc>
          <w:tcPr>
            <w:tcW w:w="158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0FE63A3" w14:textId="77777777" w:rsidR="00AB1368" w:rsidRPr="008D0261" w:rsidRDefault="00AB1368" w:rsidP="00AB1368">
            <w:pPr>
              <w:pStyle w:val="CDITable-RowCentre"/>
              <w:rPr>
                <w:b/>
                <w:bCs/>
              </w:rPr>
            </w:pPr>
            <w:r w:rsidRPr="008D0261">
              <w:rPr>
                <w:b/>
                <w:bCs/>
              </w:rPr>
              <w:t>8.1–14.3</w:t>
            </w:r>
          </w:p>
        </w:tc>
        <w:tc>
          <w:tcPr>
            <w:tcW w:w="102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A4159EE" w14:textId="77777777" w:rsidR="00AB1368" w:rsidRPr="008D0261" w:rsidRDefault="00AB1368" w:rsidP="00AB1368">
            <w:pPr>
              <w:pStyle w:val="CDITable-RowCentre"/>
              <w:rPr>
                <w:b/>
                <w:bCs/>
              </w:rPr>
            </w:pPr>
            <w:r w:rsidRPr="008D0261">
              <w:rPr>
                <w:b/>
                <w:bCs/>
              </w:rPr>
              <w:t>0.55</w:t>
            </w:r>
          </w:p>
        </w:tc>
        <w:tc>
          <w:tcPr>
            <w:tcW w:w="1020"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823C0A6" w14:textId="77777777" w:rsidR="00AB1368" w:rsidRPr="008D0261" w:rsidRDefault="00AB1368" w:rsidP="00AB1368">
            <w:pPr>
              <w:pStyle w:val="CDITable-RowCentre"/>
              <w:rPr>
                <w:b/>
                <w:bCs/>
              </w:rPr>
            </w:pPr>
            <w:r w:rsidRPr="008D0261">
              <w:rPr>
                <w:b/>
                <w:bCs/>
              </w:rPr>
              <w:t>0.005</w:t>
            </w:r>
          </w:p>
        </w:tc>
      </w:tr>
      <w:tr w:rsidR="00AB1368" w:rsidRPr="00AB1368" w14:paraId="2ADDB383" w14:textId="77777777" w:rsidTr="008D0261">
        <w:trPr>
          <w:trHeight w:val="60"/>
        </w:trPr>
        <w:tc>
          <w:tcPr>
            <w:tcW w:w="2381" w:type="dxa"/>
            <w:vMerge w:val="restart"/>
            <w:tcBorders>
              <w:top w:val="single" w:sz="6" w:space="0" w:color="1E4496" w:themeColor="text2"/>
              <w:bottom w:val="single" w:sz="6" w:space="0" w:color="1E4496" w:themeColor="text2"/>
            </w:tcBorders>
            <w:shd w:val="clear" w:color="auto" w:fill="DCF4FC" w:themeFill="background2" w:themeFillTint="33"/>
            <w:tcMar>
              <w:top w:w="102" w:type="dxa"/>
              <w:left w:w="113" w:type="dxa"/>
              <w:bottom w:w="102" w:type="dxa"/>
              <w:right w:w="113" w:type="dxa"/>
            </w:tcMar>
            <w:vAlign w:val="center"/>
          </w:tcPr>
          <w:p w14:paraId="6A5CED4D" w14:textId="77777777" w:rsidR="00AB1368" w:rsidRPr="00AB1368" w:rsidRDefault="00AB1368" w:rsidP="00AB1368">
            <w:pPr>
              <w:pStyle w:val="CDITable-RowLeft"/>
            </w:pPr>
            <w:r w:rsidRPr="00AB1368">
              <w:t>65+ years (older persons)</w:t>
            </w:r>
          </w:p>
        </w:tc>
        <w:tc>
          <w:tcPr>
            <w:tcW w:w="1928"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A088F66" w14:textId="77777777" w:rsidR="00AB1368" w:rsidRPr="00AB1368" w:rsidRDefault="00AB1368" w:rsidP="00AB1368">
            <w:pPr>
              <w:pStyle w:val="CDITable-RowLeft"/>
            </w:pPr>
            <w:r w:rsidRPr="00AB1368">
              <w:t>Total for age group</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571E92A" w14:textId="77777777" w:rsidR="00AB1368" w:rsidRPr="00AB1368" w:rsidRDefault="00AB1368" w:rsidP="00AB1368">
            <w:pPr>
              <w:pStyle w:val="CDITable-RowCentre"/>
            </w:pPr>
            <w:r w:rsidRPr="00AB1368">
              <w:t>150</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E0AB111" w14:textId="77777777" w:rsidR="00AB1368" w:rsidRPr="00AB1368" w:rsidRDefault="00AB1368" w:rsidP="00AB1368">
            <w:pPr>
              <w:pStyle w:val="CDITable-RowCentre"/>
            </w:pPr>
            <w:r w:rsidRPr="00AB1368">
              <w:t>—</w:t>
            </w:r>
          </w:p>
        </w:tc>
        <w:tc>
          <w:tcPr>
            <w:tcW w:w="1417"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7B37DDF2" w14:textId="77777777" w:rsidR="00AB1368" w:rsidRPr="00AB1368" w:rsidRDefault="00AB1368" w:rsidP="00AB1368">
            <w:pPr>
              <w:pStyle w:val="CDITable-RowCentre"/>
            </w:pPr>
            <w:r w:rsidRPr="00AB1368">
              <w:t>—</w:t>
            </w:r>
          </w:p>
        </w:tc>
        <w:tc>
          <w:tcPr>
            <w:tcW w:w="124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294A8806" w14:textId="77777777" w:rsidR="00AB1368" w:rsidRPr="00AB1368" w:rsidRDefault="00AB1368" w:rsidP="00AB1368">
            <w:pPr>
              <w:pStyle w:val="CDITable-RowCentre"/>
            </w:pPr>
            <w:r w:rsidRPr="00AB1368">
              <w:t>178</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B511271" w14:textId="77777777" w:rsidR="00AB1368" w:rsidRPr="00AB1368" w:rsidRDefault="00AB1368" w:rsidP="00AB1368">
            <w:pPr>
              <w:pStyle w:val="CDITable-RowCentre"/>
            </w:pPr>
            <w:r w:rsidRPr="00AB1368">
              <w:t>—</w:t>
            </w:r>
          </w:p>
        </w:tc>
        <w:tc>
          <w:tcPr>
            <w:tcW w:w="158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03D3EBC" w14:textId="77777777" w:rsidR="00AB1368" w:rsidRPr="00AB1368" w:rsidRDefault="00AB1368" w:rsidP="00AB1368">
            <w:pPr>
              <w:pStyle w:val="CDITable-RowCentre"/>
            </w:pPr>
            <w:r w:rsidRPr="00AB1368">
              <w:t>—</w:t>
            </w:r>
          </w:p>
        </w:tc>
        <w:tc>
          <w:tcPr>
            <w:tcW w:w="102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89C894A" w14:textId="77777777" w:rsidR="00AB1368" w:rsidRPr="00AB1368" w:rsidRDefault="00AB1368" w:rsidP="00AB1368">
            <w:pPr>
              <w:pStyle w:val="CDITable-RowCentre"/>
            </w:pPr>
            <w:r w:rsidRPr="00AB1368">
              <w:t>—</w:t>
            </w:r>
          </w:p>
        </w:tc>
        <w:tc>
          <w:tcPr>
            <w:tcW w:w="1020"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84BB14E" w14:textId="77777777" w:rsidR="00AB1368" w:rsidRPr="00AB1368" w:rsidRDefault="00AB1368" w:rsidP="00AB1368">
            <w:pPr>
              <w:pStyle w:val="CDITable-RowCentre"/>
            </w:pPr>
            <w:r w:rsidRPr="00AB1368">
              <w:t>—</w:t>
            </w:r>
          </w:p>
        </w:tc>
      </w:tr>
      <w:tr w:rsidR="00AB1368" w:rsidRPr="00AB1368" w14:paraId="2A6040D6" w14:textId="77777777" w:rsidTr="008D0261">
        <w:trPr>
          <w:trHeight w:val="60"/>
        </w:trPr>
        <w:tc>
          <w:tcPr>
            <w:tcW w:w="2381" w:type="dxa"/>
            <w:vMerge/>
            <w:tcBorders>
              <w:bottom w:val="single" w:sz="6" w:space="0" w:color="1E4496" w:themeColor="text2"/>
            </w:tcBorders>
            <w:shd w:val="clear" w:color="auto" w:fill="DCF4FC" w:themeFill="background2" w:themeFillTint="33"/>
            <w:tcMar>
              <w:top w:w="102" w:type="dxa"/>
              <w:bottom w:w="102" w:type="dxa"/>
            </w:tcMar>
          </w:tcPr>
          <w:p w14:paraId="163C6895" w14:textId="77777777" w:rsidR="00AB1368" w:rsidRPr="00AB1368" w:rsidRDefault="00AB1368" w:rsidP="00AB1368"/>
        </w:tc>
        <w:tc>
          <w:tcPr>
            <w:tcW w:w="1928"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684D441" w14:textId="77777777" w:rsidR="00AB1368" w:rsidRPr="008D0261" w:rsidRDefault="00AB1368" w:rsidP="00AB1368">
            <w:pPr>
              <w:pStyle w:val="CDITable-RowLeft"/>
              <w:rPr>
                <w:b/>
                <w:bCs/>
              </w:rPr>
            </w:pPr>
            <w:r w:rsidRPr="008D0261">
              <w:rPr>
                <w:b/>
                <w:bCs/>
              </w:rPr>
              <w:t>Pneumococcal</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0CF76F6" w14:textId="77777777" w:rsidR="00AB1368" w:rsidRPr="008D0261" w:rsidRDefault="00AB1368" w:rsidP="00AB1368">
            <w:pPr>
              <w:pStyle w:val="CDITable-RowCentre"/>
              <w:rPr>
                <w:b/>
                <w:bCs/>
              </w:rPr>
            </w:pPr>
            <w:r w:rsidRPr="008D0261">
              <w:rPr>
                <w:b/>
                <w:bCs/>
              </w:rPr>
              <w:t>54</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213A1CB" w14:textId="77777777" w:rsidR="00AB1368" w:rsidRPr="008D0261" w:rsidRDefault="00AB1368" w:rsidP="00AB1368">
            <w:pPr>
              <w:pStyle w:val="CDITable-RowCentre"/>
              <w:rPr>
                <w:b/>
                <w:bCs/>
              </w:rPr>
            </w:pPr>
            <w:r w:rsidRPr="008D0261">
              <w:rPr>
                <w:b/>
                <w:bCs/>
              </w:rPr>
              <w:t>73.8</w:t>
            </w:r>
          </w:p>
        </w:tc>
        <w:tc>
          <w:tcPr>
            <w:tcW w:w="1417"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0632CE34" w14:textId="77777777" w:rsidR="00AB1368" w:rsidRPr="008D0261" w:rsidRDefault="00AB1368" w:rsidP="00AB1368">
            <w:pPr>
              <w:pStyle w:val="CDITable-RowCentre"/>
              <w:rPr>
                <w:b/>
                <w:bCs/>
              </w:rPr>
            </w:pPr>
            <w:r w:rsidRPr="008D0261">
              <w:rPr>
                <w:b/>
                <w:bCs/>
              </w:rPr>
              <w:t>54.1–93.5</w:t>
            </w:r>
          </w:p>
        </w:tc>
        <w:tc>
          <w:tcPr>
            <w:tcW w:w="124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661D521E" w14:textId="77777777" w:rsidR="00AB1368" w:rsidRPr="008D0261" w:rsidRDefault="00AB1368" w:rsidP="00AB1368">
            <w:pPr>
              <w:pStyle w:val="CDITable-RowCentre"/>
              <w:rPr>
                <w:b/>
                <w:bCs/>
              </w:rPr>
            </w:pPr>
            <w:r w:rsidRPr="008D0261">
              <w:rPr>
                <w:b/>
                <w:bCs/>
              </w:rPr>
              <w:t>34</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DE42FB4" w14:textId="77777777" w:rsidR="00AB1368" w:rsidRPr="008D0261" w:rsidRDefault="00AB1368" w:rsidP="00AB1368">
            <w:pPr>
              <w:pStyle w:val="CDITable-RowCentre"/>
              <w:rPr>
                <w:b/>
                <w:bCs/>
              </w:rPr>
            </w:pPr>
            <w:r w:rsidRPr="008D0261">
              <w:rPr>
                <w:b/>
                <w:bCs/>
              </w:rPr>
              <w:t>38.2</w:t>
            </w:r>
          </w:p>
        </w:tc>
        <w:tc>
          <w:tcPr>
            <w:tcW w:w="158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606C7F6" w14:textId="77777777" w:rsidR="00AB1368" w:rsidRPr="008D0261" w:rsidRDefault="00AB1368" w:rsidP="00AB1368">
            <w:pPr>
              <w:pStyle w:val="CDITable-RowCentre"/>
              <w:rPr>
                <w:b/>
                <w:bCs/>
              </w:rPr>
            </w:pPr>
            <w:r w:rsidRPr="008D0261">
              <w:rPr>
                <w:b/>
                <w:bCs/>
              </w:rPr>
              <w:t>25.3–51.0</w:t>
            </w:r>
          </w:p>
        </w:tc>
        <w:tc>
          <w:tcPr>
            <w:tcW w:w="102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D31EB5A" w14:textId="77777777" w:rsidR="00AB1368" w:rsidRPr="008D0261" w:rsidRDefault="00AB1368" w:rsidP="00AB1368">
            <w:pPr>
              <w:pStyle w:val="CDITable-RowCentre"/>
              <w:rPr>
                <w:b/>
                <w:bCs/>
              </w:rPr>
            </w:pPr>
            <w:r w:rsidRPr="008D0261">
              <w:rPr>
                <w:b/>
                <w:bCs/>
              </w:rPr>
              <w:t>0.52</w:t>
            </w:r>
          </w:p>
        </w:tc>
        <w:tc>
          <w:tcPr>
            <w:tcW w:w="1020"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F1EC460" w14:textId="77777777" w:rsidR="00AB1368" w:rsidRPr="008D0261" w:rsidRDefault="00AB1368" w:rsidP="00AB1368">
            <w:pPr>
              <w:pStyle w:val="CDITable-RowCentre"/>
              <w:rPr>
                <w:b/>
                <w:bCs/>
              </w:rPr>
            </w:pPr>
            <w:r w:rsidRPr="008D0261">
              <w:rPr>
                <w:b/>
                <w:bCs/>
              </w:rPr>
              <w:t>0.002</w:t>
            </w:r>
          </w:p>
        </w:tc>
      </w:tr>
      <w:tr w:rsidR="00AB1368" w:rsidRPr="00AB1368" w14:paraId="3CF068F0" w14:textId="77777777" w:rsidTr="008D0261">
        <w:trPr>
          <w:trHeight w:val="60"/>
        </w:trPr>
        <w:tc>
          <w:tcPr>
            <w:tcW w:w="2381" w:type="dxa"/>
            <w:vMerge/>
            <w:tcBorders>
              <w:bottom w:val="single" w:sz="6" w:space="0" w:color="1E4496" w:themeColor="text2"/>
            </w:tcBorders>
            <w:shd w:val="clear" w:color="auto" w:fill="DCF4FC" w:themeFill="background2" w:themeFillTint="33"/>
            <w:tcMar>
              <w:top w:w="102" w:type="dxa"/>
              <w:bottom w:w="102" w:type="dxa"/>
            </w:tcMar>
          </w:tcPr>
          <w:p w14:paraId="49A420CB" w14:textId="77777777" w:rsidR="00AB1368" w:rsidRPr="00AB1368" w:rsidRDefault="00AB1368" w:rsidP="00AB1368"/>
        </w:tc>
        <w:tc>
          <w:tcPr>
            <w:tcW w:w="1928"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88AD76D" w14:textId="77777777" w:rsidR="00AB1368" w:rsidRPr="00AB1368" w:rsidRDefault="00AB1368" w:rsidP="00AB1368">
            <w:pPr>
              <w:pStyle w:val="CDITable-RowLeft"/>
            </w:pPr>
            <w:r w:rsidRPr="00AB1368">
              <w:t>Influenza</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177359B" w14:textId="77777777" w:rsidR="00AB1368" w:rsidRPr="00AB1368" w:rsidRDefault="00AB1368" w:rsidP="00AB1368">
            <w:pPr>
              <w:pStyle w:val="CDITable-RowCentre"/>
            </w:pPr>
            <w:r w:rsidRPr="00AB1368">
              <w:t>6</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5506051" w14:textId="77777777" w:rsidR="00AB1368" w:rsidRPr="00AB1368" w:rsidRDefault="00AB1368" w:rsidP="00AB1368">
            <w:pPr>
              <w:pStyle w:val="CDITable-RowCentre"/>
            </w:pPr>
            <w:r w:rsidRPr="00AB1368">
              <w:t>7.3</w:t>
            </w:r>
          </w:p>
        </w:tc>
        <w:tc>
          <w:tcPr>
            <w:tcW w:w="1417"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478BB135" w14:textId="77777777" w:rsidR="00AB1368" w:rsidRPr="00AB1368" w:rsidRDefault="00AB1368" w:rsidP="00AB1368">
            <w:pPr>
              <w:pStyle w:val="CDITable-RowCentre"/>
            </w:pPr>
            <w:r w:rsidRPr="00AB1368">
              <w:t>1.4–13.1</w:t>
            </w:r>
          </w:p>
        </w:tc>
        <w:tc>
          <w:tcPr>
            <w:tcW w:w="124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551A176B" w14:textId="77777777" w:rsidR="00AB1368" w:rsidRPr="00AB1368" w:rsidRDefault="00AB1368" w:rsidP="00AB1368">
            <w:pPr>
              <w:pStyle w:val="CDITable-RowCentre"/>
            </w:pPr>
            <w:r w:rsidRPr="00AB1368">
              <w:t>49</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501438D" w14:textId="77777777" w:rsidR="00AB1368" w:rsidRPr="00AB1368" w:rsidRDefault="00AB1368" w:rsidP="00AB1368">
            <w:pPr>
              <w:pStyle w:val="CDITable-RowCentre"/>
            </w:pPr>
            <w:r w:rsidRPr="00AB1368">
              <w:t>14.7</w:t>
            </w:r>
          </w:p>
        </w:tc>
        <w:tc>
          <w:tcPr>
            <w:tcW w:w="158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C8976B3" w14:textId="77777777" w:rsidR="00AB1368" w:rsidRPr="00AB1368" w:rsidRDefault="00AB1368" w:rsidP="00AB1368">
            <w:pPr>
              <w:pStyle w:val="CDITable-RowCentre"/>
            </w:pPr>
            <w:r w:rsidRPr="00AB1368">
              <w:t>10.6–18.8</w:t>
            </w:r>
          </w:p>
        </w:tc>
        <w:tc>
          <w:tcPr>
            <w:tcW w:w="102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09BA23F" w14:textId="77777777" w:rsidR="00AB1368" w:rsidRPr="00AB1368" w:rsidRDefault="00AB1368" w:rsidP="00AB1368">
            <w:pPr>
              <w:pStyle w:val="CDITable-RowCentre"/>
            </w:pPr>
            <w:r w:rsidRPr="00AB1368">
              <w:t>2.03</w:t>
            </w:r>
          </w:p>
        </w:tc>
        <w:tc>
          <w:tcPr>
            <w:tcW w:w="1020"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DAC100C" w14:textId="77777777" w:rsidR="00AB1368" w:rsidRPr="00AB1368" w:rsidRDefault="00AB1368" w:rsidP="00AB1368">
            <w:pPr>
              <w:pStyle w:val="CDITable-RowCentre"/>
            </w:pPr>
            <w:r w:rsidRPr="00AB1368">
              <w:t>0.086</w:t>
            </w:r>
          </w:p>
        </w:tc>
      </w:tr>
      <w:tr w:rsidR="00AB1368" w:rsidRPr="00AB1368" w14:paraId="6558D913" w14:textId="77777777" w:rsidTr="008D0261">
        <w:trPr>
          <w:trHeight w:val="60"/>
        </w:trPr>
        <w:tc>
          <w:tcPr>
            <w:tcW w:w="2381" w:type="dxa"/>
            <w:vMerge/>
            <w:tcBorders>
              <w:bottom w:val="single" w:sz="6" w:space="0" w:color="1E4496" w:themeColor="text2"/>
            </w:tcBorders>
            <w:shd w:val="clear" w:color="auto" w:fill="DCF4FC" w:themeFill="background2" w:themeFillTint="33"/>
            <w:tcMar>
              <w:top w:w="102" w:type="dxa"/>
              <w:bottom w:w="102" w:type="dxa"/>
            </w:tcMar>
          </w:tcPr>
          <w:p w14:paraId="6DF68B16" w14:textId="77777777" w:rsidR="00AB1368" w:rsidRPr="00AB1368" w:rsidRDefault="00AB1368" w:rsidP="00AB1368"/>
        </w:tc>
        <w:tc>
          <w:tcPr>
            <w:tcW w:w="1928"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642CB45" w14:textId="77777777" w:rsidR="00AB1368" w:rsidRPr="00AB1368" w:rsidRDefault="00AB1368" w:rsidP="00AB1368">
            <w:pPr>
              <w:pStyle w:val="CDITable-RowLeft"/>
            </w:pPr>
            <w:r w:rsidRPr="00AB1368">
              <w:t>Zoster</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B7CEEB4" w14:textId="77777777" w:rsidR="00AB1368" w:rsidRPr="00AB1368" w:rsidRDefault="00AB1368" w:rsidP="00AB1368">
            <w:pPr>
              <w:pStyle w:val="CDITable-RowCentre"/>
            </w:pPr>
            <w:r w:rsidRPr="00AB1368">
              <w:t>29</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2DE6B06" w14:textId="77777777" w:rsidR="00AB1368" w:rsidRPr="00AB1368" w:rsidRDefault="00AB1368" w:rsidP="00AB1368">
            <w:pPr>
              <w:pStyle w:val="CDITable-RowCentre"/>
            </w:pPr>
            <w:r w:rsidRPr="00AB1368">
              <w:t>73.5</w:t>
            </w:r>
          </w:p>
        </w:tc>
        <w:tc>
          <w:tcPr>
            <w:tcW w:w="1417"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19BC93EF" w14:textId="77777777" w:rsidR="00AB1368" w:rsidRPr="00AB1368" w:rsidRDefault="00AB1368" w:rsidP="00AB1368">
            <w:pPr>
              <w:pStyle w:val="CDITable-RowCentre"/>
            </w:pPr>
            <w:r w:rsidRPr="00AB1368">
              <w:t>46.8–100.3</w:t>
            </w:r>
          </w:p>
        </w:tc>
        <w:tc>
          <w:tcPr>
            <w:tcW w:w="124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7283E7A0" w14:textId="77777777" w:rsidR="00AB1368" w:rsidRPr="00AB1368" w:rsidRDefault="00AB1368" w:rsidP="00AB1368">
            <w:pPr>
              <w:pStyle w:val="CDITable-RowCentre"/>
            </w:pPr>
            <w:r w:rsidRPr="00AB1368">
              <w:t>40</w:t>
            </w:r>
          </w:p>
        </w:tc>
        <w:tc>
          <w:tcPr>
            <w:tcW w:w="124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959E0FB" w14:textId="77777777" w:rsidR="00AB1368" w:rsidRPr="00AB1368" w:rsidRDefault="00AB1368" w:rsidP="00AB1368">
            <w:pPr>
              <w:pStyle w:val="CDITable-RowCentre"/>
            </w:pPr>
            <w:r w:rsidRPr="00AB1368">
              <w:t>118.3</w:t>
            </w:r>
          </w:p>
        </w:tc>
        <w:tc>
          <w:tcPr>
            <w:tcW w:w="1587"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818E0C4" w14:textId="77777777" w:rsidR="00AB1368" w:rsidRPr="00AB1368" w:rsidRDefault="00AB1368" w:rsidP="00AB1368">
            <w:pPr>
              <w:pStyle w:val="CDITable-RowCentre"/>
            </w:pPr>
            <w:r w:rsidRPr="00AB1368">
              <w:t>81.6–155.0</w:t>
            </w:r>
          </w:p>
        </w:tc>
        <w:tc>
          <w:tcPr>
            <w:tcW w:w="102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D73820B" w14:textId="77777777" w:rsidR="00AB1368" w:rsidRPr="00AB1368" w:rsidRDefault="00AB1368" w:rsidP="00AB1368">
            <w:pPr>
              <w:pStyle w:val="CDITable-RowCentre"/>
            </w:pPr>
            <w:r w:rsidRPr="00AB1368">
              <w:t>1.61</w:t>
            </w:r>
          </w:p>
        </w:tc>
        <w:tc>
          <w:tcPr>
            <w:tcW w:w="1020"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3509460" w14:textId="77777777" w:rsidR="00AB1368" w:rsidRPr="00AB1368" w:rsidRDefault="00AB1368" w:rsidP="00AB1368">
            <w:pPr>
              <w:pStyle w:val="CDITable-RowCentre"/>
            </w:pPr>
            <w:r w:rsidRPr="00AB1368">
              <w:t>0.051</w:t>
            </w:r>
          </w:p>
        </w:tc>
      </w:tr>
    </w:tbl>
    <w:p w14:paraId="436BDE3D" w14:textId="4BD89659" w:rsidR="001A53DB" w:rsidRPr="001A53DB" w:rsidRDefault="001A53DB" w:rsidP="00AB1368">
      <w:pPr>
        <w:pStyle w:val="CDITable-FirstFootnote"/>
        <w:rPr>
          <w:lang w:val="en-GB"/>
        </w:rPr>
      </w:pPr>
      <w:r w:rsidRPr="001A53DB">
        <w:rPr>
          <w:lang w:val="en-GB"/>
        </w:rPr>
        <w:t>a</w:t>
      </w:r>
      <w:r w:rsidRPr="001A53DB">
        <w:rPr>
          <w:lang w:val="en-GB"/>
        </w:rPr>
        <w:tab/>
        <w:t xml:space="preserve">HepB: hepatitis B; DTP: diphtheria, tetanus, pertussis; Hib: </w:t>
      </w:r>
      <w:r w:rsidRPr="001A53DB">
        <w:rPr>
          <w:i/>
          <w:iCs/>
          <w:lang w:val="en-GB"/>
        </w:rPr>
        <w:t>Haemophilus influenzae</w:t>
      </w:r>
      <w:r w:rsidRPr="001A53DB">
        <w:rPr>
          <w:lang w:val="en-GB"/>
        </w:rPr>
        <w:t xml:space="preserve"> b; MMR: measles, mumps, rubella; MMRV: measles, mumps, rubella, varicella; TB: tuberculosis; HPV:</w:t>
      </w:r>
      <w:r w:rsidR="00923250">
        <w:rPr>
          <w:lang w:val="en-GB"/>
        </w:rPr>
        <w:t> </w:t>
      </w:r>
      <w:r w:rsidRPr="001A53DB">
        <w:rPr>
          <w:lang w:val="en-GB"/>
        </w:rPr>
        <w:t>Human papilloma virus.</w:t>
      </w:r>
    </w:p>
    <w:p w14:paraId="1C3996AA" w14:textId="77777777" w:rsidR="001A53DB" w:rsidRPr="001A53DB" w:rsidRDefault="001A53DB" w:rsidP="001A53DB">
      <w:pPr>
        <w:pStyle w:val="CDITable-Footnote"/>
        <w:rPr>
          <w:lang w:val="en-GB"/>
        </w:rPr>
      </w:pPr>
      <w:r w:rsidRPr="001A53DB">
        <w:rPr>
          <w:lang w:val="en-GB"/>
        </w:rPr>
        <w:t>b</w:t>
      </w:r>
      <w:r w:rsidRPr="001A53DB">
        <w:rPr>
          <w:lang w:val="en-GB"/>
        </w:rPr>
        <w:tab/>
        <w:t>Vaccine antigens in bold text reflect a statistically significant difference in the reporting rate for 2020 when compared to 2019.</w:t>
      </w:r>
    </w:p>
    <w:p w14:paraId="6855BCB1" w14:textId="77777777" w:rsidR="001A53DB" w:rsidRPr="001A53DB" w:rsidRDefault="001A53DB" w:rsidP="001A53DB">
      <w:pPr>
        <w:pStyle w:val="CDITable-Footnote"/>
        <w:rPr>
          <w:lang w:val="en-GB"/>
        </w:rPr>
      </w:pPr>
      <w:r w:rsidRPr="001A53DB">
        <w:rPr>
          <w:lang w:val="en-GB"/>
        </w:rPr>
        <w:t>c</w:t>
      </w:r>
      <w:r w:rsidRPr="001A53DB">
        <w:rPr>
          <w:lang w:val="en-GB"/>
        </w:rPr>
        <w:tab/>
        <w:t>Reporting rate per 100,000 doses administered per year.</w:t>
      </w:r>
    </w:p>
    <w:p w14:paraId="3C34B056" w14:textId="77777777" w:rsidR="001A53DB" w:rsidRPr="001A53DB" w:rsidRDefault="001A53DB" w:rsidP="001A53DB">
      <w:pPr>
        <w:pStyle w:val="CDITable-Footnote"/>
        <w:rPr>
          <w:lang w:val="en-GB"/>
        </w:rPr>
      </w:pPr>
      <w:r w:rsidRPr="001A53DB">
        <w:rPr>
          <w:lang w:val="en-GB"/>
        </w:rPr>
        <w:t>d</w:t>
      </w:r>
      <w:r w:rsidRPr="001A53DB">
        <w:rPr>
          <w:lang w:val="en-GB"/>
        </w:rPr>
        <w:tab/>
        <w:t>95% confidence interval for calculated reporting rate.</w:t>
      </w:r>
    </w:p>
    <w:p w14:paraId="4C5DAB82" w14:textId="77777777" w:rsidR="001A53DB" w:rsidRPr="001A53DB" w:rsidRDefault="001A53DB" w:rsidP="001A53DB">
      <w:pPr>
        <w:pStyle w:val="CDITable-Footnote"/>
        <w:rPr>
          <w:lang w:val="en-GB"/>
        </w:rPr>
      </w:pPr>
      <w:r w:rsidRPr="001A53DB">
        <w:rPr>
          <w:lang w:val="en-GB"/>
        </w:rPr>
        <w:t>e</w:t>
      </w:r>
      <w:r w:rsidRPr="001A53DB">
        <w:rPr>
          <w:lang w:val="en-GB"/>
        </w:rPr>
        <w:tab/>
        <w:t>Rate ratio for 2020:2019.</w:t>
      </w:r>
    </w:p>
    <w:p w14:paraId="40897304" w14:textId="77777777" w:rsidR="001A53DB" w:rsidRPr="001A53DB" w:rsidRDefault="001A53DB" w:rsidP="001A53DB">
      <w:pPr>
        <w:pStyle w:val="CDITable-Footnote"/>
        <w:rPr>
          <w:lang w:val="en-GB"/>
        </w:rPr>
      </w:pPr>
      <w:r w:rsidRPr="001A53DB">
        <w:rPr>
          <w:lang w:val="en-GB"/>
        </w:rPr>
        <w:t>f</w:t>
      </w:r>
      <w:r w:rsidRPr="001A53DB">
        <w:rPr>
          <w:lang w:val="en-GB"/>
        </w:rPr>
        <w:tab/>
        <w:t>Rotavirus vaccine (Rotarix) delivered in two doses (at 2 and 4 months), with last dose recommended by 24 weeks of age.</w:t>
      </w:r>
    </w:p>
    <w:p w14:paraId="740E43A8" w14:textId="77777777" w:rsidR="001A53DB" w:rsidRPr="001A53DB" w:rsidRDefault="001A53DB" w:rsidP="001A53DB">
      <w:pPr>
        <w:pStyle w:val="CDITable-Footnote"/>
        <w:rPr>
          <w:lang w:val="en-GB"/>
        </w:rPr>
      </w:pPr>
      <w:r w:rsidRPr="001A53DB">
        <w:rPr>
          <w:lang w:val="en-GB"/>
        </w:rPr>
        <w:t>g</w:t>
      </w:r>
      <w:r w:rsidRPr="001A53DB">
        <w:rPr>
          <w:lang w:val="en-GB"/>
        </w:rPr>
        <w:tab/>
        <w:t>Indigenous Australians or those at risk medically.</w:t>
      </w:r>
    </w:p>
    <w:p w14:paraId="624670C0" w14:textId="77777777" w:rsidR="001A53DB" w:rsidRPr="001A53DB" w:rsidRDefault="001A53DB" w:rsidP="001A53DB">
      <w:pPr>
        <w:pStyle w:val="CDITable-Footnote"/>
        <w:rPr>
          <w:lang w:val="en-GB"/>
        </w:rPr>
      </w:pPr>
      <w:r w:rsidRPr="001A53DB">
        <w:rPr>
          <w:lang w:val="en-GB"/>
        </w:rPr>
        <w:t>h</w:t>
      </w:r>
      <w:r w:rsidRPr="001A53DB">
        <w:rPr>
          <w:lang w:val="en-GB"/>
        </w:rPr>
        <w:tab/>
        <w:t xml:space="preserve">Not in </w:t>
      </w:r>
      <w:proofErr w:type="gramStart"/>
      <w:r w:rsidRPr="001A53DB">
        <w:rPr>
          <w:lang w:val="en-GB"/>
        </w:rPr>
        <w:t>NIP, but</w:t>
      </w:r>
      <w:proofErr w:type="gramEnd"/>
      <w:r w:rsidRPr="001A53DB">
        <w:rPr>
          <w:lang w:val="en-GB"/>
        </w:rPr>
        <w:t xml:space="preserve"> recommended for at-risk healthcare professionals.</w:t>
      </w:r>
    </w:p>
    <w:p w14:paraId="76DAD878" w14:textId="3987277D" w:rsidR="00AB1368" w:rsidRDefault="001A53DB" w:rsidP="00AB1368">
      <w:pPr>
        <w:pStyle w:val="CDITable-Footnote"/>
        <w:rPr>
          <w:lang w:val="en-GB"/>
        </w:rPr>
      </w:pPr>
      <w:proofErr w:type="spellStart"/>
      <w:r w:rsidRPr="001A53DB">
        <w:rPr>
          <w:lang w:val="en-GB"/>
        </w:rPr>
        <w:t>i</w:t>
      </w:r>
      <w:proofErr w:type="spellEnd"/>
      <w:r w:rsidRPr="001A53DB">
        <w:rPr>
          <w:lang w:val="en-GB"/>
        </w:rPr>
        <w:tab/>
        <w:t>Pregnant women.</w:t>
      </w:r>
      <w:r w:rsidR="00AB1368">
        <w:rPr>
          <w:lang w:val="en-GB"/>
        </w:rPr>
        <w:br w:type="page"/>
      </w:r>
    </w:p>
    <w:p w14:paraId="57748291" w14:textId="77777777" w:rsidR="00923250" w:rsidRPr="00923250" w:rsidRDefault="00923250" w:rsidP="00923250">
      <w:pPr>
        <w:pStyle w:val="CDITable-Title"/>
        <w:rPr>
          <w:lang w:val="en-GB"/>
        </w:rPr>
      </w:pPr>
      <w:bookmarkStart w:id="39" w:name="_Toc222142532"/>
      <w:r w:rsidRPr="00923250">
        <w:rPr>
          <w:lang w:val="en-GB"/>
        </w:rPr>
        <w:lastRenderedPageBreak/>
        <w:t xml:space="preserve">Table 5: Most frequently reported adverse events (&gt; 20 reports) and selected conditions of interest, by age group, SAEFVIC, Victoria, </w:t>
      </w:r>
      <w:proofErr w:type="spellStart"/>
      <w:proofErr w:type="gramStart"/>
      <w:r w:rsidRPr="00923250">
        <w:rPr>
          <w:lang w:val="en-GB"/>
        </w:rPr>
        <w:t>Australia,</w:t>
      </w:r>
      <w:r w:rsidRPr="00923250">
        <w:rPr>
          <w:vertAlign w:val="superscript"/>
          <w:lang w:val="en-GB"/>
        </w:rPr>
        <w:t>a</w:t>
      </w:r>
      <w:proofErr w:type="gramEnd"/>
      <w:r w:rsidRPr="00923250">
        <w:rPr>
          <w:vertAlign w:val="superscript"/>
          <w:lang w:val="en-GB"/>
        </w:rPr>
        <w:t>,b</w:t>
      </w:r>
      <w:proofErr w:type="spellEnd"/>
      <w:r w:rsidRPr="00923250">
        <w:rPr>
          <w:lang w:val="en-GB"/>
        </w:rPr>
        <w:t xml:space="preserve"> 2019–2020</w:t>
      </w:r>
      <w:bookmarkEnd w:id="39"/>
    </w:p>
    <w:tbl>
      <w:tblPr>
        <w:tblW w:w="0" w:type="auto"/>
        <w:tblLayout w:type="fixed"/>
        <w:tblCellMar>
          <w:left w:w="0" w:type="dxa"/>
          <w:right w:w="0" w:type="dxa"/>
        </w:tblCellMar>
        <w:tblLook w:val="0000" w:firstRow="0" w:lastRow="0" w:firstColumn="0" w:lastColumn="0" w:noHBand="0" w:noVBand="0"/>
        <w:tblCaption w:val="Table 5: Most frequently reported adverse events (&gt; 20 reports) and selected conditions of interest, by age group, SAEFVIC, Victoria, Australia,a,b 2019–2020"/>
        <w:tblDescription w:val="Table 5 shows the count and percentage of reported adverse events for 2019 and 2020 combined, stratified by age group. The table only shows adverse events where there are more than 20 reports for that event, and for selected adverse events (highlighted in pale blue shade)."/>
      </w:tblPr>
      <w:tblGrid>
        <w:gridCol w:w="2098"/>
        <w:gridCol w:w="850"/>
        <w:gridCol w:w="1191"/>
        <w:gridCol w:w="850"/>
        <w:gridCol w:w="1191"/>
        <w:gridCol w:w="850"/>
        <w:gridCol w:w="1190"/>
        <w:gridCol w:w="851"/>
        <w:gridCol w:w="1190"/>
        <w:gridCol w:w="851"/>
        <w:gridCol w:w="1190"/>
        <w:gridCol w:w="851"/>
        <w:gridCol w:w="1190"/>
      </w:tblGrid>
      <w:tr w:rsidR="006A73B4" w:rsidRPr="00255002" w14:paraId="14BADCC9" w14:textId="77777777" w:rsidTr="00974926">
        <w:trPr>
          <w:trHeight w:val="20"/>
          <w:tblHeader/>
        </w:trPr>
        <w:tc>
          <w:tcPr>
            <w:tcW w:w="2098" w:type="dxa"/>
            <w:vMerge w:val="restart"/>
            <w:shd w:val="clear" w:color="auto" w:fill="1E4496" w:themeFill="text2"/>
            <w:tcMar>
              <w:top w:w="96" w:type="dxa"/>
              <w:left w:w="57" w:type="dxa"/>
              <w:bottom w:w="96" w:type="dxa"/>
              <w:right w:w="57" w:type="dxa"/>
            </w:tcMar>
            <w:vAlign w:val="bottom"/>
          </w:tcPr>
          <w:p w14:paraId="7BFF357D" w14:textId="77777777" w:rsidR="006A73B4" w:rsidRPr="00255002" w:rsidRDefault="006A73B4" w:rsidP="00255002">
            <w:pPr>
              <w:pStyle w:val="CDITable-HeaderRowLeft"/>
            </w:pPr>
            <w:r w:rsidRPr="00255002">
              <w:t>Adverse event</w:t>
            </w:r>
          </w:p>
        </w:tc>
        <w:tc>
          <w:tcPr>
            <w:tcW w:w="2041" w:type="dxa"/>
            <w:gridSpan w:val="2"/>
            <w:tcBorders>
              <w:bottom w:val="single" w:sz="6" w:space="0" w:color="FFFFFF" w:themeColor="background1"/>
            </w:tcBorders>
            <w:shd w:val="clear" w:color="auto" w:fill="1E4496" w:themeFill="text2"/>
            <w:tcMar>
              <w:top w:w="96" w:type="dxa"/>
              <w:left w:w="57" w:type="dxa"/>
              <w:bottom w:w="96" w:type="dxa"/>
              <w:right w:w="57" w:type="dxa"/>
            </w:tcMar>
            <w:vAlign w:val="bottom"/>
          </w:tcPr>
          <w:p w14:paraId="08B3E863" w14:textId="77777777" w:rsidR="006A73B4" w:rsidRPr="00255002" w:rsidRDefault="006A73B4" w:rsidP="00255002">
            <w:pPr>
              <w:pStyle w:val="CDITable-HeaderRowCentre"/>
            </w:pPr>
            <w:r w:rsidRPr="00255002">
              <w:t>&lt; 12 months</w:t>
            </w:r>
            <w:r w:rsidRPr="00255002">
              <w:br/>
              <w:t>(infants)</w:t>
            </w:r>
          </w:p>
        </w:tc>
        <w:tc>
          <w:tcPr>
            <w:tcW w:w="2041" w:type="dxa"/>
            <w:gridSpan w:val="2"/>
            <w:tcBorders>
              <w:bottom w:val="single" w:sz="6" w:space="0" w:color="FFFFFF" w:themeColor="background1"/>
            </w:tcBorders>
            <w:shd w:val="clear" w:color="auto" w:fill="1E4496" w:themeFill="text2"/>
            <w:tcMar>
              <w:top w:w="96" w:type="dxa"/>
              <w:left w:w="57" w:type="dxa"/>
              <w:bottom w:w="96" w:type="dxa"/>
              <w:right w:w="57" w:type="dxa"/>
            </w:tcMar>
            <w:vAlign w:val="bottom"/>
          </w:tcPr>
          <w:p w14:paraId="78E6C7B2" w14:textId="77777777" w:rsidR="006A73B4" w:rsidRPr="00255002" w:rsidRDefault="006A73B4" w:rsidP="00255002">
            <w:pPr>
              <w:pStyle w:val="CDITable-HeaderRowCentre"/>
            </w:pPr>
            <w:r w:rsidRPr="00255002">
              <w:t>1–4 years (young children)</w:t>
            </w:r>
          </w:p>
        </w:tc>
        <w:tc>
          <w:tcPr>
            <w:tcW w:w="2040" w:type="dxa"/>
            <w:gridSpan w:val="2"/>
            <w:tcBorders>
              <w:bottom w:val="single" w:sz="6" w:space="0" w:color="FFFFFF" w:themeColor="background1"/>
            </w:tcBorders>
            <w:shd w:val="clear" w:color="auto" w:fill="1E4496" w:themeFill="text2"/>
            <w:tcMar>
              <w:top w:w="96" w:type="dxa"/>
              <w:left w:w="57" w:type="dxa"/>
              <w:bottom w:w="96" w:type="dxa"/>
              <w:right w:w="57" w:type="dxa"/>
            </w:tcMar>
            <w:vAlign w:val="bottom"/>
          </w:tcPr>
          <w:p w14:paraId="4887FE89" w14:textId="77777777" w:rsidR="006A73B4" w:rsidRPr="00255002" w:rsidRDefault="006A73B4" w:rsidP="00255002">
            <w:pPr>
              <w:pStyle w:val="CDITable-HeaderRowCentre"/>
            </w:pPr>
            <w:r w:rsidRPr="00255002">
              <w:t>5–17 years (school aged)</w:t>
            </w:r>
          </w:p>
        </w:tc>
        <w:tc>
          <w:tcPr>
            <w:tcW w:w="2041" w:type="dxa"/>
            <w:gridSpan w:val="2"/>
            <w:tcBorders>
              <w:bottom w:val="single" w:sz="6" w:space="0" w:color="FFFFFF" w:themeColor="background1"/>
            </w:tcBorders>
            <w:shd w:val="clear" w:color="auto" w:fill="1E4496" w:themeFill="text2"/>
            <w:tcMar>
              <w:top w:w="96" w:type="dxa"/>
              <w:left w:w="57" w:type="dxa"/>
              <w:bottom w:w="96" w:type="dxa"/>
              <w:right w:w="57" w:type="dxa"/>
            </w:tcMar>
            <w:vAlign w:val="bottom"/>
          </w:tcPr>
          <w:p w14:paraId="243CA5D0" w14:textId="77777777" w:rsidR="006A73B4" w:rsidRPr="00255002" w:rsidRDefault="006A73B4" w:rsidP="00255002">
            <w:pPr>
              <w:pStyle w:val="CDITable-HeaderRowCentre"/>
            </w:pPr>
            <w:r w:rsidRPr="00255002">
              <w:t>18–64 years</w:t>
            </w:r>
            <w:r w:rsidRPr="00255002">
              <w:br/>
              <w:t>(adults)</w:t>
            </w:r>
          </w:p>
        </w:tc>
        <w:tc>
          <w:tcPr>
            <w:tcW w:w="2041" w:type="dxa"/>
            <w:gridSpan w:val="2"/>
            <w:tcBorders>
              <w:bottom w:val="single" w:sz="6" w:space="0" w:color="FFFFFF" w:themeColor="background1"/>
            </w:tcBorders>
            <w:shd w:val="clear" w:color="auto" w:fill="1E4496" w:themeFill="text2"/>
            <w:tcMar>
              <w:top w:w="96" w:type="dxa"/>
              <w:left w:w="57" w:type="dxa"/>
              <w:bottom w:w="96" w:type="dxa"/>
              <w:right w:w="57" w:type="dxa"/>
            </w:tcMar>
            <w:vAlign w:val="bottom"/>
          </w:tcPr>
          <w:p w14:paraId="45B1E073" w14:textId="77777777" w:rsidR="006A73B4" w:rsidRPr="00255002" w:rsidRDefault="006A73B4" w:rsidP="00255002">
            <w:pPr>
              <w:pStyle w:val="CDITable-HeaderRowCentre"/>
            </w:pPr>
            <w:r w:rsidRPr="00255002">
              <w:t>65+ years (older persons)</w:t>
            </w:r>
          </w:p>
        </w:tc>
        <w:tc>
          <w:tcPr>
            <w:tcW w:w="2041" w:type="dxa"/>
            <w:gridSpan w:val="2"/>
            <w:tcBorders>
              <w:bottom w:val="single" w:sz="6" w:space="0" w:color="FFFFFF" w:themeColor="background1"/>
            </w:tcBorders>
            <w:shd w:val="clear" w:color="auto" w:fill="1E4496" w:themeFill="text2"/>
            <w:tcMar>
              <w:top w:w="96" w:type="dxa"/>
              <w:left w:w="57" w:type="dxa"/>
              <w:bottom w:w="96" w:type="dxa"/>
              <w:right w:w="57" w:type="dxa"/>
            </w:tcMar>
            <w:vAlign w:val="bottom"/>
          </w:tcPr>
          <w:p w14:paraId="53FC64FB" w14:textId="77777777" w:rsidR="006A73B4" w:rsidRPr="00255002" w:rsidRDefault="006A73B4" w:rsidP="00255002">
            <w:pPr>
              <w:pStyle w:val="CDITable-HeaderRowCentre"/>
            </w:pPr>
            <w:r w:rsidRPr="00255002">
              <w:t>Total</w:t>
            </w:r>
            <w:r w:rsidRPr="00255002">
              <w:br/>
              <w:t>adverse events</w:t>
            </w:r>
          </w:p>
        </w:tc>
      </w:tr>
      <w:tr w:rsidR="00974926" w:rsidRPr="00255002" w14:paraId="7497019E" w14:textId="77777777" w:rsidTr="00974926">
        <w:trPr>
          <w:trHeight w:val="20"/>
          <w:tblHeader/>
        </w:trPr>
        <w:tc>
          <w:tcPr>
            <w:tcW w:w="2098" w:type="dxa"/>
            <w:vMerge/>
            <w:shd w:val="clear" w:color="auto" w:fill="1E4496" w:themeFill="text2"/>
            <w:tcMar>
              <w:top w:w="96" w:type="dxa"/>
              <w:bottom w:w="96" w:type="dxa"/>
            </w:tcMar>
          </w:tcPr>
          <w:p w14:paraId="5FB4B833" w14:textId="77777777" w:rsidR="006A73B4" w:rsidRPr="00255002" w:rsidRDefault="006A73B4" w:rsidP="00255002"/>
        </w:tc>
        <w:tc>
          <w:tcPr>
            <w:tcW w:w="850" w:type="dxa"/>
            <w:tcBorders>
              <w:top w:val="single" w:sz="6" w:space="0" w:color="FFFFFF" w:themeColor="background1"/>
            </w:tcBorders>
            <w:shd w:val="clear" w:color="auto" w:fill="1E4496" w:themeFill="text2"/>
            <w:tcMar>
              <w:top w:w="96" w:type="dxa"/>
              <w:left w:w="57" w:type="dxa"/>
              <w:bottom w:w="96" w:type="dxa"/>
              <w:right w:w="57" w:type="dxa"/>
            </w:tcMar>
            <w:vAlign w:val="bottom"/>
          </w:tcPr>
          <w:p w14:paraId="330B6AAC" w14:textId="77777777" w:rsidR="006A73B4" w:rsidRPr="00255002" w:rsidRDefault="006A73B4" w:rsidP="00255002">
            <w:pPr>
              <w:pStyle w:val="CDITable-HeaderRowCentre"/>
            </w:pPr>
            <w:r w:rsidRPr="00255002">
              <w:t>Number</w:t>
            </w:r>
          </w:p>
        </w:tc>
        <w:tc>
          <w:tcPr>
            <w:tcW w:w="1191" w:type="dxa"/>
            <w:tcBorders>
              <w:top w:val="single" w:sz="6" w:space="0" w:color="FFFFFF" w:themeColor="background1"/>
              <w:right w:val="single" w:sz="6" w:space="0" w:color="FFFFFF" w:themeColor="background1"/>
            </w:tcBorders>
            <w:shd w:val="clear" w:color="auto" w:fill="1E4496" w:themeFill="text2"/>
            <w:tcMar>
              <w:top w:w="96" w:type="dxa"/>
              <w:left w:w="57" w:type="dxa"/>
              <w:bottom w:w="96" w:type="dxa"/>
              <w:right w:w="57" w:type="dxa"/>
            </w:tcMar>
            <w:vAlign w:val="bottom"/>
          </w:tcPr>
          <w:p w14:paraId="580822C6" w14:textId="77777777" w:rsidR="006A73B4" w:rsidRPr="00255002" w:rsidRDefault="006A73B4" w:rsidP="00255002">
            <w:pPr>
              <w:pStyle w:val="CDITable-HeaderRowCentre"/>
            </w:pPr>
            <w:r w:rsidRPr="00255002">
              <w:t>Percentage</w:t>
            </w:r>
          </w:p>
        </w:tc>
        <w:tc>
          <w:tcPr>
            <w:tcW w:w="850" w:type="dxa"/>
            <w:tcBorders>
              <w:top w:val="single" w:sz="6" w:space="0" w:color="FFFFFF" w:themeColor="background1"/>
              <w:left w:val="single" w:sz="6" w:space="0" w:color="FFFFFF" w:themeColor="background1"/>
            </w:tcBorders>
            <w:shd w:val="clear" w:color="auto" w:fill="1E4496" w:themeFill="text2"/>
            <w:tcMar>
              <w:top w:w="96" w:type="dxa"/>
              <w:left w:w="57" w:type="dxa"/>
              <w:bottom w:w="96" w:type="dxa"/>
              <w:right w:w="57" w:type="dxa"/>
            </w:tcMar>
            <w:vAlign w:val="bottom"/>
          </w:tcPr>
          <w:p w14:paraId="4B2ADB0C" w14:textId="77777777" w:rsidR="006A73B4" w:rsidRPr="00255002" w:rsidRDefault="006A73B4" w:rsidP="00255002">
            <w:pPr>
              <w:pStyle w:val="CDITable-HeaderRowCentre"/>
            </w:pPr>
            <w:r w:rsidRPr="00255002">
              <w:t>Number</w:t>
            </w:r>
          </w:p>
        </w:tc>
        <w:tc>
          <w:tcPr>
            <w:tcW w:w="1191" w:type="dxa"/>
            <w:tcBorders>
              <w:top w:val="single" w:sz="6" w:space="0" w:color="FFFFFF" w:themeColor="background1"/>
              <w:right w:val="single" w:sz="6" w:space="0" w:color="FFFFFF" w:themeColor="background1"/>
            </w:tcBorders>
            <w:shd w:val="clear" w:color="auto" w:fill="1E4496" w:themeFill="text2"/>
            <w:tcMar>
              <w:top w:w="96" w:type="dxa"/>
              <w:left w:w="57" w:type="dxa"/>
              <w:bottom w:w="96" w:type="dxa"/>
              <w:right w:w="57" w:type="dxa"/>
            </w:tcMar>
            <w:vAlign w:val="bottom"/>
          </w:tcPr>
          <w:p w14:paraId="46224263" w14:textId="77777777" w:rsidR="006A73B4" w:rsidRPr="00255002" w:rsidRDefault="006A73B4" w:rsidP="00255002">
            <w:pPr>
              <w:pStyle w:val="CDITable-HeaderRowCentre"/>
            </w:pPr>
            <w:r w:rsidRPr="00255002">
              <w:t>Percentage</w:t>
            </w:r>
          </w:p>
        </w:tc>
        <w:tc>
          <w:tcPr>
            <w:tcW w:w="850" w:type="dxa"/>
            <w:tcBorders>
              <w:top w:val="single" w:sz="6" w:space="0" w:color="FFFFFF" w:themeColor="background1"/>
              <w:left w:val="single" w:sz="6" w:space="0" w:color="FFFFFF" w:themeColor="background1"/>
            </w:tcBorders>
            <w:shd w:val="clear" w:color="auto" w:fill="1E4496" w:themeFill="text2"/>
            <w:tcMar>
              <w:top w:w="96" w:type="dxa"/>
              <w:left w:w="57" w:type="dxa"/>
              <w:bottom w:w="96" w:type="dxa"/>
              <w:right w:w="57" w:type="dxa"/>
            </w:tcMar>
            <w:vAlign w:val="bottom"/>
          </w:tcPr>
          <w:p w14:paraId="2B59A070" w14:textId="77777777" w:rsidR="006A73B4" w:rsidRPr="00255002" w:rsidRDefault="006A73B4" w:rsidP="00255002">
            <w:pPr>
              <w:pStyle w:val="CDITable-HeaderRowCentre"/>
            </w:pPr>
            <w:r w:rsidRPr="00255002">
              <w:t>Number</w:t>
            </w:r>
          </w:p>
        </w:tc>
        <w:tc>
          <w:tcPr>
            <w:tcW w:w="1190" w:type="dxa"/>
            <w:tcBorders>
              <w:top w:val="single" w:sz="6" w:space="0" w:color="FFFFFF" w:themeColor="background1"/>
              <w:right w:val="single" w:sz="6" w:space="0" w:color="FFFFFF" w:themeColor="background1"/>
            </w:tcBorders>
            <w:shd w:val="clear" w:color="auto" w:fill="1E4496" w:themeFill="text2"/>
            <w:tcMar>
              <w:top w:w="96" w:type="dxa"/>
              <w:left w:w="57" w:type="dxa"/>
              <w:bottom w:w="96" w:type="dxa"/>
              <w:right w:w="57" w:type="dxa"/>
            </w:tcMar>
            <w:vAlign w:val="bottom"/>
          </w:tcPr>
          <w:p w14:paraId="286CC5AD" w14:textId="77777777" w:rsidR="006A73B4" w:rsidRPr="00255002" w:rsidRDefault="006A73B4" w:rsidP="00255002">
            <w:pPr>
              <w:pStyle w:val="CDITable-HeaderRowCentre"/>
            </w:pPr>
            <w:r w:rsidRPr="00255002">
              <w:t>Percentage</w:t>
            </w:r>
          </w:p>
        </w:tc>
        <w:tc>
          <w:tcPr>
            <w:tcW w:w="851" w:type="dxa"/>
            <w:tcBorders>
              <w:top w:val="single" w:sz="6" w:space="0" w:color="FFFFFF" w:themeColor="background1"/>
              <w:left w:val="single" w:sz="6" w:space="0" w:color="FFFFFF" w:themeColor="background1"/>
            </w:tcBorders>
            <w:shd w:val="clear" w:color="auto" w:fill="1E4496" w:themeFill="text2"/>
            <w:tcMar>
              <w:top w:w="96" w:type="dxa"/>
              <w:left w:w="57" w:type="dxa"/>
              <w:bottom w:w="96" w:type="dxa"/>
              <w:right w:w="57" w:type="dxa"/>
            </w:tcMar>
            <w:vAlign w:val="bottom"/>
          </w:tcPr>
          <w:p w14:paraId="6FE84148" w14:textId="77777777" w:rsidR="006A73B4" w:rsidRPr="00255002" w:rsidRDefault="006A73B4" w:rsidP="00255002">
            <w:pPr>
              <w:pStyle w:val="CDITable-HeaderRowCentre"/>
            </w:pPr>
            <w:r w:rsidRPr="00255002">
              <w:t>Number</w:t>
            </w:r>
          </w:p>
        </w:tc>
        <w:tc>
          <w:tcPr>
            <w:tcW w:w="1190" w:type="dxa"/>
            <w:tcBorders>
              <w:top w:val="single" w:sz="6" w:space="0" w:color="FFFFFF" w:themeColor="background1"/>
              <w:right w:val="single" w:sz="6" w:space="0" w:color="FFFFFF" w:themeColor="background1"/>
            </w:tcBorders>
            <w:shd w:val="clear" w:color="auto" w:fill="1E4496" w:themeFill="text2"/>
            <w:tcMar>
              <w:top w:w="96" w:type="dxa"/>
              <w:left w:w="57" w:type="dxa"/>
              <w:bottom w:w="96" w:type="dxa"/>
              <w:right w:w="57" w:type="dxa"/>
            </w:tcMar>
            <w:vAlign w:val="bottom"/>
          </w:tcPr>
          <w:p w14:paraId="3C1D5347" w14:textId="77777777" w:rsidR="006A73B4" w:rsidRPr="00255002" w:rsidRDefault="006A73B4" w:rsidP="00255002">
            <w:pPr>
              <w:pStyle w:val="CDITable-HeaderRowCentre"/>
            </w:pPr>
            <w:r w:rsidRPr="00255002">
              <w:t>Percentage</w:t>
            </w:r>
          </w:p>
        </w:tc>
        <w:tc>
          <w:tcPr>
            <w:tcW w:w="851" w:type="dxa"/>
            <w:tcBorders>
              <w:top w:val="single" w:sz="6" w:space="0" w:color="FFFFFF" w:themeColor="background1"/>
              <w:left w:val="single" w:sz="6" w:space="0" w:color="FFFFFF" w:themeColor="background1"/>
            </w:tcBorders>
            <w:shd w:val="clear" w:color="auto" w:fill="1E4496" w:themeFill="text2"/>
            <w:tcMar>
              <w:top w:w="96" w:type="dxa"/>
              <w:left w:w="57" w:type="dxa"/>
              <w:bottom w:w="96" w:type="dxa"/>
              <w:right w:w="57" w:type="dxa"/>
            </w:tcMar>
            <w:vAlign w:val="bottom"/>
          </w:tcPr>
          <w:p w14:paraId="4C10A8D4" w14:textId="77777777" w:rsidR="006A73B4" w:rsidRPr="00255002" w:rsidRDefault="006A73B4" w:rsidP="00255002">
            <w:pPr>
              <w:pStyle w:val="CDITable-HeaderRowCentre"/>
            </w:pPr>
            <w:r w:rsidRPr="00255002">
              <w:t>Number</w:t>
            </w:r>
          </w:p>
        </w:tc>
        <w:tc>
          <w:tcPr>
            <w:tcW w:w="1190" w:type="dxa"/>
            <w:tcBorders>
              <w:top w:val="single" w:sz="6" w:space="0" w:color="FFFFFF" w:themeColor="background1"/>
              <w:right w:val="single" w:sz="6" w:space="0" w:color="FFFFFF" w:themeColor="background1"/>
            </w:tcBorders>
            <w:shd w:val="clear" w:color="auto" w:fill="1E4496" w:themeFill="text2"/>
            <w:tcMar>
              <w:top w:w="96" w:type="dxa"/>
              <w:left w:w="57" w:type="dxa"/>
              <w:bottom w:w="96" w:type="dxa"/>
              <w:right w:w="57" w:type="dxa"/>
            </w:tcMar>
            <w:vAlign w:val="bottom"/>
          </w:tcPr>
          <w:p w14:paraId="3629A548" w14:textId="77777777" w:rsidR="006A73B4" w:rsidRPr="00255002" w:rsidRDefault="006A73B4" w:rsidP="00255002">
            <w:pPr>
              <w:pStyle w:val="CDITable-HeaderRowCentre"/>
            </w:pPr>
            <w:r w:rsidRPr="00255002">
              <w:t>Percentage</w:t>
            </w:r>
          </w:p>
        </w:tc>
        <w:tc>
          <w:tcPr>
            <w:tcW w:w="851" w:type="dxa"/>
            <w:tcBorders>
              <w:top w:val="single" w:sz="6" w:space="0" w:color="FFFFFF" w:themeColor="background1"/>
              <w:left w:val="single" w:sz="6" w:space="0" w:color="FFFFFF" w:themeColor="background1"/>
            </w:tcBorders>
            <w:shd w:val="clear" w:color="auto" w:fill="1E4496" w:themeFill="text2"/>
            <w:tcMar>
              <w:top w:w="96" w:type="dxa"/>
              <w:left w:w="57" w:type="dxa"/>
              <w:bottom w:w="96" w:type="dxa"/>
              <w:right w:w="57" w:type="dxa"/>
            </w:tcMar>
            <w:vAlign w:val="bottom"/>
          </w:tcPr>
          <w:p w14:paraId="76B693F1" w14:textId="77777777" w:rsidR="006A73B4" w:rsidRPr="00255002" w:rsidRDefault="006A73B4" w:rsidP="00255002">
            <w:pPr>
              <w:pStyle w:val="CDITable-HeaderRowCentre"/>
            </w:pPr>
            <w:r w:rsidRPr="00255002">
              <w:t>Number</w:t>
            </w:r>
          </w:p>
        </w:tc>
        <w:tc>
          <w:tcPr>
            <w:tcW w:w="1190" w:type="dxa"/>
            <w:tcBorders>
              <w:top w:val="single" w:sz="6" w:space="0" w:color="FFFFFF" w:themeColor="background1"/>
            </w:tcBorders>
            <w:shd w:val="clear" w:color="auto" w:fill="1E4496" w:themeFill="text2"/>
            <w:tcMar>
              <w:top w:w="96" w:type="dxa"/>
              <w:left w:w="57" w:type="dxa"/>
              <w:bottom w:w="96" w:type="dxa"/>
              <w:right w:w="57" w:type="dxa"/>
            </w:tcMar>
            <w:vAlign w:val="bottom"/>
          </w:tcPr>
          <w:p w14:paraId="55568E1E" w14:textId="77777777" w:rsidR="006A73B4" w:rsidRPr="00255002" w:rsidRDefault="006A73B4" w:rsidP="00255002">
            <w:pPr>
              <w:pStyle w:val="CDITable-HeaderRowCentre"/>
            </w:pPr>
            <w:r w:rsidRPr="00255002">
              <w:t>Percentage</w:t>
            </w:r>
          </w:p>
        </w:tc>
      </w:tr>
      <w:tr w:rsidR="00974926" w:rsidRPr="00255002" w14:paraId="323FA1DE" w14:textId="77777777" w:rsidTr="00974926">
        <w:trPr>
          <w:trHeight w:val="20"/>
        </w:trPr>
        <w:tc>
          <w:tcPr>
            <w:tcW w:w="2098" w:type="dxa"/>
            <w:tcBorders>
              <w:bottom w:val="single" w:sz="6" w:space="0" w:color="1E4496" w:themeColor="text2"/>
            </w:tcBorders>
            <w:tcMar>
              <w:top w:w="96" w:type="dxa"/>
              <w:left w:w="57" w:type="dxa"/>
              <w:bottom w:w="96" w:type="dxa"/>
              <w:right w:w="57" w:type="dxa"/>
            </w:tcMar>
            <w:vAlign w:val="center"/>
          </w:tcPr>
          <w:p w14:paraId="6025F9BE" w14:textId="77777777" w:rsidR="006A73B4" w:rsidRPr="00255002" w:rsidRDefault="006A73B4" w:rsidP="00255002">
            <w:pPr>
              <w:pStyle w:val="CDITable-RowLeft"/>
            </w:pPr>
            <w:r w:rsidRPr="00255002">
              <w:t>Injection site reaction – minor</w:t>
            </w:r>
          </w:p>
        </w:tc>
        <w:tc>
          <w:tcPr>
            <w:tcW w:w="850" w:type="dxa"/>
            <w:tcBorders>
              <w:bottom w:val="single" w:sz="6" w:space="0" w:color="1E4496" w:themeColor="text2"/>
            </w:tcBorders>
            <w:tcMar>
              <w:top w:w="96" w:type="dxa"/>
              <w:left w:w="57" w:type="dxa"/>
              <w:bottom w:w="96" w:type="dxa"/>
              <w:right w:w="57" w:type="dxa"/>
            </w:tcMar>
            <w:vAlign w:val="center"/>
          </w:tcPr>
          <w:p w14:paraId="2BEAC4DE" w14:textId="77777777" w:rsidR="006A73B4" w:rsidRPr="00255002" w:rsidRDefault="006A73B4" w:rsidP="00255002">
            <w:pPr>
              <w:pStyle w:val="CDITable-RowCentre"/>
            </w:pPr>
            <w:r w:rsidRPr="00255002">
              <w:t>43</w:t>
            </w:r>
          </w:p>
        </w:tc>
        <w:tc>
          <w:tcPr>
            <w:tcW w:w="1191" w:type="dxa"/>
            <w:tcBorders>
              <w:bottom w:val="single" w:sz="6" w:space="0" w:color="1E4496" w:themeColor="text2"/>
              <w:right w:val="single" w:sz="6" w:space="0" w:color="1E4496" w:themeColor="text2"/>
            </w:tcBorders>
            <w:tcMar>
              <w:top w:w="96" w:type="dxa"/>
              <w:left w:w="57" w:type="dxa"/>
              <w:bottom w:w="96" w:type="dxa"/>
              <w:right w:w="57" w:type="dxa"/>
            </w:tcMar>
            <w:vAlign w:val="center"/>
          </w:tcPr>
          <w:p w14:paraId="688F4021" w14:textId="77777777" w:rsidR="006A73B4" w:rsidRPr="00255002" w:rsidRDefault="006A73B4" w:rsidP="00255002">
            <w:pPr>
              <w:pStyle w:val="CDITable-RowCentre"/>
            </w:pPr>
            <w:r w:rsidRPr="00255002">
              <w:t>4.1%</w:t>
            </w:r>
          </w:p>
        </w:tc>
        <w:tc>
          <w:tcPr>
            <w:tcW w:w="850" w:type="dxa"/>
            <w:tcBorders>
              <w:left w:val="single" w:sz="6" w:space="0" w:color="1E4496" w:themeColor="text2"/>
              <w:bottom w:val="single" w:sz="6" w:space="0" w:color="1E4496" w:themeColor="text2"/>
            </w:tcBorders>
            <w:tcMar>
              <w:top w:w="96" w:type="dxa"/>
              <w:left w:w="57" w:type="dxa"/>
              <w:bottom w:w="96" w:type="dxa"/>
              <w:right w:w="57" w:type="dxa"/>
            </w:tcMar>
            <w:vAlign w:val="center"/>
          </w:tcPr>
          <w:p w14:paraId="5A9C16C4" w14:textId="77777777" w:rsidR="006A73B4" w:rsidRPr="00255002" w:rsidRDefault="006A73B4" w:rsidP="00255002">
            <w:pPr>
              <w:pStyle w:val="CDITable-RowCentre"/>
            </w:pPr>
            <w:r w:rsidRPr="00255002">
              <w:t>474</w:t>
            </w:r>
          </w:p>
        </w:tc>
        <w:tc>
          <w:tcPr>
            <w:tcW w:w="1191" w:type="dxa"/>
            <w:tcBorders>
              <w:bottom w:val="single" w:sz="6" w:space="0" w:color="1E4496" w:themeColor="text2"/>
              <w:right w:val="single" w:sz="6" w:space="0" w:color="1E4496" w:themeColor="text2"/>
            </w:tcBorders>
            <w:tcMar>
              <w:top w:w="96" w:type="dxa"/>
              <w:left w:w="57" w:type="dxa"/>
              <w:bottom w:w="96" w:type="dxa"/>
              <w:right w:w="57" w:type="dxa"/>
            </w:tcMar>
            <w:vAlign w:val="center"/>
          </w:tcPr>
          <w:p w14:paraId="312242CF" w14:textId="77777777" w:rsidR="006A73B4" w:rsidRPr="00255002" w:rsidRDefault="006A73B4" w:rsidP="00255002">
            <w:pPr>
              <w:pStyle w:val="CDITable-RowCentre"/>
            </w:pPr>
            <w:r w:rsidRPr="00255002">
              <w:t>19.3%</w:t>
            </w:r>
          </w:p>
        </w:tc>
        <w:tc>
          <w:tcPr>
            <w:tcW w:w="850" w:type="dxa"/>
            <w:tcBorders>
              <w:left w:val="single" w:sz="6" w:space="0" w:color="1E4496" w:themeColor="text2"/>
              <w:bottom w:val="single" w:sz="6" w:space="0" w:color="1E4496" w:themeColor="text2"/>
            </w:tcBorders>
            <w:tcMar>
              <w:top w:w="96" w:type="dxa"/>
              <w:left w:w="57" w:type="dxa"/>
              <w:bottom w:w="96" w:type="dxa"/>
              <w:right w:w="57" w:type="dxa"/>
            </w:tcMar>
            <w:vAlign w:val="center"/>
          </w:tcPr>
          <w:p w14:paraId="0A69BE5E" w14:textId="77777777" w:rsidR="006A73B4" w:rsidRPr="00255002" w:rsidRDefault="006A73B4" w:rsidP="00255002">
            <w:pPr>
              <w:pStyle w:val="CDITable-RowCentre"/>
            </w:pPr>
            <w:r w:rsidRPr="00255002">
              <w:t>97</w:t>
            </w:r>
          </w:p>
        </w:tc>
        <w:tc>
          <w:tcPr>
            <w:tcW w:w="1190" w:type="dxa"/>
            <w:tcBorders>
              <w:bottom w:val="single" w:sz="6" w:space="0" w:color="1E4496" w:themeColor="text2"/>
              <w:right w:val="single" w:sz="6" w:space="0" w:color="1E4496" w:themeColor="text2"/>
            </w:tcBorders>
            <w:tcMar>
              <w:top w:w="96" w:type="dxa"/>
              <w:left w:w="57" w:type="dxa"/>
              <w:bottom w:w="96" w:type="dxa"/>
              <w:right w:w="57" w:type="dxa"/>
            </w:tcMar>
            <w:vAlign w:val="center"/>
          </w:tcPr>
          <w:p w14:paraId="15B8D459" w14:textId="77777777" w:rsidR="006A73B4" w:rsidRPr="00255002" w:rsidRDefault="006A73B4" w:rsidP="00255002">
            <w:pPr>
              <w:pStyle w:val="CDITable-RowCentre"/>
            </w:pPr>
            <w:r w:rsidRPr="00255002">
              <w:t>12.2%</w:t>
            </w:r>
          </w:p>
        </w:tc>
        <w:tc>
          <w:tcPr>
            <w:tcW w:w="851" w:type="dxa"/>
            <w:tcBorders>
              <w:left w:val="single" w:sz="6" w:space="0" w:color="1E4496" w:themeColor="text2"/>
              <w:bottom w:val="single" w:sz="6" w:space="0" w:color="1E4496" w:themeColor="text2"/>
            </w:tcBorders>
            <w:tcMar>
              <w:top w:w="96" w:type="dxa"/>
              <w:left w:w="57" w:type="dxa"/>
              <w:bottom w:w="96" w:type="dxa"/>
              <w:right w:w="57" w:type="dxa"/>
            </w:tcMar>
            <w:vAlign w:val="center"/>
          </w:tcPr>
          <w:p w14:paraId="6EB716A6" w14:textId="77777777" w:rsidR="006A73B4" w:rsidRPr="00255002" w:rsidRDefault="006A73B4" w:rsidP="00255002">
            <w:pPr>
              <w:pStyle w:val="CDITable-RowCentre"/>
            </w:pPr>
            <w:r w:rsidRPr="00255002">
              <w:t>111</w:t>
            </w:r>
          </w:p>
        </w:tc>
        <w:tc>
          <w:tcPr>
            <w:tcW w:w="1190" w:type="dxa"/>
            <w:tcBorders>
              <w:bottom w:val="single" w:sz="6" w:space="0" w:color="1E4496" w:themeColor="text2"/>
              <w:right w:val="single" w:sz="6" w:space="0" w:color="1E4496" w:themeColor="text2"/>
            </w:tcBorders>
            <w:tcMar>
              <w:top w:w="96" w:type="dxa"/>
              <w:left w:w="57" w:type="dxa"/>
              <w:bottom w:w="96" w:type="dxa"/>
              <w:right w:w="57" w:type="dxa"/>
            </w:tcMar>
            <w:vAlign w:val="center"/>
          </w:tcPr>
          <w:p w14:paraId="00ECC09D" w14:textId="77777777" w:rsidR="006A73B4" w:rsidRPr="00255002" w:rsidRDefault="006A73B4" w:rsidP="00255002">
            <w:pPr>
              <w:pStyle w:val="CDITable-RowCentre"/>
            </w:pPr>
            <w:r w:rsidRPr="00255002">
              <w:t>10.3%</w:t>
            </w:r>
          </w:p>
        </w:tc>
        <w:tc>
          <w:tcPr>
            <w:tcW w:w="851" w:type="dxa"/>
            <w:tcBorders>
              <w:left w:val="single" w:sz="6" w:space="0" w:color="1E4496" w:themeColor="text2"/>
              <w:bottom w:val="single" w:sz="6" w:space="0" w:color="1E4496" w:themeColor="text2"/>
            </w:tcBorders>
            <w:tcMar>
              <w:top w:w="96" w:type="dxa"/>
              <w:left w:w="57" w:type="dxa"/>
              <w:bottom w:w="96" w:type="dxa"/>
              <w:right w:w="57" w:type="dxa"/>
            </w:tcMar>
            <w:vAlign w:val="center"/>
          </w:tcPr>
          <w:p w14:paraId="15A60681" w14:textId="77777777" w:rsidR="006A73B4" w:rsidRPr="00255002" w:rsidRDefault="006A73B4" w:rsidP="00255002">
            <w:pPr>
              <w:pStyle w:val="CDITable-RowCentre"/>
            </w:pPr>
            <w:r w:rsidRPr="00255002">
              <w:t>105</w:t>
            </w:r>
          </w:p>
        </w:tc>
        <w:tc>
          <w:tcPr>
            <w:tcW w:w="1190" w:type="dxa"/>
            <w:tcBorders>
              <w:bottom w:val="single" w:sz="6" w:space="0" w:color="1E4496" w:themeColor="text2"/>
              <w:right w:val="single" w:sz="6" w:space="0" w:color="1E4496" w:themeColor="text2"/>
            </w:tcBorders>
            <w:tcMar>
              <w:top w:w="96" w:type="dxa"/>
              <w:left w:w="57" w:type="dxa"/>
              <w:bottom w:w="96" w:type="dxa"/>
              <w:right w:w="57" w:type="dxa"/>
            </w:tcMar>
            <w:vAlign w:val="center"/>
          </w:tcPr>
          <w:p w14:paraId="1D543093" w14:textId="77777777" w:rsidR="006A73B4" w:rsidRPr="00255002" w:rsidRDefault="006A73B4" w:rsidP="00255002">
            <w:pPr>
              <w:pStyle w:val="CDITable-RowCentre"/>
            </w:pPr>
            <w:r w:rsidRPr="00255002">
              <w:t>18.6%</w:t>
            </w:r>
          </w:p>
        </w:tc>
        <w:tc>
          <w:tcPr>
            <w:tcW w:w="851" w:type="dxa"/>
            <w:tcBorders>
              <w:left w:val="single" w:sz="6" w:space="0" w:color="1E4496" w:themeColor="text2"/>
              <w:bottom w:val="single" w:sz="6" w:space="0" w:color="1E4496" w:themeColor="text2"/>
            </w:tcBorders>
            <w:tcMar>
              <w:top w:w="96" w:type="dxa"/>
              <w:left w:w="57" w:type="dxa"/>
              <w:bottom w:w="96" w:type="dxa"/>
              <w:right w:w="57" w:type="dxa"/>
            </w:tcMar>
            <w:vAlign w:val="center"/>
          </w:tcPr>
          <w:p w14:paraId="41D82EBD" w14:textId="77777777" w:rsidR="006A73B4" w:rsidRPr="00255002" w:rsidRDefault="006A73B4" w:rsidP="00255002">
            <w:pPr>
              <w:pStyle w:val="CDITable-RowCentre"/>
            </w:pPr>
            <w:r w:rsidRPr="00255002">
              <w:t>830</w:t>
            </w:r>
          </w:p>
        </w:tc>
        <w:tc>
          <w:tcPr>
            <w:tcW w:w="1190" w:type="dxa"/>
            <w:tcBorders>
              <w:bottom w:val="single" w:sz="6" w:space="0" w:color="1E4496" w:themeColor="text2"/>
            </w:tcBorders>
            <w:tcMar>
              <w:top w:w="96" w:type="dxa"/>
              <w:left w:w="57" w:type="dxa"/>
              <w:bottom w:w="96" w:type="dxa"/>
              <w:right w:w="57" w:type="dxa"/>
            </w:tcMar>
            <w:vAlign w:val="center"/>
          </w:tcPr>
          <w:p w14:paraId="1D85D4C1" w14:textId="77777777" w:rsidR="006A73B4" w:rsidRPr="00255002" w:rsidRDefault="006A73B4" w:rsidP="00255002">
            <w:pPr>
              <w:pStyle w:val="CDITable-RowCentre"/>
            </w:pPr>
            <w:r w:rsidRPr="00255002">
              <w:t>14.0%</w:t>
            </w:r>
          </w:p>
        </w:tc>
      </w:tr>
      <w:tr w:rsidR="00974926" w:rsidRPr="00255002" w14:paraId="154650EB" w14:textId="77777777" w:rsidTr="00974926">
        <w:trPr>
          <w:trHeight w:val="20"/>
        </w:trPr>
        <w:tc>
          <w:tcPr>
            <w:tcW w:w="2098"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4E318C80" w14:textId="77777777" w:rsidR="006A73B4" w:rsidRPr="00255002" w:rsidRDefault="006A73B4" w:rsidP="00255002">
            <w:pPr>
              <w:pStyle w:val="CDITable-RowLeft"/>
            </w:pPr>
            <w:r w:rsidRPr="00255002">
              <w:t xml:space="preserve">Injection site reaction – </w:t>
            </w:r>
            <w:proofErr w:type="spellStart"/>
            <w:r w:rsidRPr="00255002">
              <w:t>severe</w:t>
            </w:r>
            <w:r w:rsidRPr="00255002">
              <w:rPr>
                <w:vertAlign w:val="superscript"/>
              </w:rPr>
              <w:t>b</w:t>
            </w:r>
            <w:proofErr w:type="spellEnd"/>
          </w:p>
        </w:tc>
        <w:tc>
          <w:tcPr>
            <w:tcW w:w="85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5DE7F5F2" w14:textId="77777777" w:rsidR="006A73B4" w:rsidRPr="00255002" w:rsidRDefault="006A73B4" w:rsidP="00255002">
            <w:pPr>
              <w:pStyle w:val="CDITable-RowCentre"/>
            </w:pPr>
            <w:r w:rsidRPr="00255002">
              <w:t>13</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26D330E3" w14:textId="77777777" w:rsidR="006A73B4" w:rsidRPr="00255002" w:rsidRDefault="006A73B4" w:rsidP="00255002">
            <w:pPr>
              <w:pStyle w:val="CDITable-RowCentre"/>
            </w:pPr>
            <w:r w:rsidRPr="00255002">
              <w:t>1.2%</w:t>
            </w:r>
          </w:p>
        </w:tc>
        <w:tc>
          <w:tcPr>
            <w:tcW w:w="850" w:type="dxa"/>
            <w:tcBorders>
              <w:top w:val="single" w:sz="6" w:space="0" w:color="1E4496" w:themeColor="text2"/>
              <w:left w:val="single" w:sz="6" w:space="0" w:color="1E4496" w:themeColor="text2"/>
              <w:bottom w:val="single" w:sz="6" w:space="0" w:color="1E4496" w:themeColor="text2"/>
            </w:tcBorders>
            <w:shd w:val="clear" w:color="auto" w:fill="4D535A"/>
            <w:tcMar>
              <w:top w:w="96" w:type="dxa"/>
              <w:left w:w="57" w:type="dxa"/>
              <w:bottom w:w="96" w:type="dxa"/>
              <w:right w:w="57" w:type="dxa"/>
            </w:tcMar>
            <w:vAlign w:val="center"/>
          </w:tcPr>
          <w:p w14:paraId="0F07447E" w14:textId="77777777" w:rsidR="006A73B4" w:rsidRPr="00974926" w:rsidRDefault="006A73B4" w:rsidP="00255002">
            <w:pPr>
              <w:pStyle w:val="CDITable-RowCentre"/>
              <w:rPr>
                <w:color w:val="FFFFFF" w:themeColor="background1"/>
              </w:rPr>
            </w:pPr>
            <w:r w:rsidRPr="00974926">
              <w:rPr>
                <w:color w:val="FFFFFF" w:themeColor="background1"/>
              </w:rPr>
              <w:t>420</w:t>
            </w:r>
          </w:p>
        </w:tc>
        <w:tc>
          <w:tcPr>
            <w:tcW w:w="1191" w:type="dxa"/>
            <w:tcBorders>
              <w:top w:val="single" w:sz="6" w:space="0" w:color="1E4496" w:themeColor="text2"/>
              <w:bottom w:val="single" w:sz="6" w:space="0" w:color="1E4496" w:themeColor="text2"/>
              <w:right w:val="single" w:sz="6" w:space="0" w:color="1E4496" w:themeColor="text2"/>
            </w:tcBorders>
            <w:shd w:val="clear" w:color="auto" w:fill="4D535A"/>
            <w:tcMar>
              <w:top w:w="96" w:type="dxa"/>
              <w:left w:w="57" w:type="dxa"/>
              <w:bottom w:w="96" w:type="dxa"/>
              <w:right w:w="57" w:type="dxa"/>
            </w:tcMar>
            <w:vAlign w:val="center"/>
          </w:tcPr>
          <w:p w14:paraId="24DB48F4" w14:textId="77777777" w:rsidR="006A73B4" w:rsidRPr="00974926" w:rsidRDefault="006A73B4" w:rsidP="00255002">
            <w:pPr>
              <w:pStyle w:val="CDITable-RowCentre"/>
              <w:rPr>
                <w:color w:val="FFFFFF" w:themeColor="background1"/>
              </w:rPr>
            </w:pPr>
            <w:r w:rsidRPr="00974926">
              <w:rPr>
                <w:color w:val="FFFFFF" w:themeColor="background1"/>
              </w:rPr>
              <w:t>17.1%</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0B8A6E71" w14:textId="77777777" w:rsidR="006A73B4" w:rsidRPr="00255002" w:rsidRDefault="006A73B4" w:rsidP="00255002">
            <w:pPr>
              <w:pStyle w:val="CDITable-RowCentre"/>
            </w:pPr>
            <w:r w:rsidRPr="00255002">
              <w:t>34</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58BBA88F" w14:textId="77777777" w:rsidR="006A73B4" w:rsidRPr="00255002" w:rsidRDefault="006A73B4" w:rsidP="00255002">
            <w:pPr>
              <w:pStyle w:val="CDITable-RowCentre"/>
            </w:pPr>
            <w:r w:rsidRPr="00255002">
              <w:t>4.3%</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323E690A" w14:textId="77777777" w:rsidR="006A73B4" w:rsidRPr="00255002" w:rsidRDefault="006A73B4" w:rsidP="00255002">
            <w:pPr>
              <w:pStyle w:val="CDITable-RowCentre"/>
            </w:pPr>
            <w:r w:rsidRPr="00255002">
              <w:t>34</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1F507E79" w14:textId="77777777" w:rsidR="006A73B4" w:rsidRPr="00255002" w:rsidRDefault="006A73B4" w:rsidP="00255002">
            <w:pPr>
              <w:pStyle w:val="CDITable-RowCentre"/>
            </w:pPr>
            <w:r w:rsidRPr="00255002">
              <w:t>3.2%</w:t>
            </w:r>
          </w:p>
        </w:tc>
        <w:tc>
          <w:tcPr>
            <w:tcW w:w="851" w:type="dxa"/>
            <w:tcBorders>
              <w:top w:val="single" w:sz="6" w:space="0" w:color="1E4496" w:themeColor="text2"/>
              <w:left w:val="single" w:sz="6" w:space="0" w:color="1E4496" w:themeColor="text2"/>
              <w:bottom w:val="single" w:sz="6" w:space="0" w:color="1E4496" w:themeColor="text2"/>
            </w:tcBorders>
            <w:shd w:val="clear" w:color="auto" w:fill="4D535A"/>
            <w:tcMar>
              <w:top w:w="96" w:type="dxa"/>
              <w:left w:w="57" w:type="dxa"/>
              <w:bottom w:w="96" w:type="dxa"/>
              <w:right w:w="57" w:type="dxa"/>
            </w:tcMar>
            <w:vAlign w:val="center"/>
          </w:tcPr>
          <w:p w14:paraId="6E10B9A0" w14:textId="77777777" w:rsidR="006A73B4" w:rsidRPr="00974926" w:rsidRDefault="006A73B4" w:rsidP="00255002">
            <w:pPr>
              <w:pStyle w:val="CDITable-RowCentre"/>
              <w:rPr>
                <w:color w:val="FFFFFF" w:themeColor="background1"/>
              </w:rPr>
            </w:pPr>
            <w:r w:rsidRPr="00974926">
              <w:rPr>
                <w:color w:val="FFFFFF" w:themeColor="background1"/>
              </w:rPr>
              <w:t>53</w:t>
            </w:r>
          </w:p>
        </w:tc>
        <w:tc>
          <w:tcPr>
            <w:tcW w:w="1190" w:type="dxa"/>
            <w:tcBorders>
              <w:top w:val="single" w:sz="6" w:space="0" w:color="1E4496" w:themeColor="text2"/>
              <w:bottom w:val="single" w:sz="6" w:space="0" w:color="1E4496" w:themeColor="text2"/>
              <w:right w:val="single" w:sz="6" w:space="0" w:color="1E4496" w:themeColor="text2"/>
            </w:tcBorders>
            <w:shd w:val="clear" w:color="auto" w:fill="4D535A"/>
            <w:tcMar>
              <w:top w:w="96" w:type="dxa"/>
              <w:left w:w="57" w:type="dxa"/>
              <w:bottom w:w="96" w:type="dxa"/>
              <w:right w:w="57" w:type="dxa"/>
            </w:tcMar>
            <w:vAlign w:val="center"/>
          </w:tcPr>
          <w:p w14:paraId="12AE2EE1" w14:textId="77777777" w:rsidR="006A73B4" w:rsidRPr="00974926" w:rsidRDefault="006A73B4" w:rsidP="00255002">
            <w:pPr>
              <w:pStyle w:val="CDITable-RowCentre"/>
              <w:rPr>
                <w:color w:val="FFFFFF" w:themeColor="background1"/>
              </w:rPr>
            </w:pPr>
            <w:r w:rsidRPr="00974926">
              <w:rPr>
                <w:color w:val="FFFFFF" w:themeColor="background1"/>
              </w:rPr>
              <w:t>9.4%</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3F493C0A" w14:textId="77777777" w:rsidR="006A73B4" w:rsidRPr="00255002" w:rsidRDefault="006A73B4" w:rsidP="00255002">
            <w:pPr>
              <w:pStyle w:val="CDITable-RowCentre"/>
            </w:pPr>
            <w:r w:rsidRPr="00255002">
              <w:t>554</w:t>
            </w:r>
          </w:p>
        </w:tc>
        <w:tc>
          <w:tcPr>
            <w:tcW w:w="119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77911E5A" w14:textId="77777777" w:rsidR="006A73B4" w:rsidRPr="00255002" w:rsidRDefault="006A73B4" w:rsidP="00255002">
            <w:pPr>
              <w:pStyle w:val="CDITable-RowCentre"/>
            </w:pPr>
            <w:r w:rsidRPr="00255002">
              <w:t>9.3%</w:t>
            </w:r>
          </w:p>
        </w:tc>
      </w:tr>
      <w:tr w:rsidR="00974926" w:rsidRPr="00255002" w14:paraId="09422029" w14:textId="77777777" w:rsidTr="00974926">
        <w:trPr>
          <w:trHeight w:val="20"/>
        </w:trPr>
        <w:tc>
          <w:tcPr>
            <w:tcW w:w="2098"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459B0257" w14:textId="77777777" w:rsidR="006A73B4" w:rsidRPr="00255002" w:rsidRDefault="006A73B4" w:rsidP="00255002">
            <w:pPr>
              <w:pStyle w:val="CDITable-RowLeft"/>
            </w:pPr>
            <w:r w:rsidRPr="00255002">
              <w:t>Rash</w:t>
            </w:r>
          </w:p>
        </w:tc>
        <w:tc>
          <w:tcPr>
            <w:tcW w:w="85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66B59B92" w14:textId="77777777" w:rsidR="006A73B4" w:rsidRPr="00255002" w:rsidRDefault="006A73B4" w:rsidP="00255002">
            <w:pPr>
              <w:pStyle w:val="CDITable-RowCentre"/>
            </w:pPr>
            <w:r w:rsidRPr="00255002">
              <w:t>134</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601E1351" w14:textId="77777777" w:rsidR="006A73B4" w:rsidRPr="00255002" w:rsidRDefault="006A73B4" w:rsidP="00255002">
            <w:pPr>
              <w:pStyle w:val="CDITable-RowCentre"/>
            </w:pPr>
            <w:r w:rsidRPr="00255002">
              <w:t>12.8%</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7CD7FE1D" w14:textId="77777777" w:rsidR="006A73B4" w:rsidRPr="00255002" w:rsidRDefault="006A73B4" w:rsidP="00255002">
            <w:pPr>
              <w:pStyle w:val="CDITable-RowCentre"/>
            </w:pPr>
            <w:r w:rsidRPr="00255002">
              <w:t>269</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053C89C3" w14:textId="77777777" w:rsidR="006A73B4" w:rsidRPr="00255002" w:rsidRDefault="006A73B4" w:rsidP="00255002">
            <w:pPr>
              <w:pStyle w:val="CDITable-RowCentre"/>
            </w:pPr>
            <w:r w:rsidRPr="00255002">
              <w:t>10.9%</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7E7DAE9D" w14:textId="77777777" w:rsidR="006A73B4" w:rsidRPr="00255002" w:rsidRDefault="006A73B4" w:rsidP="00255002">
            <w:pPr>
              <w:pStyle w:val="CDITable-RowCentre"/>
            </w:pPr>
            <w:r w:rsidRPr="00255002">
              <w:t>49</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36A0C6C1" w14:textId="77777777" w:rsidR="006A73B4" w:rsidRPr="00255002" w:rsidRDefault="006A73B4" w:rsidP="00255002">
            <w:pPr>
              <w:pStyle w:val="CDITable-RowCentre"/>
            </w:pPr>
            <w:r w:rsidRPr="00255002">
              <w:t>6.1%</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50F5AE8F" w14:textId="77777777" w:rsidR="006A73B4" w:rsidRPr="00255002" w:rsidRDefault="006A73B4" w:rsidP="00255002">
            <w:pPr>
              <w:pStyle w:val="CDITable-RowCentre"/>
            </w:pPr>
            <w:r w:rsidRPr="00255002">
              <w:t>45</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7C36729F" w14:textId="77777777" w:rsidR="006A73B4" w:rsidRPr="00255002" w:rsidRDefault="006A73B4" w:rsidP="00255002">
            <w:pPr>
              <w:pStyle w:val="CDITable-RowCentre"/>
            </w:pPr>
            <w:r w:rsidRPr="00255002">
              <w:t>4.2%</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4FD83353" w14:textId="77777777" w:rsidR="006A73B4" w:rsidRPr="00255002" w:rsidRDefault="006A73B4" w:rsidP="00255002">
            <w:pPr>
              <w:pStyle w:val="CDITable-RowCentre"/>
            </w:pPr>
            <w:r w:rsidRPr="00255002">
              <w:t>29</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3435D0D8" w14:textId="77777777" w:rsidR="006A73B4" w:rsidRPr="00255002" w:rsidRDefault="006A73B4" w:rsidP="00255002">
            <w:pPr>
              <w:pStyle w:val="CDITable-RowCentre"/>
            </w:pPr>
            <w:r w:rsidRPr="00255002">
              <w:t>5.1%</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0F99B235" w14:textId="77777777" w:rsidR="006A73B4" w:rsidRPr="00255002" w:rsidRDefault="006A73B4" w:rsidP="00255002">
            <w:pPr>
              <w:pStyle w:val="CDITable-RowCentre"/>
            </w:pPr>
            <w:r w:rsidRPr="00255002">
              <w:t>526</w:t>
            </w:r>
          </w:p>
        </w:tc>
        <w:tc>
          <w:tcPr>
            <w:tcW w:w="119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16565686" w14:textId="77777777" w:rsidR="006A73B4" w:rsidRPr="00255002" w:rsidRDefault="006A73B4" w:rsidP="00255002">
            <w:pPr>
              <w:pStyle w:val="CDITable-RowCentre"/>
            </w:pPr>
            <w:r w:rsidRPr="00255002">
              <w:t>8.8%</w:t>
            </w:r>
          </w:p>
        </w:tc>
      </w:tr>
      <w:tr w:rsidR="00974926" w:rsidRPr="00255002" w14:paraId="7CB32C4D" w14:textId="77777777" w:rsidTr="00974926">
        <w:trPr>
          <w:trHeight w:val="20"/>
        </w:trPr>
        <w:tc>
          <w:tcPr>
            <w:tcW w:w="2098"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48D87154" w14:textId="77777777" w:rsidR="006A73B4" w:rsidRPr="00255002" w:rsidRDefault="006A73B4" w:rsidP="00255002">
            <w:pPr>
              <w:pStyle w:val="CDITable-RowLeft"/>
            </w:pPr>
            <w:r w:rsidRPr="00255002">
              <w:t>Vaccine administration errors</w:t>
            </w:r>
          </w:p>
        </w:tc>
        <w:tc>
          <w:tcPr>
            <w:tcW w:w="85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32807257" w14:textId="77777777" w:rsidR="006A73B4" w:rsidRPr="00255002" w:rsidRDefault="006A73B4" w:rsidP="00255002">
            <w:pPr>
              <w:pStyle w:val="CDITable-RowCentre"/>
            </w:pPr>
            <w:r w:rsidRPr="00255002">
              <w:t>119</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04AF50BF" w14:textId="77777777" w:rsidR="006A73B4" w:rsidRPr="00255002" w:rsidRDefault="006A73B4" w:rsidP="00255002">
            <w:pPr>
              <w:pStyle w:val="CDITable-RowCentre"/>
            </w:pPr>
            <w:r w:rsidRPr="00255002">
              <w:t>11.3%</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54B95A65" w14:textId="77777777" w:rsidR="006A73B4" w:rsidRPr="00255002" w:rsidRDefault="006A73B4" w:rsidP="00255002">
            <w:pPr>
              <w:pStyle w:val="CDITable-RowCentre"/>
            </w:pPr>
            <w:r w:rsidRPr="00255002">
              <w:t>193</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65CDB892" w14:textId="77777777" w:rsidR="006A73B4" w:rsidRPr="00255002" w:rsidRDefault="006A73B4" w:rsidP="00255002">
            <w:pPr>
              <w:pStyle w:val="CDITable-RowCentre"/>
            </w:pPr>
            <w:r w:rsidRPr="00255002">
              <w:t>7.8%</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202E97C0" w14:textId="77777777" w:rsidR="006A73B4" w:rsidRPr="00255002" w:rsidRDefault="006A73B4" w:rsidP="00255002">
            <w:pPr>
              <w:pStyle w:val="CDITable-RowCentre"/>
            </w:pPr>
            <w:r w:rsidRPr="00255002">
              <w:t>64</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36806B01" w14:textId="77777777" w:rsidR="006A73B4" w:rsidRPr="00255002" w:rsidRDefault="006A73B4" w:rsidP="00255002">
            <w:pPr>
              <w:pStyle w:val="CDITable-RowCentre"/>
            </w:pPr>
            <w:r w:rsidRPr="00255002">
              <w:t>8.0%</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7795DF6D" w14:textId="77777777" w:rsidR="006A73B4" w:rsidRPr="00255002" w:rsidRDefault="006A73B4" w:rsidP="00255002">
            <w:pPr>
              <w:pStyle w:val="CDITable-RowCentre"/>
            </w:pPr>
            <w:r w:rsidRPr="00255002">
              <w:t>79</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4BA93F2D" w14:textId="77777777" w:rsidR="006A73B4" w:rsidRPr="00255002" w:rsidRDefault="006A73B4" w:rsidP="00255002">
            <w:pPr>
              <w:pStyle w:val="CDITable-RowCentre"/>
            </w:pPr>
            <w:r w:rsidRPr="00255002">
              <w:t>7.3%</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36E96E73" w14:textId="77777777" w:rsidR="006A73B4" w:rsidRPr="00255002" w:rsidRDefault="006A73B4" w:rsidP="00255002">
            <w:pPr>
              <w:pStyle w:val="CDITable-RowCentre"/>
            </w:pPr>
            <w:r w:rsidRPr="00255002">
              <w:t>63</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343F0819" w14:textId="77777777" w:rsidR="006A73B4" w:rsidRPr="00255002" w:rsidRDefault="006A73B4" w:rsidP="00255002">
            <w:pPr>
              <w:pStyle w:val="CDITable-RowCentre"/>
            </w:pPr>
            <w:r w:rsidRPr="00255002">
              <w:t>11.2%</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71266425" w14:textId="77777777" w:rsidR="006A73B4" w:rsidRPr="00255002" w:rsidRDefault="006A73B4" w:rsidP="00255002">
            <w:pPr>
              <w:pStyle w:val="CDITable-RowCentre"/>
            </w:pPr>
            <w:r w:rsidRPr="00255002">
              <w:t>518</w:t>
            </w:r>
          </w:p>
        </w:tc>
        <w:tc>
          <w:tcPr>
            <w:tcW w:w="119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68DCE111" w14:textId="77777777" w:rsidR="006A73B4" w:rsidRPr="00255002" w:rsidRDefault="006A73B4" w:rsidP="00255002">
            <w:pPr>
              <w:pStyle w:val="CDITable-RowCentre"/>
            </w:pPr>
            <w:r w:rsidRPr="00255002">
              <w:t>8.7%</w:t>
            </w:r>
          </w:p>
        </w:tc>
      </w:tr>
      <w:tr w:rsidR="00974926" w:rsidRPr="00255002" w14:paraId="762A63E6" w14:textId="77777777" w:rsidTr="00974926">
        <w:trPr>
          <w:trHeight w:val="20"/>
        </w:trPr>
        <w:tc>
          <w:tcPr>
            <w:tcW w:w="2098"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00B79218" w14:textId="77777777" w:rsidR="006A73B4" w:rsidRPr="00255002" w:rsidRDefault="006A73B4" w:rsidP="00255002">
            <w:pPr>
              <w:pStyle w:val="CDITable-RowLeft"/>
            </w:pPr>
            <w:r w:rsidRPr="00255002">
              <w:t>Vomiting</w:t>
            </w:r>
          </w:p>
        </w:tc>
        <w:tc>
          <w:tcPr>
            <w:tcW w:w="85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1D6C499C" w14:textId="77777777" w:rsidR="006A73B4" w:rsidRPr="00255002" w:rsidRDefault="006A73B4" w:rsidP="00255002">
            <w:pPr>
              <w:pStyle w:val="CDITable-RowCentre"/>
            </w:pPr>
            <w:r w:rsidRPr="00255002">
              <w:t>68</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5E50A390" w14:textId="77777777" w:rsidR="006A73B4" w:rsidRPr="00255002" w:rsidRDefault="006A73B4" w:rsidP="00255002">
            <w:pPr>
              <w:pStyle w:val="CDITable-RowCentre"/>
            </w:pPr>
            <w:r w:rsidRPr="00255002">
              <w:t>6.5%</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569FB200" w14:textId="77777777" w:rsidR="006A73B4" w:rsidRPr="00255002" w:rsidRDefault="006A73B4" w:rsidP="00255002">
            <w:pPr>
              <w:pStyle w:val="CDITable-RowCentre"/>
            </w:pPr>
            <w:r w:rsidRPr="00255002">
              <w:t>89</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477C94B3" w14:textId="77777777" w:rsidR="006A73B4" w:rsidRPr="00255002" w:rsidRDefault="006A73B4" w:rsidP="00255002">
            <w:pPr>
              <w:pStyle w:val="CDITable-RowCentre"/>
            </w:pPr>
            <w:r w:rsidRPr="00255002">
              <w:t>3.6%</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116163AF" w14:textId="77777777" w:rsidR="006A73B4" w:rsidRPr="00255002" w:rsidRDefault="006A73B4" w:rsidP="00255002">
            <w:pPr>
              <w:pStyle w:val="CDITable-RowCentre"/>
            </w:pPr>
            <w:r w:rsidRPr="00255002">
              <w:t>38</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6039DD14" w14:textId="77777777" w:rsidR="006A73B4" w:rsidRPr="00255002" w:rsidRDefault="006A73B4" w:rsidP="00255002">
            <w:pPr>
              <w:pStyle w:val="CDITable-RowCentre"/>
            </w:pPr>
            <w:r w:rsidRPr="00255002">
              <w:t>4.8%</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26E3446C" w14:textId="77777777" w:rsidR="006A73B4" w:rsidRPr="00255002" w:rsidRDefault="006A73B4" w:rsidP="00255002">
            <w:pPr>
              <w:pStyle w:val="CDITable-RowCentre"/>
            </w:pPr>
            <w:r w:rsidRPr="00255002">
              <w:t>24</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77C4BC3F" w14:textId="77777777" w:rsidR="006A73B4" w:rsidRPr="00255002" w:rsidRDefault="006A73B4" w:rsidP="00255002">
            <w:pPr>
              <w:pStyle w:val="CDITable-RowCentre"/>
            </w:pPr>
            <w:r w:rsidRPr="00255002">
              <w:t>2.2%</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5176B4FF" w14:textId="77777777" w:rsidR="006A73B4" w:rsidRPr="00255002" w:rsidRDefault="006A73B4" w:rsidP="00255002">
            <w:pPr>
              <w:pStyle w:val="CDITable-RowCentre"/>
            </w:pPr>
            <w:r w:rsidRPr="00255002">
              <w:t>8</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520A7B12" w14:textId="77777777" w:rsidR="006A73B4" w:rsidRPr="00255002" w:rsidRDefault="006A73B4" w:rsidP="00255002">
            <w:pPr>
              <w:pStyle w:val="CDITable-RowCentre"/>
            </w:pPr>
            <w:r w:rsidRPr="00255002">
              <w:t>1.4%</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7720329C" w14:textId="77777777" w:rsidR="006A73B4" w:rsidRPr="00255002" w:rsidRDefault="006A73B4" w:rsidP="00255002">
            <w:pPr>
              <w:pStyle w:val="CDITable-RowCentre"/>
            </w:pPr>
            <w:r w:rsidRPr="00255002">
              <w:t>227</w:t>
            </w:r>
          </w:p>
        </w:tc>
        <w:tc>
          <w:tcPr>
            <w:tcW w:w="119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2942790B" w14:textId="77777777" w:rsidR="006A73B4" w:rsidRPr="00255002" w:rsidRDefault="006A73B4" w:rsidP="00255002">
            <w:pPr>
              <w:pStyle w:val="CDITable-RowCentre"/>
            </w:pPr>
            <w:r w:rsidRPr="00255002">
              <w:t>3.8%</w:t>
            </w:r>
          </w:p>
        </w:tc>
      </w:tr>
      <w:tr w:rsidR="00974926" w:rsidRPr="00255002" w14:paraId="44F9F67D" w14:textId="77777777" w:rsidTr="00974926">
        <w:trPr>
          <w:trHeight w:val="20"/>
        </w:trPr>
        <w:tc>
          <w:tcPr>
            <w:tcW w:w="2098"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534764A4" w14:textId="77777777" w:rsidR="006A73B4" w:rsidRPr="00255002" w:rsidRDefault="006A73B4" w:rsidP="00255002">
            <w:pPr>
              <w:pStyle w:val="CDITable-RowLeft"/>
            </w:pPr>
            <w:r w:rsidRPr="00255002">
              <w:t>Fever (38 °C ≤ T &lt; 40 °C)</w:t>
            </w:r>
          </w:p>
        </w:tc>
        <w:tc>
          <w:tcPr>
            <w:tcW w:w="85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74ECCB9B" w14:textId="77777777" w:rsidR="006A73B4" w:rsidRPr="00255002" w:rsidRDefault="006A73B4" w:rsidP="00255002">
            <w:pPr>
              <w:pStyle w:val="CDITable-RowCentre"/>
            </w:pPr>
            <w:r w:rsidRPr="00255002">
              <w:t>52</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3B4BE5F5" w14:textId="77777777" w:rsidR="006A73B4" w:rsidRPr="00255002" w:rsidRDefault="006A73B4" w:rsidP="00255002">
            <w:pPr>
              <w:pStyle w:val="CDITable-RowCentre"/>
            </w:pPr>
            <w:r w:rsidRPr="00255002">
              <w:t>5.0%</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69C1AA2A" w14:textId="77777777" w:rsidR="006A73B4" w:rsidRPr="00255002" w:rsidRDefault="006A73B4" w:rsidP="00255002">
            <w:pPr>
              <w:pStyle w:val="CDITable-RowCentre"/>
            </w:pPr>
            <w:r w:rsidRPr="00255002">
              <w:t>125</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45A9F602" w14:textId="77777777" w:rsidR="006A73B4" w:rsidRPr="00255002" w:rsidRDefault="006A73B4" w:rsidP="00255002">
            <w:pPr>
              <w:pStyle w:val="CDITable-RowCentre"/>
            </w:pPr>
            <w:r w:rsidRPr="00255002">
              <w:t>5.1%</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244F8205" w14:textId="77777777" w:rsidR="006A73B4" w:rsidRPr="00255002" w:rsidRDefault="006A73B4" w:rsidP="00255002">
            <w:pPr>
              <w:pStyle w:val="CDITable-RowCentre"/>
            </w:pPr>
            <w:r w:rsidRPr="00255002">
              <w:t>28</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193BC4BF" w14:textId="77777777" w:rsidR="006A73B4" w:rsidRPr="00255002" w:rsidRDefault="006A73B4" w:rsidP="00255002">
            <w:pPr>
              <w:pStyle w:val="CDITable-RowCentre"/>
            </w:pPr>
            <w:r w:rsidRPr="00255002">
              <w:t>3.5%</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24F79F71" w14:textId="77777777" w:rsidR="006A73B4" w:rsidRPr="00255002" w:rsidRDefault="006A73B4" w:rsidP="00255002">
            <w:pPr>
              <w:pStyle w:val="CDITable-RowCentre"/>
            </w:pPr>
            <w:r w:rsidRPr="00255002">
              <w:t>15</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4AAC738A" w14:textId="77777777" w:rsidR="006A73B4" w:rsidRPr="00255002" w:rsidRDefault="006A73B4" w:rsidP="00255002">
            <w:pPr>
              <w:pStyle w:val="CDITable-RowCentre"/>
            </w:pPr>
            <w:r w:rsidRPr="00255002">
              <w:t>1.4%</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54D94588" w14:textId="77777777" w:rsidR="006A73B4" w:rsidRPr="00255002" w:rsidRDefault="006A73B4" w:rsidP="00255002">
            <w:pPr>
              <w:pStyle w:val="CDITable-RowCentre"/>
            </w:pPr>
            <w:r w:rsidRPr="00255002">
              <w:t>3</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2E4D486D" w14:textId="77777777" w:rsidR="006A73B4" w:rsidRPr="00255002" w:rsidRDefault="006A73B4" w:rsidP="00255002">
            <w:pPr>
              <w:pStyle w:val="CDITable-RowCentre"/>
            </w:pPr>
            <w:r w:rsidRPr="00255002">
              <w:t>0.5%</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65E04527" w14:textId="77777777" w:rsidR="006A73B4" w:rsidRPr="00255002" w:rsidRDefault="006A73B4" w:rsidP="00255002">
            <w:pPr>
              <w:pStyle w:val="CDITable-RowCentre"/>
            </w:pPr>
            <w:r w:rsidRPr="00255002">
              <w:t>223</w:t>
            </w:r>
          </w:p>
        </w:tc>
        <w:tc>
          <w:tcPr>
            <w:tcW w:w="119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67C9D4EA" w14:textId="77777777" w:rsidR="006A73B4" w:rsidRPr="00255002" w:rsidRDefault="006A73B4" w:rsidP="00255002">
            <w:pPr>
              <w:pStyle w:val="CDITable-RowCentre"/>
            </w:pPr>
            <w:r w:rsidRPr="00255002">
              <w:t>3.8%</w:t>
            </w:r>
          </w:p>
        </w:tc>
      </w:tr>
      <w:tr w:rsidR="00974926" w:rsidRPr="00255002" w14:paraId="433C33BE" w14:textId="77777777" w:rsidTr="00974926">
        <w:trPr>
          <w:trHeight w:val="20"/>
        </w:trPr>
        <w:tc>
          <w:tcPr>
            <w:tcW w:w="2098"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4471FF50" w14:textId="77777777" w:rsidR="006A73B4" w:rsidRPr="00255002" w:rsidRDefault="006A73B4" w:rsidP="00255002">
            <w:pPr>
              <w:pStyle w:val="CDITable-RowLeft"/>
            </w:pPr>
            <w:r w:rsidRPr="00255002">
              <w:t>Fever (unspecified)</w:t>
            </w:r>
          </w:p>
        </w:tc>
        <w:tc>
          <w:tcPr>
            <w:tcW w:w="85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645C7B19" w14:textId="77777777" w:rsidR="006A73B4" w:rsidRPr="00255002" w:rsidRDefault="006A73B4" w:rsidP="00255002">
            <w:pPr>
              <w:pStyle w:val="CDITable-RowCentre"/>
            </w:pPr>
            <w:r w:rsidRPr="00255002">
              <w:t>31</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4AEB6285" w14:textId="77777777" w:rsidR="006A73B4" w:rsidRPr="00255002" w:rsidRDefault="006A73B4" w:rsidP="00255002">
            <w:pPr>
              <w:pStyle w:val="CDITable-RowCentre"/>
            </w:pPr>
            <w:r w:rsidRPr="00255002">
              <w:t>3.0%</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432F6C7F" w14:textId="77777777" w:rsidR="006A73B4" w:rsidRPr="00255002" w:rsidRDefault="006A73B4" w:rsidP="00255002">
            <w:pPr>
              <w:pStyle w:val="CDITable-RowCentre"/>
            </w:pPr>
            <w:r w:rsidRPr="00255002">
              <w:t>119</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0D62185C" w14:textId="77777777" w:rsidR="006A73B4" w:rsidRPr="00255002" w:rsidRDefault="006A73B4" w:rsidP="00255002">
            <w:pPr>
              <w:pStyle w:val="CDITable-RowCentre"/>
            </w:pPr>
            <w:r w:rsidRPr="00255002">
              <w:t>4.8%</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074D3B32" w14:textId="77777777" w:rsidR="006A73B4" w:rsidRPr="00255002" w:rsidRDefault="006A73B4" w:rsidP="00255002">
            <w:pPr>
              <w:pStyle w:val="CDITable-RowCentre"/>
            </w:pPr>
            <w:r w:rsidRPr="00255002">
              <w:t>26</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38E4A25D" w14:textId="77777777" w:rsidR="006A73B4" w:rsidRPr="00255002" w:rsidRDefault="006A73B4" w:rsidP="00255002">
            <w:pPr>
              <w:pStyle w:val="CDITable-RowCentre"/>
            </w:pPr>
            <w:r w:rsidRPr="00255002">
              <w:t>3.3%</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3635A247" w14:textId="77777777" w:rsidR="006A73B4" w:rsidRPr="00255002" w:rsidRDefault="006A73B4" w:rsidP="00255002">
            <w:pPr>
              <w:pStyle w:val="CDITable-RowCentre"/>
            </w:pPr>
            <w:r w:rsidRPr="00255002">
              <w:t>28</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429F4520" w14:textId="77777777" w:rsidR="006A73B4" w:rsidRPr="00255002" w:rsidRDefault="006A73B4" w:rsidP="00255002">
            <w:pPr>
              <w:pStyle w:val="CDITable-RowCentre"/>
            </w:pPr>
            <w:r w:rsidRPr="00255002">
              <w:t>2.6%</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732BB377" w14:textId="77777777" w:rsidR="006A73B4" w:rsidRPr="00255002" w:rsidRDefault="006A73B4" w:rsidP="00255002">
            <w:pPr>
              <w:pStyle w:val="CDITable-RowCentre"/>
            </w:pPr>
            <w:r w:rsidRPr="00255002">
              <w:t>17</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6E90CA13" w14:textId="77777777" w:rsidR="006A73B4" w:rsidRPr="00255002" w:rsidRDefault="006A73B4" w:rsidP="00255002">
            <w:pPr>
              <w:pStyle w:val="CDITable-RowCentre"/>
            </w:pPr>
            <w:r w:rsidRPr="00255002">
              <w:t>3.0%</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43A51FD5" w14:textId="77777777" w:rsidR="006A73B4" w:rsidRPr="00255002" w:rsidRDefault="006A73B4" w:rsidP="00255002">
            <w:pPr>
              <w:pStyle w:val="CDITable-RowCentre"/>
            </w:pPr>
            <w:r w:rsidRPr="00255002">
              <w:t>221</w:t>
            </w:r>
          </w:p>
        </w:tc>
        <w:tc>
          <w:tcPr>
            <w:tcW w:w="119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30C2FBA2" w14:textId="77777777" w:rsidR="006A73B4" w:rsidRPr="00255002" w:rsidRDefault="006A73B4" w:rsidP="00255002">
            <w:pPr>
              <w:pStyle w:val="CDITable-RowCentre"/>
            </w:pPr>
            <w:r w:rsidRPr="00255002">
              <w:t>3.7%</w:t>
            </w:r>
          </w:p>
        </w:tc>
      </w:tr>
      <w:tr w:rsidR="00974926" w:rsidRPr="00255002" w14:paraId="062C5E39" w14:textId="77777777" w:rsidTr="00974926">
        <w:trPr>
          <w:trHeight w:val="20"/>
        </w:trPr>
        <w:tc>
          <w:tcPr>
            <w:tcW w:w="2098"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7799DB35" w14:textId="77777777" w:rsidR="006A73B4" w:rsidRPr="00255002" w:rsidRDefault="006A73B4" w:rsidP="00255002">
            <w:pPr>
              <w:pStyle w:val="CDITable-RowLeft"/>
            </w:pPr>
            <w:r w:rsidRPr="00255002">
              <w:t>Urticaria/hives</w:t>
            </w:r>
          </w:p>
        </w:tc>
        <w:tc>
          <w:tcPr>
            <w:tcW w:w="85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647B82A1" w14:textId="77777777" w:rsidR="006A73B4" w:rsidRPr="00255002" w:rsidRDefault="006A73B4" w:rsidP="00255002">
            <w:pPr>
              <w:pStyle w:val="CDITable-RowCentre"/>
            </w:pPr>
            <w:r w:rsidRPr="00255002">
              <w:t>37</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714F366C" w14:textId="77777777" w:rsidR="006A73B4" w:rsidRPr="00255002" w:rsidRDefault="006A73B4" w:rsidP="00255002">
            <w:pPr>
              <w:pStyle w:val="CDITable-RowCentre"/>
            </w:pPr>
            <w:r w:rsidRPr="00255002">
              <w:t>3.5%</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06E7C892" w14:textId="77777777" w:rsidR="006A73B4" w:rsidRPr="00255002" w:rsidRDefault="006A73B4" w:rsidP="00255002">
            <w:pPr>
              <w:pStyle w:val="CDITable-RowCentre"/>
            </w:pPr>
            <w:r w:rsidRPr="00255002">
              <w:t>76</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05063BEB" w14:textId="77777777" w:rsidR="006A73B4" w:rsidRPr="00255002" w:rsidRDefault="006A73B4" w:rsidP="00255002">
            <w:pPr>
              <w:pStyle w:val="CDITable-RowCentre"/>
            </w:pPr>
            <w:r w:rsidRPr="00255002">
              <w:t>3.1%</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5B3566A9" w14:textId="77777777" w:rsidR="006A73B4" w:rsidRPr="00255002" w:rsidRDefault="006A73B4" w:rsidP="00255002">
            <w:pPr>
              <w:pStyle w:val="CDITable-RowCentre"/>
            </w:pPr>
            <w:r w:rsidRPr="00255002">
              <w:t>25</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2AB03564" w14:textId="77777777" w:rsidR="006A73B4" w:rsidRPr="00255002" w:rsidRDefault="006A73B4" w:rsidP="00255002">
            <w:pPr>
              <w:pStyle w:val="CDITable-RowCentre"/>
            </w:pPr>
            <w:r w:rsidRPr="00255002">
              <w:t>3.1%</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44FD088E" w14:textId="77777777" w:rsidR="006A73B4" w:rsidRPr="00255002" w:rsidRDefault="006A73B4" w:rsidP="00255002">
            <w:pPr>
              <w:pStyle w:val="CDITable-RowCentre"/>
            </w:pPr>
            <w:r w:rsidRPr="00255002">
              <w:t>24</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3A3E1783" w14:textId="77777777" w:rsidR="006A73B4" w:rsidRPr="00255002" w:rsidRDefault="006A73B4" w:rsidP="00255002">
            <w:pPr>
              <w:pStyle w:val="CDITable-RowCentre"/>
            </w:pPr>
            <w:r w:rsidRPr="00255002">
              <w:t>2.2%</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7B18D3F4" w14:textId="77777777" w:rsidR="006A73B4" w:rsidRPr="00255002" w:rsidRDefault="006A73B4" w:rsidP="00255002">
            <w:pPr>
              <w:pStyle w:val="CDITable-RowCentre"/>
            </w:pPr>
            <w:r w:rsidRPr="00255002">
              <w:t>7</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02882FE8" w14:textId="77777777" w:rsidR="006A73B4" w:rsidRPr="00255002" w:rsidRDefault="006A73B4" w:rsidP="00255002">
            <w:pPr>
              <w:pStyle w:val="CDITable-RowCentre"/>
            </w:pPr>
            <w:r w:rsidRPr="00255002">
              <w:t>1.2%</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3DA278ED" w14:textId="77777777" w:rsidR="006A73B4" w:rsidRPr="00255002" w:rsidRDefault="006A73B4" w:rsidP="00255002">
            <w:pPr>
              <w:pStyle w:val="CDITable-RowCentre"/>
            </w:pPr>
            <w:r w:rsidRPr="00255002">
              <w:t>169</w:t>
            </w:r>
          </w:p>
        </w:tc>
        <w:tc>
          <w:tcPr>
            <w:tcW w:w="119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1D05E4EF" w14:textId="77777777" w:rsidR="006A73B4" w:rsidRPr="00255002" w:rsidRDefault="006A73B4" w:rsidP="00255002">
            <w:pPr>
              <w:pStyle w:val="CDITable-RowCentre"/>
            </w:pPr>
            <w:r w:rsidRPr="00255002">
              <w:t>2.8%</w:t>
            </w:r>
          </w:p>
        </w:tc>
      </w:tr>
      <w:tr w:rsidR="00974926" w:rsidRPr="00255002" w14:paraId="3FD2460A" w14:textId="77777777" w:rsidTr="00974926">
        <w:trPr>
          <w:trHeight w:val="20"/>
        </w:trPr>
        <w:tc>
          <w:tcPr>
            <w:tcW w:w="2098"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6F27696D" w14:textId="77777777" w:rsidR="006A73B4" w:rsidRPr="00255002" w:rsidRDefault="006A73B4" w:rsidP="00255002">
            <w:pPr>
              <w:pStyle w:val="CDITable-RowLeft"/>
            </w:pPr>
            <w:r w:rsidRPr="00255002">
              <w:t>Pain in limb</w:t>
            </w:r>
          </w:p>
        </w:tc>
        <w:tc>
          <w:tcPr>
            <w:tcW w:w="85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560467B1" w14:textId="77777777" w:rsidR="006A73B4" w:rsidRPr="00255002" w:rsidRDefault="006A73B4" w:rsidP="00255002">
            <w:pPr>
              <w:pStyle w:val="CDITable-RowCentre"/>
            </w:pPr>
            <w:r w:rsidRPr="00255002">
              <w:t>1</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020ADD20" w14:textId="77777777" w:rsidR="006A73B4" w:rsidRPr="00255002" w:rsidRDefault="006A73B4" w:rsidP="00255002">
            <w:pPr>
              <w:pStyle w:val="CDITable-RowCentre"/>
            </w:pPr>
            <w:r w:rsidRPr="00255002">
              <w:t>0.1%</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75D1D6B5" w14:textId="77777777" w:rsidR="006A73B4" w:rsidRPr="00255002" w:rsidRDefault="006A73B4" w:rsidP="00255002">
            <w:pPr>
              <w:pStyle w:val="CDITable-RowCentre"/>
            </w:pPr>
            <w:r w:rsidRPr="00255002">
              <w:t>12</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0E26E5E8" w14:textId="77777777" w:rsidR="006A73B4" w:rsidRPr="00255002" w:rsidRDefault="006A73B4" w:rsidP="00255002">
            <w:pPr>
              <w:pStyle w:val="CDITable-RowCentre"/>
            </w:pPr>
            <w:r w:rsidRPr="00255002">
              <w:t>0.5%</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054E9AF9" w14:textId="77777777" w:rsidR="006A73B4" w:rsidRPr="00255002" w:rsidRDefault="006A73B4" w:rsidP="00255002">
            <w:pPr>
              <w:pStyle w:val="CDITable-RowCentre"/>
            </w:pPr>
            <w:r w:rsidRPr="00255002">
              <w:t>23</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339C03F2" w14:textId="77777777" w:rsidR="006A73B4" w:rsidRPr="00255002" w:rsidRDefault="006A73B4" w:rsidP="00255002">
            <w:pPr>
              <w:pStyle w:val="CDITable-RowCentre"/>
            </w:pPr>
            <w:r w:rsidRPr="00255002">
              <w:t>2.9%</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03502B51" w14:textId="77777777" w:rsidR="006A73B4" w:rsidRPr="00255002" w:rsidRDefault="006A73B4" w:rsidP="00255002">
            <w:pPr>
              <w:pStyle w:val="CDITable-RowCentre"/>
            </w:pPr>
            <w:r w:rsidRPr="00255002">
              <w:t>81</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359A7215" w14:textId="77777777" w:rsidR="006A73B4" w:rsidRPr="00255002" w:rsidRDefault="006A73B4" w:rsidP="00255002">
            <w:pPr>
              <w:pStyle w:val="CDITable-RowCentre"/>
            </w:pPr>
            <w:r w:rsidRPr="00255002">
              <w:t>7.5%</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01175731" w14:textId="77777777" w:rsidR="006A73B4" w:rsidRPr="00255002" w:rsidRDefault="006A73B4" w:rsidP="00255002">
            <w:pPr>
              <w:pStyle w:val="CDITable-RowCentre"/>
            </w:pPr>
            <w:r w:rsidRPr="00255002">
              <w:t>44</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7778A8D2" w14:textId="77777777" w:rsidR="006A73B4" w:rsidRPr="00255002" w:rsidRDefault="006A73B4" w:rsidP="00255002">
            <w:pPr>
              <w:pStyle w:val="CDITable-RowCentre"/>
            </w:pPr>
            <w:r w:rsidRPr="00255002">
              <w:t>7.8%</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6AF17F11" w14:textId="77777777" w:rsidR="006A73B4" w:rsidRPr="00255002" w:rsidRDefault="006A73B4" w:rsidP="00255002">
            <w:pPr>
              <w:pStyle w:val="CDITable-RowCentre"/>
            </w:pPr>
            <w:r w:rsidRPr="00255002">
              <w:t>161</w:t>
            </w:r>
          </w:p>
        </w:tc>
        <w:tc>
          <w:tcPr>
            <w:tcW w:w="119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4DA4A171" w14:textId="77777777" w:rsidR="006A73B4" w:rsidRPr="00255002" w:rsidRDefault="006A73B4" w:rsidP="00255002">
            <w:pPr>
              <w:pStyle w:val="CDITable-RowCentre"/>
            </w:pPr>
            <w:r w:rsidRPr="00255002">
              <w:t>2.7%</w:t>
            </w:r>
          </w:p>
        </w:tc>
      </w:tr>
      <w:tr w:rsidR="00974926" w:rsidRPr="00255002" w14:paraId="0D484EB0" w14:textId="77777777" w:rsidTr="00974926">
        <w:trPr>
          <w:trHeight w:val="20"/>
        </w:trPr>
        <w:tc>
          <w:tcPr>
            <w:tcW w:w="2098"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00D5CD3F" w14:textId="77777777" w:rsidR="006A73B4" w:rsidRPr="00255002" w:rsidRDefault="006A73B4" w:rsidP="00255002">
            <w:pPr>
              <w:pStyle w:val="CDITable-RowLeft"/>
            </w:pPr>
            <w:r w:rsidRPr="00255002">
              <w:t>Lethargy</w:t>
            </w:r>
          </w:p>
        </w:tc>
        <w:tc>
          <w:tcPr>
            <w:tcW w:w="85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252F94AC" w14:textId="77777777" w:rsidR="006A73B4" w:rsidRPr="00255002" w:rsidRDefault="006A73B4" w:rsidP="00255002">
            <w:pPr>
              <w:pStyle w:val="CDITable-RowCentre"/>
            </w:pPr>
            <w:r w:rsidRPr="00255002">
              <w:t>28</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2D675976" w14:textId="77777777" w:rsidR="006A73B4" w:rsidRPr="00255002" w:rsidRDefault="006A73B4" w:rsidP="00255002">
            <w:pPr>
              <w:pStyle w:val="CDITable-RowCentre"/>
            </w:pPr>
            <w:r w:rsidRPr="00255002">
              <w:t>2.7%</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70DFD413" w14:textId="77777777" w:rsidR="006A73B4" w:rsidRPr="00255002" w:rsidRDefault="006A73B4" w:rsidP="00255002">
            <w:pPr>
              <w:pStyle w:val="CDITable-RowCentre"/>
            </w:pPr>
            <w:r w:rsidRPr="00255002">
              <w:t>37</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55D7DB0B" w14:textId="77777777" w:rsidR="006A73B4" w:rsidRPr="00255002" w:rsidRDefault="006A73B4" w:rsidP="00255002">
            <w:pPr>
              <w:pStyle w:val="CDITable-RowCentre"/>
            </w:pPr>
            <w:r w:rsidRPr="00255002">
              <w:t>1.5%</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54FB1A13" w14:textId="77777777" w:rsidR="006A73B4" w:rsidRPr="00255002" w:rsidRDefault="006A73B4" w:rsidP="00255002">
            <w:pPr>
              <w:pStyle w:val="CDITable-RowCentre"/>
            </w:pPr>
            <w:r w:rsidRPr="00255002">
              <w:t>22</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40242604" w14:textId="77777777" w:rsidR="006A73B4" w:rsidRPr="00255002" w:rsidRDefault="006A73B4" w:rsidP="00255002">
            <w:pPr>
              <w:pStyle w:val="CDITable-RowCentre"/>
            </w:pPr>
            <w:r w:rsidRPr="00255002">
              <w:t>2.8%</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45D33C7F" w14:textId="77777777" w:rsidR="006A73B4" w:rsidRPr="00255002" w:rsidRDefault="006A73B4" w:rsidP="00255002">
            <w:pPr>
              <w:pStyle w:val="CDITable-RowCentre"/>
            </w:pPr>
            <w:r w:rsidRPr="00255002">
              <w:t>27</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53C4B432" w14:textId="77777777" w:rsidR="006A73B4" w:rsidRPr="00255002" w:rsidRDefault="006A73B4" w:rsidP="00255002">
            <w:pPr>
              <w:pStyle w:val="CDITable-RowCentre"/>
            </w:pPr>
            <w:r w:rsidRPr="00255002">
              <w:t>2.5%</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3C41B6C2" w14:textId="77777777" w:rsidR="006A73B4" w:rsidRPr="00255002" w:rsidRDefault="006A73B4" w:rsidP="00255002">
            <w:pPr>
              <w:pStyle w:val="CDITable-RowCentre"/>
            </w:pPr>
            <w:r w:rsidRPr="00255002">
              <w:t>21</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400D0D17" w14:textId="77777777" w:rsidR="006A73B4" w:rsidRPr="00255002" w:rsidRDefault="006A73B4" w:rsidP="00255002">
            <w:pPr>
              <w:pStyle w:val="CDITable-RowCentre"/>
            </w:pPr>
            <w:r w:rsidRPr="00255002">
              <w:t>3.7%</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4FBBF250" w14:textId="77777777" w:rsidR="006A73B4" w:rsidRPr="00255002" w:rsidRDefault="006A73B4" w:rsidP="00255002">
            <w:pPr>
              <w:pStyle w:val="CDITable-RowCentre"/>
            </w:pPr>
            <w:r w:rsidRPr="00255002">
              <w:t>135</w:t>
            </w:r>
          </w:p>
        </w:tc>
        <w:tc>
          <w:tcPr>
            <w:tcW w:w="119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784BC16C" w14:textId="77777777" w:rsidR="006A73B4" w:rsidRPr="00255002" w:rsidRDefault="006A73B4" w:rsidP="00255002">
            <w:pPr>
              <w:pStyle w:val="CDITable-RowCentre"/>
            </w:pPr>
            <w:r w:rsidRPr="00255002">
              <w:t>2.3%</w:t>
            </w:r>
          </w:p>
        </w:tc>
      </w:tr>
      <w:tr w:rsidR="00974926" w:rsidRPr="00255002" w14:paraId="6B8B99DA" w14:textId="77777777" w:rsidTr="00974926">
        <w:trPr>
          <w:trHeight w:val="20"/>
        </w:trPr>
        <w:tc>
          <w:tcPr>
            <w:tcW w:w="2098"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29FF728E" w14:textId="77777777" w:rsidR="006A73B4" w:rsidRPr="00255002" w:rsidRDefault="006A73B4" w:rsidP="00255002">
            <w:pPr>
              <w:pStyle w:val="CDITable-RowLeft"/>
            </w:pPr>
            <w:r w:rsidRPr="00255002">
              <w:t>Irritable</w:t>
            </w:r>
          </w:p>
        </w:tc>
        <w:tc>
          <w:tcPr>
            <w:tcW w:w="85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47DA8967" w14:textId="77777777" w:rsidR="006A73B4" w:rsidRPr="00255002" w:rsidRDefault="006A73B4" w:rsidP="00255002">
            <w:pPr>
              <w:pStyle w:val="CDITable-RowCentre"/>
            </w:pPr>
            <w:r w:rsidRPr="00255002">
              <w:t>76</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25D609C3" w14:textId="77777777" w:rsidR="006A73B4" w:rsidRPr="00255002" w:rsidRDefault="006A73B4" w:rsidP="00255002">
            <w:pPr>
              <w:pStyle w:val="CDITable-RowCentre"/>
            </w:pPr>
            <w:r w:rsidRPr="00255002">
              <w:t>7.2%</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1F415369" w14:textId="77777777" w:rsidR="006A73B4" w:rsidRPr="00255002" w:rsidRDefault="006A73B4" w:rsidP="00255002">
            <w:pPr>
              <w:pStyle w:val="CDITable-RowCentre"/>
            </w:pPr>
            <w:r w:rsidRPr="00255002">
              <w:t>48</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2829A742" w14:textId="77777777" w:rsidR="006A73B4" w:rsidRPr="00255002" w:rsidRDefault="006A73B4" w:rsidP="00255002">
            <w:pPr>
              <w:pStyle w:val="CDITable-RowCentre"/>
            </w:pPr>
            <w:r w:rsidRPr="00255002">
              <w:t>2.0%</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610246B9" w14:textId="77777777" w:rsidR="006A73B4" w:rsidRPr="00255002" w:rsidRDefault="006A73B4" w:rsidP="00255002">
            <w:pPr>
              <w:pStyle w:val="CDITable-RowCentre"/>
            </w:pPr>
            <w:r w:rsidRPr="00255002">
              <w:t>0</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2F600671" w14:textId="77777777" w:rsidR="006A73B4" w:rsidRPr="00255002" w:rsidRDefault="006A73B4" w:rsidP="00255002">
            <w:pPr>
              <w:pStyle w:val="CDITable-RowCentre"/>
            </w:pPr>
            <w:r w:rsidRPr="00255002">
              <w:t>0.0%</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11E3F1B9" w14:textId="77777777" w:rsidR="006A73B4" w:rsidRPr="00255002" w:rsidRDefault="006A73B4" w:rsidP="00255002">
            <w:pPr>
              <w:pStyle w:val="CDITable-RowCentre"/>
            </w:pPr>
            <w:r w:rsidRPr="00255002">
              <w:t>0</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70BD036C" w14:textId="77777777" w:rsidR="006A73B4" w:rsidRPr="00255002" w:rsidRDefault="006A73B4" w:rsidP="00255002">
            <w:pPr>
              <w:pStyle w:val="CDITable-RowCentre"/>
            </w:pPr>
            <w:r w:rsidRPr="00255002">
              <w:t>0.0%</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1E392F70" w14:textId="77777777" w:rsidR="006A73B4" w:rsidRPr="00255002" w:rsidRDefault="006A73B4" w:rsidP="00255002">
            <w:pPr>
              <w:pStyle w:val="CDITable-RowCentre"/>
            </w:pPr>
            <w:r w:rsidRPr="00255002">
              <w:t>0</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12DD9011" w14:textId="77777777" w:rsidR="006A73B4" w:rsidRPr="00255002" w:rsidRDefault="006A73B4" w:rsidP="00255002">
            <w:pPr>
              <w:pStyle w:val="CDITable-RowCentre"/>
            </w:pPr>
            <w:r w:rsidRPr="00255002">
              <w:t>0.0%</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58EC8E60" w14:textId="77777777" w:rsidR="006A73B4" w:rsidRPr="00255002" w:rsidRDefault="006A73B4" w:rsidP="00255002">
            <w:pPr>
              <w:pStyle w:val="CDITable-RowCentre"/>
            </w:pPr>
            <w:r w:rsidRPr="00255002">
              <w:t>124</w:t>
            </w:r>
          </w:p>
        </w:tc>
        <w:tc>
          <w:tcPr>
            <w:tcW w:w="119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061EED8B" w14:textId="77777777" w:rsidR="006A73B4" w:rsidRPr="00255002" w:rsidRDefault="006A73B4" w:rsidP="00255002">
            <w:pPr>
              <w:pStyle w:val="CDITable-RowCentre"/>
            </w:pPr>
            <w:r w:rsidRPr="00255002">
              <w:t>2.1%</w:t>
            </w:r>
          </w:p>
        </w:tc>
      </w:tr>
      <w:tr w:rsidR="00974926" w:rsidRPr="00255002" w14:paraId="5EE25957" w14:textId="77777777" w:rsidTr="00974926">
        <w:trPr>
          <w:trHeight w:val="20"/>
        </w:trPr>
        <w:tc>
          <w:tcPr>
            <w:tcW w:w="2098"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659A2E6A" w14:textId="77777777" w:rsidR="006A73B4" w:rsidRPr="00255002" w:rsidRDefault="006A73B4" w:rsidP="00255002">
            <w:pPr>
              <w:pStyle w:val="CDITable-RowLeft"/>
            </w:pPr>
            <w:r w:rsidRPr="00255002">
              <w:t>Diarrhoea</w:t>
            </w:r>
          </w:p>
        </w:tc>
        <w:tc>
          <w:tcPr>
            <w:tcW w:w="85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66F379D6" w14:textId="77777777" w:rsidR="006A73B4" w:rsidRPr="00255002" w:rsidRDefault="006A73B4" w:rsidP="00255002">
            <w:pPr>
              <w:pStyle w:val="CDITable-RowCentre"/>
            </w:pPr>
            <w:r w:rsidRPr="00255002">
              <w:t>64</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25960513" w14:textId="77777777" w:rsidR="006A73B4" w:rsidRPr="00255002" w:rsidRDefault="006A73B4" w:rsidP="00255002">
            <w:pPr>
              <w:pStyle w:val="CDITable-RowCentre"/>
            </w:pPr>
            <w:r w:rsidRPr="00255002">
              <w:t>6.1%</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074D66D3" w14:textId="77777777" w:rsidR="006A73B4" w:rsidRPr="00255002" w:rsidRDefault="006A73B4" w:rsidP="00255002">
            <w:pPr>
              <w:pStyle w:val="CDITable-RowCentre"/>
            </w:pPr>
            <w:r w:rsidRPr="00255002">
              <w:t>29</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3F6E539E" w14:textId="77777777" w:rsidR="006A73B4" w:rsidRPr="00255002" w:rsidRDefault="006A73B4" w:rsidP="00255002">
            <w:pPr>
              <w:pStyle w:val="CDITable-RowCentre"/>
            </w:pPr>
            <w:r w:rsidRPr="00255002">
              <w:t>1.2%</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068A9943" w14:textId="77777777" w:rsidR="006A73B4" w:rsidRPr="00255002" w:rsidRDefault="006A73B4" w:rsidP="00255002">
            <w:pPr>
              <w:pStyle w:val="CDITable-RowCentre"/>
            </w:pPr>
            <w:r w:rsidRPr="00255002">
              <w:t>7</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0E26500C" w14:textId="77777777" w:rsidR="006A73B4" w:rsidRPr="00255002" w:rsidRDefault="006A73B4" w:rsidP="00255002">
            <w:pPr>
              <w:pStyle w:val="CDITable-RowCentre"/>
            </w:pPr>
            <w:r w:rsidRPr="00255002">
              <w:t>0.9%</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6ED99261" w14:textId="77777777" w:rsidR="006A73B4" w:rsidRPr="00255002" w:rsidRDefault="006A73B4" w:rsidP="00255002">
            <w:pPr>
              <w:pStyle w:val="CDITable-RowCentre"/>
            </w:pPr>
            <w:r w:rsidRPr="00255002">
              <w:t>16</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2BD19205" w14:textId="77777777" w:rsidR="006A73B4" w:rsidRPr="00255002" w:rsidRDefault="006A73B4" w:rsidP="00255002">
            <w:pPr>
              <w:pStyle w:val="CDITable-RowCentre"/>
            </w:pPr>
            <w:r w:rsidRPr="00255002">
              <w:t>1.5%</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21DB8A2F" w14:textId="77777777" w:rsidR="006A73B4" w:rsidRPr="00255002" w:rsidRDefault="006A73B4" w:rsidP="00255002">
            <w:pPr>
              <w:pStyle w:val="CDITable-RowCentre"/>
            </w:pPr>
            <w:r w:rsidRPr="00255002">
              <w:t>3</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7E50E1AC" w14:textId="77777777" w:rsidR="006A73B4" w:rsidRPr="00255002" w:rsidRDefault="006A73B4" w:rsidP="00255002">
            <w:pPr>
              <w:pStyle w:val="CDITable-RowCentre"/>
            </w:pPr>
            <w:r w:rsidRPr="00255002">
              <w:t>0.5%</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7FEE70F3" w14:textId="77777777" w:rsidR="006A73B4" w:rsidRPr="00255002" w:rsidRDefault="006A73B4" w:rsidP="00255002">
            <w:pPr>
              <w:pStyle w:val="CDITable-RowCentre"/>
            </w:pPr>
            <w:r w:rsidRPr="00255002">
              <w:t>119</w:t>
            </w:r>
          </w:p>
        </w:tc>
        <w:tc>
          <w:tcPr>
            <w:tcW w:w="119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79702903" w14:textId="77777777" w:rsidR="006A73B4" w:rsidRPr="00255002" w:rsidRDefault="006A73B4" w:rsidP="00255002">
            <w:pPr>
              <w:pStyle w:val="CDITable-RowCentre"/>
            </w:pPr>
            <w:r w:rsidRPr="00255002">
              <w:t>2.0%</w:t>
            </w:r>
          </w:p>
        </w:tc>
      </w:tr>
      <w:tr w:rsidR="00974926" w:rsidRPr="00255002" w14:paraId="5F15FF93" w14:textId="77777777" w:rsidTr="00974926">
        <w:trPr>
          <w:trHeight w:val="20"/>
        </w:trPr>
        <w:tc>
          <w:tcPr>
            <w:tcW w:w="2098"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2C8A452F" w14:textId="77777777" w:rsidR="006A73B4" w:rsidRPr="00255002" w:rsidRDefault="006A73B4" w:rsidP="00255002">
            <w:pPr>
              <w:pStyle w:val="CDITable-RowLeft"/>
            </w:pPr>
            <w:r w:rsidRPr="00255002">
              <w:t xml:space="preserve">Vasovagal </w:t>
            </w:r>
            <w:proofErr w:type="spellStart"/>
            <w:r w:rsidRPr="00255002">
              <w:t>episode</w:t>
            </w:r>
            <w:r w:rsidRPr="00255002">
              <w:rPr>
                <w:vertAlign w:val="superscript"/>
              </w:rPr>
              <w:t>b</w:t>
            </w:r>
            <w:proofErr w:type="spellEnd"/>
          </w:p>
        </w:tc>
        <w:tc>
          <w:tcPr>
            <w:tcW w:w="85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4F8CE91A" w14:textId="77777777" w:rsidR="006A73B4" w:rsidRPr="00255002" w:rsidRDefault="006A73B4" w:rsidP="00255002">
            <w:pPr>
              <w:pStyle w:val="CDITable-RowCentre"/>
            </w:pPr>
            <w:r w:rsidRPr="00255002">
              <w:t>0</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6BD759CB" w14:textId="77777777" w:rsidR="006A73B4" w:rsidRPr="00255002" w:rsidRDefault="006A73B4" w:rsidP="00255002">
            <w:pPr>
              <w:pStyle w:val="CDITable-RowCentre"/>
            </w:pPr>
            <w:r w:rsidRPr="00255002">
              <w:t>0.0%</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3F9CA84C" w14:textId="77777777" w:rsidR="006A73B4" w:rsidRPr="00255002" w:rsidRDefault="006A73B4" w:rsidP="00255002">
            <w:pPr>
              <w:pStyle w:val="CDITable-RowCentre"/>
            </w:pPr>
            <w:r w:rsidRPr="00255002">
              <w:t>24</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77F146A5" w14:textId="77777777" w:rsidR="006A73B4" w:rsidRPr="00255002" w:rsidRDefault="006A73B4" w:rsidP="00255002">
            <w:pPr>
              <w:pStyle w:val="CDITable-RowCentre"/>
            </w:pPr>
            <w:r w:rsidRPr="00255002">
              <w:t>1.0%</w:t>
            </w:r>
          </w:p>
        </w:tc>
        <w:tc>
          <w:tcPr>
            <w:tcW w:w="850" w:type="dxa"/>
            <w:tcBorders>
              <w:top w:val="single" w:sz="6" w:space="0" w:color="1E4496" w:themeColor="text2"/>
              <w:left w:val="single" w:sz="6" w:space="0" w:color="1E4496" w:themeColor="text2"/>
              <w:bottom w:val="single" w:sz="6" w:space="0" w:color="1E4496" w:themeColor="text2"/>
            </w:tcBorders>
            <w:shd w:val="clear" w:color="auto" w:fill="4D535A"/>
            <w:tcMar>
              <w:top w:w="96" w:type="dxa"/>
              <w:left w:w="57" w:type="dxa"/>
              <w:bottom w:w="96" w:type="dxa"/>
              <w:right w:w="57" w:type="dxa"/>
            </w:tcMar>
            <w:vAlign w:val="center"/>
          </w:tcPr>
          <w:p w14:paraId="7E301C60" w14:textId="77777777" w:rsidR="006A73B4" w:rsidRPr="00974926" w:rsidRDefault="006A73B4" w:rsidP="00255002">
            <w:pPr>
              <w:pStyle w:val="CDITable-RowCentre"/>
              <w:rPr>
                <w:color w:val="FFFFFF" w:themeColor="background1"/>
              </w:rPr>
            </w:pPr>
            <w:r w:rsidRPr="00974926">
              <w:rPr>
                <w:color w:val="FFFFFF" w:themeColor="background1"/>
              </w:rPr>
              <w:t>66</w:t>
            </w:r>
          </w:p>
        </w:tc>
        <w:tc>
          <w:tcPr>
            <w:tcW w:w="1190" w:type="dxa"/>
            <w:tcBorders>
              <w:top w:val="single" w:sz="6" w:space="0" w:color="1E4496" w:themeColor="text2"/>
              <w:bottom w:val="single" w:sz="6" w:space="0" w:color="1E4496" w:themeColor="text2"/>
              <w:right w:val="single" w:sz="6" w:space="0" w:color="1E4496" w:themeColor="text2"/>
            </w:tcBorders>
            <w:shd w:val="clear" w:color="auto" w:fill="4D535A"/>
            <w:tcMar>
              <w:top w:w="96" w:type="dxa"/>
              <w:left w:w="57" w:type="dxa"/>
              <w:bottom w:w="96" w:type="dxa"/>
              <w:right w:w="57" w:type="dxa"/>
            </w:tcMar>
            <w:vAlign w:val="center"/>
          </w:tcPr>
          <w:p w14:paraId="16BD9992" w14:textId="77777777" w:rsidR="006A73B4" w:rsidRPr="00974926" w:rsidRDefault="006A73B4" w:rsidP="00255002">
            <w:pPr>
              <w:pStyle w:val="CDITable-RowCentre"/>
              <w:rPr>
                <w:color w:val="FFFFFF" w:themeColor="background1"/>
              </w:rPr>
            </w:pPr>
            <w:r w:rsidRPr="00974926">
              <w:rPr>
                <w:color w:val="FFFFFF" w:themeColor="background1"/>
              </w:rPr>
              <w:t>8.3%</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02B931E9" w14:textId="77777777" w:rsidR="006A73B4" w:rsidRPr="00255002" w:rsidRDefault="006A73B4" w:rsidP="00255002">
            <w:pPr>
              <w:pStyle w:val="CDITable-RowCentre"/>
            </w:pPr>
            <w:r w:rsidRPr="00255002">
              <w:t>16</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15BC7025" w14:textId="77777777" w:rsidR="006A73B4" w:rsidRPr="00255002" w:rsidRDefault="006A73B4" w:rsidP="00255002">
            <w:pPr>
              <w:pStyle w:val="CDITable-RowCentre"/>
            </w:pPr>
            <w:r w:rsidRPr="00255002">
              <w:t>1.5%</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7926ED45" w14:textId="77777777" w:rsidR="006A73B4" w:rsidRPr="00255002" w:rsidRDefault="006A73B4" w:rsidP="00255002">
            <w:pPr>
              <w:pStyle w:val="CDITable-RowCentre"/>
            </w:pPr>
            <w:r w:rsidRPr="00255002">
              <w:t>2</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656958E4" w14:textId="77777777" w:rsidR="006A73B4" w:rsidRPr="00255002" w:rsidRDefault="006A73B4" w:rsidP="00255002">
            <w:pPr>
              <w:pStyle w:val="CDITable-RowCentre"/>
            </w:pPr>
            <w:r w:rsidRPr="00255002">
              <w:t>0.4%</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1584012A" w14:textId="77777777" w:rsidR="006A73B4" w:rsidRPr="00255002" w:rsidRDefault="006A73B4" w:rsidP="00255002">
            <w:pPr>
              <w:pStyle w:val="CDITable-RowCentre"/>
            </w:pPr>
            <w:r w:rsidRPr="00255002">
              <w:t>108</w:t>
            </w:r>
          </w:p>
        </w:tc>
        <w:tc>
          <w:tcPr>
            <w:tcW w:w="119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042D760A" w14:textId="77777777" w:rsidR="006A73B4" w:rsidRPr="00255002" w:rsidRDefault="006A73B4" w:rsidP="00255002">
            <w:pPr>
              <w:pStyle w:val="CDITable-RowCentre"/>
            </w:pPr>
            <w:r w:rsidRPr="00255002">
              <w:t>1.8%</w:t>
            </w:r>
          </w:p>
        </w:tc>
      </w:tr>
      <w:tr w:rsidR="00974926" w:rsidRPr="00255002" w14:paraId="0AD5DB41" w14:textId="77777777" w:rsidTr="00974926">
        <w:trPr>
          <w:trHeight w:val="20"/>
        </w:trPr>
        <w:tc>
          <w:tcPr>
            <w:tcW w:w="2098"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69FA8F1B" w14:textId="77777777" w:rsidR="006A73B4" w:rsidRPr="00255002" w:rsidRDefault="006A73B4" w:rsidP="00255002">
            <w:pPr>
              <w:pStyle w:val="CDITable-RowLeft"/>
            </w:pPr>
            <w:r w:rsidRPr="00255002">
              <w:t>Angioedema</w:t>
            </w:r>
          </w:p>
        </w:tc>
        <w:tc>
          <w:tcPr>
            <w:tcW w:w="85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4C50DD71" w14:textId="77777777" w:rsidR="006A73B4" w:rsidRPr="00255002" w:rsidRDefault="006A73B4" w:rsidP="00255002">
            <w:pPr>
              <w:pStyle w:val="CDITable-RowCentre"/>
            </w:pPr>
            <w:r w:rsidRPr="00255002">
              <w:t>20</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554C21B3" w14:textId="77777777" w:rsidR="006A73B4" w:rsidRPr="00255002" w:rsidRDefault="006A73B4" w:rsidP="00255002">
            <w:pPr>
              <w:pStyle w:val="CDITable-RowCentre"/>
            </w:pPr>
            <w:r w:rsidRPr="00255002">
              <w:t>1.9%</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64B5AE36" w14:textId="77777777" w:rsidR="006A73B4" w:rsidRPr="00255002" w:rsidRDefault="006A73B4" w:rsidP="00255002">
            <w:pPr>
              <w:pStyle w:val="CDITable-RowCentre"/>
            </w:pPr>
            <w:r w:rsidRPr="00255002">
              <w:t>40</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28E933D2" w14:textId="77777777" w:rsidR="006A73B4" w:rsidRPr="00255002" w:rsidRDefault="006A73B4" w:rsidP="00255002">
            <w:pPr>
              <w:pStyle w:val="CDITable-RowCentre"/>
            </w:pPr>
            <w:r w:rsidRPr="00255002">
              <w:t>1.6%</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1575CFD7" w14:textId="77777777" w:rsidR="006A73B4" w:rsidRPr="00255002" w:rsidRDefault="006A73B4" w:rsidP="00255002">
            <w:pPr>
              <w:pStyle w:val="CDITable-RowCentre"/>
            </w:pPr>
            <w:r w:rsidRPr="00255002">
              <w:t>16</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63B328B2" w14:textId="77777777" w:rsidR="006A73B4" w:rsidRPr="00255002" w:rsidRDefault="006A73B4" w:rsidP="00255002">
            <w:pPr>
              <w:pStyle w:val="CDITable-RowCentre"/>
            </w:pPr>
            <w:r w:rsidRPr="00255002">
              <w:t>2.0%</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6B2D1A57" w14:textId="77777777" w:rsidR="006A73B4" w:rsidRPr="00255002" w:rsidRDefault="006A73B4" w:rsidP="00255002">
            <w:pPr>
              <w:pStyle w:val="CDITable-RowCentre"/>
            </w:pPr>
            <w:r w:rsidRPr="00255002">
              <w:t>24</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3C58681A" w14:textId="77777777" w:rsidR="006A73B4" w:rsidRPr="00255002" w:rsidRDefault="006A73B4" w:rsidP="00255002">
            <w:pPr>
              <w:pStyle w:val="CDITable-RowCentre"/>
            </w:pPr>
            <w:r w:rsidRPr="00255002">
              <w:t>2.2%</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269E87E3" w14:textId="77777777" w:rsidR="006A73B4" w:rsidRPr="00255002" w:rsidRDefault="006A73B4" w:rsidP="00255002">
            <w:pPr>
              <w:pStyle w:val="CDITable-RowCentre"/>
            </w:pPr>
            <w:r w:rsidRPr="00255002">
              <w:t>4</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2ACFCC29" w14:textId="77777777" w:rsidR="006A73B4" w:rsidRPr="00255002" w:rsidRDefault="006A73B4" w:rsidP="00255002">
            <w:pPr>
              <w:pStyle w:val="CDITable-RowCentre"/>
            </w:pPr>
            <w:r w:rsidRPr="00255002">
              <w:t>0.7%</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00D7F952" w14:textId="77777777" w:rsidR="006A73B4" w:rsidRPr="00255002" w:rsidRDefault="006A73B4" w:rsidP="00255002">
            <w:pPr>
              <w:pStyle w:val="CDITable-RowCentre"/>
            </w:pPr>
            <w:r w:rsidRPr="00255002">
              <w:t>104</w:t>
            </w:r>
          </w:p>
        </w:tc>
        <w:tc>
          <w:tcPr>
            <w:tcW w:w="119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788469A5" w14:textId="77777777" w:rsidR="006A73B4" w:rsidRPr="00255002" w:rsidRDefault="006A73B4" w:rsidP="00255002">
            <w:pPr>
              <w:pStyle w:val="CDITable-RowCentre"/>
            </w:pPr>
            <w:r w:rsidRPr="00255002">
              <w:t>1.7%</w:t>
            </w:r>
          </w:p>
        </w:tc>
      </w:tr>
      <w:tr w:rsidR="00974926" w:rsidRPr="00255002" w14:paraId="6F1E8921" w14:textId="77777777" w:rsidTr="00974926">
        <w:trPr>
          <w:trHeight w:val="20"/>
        </w:trPr>
        <w:tc>
          <w:tcPr>
            <w:tcW w:w="2098"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4948F274" w14:textId="77777777" w:rsidR="006A73B4" w:rsidRPr="00255002" w:rsidRDefault="006A73B4" w:rsidP="00255002">
            <w:pPr>
              <w:pStyle w:val="CDITable-RowLeft"/>
            </w:pPr>
            <w:r w:rsidRPr="00255002">
              <w:t>Headache</w:t>
            </w:r>
          </w:p>
        </w:tc>
        <w:tc>
          <w:tcPr>
            <w:tcW w:w="85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0E8A1B91" w14:textId="77777777" w:rsidR="006A73B4" w:rsidRPr="00255002" w:rsidRDefault="006A73B4" w:rsidP="00255002">
            <w:pPr>
              <w:pStyle w:val="CDITable-RowCentre"/>
            </w:pPr>
            <w:r w:rsidRPr="00255002">
              <w:t>0</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635051D4" w14:textId="77777777" w:rsidR="006A73B4" w:rsidRPr="00255002" w:rsidRDefault="006A73B4" w:rsidP="00255002">
            <w:pPr>
              <w:pStyle w:val="CDITable-RowCentre"/>
            </w:pPr>
            <w:r w:rsidRPr="00255002">
              <w:t>0.0%</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1B602F26" w14:textId="77777777" w:rsidR="006A73B4" w:rsidRPr="00255002" w:rsidRDefault="006A73B4" w:rsidP="00255002">
            <w:pPr>
              <w:pStyle w:val="CDITable-RowCentre"/>
            </w:pPr>
            <w:r w:rsidRPr="00255002">
              <w:t>4</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53FD8551" w14:textId="77777777" w:rsidR="006A73B4" w:rsidRPr="00255002" w:rsidRDefault="006A73B4" w:rsidP="00255002">
            <w:pPr>
              <w:pStyle w:val="CDITable-RowCentre"/>
            </w:pPr>
            <w:r w:rsidRPr="00255002">
              <w:t>0.2%</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3FF05D53" w14:textId="77777777" w:rsidR="006A73B4" w:rsidRPr="00255002" w:rsidRDefault="006A73B4" w:rsidP="00255002">
            <w:pPr>
              <w:pStyle w:val="CDITable-RowCentre"/>
            </w:pPr>
            <w:r w:rsidRPr="00255002">
              <w:t>29</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03391E62" w14:textId="77777777" w:rsidR="006A73B4" w:rsidRPr="00255002" w:rsidRDefault="006A73B4" w:rsidP="00255002">
            <w:pPr>
              <w:pStyle w:val="CDITable-RowCentre"/>
            </w:pPr>
            <w:r w:rsidRPr="00255002">
              <w:t>3.6%</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414F584A" w14:textId="77777777" w:rsidR="006A73B4" w:rsidRPr="00255002" w:rsidRDefault="006A73B4" w:rsidP="00255002">
            <w:pPr>
              <w:pStyle w:val="CDITable-RowCentre"/>
            </w:pPr>
            <w:r w:rsidRPr="00255002">
              <w:t>44</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1BFADBB0" w14:textId="77777777" w:rsidR="006A73B4" w:rsidRPr="00255002" w:rsidRDefault="006A73B4" w:rsidP="00255002">
            <w:pPr>
              <w:pStyle w:val="CDITable-RowCentre"/>
            </w:pPr>
            <w:r w:rsidRPr="00255002">
              <w:t>4.1%</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01CAC064" w14:textId="77777777" w:rsidR="006A73B4" w:rsidRPr="00255002" w:rsidRDefault="006A73B4" w:rsidP="00255002">
            <w:pPr>
              <w:pStyle w:val="CDITable-RowCentre"/>
            </w:pPr>
            <w:r w:rsidRPr="00255002">
              <w:t>17</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5A435A73" w14:textId="77777777" w:rsidR="006A73B4" w:rsidRPr="00255002" w:rsidRDefault="006A73B4" w:rsidP="00255002">
            <w:pPr>
              <w:pStyle w:val="CDITable-RowCentre"/>
            </w:pPr>
            <w:r w:rsidRPr="00255002">
              <w:t>3.0%</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64F1C85E" w14:textId="77777777" w:rsidR="006A73B4" w:rsidRPr="00255002" w:rsidRDefault="006A73B4" w:rsidP="00255002">
            <w:pPr>
              <w:pStyle w:val="CDITable-RowCentre"/>
            </w:pPr>
            <w:r w:rsidRPr="00255002">
              <w:t>94</w:t>
            </w:r>
          </w:p>
        </w:tc>
        <w:tc>
          <w:tcPr>
            <w:tcW w:w="119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2AA09FC8" w14:textId="77777777" w:rsidR="006A73B4" w:rsidRPr="00255002" w:rsidRDefault="006A73B4" w:rsidP="00255002">
            <w:pPr>
              <w:pStyle w:val="CDITable-RowCentre"/>
            </w:pPr>
            <w:r w:rsidRPr="00255002">
              <w:t>1.6%</w:t>
            </w:r>
          </w:p>
        </w:tc>
      </w:tr>
      <w:tr w:rsidR="00974926" w:rsidRPr="00255002" w14:paraId="21D9A8DF" w14:textId="77777777" w:rsidTr="00974926">
        <w:trPr>
          <w:trHeight w:val="20"/>
        </w:trPr>
        <w:tc>
          <w:tcPr>
            <w:tcW w:w="2098"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017FB027" w14:textId="77777777" w:rsidR="006A73B4" w:rsidRPr="00255002" w:rsidRDefault="006A73B4" w:rsidP="00255002">
            <w:pPr>
              <w:pStyle w:val="CDITable-RowLeft"/>
            </w:pPr>
            <w:r w:rsidRPr="00255002">
              <w:t>Respiratory symptoms</w:t>
            </w:r>
          </w:p>
        </w:tc>
        <w:tc>
          <w:tcPr>
            <w:tcW w:w="85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1A9570B5" w14:textId="77777777" w:rsidR="006A73B4" w:rsidRPr="00255002" w:rsidRDefault="006A73B4" w:rsidP="00255002">
            <w:pPr>
              <w:pStyle w:val="CDITable-RowCentre"/>
            </w:pPr>
            <w:r w:rsidRPr="00255002">
              <w:t>14</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72118D7E" w14:textId="77777777" w:rsidR="006A73B4" w:rsidRPr="00255002" w:rsidRDefault="006A73B4" w:rsidP="00255002">
            <w:pPr>
              <w:pStyle w:val="CDITable-RowCentre"/>
            </w:pPr>
            <w:r w:rsidRPr="00255002">
              <w:t>1.3%</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266E19E4" w14:textId="77777777" w:rsidR="006A73B4" w:rsidRPr="00255002" w:rsidRDefault="006A73B4" w:rsidP="00255002">
            <w:pPr>
              <w:pStyle w:val="CDITable-RowCentre"/>
            </w:pPr>
            <w:r w:rsidRPr="00255002">
              <w:t>21</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68E40C7A" w14:textId="77777777" w:rsidR="006A73B4" w:rsidRPr="00255002" w:rsidRDefault="006A73B4" w:rsidP="00255002">
            <w:pPr>
              <w:pStyle w:val="CDITable-RowCentre"/>
            </w:pPr>
            <w:r w:rsidRPr="00255002">
              <w:t>0.9%</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0FBF9D8F" w14:textId="77777777" w:rsidR="006A73B4" w:rsidRPr="00255002" w:rsidRDefault="006A73B4" w:rsidP="00255002">
            <w:pPr>
              <w:pStyle w:val="CDITable-RowCentre"/>
            </w:pPr>
            <w:r w:rsidRPr="00255002">
              <w:t>12</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450C2661" w14:textId="77777777" w:rsidR="006A73B4" w:rsidRPr="00255002" w:rsidRDefault="006A73B4" w:rsidP="00255002">
            <w:pPr>
              <w:pStyle w:val="CDITable-RowCentre"/>
            </w:pPr>
            <w:r w:rsidRPr="00255002">
              <w:t>1.5%</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7E293040" w14:textId="77777777" w:rsidR="006A73B4" w:rsidRPr="00255002" w:rsidRDefault="006A73B4" w:rsidP="00255002">
            <w:pPr>
              <w:pStyle w:val="CDITable-RowCentre"/>
            </w:pPr>
            <w:r w:rsidRPr="00255002">
              <w:t>31</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0D2CFF5D" w14:textId="77777777" w:rsidR="006A73B4" w:rsidRPr="00255002" w:rsidRDefault="006A73B4" w:rsidP="00255002">
            <w:pPr>
              <w:pStyle w:val="CDITable-RowCentre"/>
            </w:pPr>
            <w:r w:rsidRPr="00255002">
              <w:t>2.9%</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124D4CDC" w14:textId="77777777" w:rsidR="006A73B4" w:rsidRPr="00255002" w:rsidRDefault="006A73B4" w:rsidP="00255002">
            <w:pPr>
              <w:pStyle w:val="CDITable-RowCentre"/>
            </w:pPr>
            <w:r w:rsidRPr="00255002">
              <w:t>11</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3A8A3EA2" w14:textId="77777777" w:rsidR="006A73B4" w:rsidRPr="00255002" w:rsidRDefault="006A73B4" w:rsidP="00255002">
            <w:pPr>
              <w:pStyle w:val="CDITable-RowCentre"/>
            </w:pPr>
            <w:r w:rsidRPr="00255002">
              <w:t>2.0%</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649194DB" w14:textId="77777777" w:rsidR="006A73B4" w:rsidRPr="00255002" w:rsidRDefault="006A73B4" w:rsidP="00255002">
            <w:pPr>
              <w:pStyle w:val="CDITable-RowCentre"/>
            </w:pPr>
            <w:r w:rsidRPr="00255002">
              <w:t>89</w:t>
            </w:r>
          </w:p>
        </w:tc>
        <w:tc>
          <w:tcPr>
            <w:tcW w:w="119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400884C1" w14:textId="77777777" w:rsidR="006A73B4" w:rsidRPr="00255002" w:rsidRDefault="006A73B4" w:rsidP="00255002">
            <w:pPr>
              <w:pStyle w:val="CDITable-RowCentre"/>
            </w:pPr>
            <w:r w:rsidRPr="00255002">
              <w:t>1.5%</w:t>
            </w:r>
          </w:p>
        </w:tc>
      </w:tr>
      <w:tr w:rsidR="00974926" w:rsidRPr="00255002" w14:paraId="23FCF4FF" w14:textId="77777777" w:rsidTr="00974926">
        <w:trPr>
          <w:trHeight w:val="20"/>
        </w:trPr>
        <w:tc>
          <w:tcPr>
            <w:tcW w:w="2098"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363034CD" w14:textId="77777777" w:rsidR="006A73B4" w:rsidRPr="00255002" w:rsidRDefault="006A73B4" w:rsidP="00255002">
            <w:pPr>
              <w:pStyle w:val="CDITable-RowLeft"/>
            </w:pPr>
            <w:r w:rsidRPr="00255002">
              <w:lastRenderedPageBreak/>
              <w:t>Nausea</w:t>
            </w:r>
          </w:p>
        </w:tc>
        <w:tc>
          <w:tcPr>
            <w:tcW w:w="85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72666261" w14:textId="77777777" w:rsidR="006A73B4" w:rsidRPr="00255002" w:rsidRDefault="006A73B4" w:rsidP="00255002">
            <w:pPr>
              <w:pStyle w:val="CDITable-RowCentre"/>
            </w:pPr>
            <w:r w:rsidRPr="00255002">
              <w:t>0</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5CD90F22" w14:textId="77777777" w:rsidR="006A73B4" w:rsidRPr="00255002" w:rsidRDefault="006A73B4" w:rsidP="00255002">
            <w:pPr>
              <w:pStyle w:val="CDITable-RowCentre"/>
            </w:pPr>
            <w:r w:rsidRPr="00255002">
              <w:t>0.0%</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0E267AC6" w14:textId="77777777" w:rsidR="006A73B4" w:rsidRPr="00255002" w:rsidRDefault="006A73B4" w:rsidP="00255002">
            <w:pPr>
              <w:pStyle w:val="CDITable-RowCentre"/>
            </w:pPr>
            <w:r w:rsidRPr="00255002">
              <w:t>6</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7540B539" w14:textId="77777777" w:rsidR="006A73B4" w:rsidRPr="00255002" w:rsidRDefault="006A73B4" w:rsidP="00255002">
            <w:pPr>
              <w:pStyle w:val="CDITable-RowCentre"/>
            </w:pPr>
            <w:r w:rsidRPr="00255002">
              <w:t>0.2%</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4E754DDB" w14:textId="77777777" w:rsidR="006A73B4" w:rsidRPr="00255002" w:rsidRDefault="006A73B4" w:rsidP="00255002">
            <w:pPr>
              <w:pStyle w:val="CDITable-RowCentre"/>
            </w:pPr>
            <w:r w:rsidRPr="00255002">
              <w:t>17</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0538B808" w14:textId="77777777" w:rsidR="006A73B4" w:rsidRPr="00255002" w:rsidRDefault="006A73B4" w:rsidP="00255002">
            <w:pPr>
              <w:pStyle w:val="CDITable-RowCentre"/>
            </w:pPr>
            <w:r w:rsidRPr="00255002">
              <w:t>2.1%</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6BF8CCD7" w14:textId="77777777" w:rsidR="006A73B4" w:rsidRPr="00255002" w:rsidRDefault="006A73B4" w:rsidP="00255002">
            <w:pPr>
              <w:pStyle w:val="CDITable-RowCentre"/>
            </w:pPr>
            <w:r w:rsidRPr="00255002">
              <w:t>39</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42D74E50" w14:textId="77777777" w:rsidR="006A73B4" w:rsidRPr="00255002" w:rsidRDefault="006A73B4" w:rsidP="00255002">
            <w:pPr>
              <w:pStyle w:val="CDITable-RowCentre"/>
            </w:pPr>
            <w:r w:rsidRPr="00255002">
              <w:t>3.6%</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58E436CA" w14:textId="77777777" w:rsidR="006A73B4" w:rsidRPr="00255002" w:rsidRDefault="006A73B4" w:rsidP="00255002">
            <w:pPr>
              <w:pStyle w:val="CDITable-RowCentre"/>
            </w:pPr>
            <w:r w:rsidRPr="00255002">
              <w:t>7</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4616DA85" w14:textId="77777777" w:rsidR="006A73B4" w:rsidRPr="00255002" w:rsidRDefault="006A73B4" w:rsidP="00255002">
            <w:pPr>
              <w:pStyle w:val="CDITable-RowCentre"/>
            </w:pPr>
            <w:r w:rsidRPr="00255002">
              <w:t>1.2%</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75C9F2CF" w14:textId="77777777" w:rsidR="006A73B4" w:rsidRPr="00255002" w:rsidRDefault="006A73B4" w:rsidP="00255002">
            <w:pPr>
              <w:pStyle w:val="CDITable-RowCentre"/>
            </w:pPr>
            <w:r w:rsidRPr="00255002">
              <w:t>69</w:t>
            </w:r>
          </w:p>
        </w:tc>
        <w:tc>
          <w:tcPr>
            <w:tcW w:w="119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5F74EEE0" w14:textId="77777777" w:rsidR="006A73B4" w:rsidRPr="00255002" w:rsidRDefault="006A73B4" w:rsidP="00255002">
            <w:pPr>
              <w:pStyle w:val="CDITable-RowCentre"/>
            </w:pPr>
            <w:r w:rsidRPr="00255002">
              <w:t>1.2%</w:t>
            </w:r>
          </w:p>
        </w:tc>
      </w:tr>
      <w:tr w:rsidR="00974926" w:rsidRPr="00255002" w14:paraId="31378469" w14:textId="77777777" w:rsidTr="00974926">
        <w:trPr>
          <w:trHeight w:val="20"/>
        </w:trPr>
        <w:tc>
          <w:tcPr>
            <w:tcW w:w="2098"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3A4FAA83" w14:textId="77777777" w:rsidR="006A73B4" w:rsidRPr="00255002" w:rsidRDefault="006A73B4" w:rsidP="00255002">
            <w:pPr>
              <w:pStyle w:val="CDITable-RowLeft"/>
            </w:pPr>
            <w:r w:rsidRPr="00255002">
              <w:t>Pruritus</w:t>
            </w:r>
          </w:p>
        </w:tc>
        <w:tc>
          <w:tcPr>
            <w:tcW w:w="85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1D4D2F32" w14:textId="77777777" w:rsidR="006A73B4" w:rsidRPr="00255002" w:rsidRDefault="006A73B4" w:rsidP="00255002">
            <w:pPr>
              <w:pStyle w:val="CDITable-RowCentre"/>
            </w:pPr>
            <w:r w:rsidRPr="00255002">
              <w:t>1</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35184F35" w14:textId="77777777" w:rsidR="006A73B4" w:rsidRPr="00255002" w:rsidRDefault="006A73B4" w:rsidP="00255002">
            <w:pPr>
              <w:pStyle w:val="CDITable-RowCentre"/>
            </w:pPr>
            <w:r w:rsidRPr="00255002">
              <w:t>0.1%</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00A36705" w14:textId="77777777" w:rsidR="006A73B4" w:rsidRPr="00255002" w:rsidRDefault="006A73B4" w:rsidP="00255002">
            <w:pPr>
              <w:pStyle w:val="CDITable-RowCentre"/>
            </w:pPr>
            <w:r w:rsidRPr="00255002">
              <w:t>22</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17B3D83A" w14:textId="77777777" w:rsidR="006A73B4" w:rsidRPr="00255002" w:rsidRDefault="006A73B4" w:rsidP="00255002">
            <w:pPr>
              <w:pStyle w:val="CDITable-RowCentre"/>
            </w:pPr>
            <w:r w:rsidRPr="00255002">
              <w:t>0.9%</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697ADF64" w14:textId="77777777" w:rsidR="006A73B4" w:rsidRPr="00255002" w:rsidRDefault="006A73B4" w:rsidP="00255002">
            <w:pPr>
              <w:pStyle w:val="CDITable-RowCentre"/>
            </w:pPr>
            <w:r w:rsidRPr="00255002">
              <w:t>10</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29D8FF1F" w14:textId="77777777" w:rsidR="006A73B4" w:rsidRPr="00255002" w:rsidRDefault="006A73B4" w:rsidP="00255002">
            <w:pPr>
              <w:pStyle w:val="CDITable-RowCentre"/>
            </w:pPr>
            <w:r w:rsidRPr="00255002">
              <w:t>1.3%</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04C006C1" w14:textId="77777777" w:rsidR="006A73B4" w:rsidRPr="00255002" w:rsidRDefault="006A73B4" w:rsidP="00255002">
            <w:pPr>
              <w:pStyle w:val="CDITable-RowCentre"/>
            </w:pPr>
            <w:r w:rsidRPr="00255002">
              <w:t>22</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55CFE052" w14:textId="77777777" w:rsidR="006A73B4" w:rsidRPr="00255002" w:rsidRDefault="006A73B4" w:rsidP="00255002">
            <w:pPr>
              <w:pStyle w:val="CDITable-RowCentre"/>
            </w:pPr>
            <w:r w:rsidRPr="00255002">
              <w:t>2.0%</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22DD8B33" w14:textId="77777777" w:rsidR="006A73B4" w:rsidRPr="00255002" w:rsidRDefault="006A73B4" w:rsidP="00255002">
            <w:pPr>
              <w:pStyle w:val="CDITable-RowCentre"/>
            </w:pPr>
            <w:r w:rsidRPr="00255002">
              <w:t>13</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2831DC1A" w14:textId="77777777" w:rsidR="006A73B4" w:rsidRPr="00255002" w:rsidRDefault="006A73B4" w:rsidP="00255002">
            <w:pPr>
              <w:pStyle w:val="CDITable-RowCentre"/>
            </w:pPr>
            <w:r w:rsidRPr="00255002">
              <w:t>2.3%</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1BD58A3E" w14:textId="77777777" w:rsidR="006A73B4" w:rsidRPr="00255002" w:rsidRDefault="006A73B4" w:rsidP="00255002">
            <w:pPr>
              <w:pStyle w:val="CDITable-RowCentre"/>
            </w:pPr>
            <w:r w:rsidRPr="00255002">
              <w:t>68</w:t>
            </w:r>
          </w:p>
        </w:tc>
        <w:tc>
          <w:tcPr>
            <w:tcW w:w="119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6A253A39" w14:textId="77777777" w:rsidR="006A73B4" w:rsidRPr="00255002" w:rsidRDefault="006A73B4" w:rsidP="00255002">
            <w:pPr>
              <w:pStyle w:val="CDITable-RowCentre"/>
            </w:pPr>
            <w:r w:rsidRPr="00255002">
              <w:t>1.1%</w:t>
            </w:r>
          </w:p>
        </w:tc>
      </w:tr>
      <w:tr w:rsidR="00974926" w:rsidRPr="00255002" w14:paraId="5E73576F" w14:textId="77777777" w:rsidTr="00974926">
        <w:trPr>
          <w:trHeight w:val="20"/>
        </w:trPr>
        <w:tc>
          <w:tcPr>
            <w:tcW w:w="2098"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39DF729B" w14:textId="77777777" w:rsidR="006A73B4" w:rsidRPr="00255002" w:rsidRDefault="006A73B4" w:rsidP="00255002">
            <w:pPr>
              <w:pStyle w:val="CDITable-RowLeft"/>
            </w:pPr>
            <w:r w:rsidRPr="00255002">
              <w:t xml:space="preserve">Restricted </w:t>
            </w:r>
            <w:proofErr w:type="spellStart"/>
            <w:r w:rsidRPr="00255002">
              <w:t>movement</w:t>
            </w:r>
            <w:r w:rsidRPr="00255002">
              <w:rPr>
                <w:vertAlign w:val="superscript"/>
              </w:rPr>
              <w:t>c</w:t>
            </w:r>
            <w:proofErr w:type="spellEnd"/>
          </w:p>
        </w:tc>
        <w:tc>
          <w:tcPr>
            <w:tcW w:w="85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4C3C8291" w14:textId="77777777" w:rsidR="006A73B4" w:rsidRPr="00255002" w:rsidRDefault="006A73B4" w:rsidP="00255002">
            <w:pPr>
              <w:pStyle w:val="CDITable-RowCentre"/>
            </w:pPr>
            <w:r w:rsidRPr="00255002">
              <w:t>2</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4869E1D9" w14:textId="77777777" w:rsidR="006A73B4" w:rsidRPr="00255002" w:rsidRDefault="006A73B4" w:rsidP="00255002">
            <w:pPr>
              <w:pStyle w:val="CDITable-RowCentre"/>
            </w:pPr>
            <w:r w:rsidRPr="00255002">
              <w:t>0.2%</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210A0E43" w14:textId="77777777" w:rsidR="006A73B4" w:rsidRPr="00255002" w:rsidRDefault="006A73B4" w:rsidP="00255002">
            <w:pPr>
              <w:pStyle w:val="CDITable-RowCentre"/>
            </w:pPr>
            <w:r w:rsidRPr="00255002">
              <w:t>2</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19D1DE4F" w14:textId="77777777" w:rsidR="006A73B4" w:rsidRPr="00255002" w:rsidRDefault="006A73B4" w:rsidP="00255002">
            <w:pPr>
              <w:pStyle w:val="CDITable-RowCentre"/>
            </w:pPr>
            <w:r w:rsidRPr="00255002">
              <w:t>0.1%</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234A387E" w14:textId="77777777" w:rsidR="006A73B4" w:rsidRPr="00255002" w:rsidRDefault="006A73B4" w:rsidP="00255002">
            <w:pPr>
              <w:pStyle w:val="CDITable-RowCentre"/>
            </w:pPr>
            <w:r w:rsidRPr="00255002">
              <w:t>8</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716611A9" w14:textId="77777777" w:rsidR="006A73B4" w:rsidRPr="00255002" w:rsidRDefault="006A73B4" w:rsidP="00255002">
            <w:pPr>
              <w:pStyle w:val="CDITable-RowCentre"/>
            </w:pPr>
            <w:r w:rsidRPr="00255002">
              <w:t>1.0%</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73C08311" w14:textId="77777777" w:rsidR="006A73B4" w:rsidRPr="00255002" w:rsidRDefault="006A73B4" w:rsidP="00255002">
            <w:pPr>
              <w:pStyle w:val="CDITable-RowCentre"/>
            </w:pPr>
            <w:r w:rsidRPr="00255002">
              <w:t>40</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3B711AFD" w14:textId="77777777" w:rsidR="006A73B4" w:rsidRPr="00255002" w:rsidRDefault="006A73B4" w:rsidP="00255002">
            <w:pPr>
              <w:pStyle w:val="CDITable-RowCentre"/>
            </w:pPr>
            <w:r w:rsidRPr="00255002">
              <w:t>3.7%</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7D252077" w14:textId="77777777" w:rsidR="006A73B4" w:rsidRPr="00255002" w:rsidRDefault="006A73B4" w:rsidP="00255002">
            <w:pPr>
              <w:pStyle w:val="CDITable-RowCentre"/>
            </w:pPr>
            <w:r w:rsidRPr="00255002">
              <w:t>14</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145B7D27" w14:textId="77777777" w:rsidR="006A73B4" w:rsidRPr="00255002" w:rsidRDefault="006A73B4" w:rsidP="00255002">
            <w:pPr>
              <w:pStyle w:val="CDITable-RowCentre"/>
            </w:pPr>
            <w:r w:rsidRPr="00255002">
              <w:t>2.5%</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14DD07D4" w14:textId="77777777" w:rsidR="006A73B4" w:rsidRPr="00255002" w:rsidRDefault="006A73B4" w:rsidP="00255002">
            <w:pPr>
              <w:pStyle w:val="CDITable-RowCentre"/>
            </w:pPr>
            <w:r w:rsidRPr="00255002">
              <w:t>66</w:t>
            </w:r>
          </w:p>
        </w:tc>
        <w:tc>
          <w:tcPr>
            <w:tcW w:w="119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7E820E81" w14:textId="77777777" w:rsidR="006A73B4" w:rsidRPr="00255002" w:rsidRDefault="006A73B4" w:rsidP="00255002">
            <w:pPr>
              <w:pStyle w:val="CDITable-RowCentre"/>
            </w:pPr>
            <w:r w:rsidRPr="00255002">
              <w:t>1.1%</w:t>
            </w:r>
          </w:p>
        </w:tc>
      </w:tr>
      <w:tr w:rsidR="00974926" w:rsidRPr="00255002" w14:paraId="5062842C" w14:textId="77777777" w:rsidTr="00974926">
        <w:trPr>
          <w:trHeight w:val="20"/>
        </w:trPr>
        <w:tc>
          <w:tcPr>
            <w:tcW w:w="2098"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09EE1ECF" w14:textId="77777777" w:rsidR="006A73B4" w:rsidRPr="00255002" w:rsidRDefault="006A73B4" w:rsidP="00255002">
            <w:pPr>
              <w:pStyle w:val="CDITable-RowLeft"/>
            </w:pPr>
            <w:proofErr w:type="spellStart"/>
            <w:r w:rsidRPr="00255002">
              <w:t>Paresthesia</w:t>
            </w:r>
            <w:proofErr w:type="spellEnd"/>
          </w:p>
        </w:tc>
        <w:tc>
          <w:tcPr>
            <w:tcW w:w="85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0F20AABE" w14:textId="77777777" w:rsidR="006A73B4" w:rsidRPr="00255002" w:rsidRDefault="006A73B4" w:rsidP="00255002">
            <w:pPr>
              <w:pStyle w:val="CDITable-RowCentre"/>
            </w:pPr>
            <w:r w:rsidRPr="00255002">
              <w:t>0</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7342EFB2" w14:textId="77777777" w:rsidR="006A73B4" w:rsidRPr="00255002" w:rsidRDefault="006A73B4" w:rsidP="00255002">
            <w:pPr>
              <w:pStyle w:val="CDITable-RowCentre"/>
            </w:pPr>
            <w:r w:rsidRPr="00255002">
              <w:t>0.0%</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69F2741A" w14:textId="77777777" w:rsidR="006A73B4" w:rsidRPr="00255002" w:rsidRDefault="006A73B4" w:rsidP="00255002">
            <w:pPr>
              <w:pStyle w:val="CDITable-RowCentre"/>
            </w:pPr>
            <w:r w:rsidRPr="00255002">
              <w:t>0</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155CEDC7" w14:textId="77777777" w:rsidR="006A73B4" w:rsidRPr="00255002" w:rsidRDefault="006A73B4" w:rsidP="00255002">
            <w:pPr>
              <w:pStyle w:val="CDITable-RowCentre"/>
            </w:pPr>
            <w:r w:rsidRPr="00255002">
              <w:t>0.0%</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291AA716" w14:textId="77777777" w:rsidR="006A73B4" w:rsidRPr="00255002" w:rsidRDefault="006A73B4" w:rsidP="00255002">
            <w:pPr>
              <w:pStyle w:val="CDITable-RowCentre"/>
            </w:pPr>
            <w:r w:rsidRPr="00255002">
              <w:t>10</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7E88CEE1" w14:textId="77777777" w:rsidR="006A73B4" w:rsidRPr="00255002" w:rsidRDefault="006A73B4" w:rsidP="00255002">
            <w:pPr>
              <w:pStyle w:val="CDITable-RowCentre"/>
            </w:pPr>
            <w:r w:rsidRPr="00255002">
              <w:t>1.3%</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61759069" w14:textId="77777777" w:rsidR="006A73B4" w:rsidRPr="00255002" w:rsidRDefault="006A73B4" w:rsidP="00255002">
            <w:pPr>
              <w:pStyle w:val="CDITable-RowCentre"/>
            </w:pPr>
            <w:r w:rsidRPr="00255002">
              <w:t>47</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763203F4" w14:textId="77777777" w:rsidR="006A73B4" w:rsidRPr="00255002" w:rsidRDefault="006A73B4" w:rsidP="00255002">
            <w:pPr>
              <w:pStyle w:val="CDITable-RowCentre"/>
            </w:pPr>
            <w:r w:rsidRPr="00255002">
              <w:t>4.4%</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77CE927C" w14:textId="77777777" w:rsidR="006A73B4" w:rsidRPr="00255002" w:rsidRDefault="006A73B4" w:rsidP="00255002">
            <w:pPr>
              <w:pStyle w:val="CDITable-RowCentre"/>
            </w:pPr>
            <w:r w:rsidRPr="00255002">
              <w:t>8</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4AD6A026" w14:textId="77777777" w:rsidR="006A73B4" w:rsidRPr="00255002" w:rsidRDefault="006A73B4" w:rsidP="00255002">
            <w:pPr>
              <w:pStyle w:val="CDITable-RowCentre"/>
            </w:pPr>
            <w:r w:rsidRPr="00255002">
              <w:t>1.4%</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26CAAA72" w14:textId="77777777" w:rsidR="006A73B4" w:rsidRPr="00255002" w:rsidRDefault="006A73B4" w:rsidP="00255002">
            <w:pPr>
              <w:pStyle w:val="CDITable-RowCentre"/>
            </w:pPr>
            <w:r w:rsidRPr="00255002">
              <w:t>65</w:t>
            </w:r>
          </w:p>
        </w:tc>
        <w:tc>
          <w:tcPr>
            <w:tcW w:w="119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47F9ACAF" w14:textId="77777777" w:rsidR="006A73B4" w:rsidRPr="00255002" w:rsidRDefault="006A73B4" w:rsidP="00255002">
            <w:pPr>
              <w:pStyle w:val="CDITable-RowCentre"/>
            </w:pPr>
            <w:r w:rsidRPr="00255002">
              <w:t>1.1%</w:t>
            </w:r>
          </w:p>
        </w:tc>
      </w:tr>
      <w:tr w:rsidR="00974926" w:rsidRPr="00255002" w14:paraId="14D5D806" w14:textId="77777777" w:rsidTr="00974926">
        <w:trPr>
          <w:trHeight w:val="20"/>
        </w:trPr>
        <w:tc>
          <w:tcPr>
            <w:tcW w:w="2098"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6E757A93" w14:textId="77777777" w:rsidR="006A73B4" w:rsidRPr="00255002" w:rsidRDefault="006A73B4" w:rsidP="00255002">
            <w:pPr>
              <w:pStyle w:val="CDITable-RowLeft"/>
            </w:pPr>
            <w:r w:rsidRPr="00255002">
              <w:t>Nodule at injection site</w:t>
            </w:r>
          </w:p>
        </w:tc>
        <w:tc>
          <w:tcPr>
            <w:tcW w:w="85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2BEC5D81" w14:textId="77777777" w:rsidR="006A73B4" w:rsidRPr="00255002" w:rsidRDefault="006A73B4" w:rsidP="00255002">
            <w:pPr>
              <w:pStyle w:val="CDITable-RowCentre"/>
            </w:pPr>
            <w:r w:rsidRPr="00255002">
              <w:t>19</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25CBDA55" w14:textId="77777777" w:rsidR="006A73B4" w:rsidRPr="00255002" w:rsidRDefault="006A73B4" w:rsidP="00255002">
            <w:pPr>
              <w:pStyle w:val="CDITable-RowCentre"/>
            </w:pPr>
            <w:r w:rsidRPr="00255002">
              <w:t>1.8%</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1883B8C3" w14:textId="77777777" w:rsidR="006A73B4" w:rsidRPr="00255002" w:rsidRDefault="006A73B4" w:rsidP="00255002">
            <w:pPr>
              <w:pStyle w:val="CDITable-RowCentre"/>
            </w:pPr>
            <w:r w:rsidRPr="00255002">
              <w:t>35</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1053C811" w14:textId="77777777" w:rsidR="006A73B4" w:rsidRPr="00255002" w:rsidRDefault="006A73B4" w:rsidP="00255002">
            <w:pPr>
              <w:pStyle w:val="CDITable-RowCentre"/>
            </w:pPr>
            <w:r w:rsidRPr="00255002">
              <w:t>1.4%</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792EE2A1" w14:textId="77777777" w:rsidR="006A73B4" w:rsidRPr="00255002" w:rsidRDefault="006A73B4" w:rsidP="00255002">
            <w:pPr>
              <w:pStyle w:val="CDITable-RowCentre"/>
            </w:pPr>
            <w:r w:rsidRPr="00255002">
              <w:t>2</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16B92C02" w14:textId="77777777" w:rsidR="006A73B4" w:rsidRPr="00255002" w:rsidRDefault="006A73B4" w:rsidP="00255002">
            <w:pPr>
              <w:pStyle w:val="CDITable-RowCentre"/>
            </w:pPr>
            <w:r w:rsidRPr="00255002">
              <w:t>0.3%</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58DA0365" w14:textId="77777777" w:rsidR="006A73B4" w:rsidRPr="00255002" w:rsidRDefault="006A73B4" w:rsidP="00255002">
            <w:pPr>
              <w:pStyle w:val="CDITable-RowCentre"/>
            </w:pPr>
            <w:r w:rsidRPr="00255002">
              <w:t>6</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3EC11C26" w14:textId="77777777" w:rsidR="006A73B4" w:rsidRPr="00255002" w:rsidRDefault="006A73B4" w:rsidP="00255002">
            <w:pPr>
              <w:pStyle w:val="CDITable-RowCentre"/>
            </w:pPr>
            <w:r w:rsidRPr="00255002">
              <w:t>0.6%</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1161AB35" w14:textId="77777777" w:rsidR="006A73B4" w:rsidRPr="00255002" w:rsidRDefault="006A73B4" w:rsidP="00255002">
            <w:pPr>
              <w:pStyle w:val="CDITable-RowCentre"/>
            </w:pPr>
            <w:r w:rsidRPr="00255002">
              <w:t>2</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6AF1DC14" w14:textId="77777777" w:rsidR="006A73B4" w:rsidRPr="00255002" w:rsidRDefault="006A73B4" w:rsidP="00255002">
            <w:pPr>
              <w:pStyle w:val="CDITable-RowCentre"/>
            </w:pPr>
            <w:r w:rsidRPr="00255002">
              <w:t>0.4%</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5B94E493" w14:textId="77777777" w:rsidR="006A73B4" w:rsidRPr="00255002" w:rsidRDefault="006A73B4" w:rsidP="00255002">
            <w:pPr>
              <w:pStyle w:val="CDITable-RowCentre"/>
            </w:pPr>
            <w:r w:rsidRPr="00255002">
              <w:t>64</w:t>
            </w:r>
          </w:p>
        </w:tc>
        <w:tc>
          <w:tcPr>
            <w:tcW w:w="119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7A11B83C" w14:textId="77777777" w:rsidR="006A73B4" w:rsidRPr="00255002" w:rsidRDefault="006A73B4" w:rsidP="00255002">
            <w:pPr>
              <w:pStyle w:val="CDITable-RowCentre"/>
            </w:pPr>
            <w:r w:rsidRPr="00255002">
              <w:t>1.1%</w:t>
            </w:r>
          </w:p>
        </w:tc>
      </w:tr>
      <w:tr w:rsidR="00974926" w:rsidRPr="00255002" w14:paraId="3822A7E9" w14:textId="77777777" w:rsidTr="00974926">
        <w:trPr>
          <w:trHeight w:val="20"/>
        </w:trPr>
        <w:tc>
          <w:tcPr>
            <w:tcW w:w="2098"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6ACD2C54" w14:textId="77777777" w:rsidR="006A73B4" w:rsidRPr="00255002" w:rsidRDefault="006A73B4" w:rsidP="00255002">
            <w:pPr>
              <w:pStyle w:val="CDITable-RowLeft"/>
            </w:pPr>
            <w:r w:rsidRPr="00255002">
              <w:t>Hypotonic hyporesponsive episode (HHE)</w:t>
            </w:r>
            <w:proofErr w:type="spellStart"/>
            <w:proofErr w:type="gramStart"/>
            <w:r w:rsidRPr="00255002">
              <w:rPr>
                <w:vertAlign w:val="superscript"/>
              </w:rPr>
              <w:t>b,d</w:t>
            </w:r>
            <w:proofErr w:type="spellEnd"/>
            <w:proofErr w:type="gramEnd"/>
          </w:p>
        </w:tc>
        <w:tc>
          <w:tcPr>
            <w:tcW w:w="850" w:type="dxa"/>
            <w:tcBorders>
              <w:top w:val="single" w:sz="6" w:space="0" w:color="1E4496" w:themeColor="text2"/>
              <w:bottom w:val="single" w:sz="6" w:space="0" w:color="1E4496" w:themeColor="text2"/>
            </w:tcBorders>
            <w:shd w:val="clear" w:color="auto" w:fill="4D535A"/>
            <w:tcMar>
              <w:top w:w="96" w:type="dxa"/>
              <w:left w:w="57" w:type="dxa"/>
              <w:bottom w:w="96" w:type="dxa"/>
              <w:right w:w="57" w:type="dxa"/>
            </w:tcMar>
            <w:vAlign w:val="center"/>
          </w:tcPr>
          <w:p w14:paraId="5C2A7DA9" w14:textId="77777777" w:rsidR="006A73B4" w:rsidRPr="00974926" w:rsidRDefault="006A73B4" w:rsidP="00255002">
            <w:pPr>
              <w:pStyle w:val="CDITable-RowCentre"/>
              <w:rPr>
                <w:color w:val="FFFFFF" w:themeColor="background1"/>
              </w:rPr>
            </w:pPr>
            <w:r w:rsidRPr="00974926">
              <w:rPr>
                <w:color w:val="FFFFFF" w:themeColor="background1"/>
              </w:rPr>
              <w:t>55</w:t>
            </w:r>
          </w:p>
        </w:tc>
        <w:tc>
          <w:tcPr>
            <w:tcW w:w="1191" w:type="dxa"/>
            <w:tcBorders>
              <w:top w:val="single" w:sz="6" w:space="0" w:color="1E4496" w:themeColor="text2"/>
              <w:bottom w:val="single" w:sz="6" w:space="0" w:color="1E4496" w:themeColor="text2"/>
              <w:right w:val="single" w:sz="6" w:space="0" w:color="1E4496" w:themeColor="text2"/>
            </w:tcBorders>
            <w:shd w:val="clear" w:color="auto" w:fill="4D535A"/>
            <w:tcMar>
              <w:top w:w="96" w:type="dxa"/>
              <w:left w:w="57" w:type="dxa"/>
              <w:bottom w:w="96" w:type="dxa"/>
              <w:right w:w="57" w:type="dxa"/>
            </w:tcMar>
            <w:vAlign w:val="center"/>
          </w:tcPr>
          <w:p w14:paraId="6523B301" w14:textId="77777777" w:rsidR="006A73B4" w:rsidRPr="00974926" w:rsidRDefault="006A73B4" w:rsidP="00255002">
            <w:pPr>
              <w:pStyle w:val="CDITable-RowCentre"/>
              <w:rPr>
                <w:color w:val="FFFFFF" w:themeColor="background1"/>
              </w:rPr>
            </w:pPr>
            <w:r w:rsidRPr="00974926">
              <w:rPr>
                <w:color w:val="FFFFFF" w:themeColor="background1"/>
              </w:rPr>
              <w:t>5.2%</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25971BCF" w14:textId="77777777" w:rsidR="006A73B4" w:rsidRPr="00255002" w:rsidRDefault="006A73B4" w:rsidP="00255002">
            <w:pPr>
              <w:pStyle w:val="CDITable-RowCentre"/>
            </w:pPr>
            <w:r w:rsidRPr="00255002">
              <w:t>5</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3112A400" w14:textId="77777777" w:rsidR="006A73B4" w:rsidRPr="00255002" w:rsidRDefault="006A73B4" w:rsidP="00255002">
            <w:pPr>
              <w:pStyle w:val="CDITable-RowCentre"/>
            </w:pPr>
            <w:r w:rsidRPr="00255002">
              <w:t>0.2%</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332A58A3" w14:textId="77777777" w:rsidR="006A73B4" w:rsidRPr="00255002" w:rsidRDefault="006A73B4" w:rsidP="00255002">
            <w:pPr>
              <w:pStyle w:val="CDITable-RowCentre"/>
            </w:pPr>
            <w:r w:rsidRPr="00255002">
              <w:t>0</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7A972760" w14:textId="77777777" w:rsidR="006A73B4" w:rsidRPr="00255002" w:rsidRDefault="006A73B4" w:rsidP="00255002">
            <w:pPr>
              <w:pStyle w:val="CDITable-RowCentre"/>
            </w:pPr>
            <w:r w:rsidRPr="00255002">
              <w:t>0.0%</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13CE76A1" w14:textId="77777777" w:rsidR="006A73B4" w:rsidRPr="00255002" w:rsidRDefault="006A73B4" w:rsidP="00255002">
            <w:pPr>
              <w:pStyle w:val="CDITable-RowCentre"/>
            </w:pPr>
            <w:r w:rsidRPr="00255002">
              <w:t>0</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72A9AF90" w14:textId="77777777" w:rsidR="006A73B4" w:rsidRPr="00255002" w:rsidRDefault="006A73B4" w:rsidP="00255002">
            <w:pPr>
              <w:pStyle w:val="CDITable-RowCentre"/>
            </w:pPr>
            <w:r w:rsidRPr="00255002">
              <w:t>0.0%</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72C1268A" w14:textId="77777777" w:rsidR="006A73B4" w:rsidRPr="00255002" w:rsidRDefault="006A73B4" w:rsidP="00255002">
            <w:pPr>
              <w:pStyle w:val="CDITable-RowCentre"/>
            </w:pPr>
            <w:r w:rsidRPr="00255002">
              <w:t>0</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76F06674" w14:textId="77777777" w:rsidR="006A73B4" w:rsidRPr="00255002" w:rsidRDefault="006A73B4" w:rsidP="00255002">
            <w:pPr>
              <w:pStyle w:val="CDITable-RowCentre"/>
            </w:pPr>
            <w:r w:rsidRPr="00255002">
              <w:t>0.0%</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7F9766C0" w14:textId="77777777" w:rsidR="006A73B4" w:rsidRPr="00255002" w:rsidRDefault="006A73B4" w:rsidP="00255002">
            <w:pPr>
              <w:pStyle w:val="CDITable-RowCentre"/>
            </w:pPr>
            <w:r w:rsidRPr="00255002">
              <w:t>60</w:t>
            </w:r>
          </w:p>
        </w:tc>
        <w:tc>
          <w:tcPr>
            <w:tcW w:w="119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6E4DC244" w14:textId="77777777" w:rsidR="006A73B4" w:rsidRPr="00255002" w:rsidRDefault="006A73B4" w:rsidP="00255002">
            <w:pPr>
              <w:pStyle w:val="CDITable-RowCentre"/>
            </w:pPr>
            <w:r w:rsidRPr="00255002">
              <w:t>1.0%</w:t>
            </w:r>
          </w:p>
        </w:tc>
      </w:tr>
      <w:tr w:rsidR="00974926" w:rsidRPr="00255002" w14:paraId="0D0C547C" w14:textId="77777777" w:rsidTr="00974926">
        <w:trPr>
          <w:trHeight w:val="20"/>
        </w:trPr>
        <w:tc>
          <w:tcPr>
            <w:tcW w:w="2098"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24905D34" w14:textId="77777777" w:rsidR="006A73B4" w:rsidRPr="00255002" w:rsidRDefault="006A73B4" w:rsidP="00255002">
            <w:pPr>
              <w:pStyle w:val="CDITable-RowLeft"/>
            </w:pPr>
            <w:r w:rsidRPr="00255002">
              <w:t>Seizure-febrile</w:t>
            </w:r>
          </w:p>
        </w:tc>
        <w:tc>
          <w:tcPr>
            <w:tcW w:w="85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51545946" w14:textId="77777777" w:rsidR="006A73B4" w:rsidRPr="00255002" w:rsidRDefault="006A73B4" w:rsidP="00255002">
            <w:pPr>
              <w:pStyle w:val="CDITable-RowCentre"/>
            </w:pPr>
            <w:r w:rsidRPr="00255002">
              <w:t>6</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2BF1B3EA" w14:textId="77777777" w:rsidR="006A73B4" w:rsidRPr="00255002" w:rsidRDefault="006A73B4" w:rsidP="00255002">
            <w:pPr>
              <w:pStyle w:val="CDITable-RowCentre"/>
            </w:pPr>
            <w:r w:rsidRPr="00255002">
              <w:t>0.6%</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728FD78B" w14:textId="77777777" w:rsidR="006A73B4" w:rsidRPr="00255002" w:rsidRDefault="006A73B4" w:rsidP="00255002">
            <w:pPr>
              <w:pStyle w:val="CDITable-RowCentre"/>
            </w:pPr>
            <w:r w:rsidRPr="00255002">
              <w:t>53</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134CF0E6" w14:textId="77777777" w:rsidR="006A73B4" w:rsidRPr="00255002" w:rsidRDefault="006A73B4" w:rsidP="00255002">
            <w:pPr>
              <w:pStyle w:val="CDITable-RowCentre"/>
            </w:pPr>
            <w:r w:rsidRPr="00255002">
              <w:t>2.2%</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09C275B5" w14:textId="77777777" w:rsidR="006A73B4" w:rsidRPr="00255002" w:rsidRDefault="006A73B4" w:rsidP="00255002">
            <w:pPr>
              <w:pStyle w:val="CDITable-RowCentre"/>
            </w:pPr>
            <w:r w:rsidRPr="00255002">
              <w:t>0</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042A658B" w14:textId="77777777" w:rsidR="006A73B4" w:rsidRPr="00255002" w:rsidRDefault="006A73B4" w:rsidP="00255002">
            <w:pPr>
              <w:pStyle w:val="CDITable-RowCentre"/>
            </w:pPr>
            <w:r w:rsidRPr="00255002">
              <w:t>0.0%</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69862F3B" w14:textId="77777777" w:rsidR="006A73B4" w:rsidRPr="00255002" w:rsidRDefault="006A73B4" w:rsidP="00255002">
            <w:pPr>
              <w:pStyle w:val="CDITable-RowCentre"/>
            </w:pPr>
            <w:r w:rsidRPr="00255002">
              <w:t>0</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5BCECAF1" w14:textId="77777777" w:rsidR="006A73B4" w:rsidRPr="00255002" w:rsidRDefault="006A73B4" w:rsidP="00255002">
            <w:pPr>
              <w:pStyle w:val="CDITable-RowCentre"/>
            </w:pPr>
            <w:r w:rsidRPr="00255002">
              <w:t>0.0%</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274C5798" w14:textId="77777777" w:rsidR="006A73B4" w:rsidRPr="00255002" w:rsidRDefault="006A73B4" w:rsidP="00255002">
            <w:pPr>
              <w:pStyle w:val="CDITable-RowCentre"/>
            </w:pPr>
            <w:r w:rsidRPr="00255002">
              <w:t>0</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36C9261B" w14:textId="77777777" w:rsidR="006A73B4" w:rsidRPr="00255002" w:rsidRDefault="006A73B4" w:rsidP="00255002">
            <w:pPr>
              <w:pStyle w:val="CDITable-RowCentre"/>
            </w:pPr>
            <w:r w:rsidRPr="00255002">
              <w:t>0.0%</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5DC7A303" w14:textId="77777777" w:rsidR="006A73B4" w:rsidRPr="00255002" w:rsidRDefault="006A73B4" w:rsidP="00255002">
            <w:pPr>
              <w:pStyle w:val="CDITable-RowCentre"/>
            </w:pPr>
            <w:r w:rsidRPr="00255002">
              <w:t>59</w:t>
            </w:r>
          </w:p>
        </w:tc>
        <w:tc>
          <w:tcPr>
            <w:tcW w:w="119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4EC595B0" w14:textId="77777777" w:rsidR="006A73B4" w:rsidRPr="00255002" w:rsidRDefault="006A73B4" w:rsidP="00255002">
            <w:pPr>
              <w:pStyle w:val="CDITable-RowCentre"/>
            </w:pPr>
            <w:r w:rsidRPr="00255002">
              <w:t>1.0%</w:t>
            </w:r>
          </w:p>
        </w:tc>
      </w:tr>
      <w:tr w:rsidR="00974926" w:rsidRPr="00255002" w14:paraId="624A9762" w14:textId="77777777" w:rsidTr="00974926">
        <w:trPr>
          <w:trHeight w:val="20"/>
        </w:trPr>
        <w:tc>
          <w:tcPr>
            <w:tcW w:w="2098"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2D11E0D4" w14:textId="77777777" w:rsidR="006A73B4" w:rsidRPr="00255002" w:rsidRDefault="006A73B4" w:rsidP="00255002">
            <w:pPr>
              <w:pStyle w:val="CDITable-RowLeft"/>
            </w:pPr>
            <w:r w:rsidRPr="00255002">
              <w:t>Lymphadenopathy</w:t>
            </w:r>
          </w:p>
        </w:tc>
        <w:tc>
          <w:tcPr>
            <w:tcW w:w="85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21EAFF4E" w14:textId="77777777" w:rsidR="006A73B4" w:rsidRPr="00255002" w:rsidRDefault="006A73B4" w:rsidP="00255002">
            <w:pPr>
              <w:pStyle w:val="CDITable-RowCentre"/>
            </w:pPr>
            <w:r w:rsidRPr="00255002">
              <w:t>3</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4F512874" w14:textId="77777777" w:rsidR="006A73B4" w:rsidRPr="00255002" w:rsidRDefault="006A73B4" w:rsidP="00255002">
            <w:pPr>
              <w:pStyle w:val="CDITable-RowCentre"/>
            </w:pPr>
            <w:r w:rsidRPr="00255002">
              <w:t>0.3%</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7789D12A" w14:textId="77777777" w:rsidR="006A73B4" w:rsidRPr="00255002" w:rsidRDefault="006A73B4" w:rsidP="00255002">
            <w:pPr>
              <w:pStyle w:val="CDITable-RowCentre"/>
            </w:pPr>
            <w:r w:rsidRPr="00255002">
              <w:t>13</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7D2A2F17" w14:textId="77777777" w:rsidR="006A73B4" w:rsidRPr="00255002" w:rsidRDefault="006A73B4" w:rsidP="00255002">
            <w:pPr>
              <w:pStyle w:val="CDITable-RowCentre"/>
            </w:pPr>
            <w:r w:rsidRPr="00255002">
              <w:t>0.5%</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565D88DB" w14:textId="77777777" w:rsidR="006A73B4" w:rsidRPr="00255002" w:rsidRDefault="006A73B4" w:rsidP="00255002">
            <w:pPr>
              <w:pStyle w:val="CDITable-RowCentre"/>
            </w:pPr>
            <w:r w:rsidRPr="00255002">
              <w:t>20</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5D580B01" w14:textId="77777777" w:rsidR="006A73B4" w:rsidRPr="00255002" w:rsidRDefault="006A73B4" w:rsidP="00255002">
            <w:pPr>
              <w:pStyle w:val="CDITable-RowCentre"/>
            </w:pPr>
            <w:r w:rsidRPr="00255002">
              <w:t>2.5%</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15AB1037" w14:textId="77777777" w:rsidR="006A73B4" w:rsidRPr="00255002" w:rsidRDefault="006A73B4" w:rsidP="00255002">
            <w:pPr>
              <w:pStyle w:val="CDITable-RowCentre"/>
            </w:pPr>
            <w:r w:rsidRPr="00255002">
              <w:t>18</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5E99C234" w14:textId="77777777" w:rsidR="006A73B4" w:rsidRPr="00255002" w:rsidRDefault="006A73B4" w:rsidP="00255002">
            <w:pPr>
              <w:pStyle w:val="CDITable-RowCentre"/>
            </w:pPr>
            <w:r w:rsidRPr="00255002">
              <w:t>1.7%</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4BBC35E2" w14:textId="77777777" w:rsidR="006A73B4" w:rsidRPr="00255002" w:rsidRDefault="006A73B4" w:rsidP="00255002">
            <w:pPr>
              <w:pStyle w:val="CDITable-RowCentre"/>
            </w:pPr>
            <w:r w:rsidRPr="00255002">
              <w:t>4</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0E6BF5A6" w14:textId="77777777" w:rsidR="006A73B4" w:rsidRPr="00255002" w:rsidRDefault="006A73B4" w:rsidP="00255002">
            <w:pPr>
              <w:pStyle w:val="CDITable-RowCentre"/>
            </w:pPr>
            <w:r w:rsidRPr="00255002">
              <w:t>0.7%</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5EBB8CE9" w14:textId="77777777" w:rsidR="006A73B4" w:rsidRPr="00255002" w:rsidRDefault="006A73B4" w:rsidP="00255002">
            <w:pPr>
              <w:pStyle w:val="CDITable-RowCentre"/>
            </w:pPr>
            <w:r w:rsidRPr="00255002">
              <w:t>58</w:t>
            </w:r>
          </w:p>
        </w:tc>
        <w:tc>
          <w:tcPr>
            <w:tcW w:w="119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5C19BBE8" w14:textId="77777777" w:rsidR="006A73B4" w:rsidRPr="00255002" w:rsidRDefault="006A73B4" w:rsidP="00255002">
            <w:pPr>
              <w:pStyle w:val="CDITable-RowCentre"/>
            </w:pPr>
            <w:r w:rsidRPr="00255002">
              <w:t>1.0%</w:t>
            </w:r>
          </w:p>
        </w:tc>
      </w:tr>
      <w:tr w:rsidR="00974926" w:rsidRPr="00255002" w14:paraId="2419DFA1" w14:textId="77777777" w:rsidTr="00974926">
        <w:trPr>
          <w:trHeight w:val="20"/>
        </w:trPr>
        <w:tc>
          <w:tcPr>
            <w:tcW w:w="2098"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629E7E37" w14:textId="77777777" w:rsidR="006A73B4" w:rsidRPr="00255002" w:rsidRDefault="006A73B4" w:rsidP="00255002">
            <w:pPr>
              <w:pStyle w:val="CDITable-RowLeft"/>
            </w:pPr>
            <w:r w:rsidRPr="00255002">
              <w:t>Influenza-like-illness</w:t>
            </w:r>
          </w:p>
        </w:tc>
        <w:tc>
          <w:tcPr>
            <w:tcW w:w="85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755CE83B" w14:textId="77777777" w:rsidR="006A73B4" w:rsidRPr="00255002" w:rsidRDefault="006A73B4" w:rsidP="00255002">
            <w:pPr>
              <w:pStyle w:val="CDITable-RowCentre"/>
            </w:pPr>
            <w:r w:rsidRPr="00255002">
              <w:t>0</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084620FD" w14:textId="77777777" w:rsidR="006A73B4" w:rsidRPr="00255002" w:rsidRDefault="006A73B4" w:rsidP="00255002">
            <w:pPr>
              <w:pStyle w:val="CDITable-RowCentre"/>
            </w:pPr>
            <w:r w:rsidRPr="00255002">
              <w:t>0.0%</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056C3FA3" w14:textId="77777777" w:rsidR="006A73B4" w:rsidRPr="00255002" w:rsidRDefault="006A73B4" w:rsidP="00255002">
            <w:pPr>
              <w:pStyle w:val="CDITable-RowCentre"/>
            </w:pPr>
            <w:r w:rsidRPr="00255002">
              <w:t>1</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24D20CC2" w14:textId="77777777" w:rsidR="006A73B4" w:rsidRPr="00255002" w:rsidRDefault="006A73B4" w:rsidP="00255002">
            <w:pPr>
              <w:pStyle w:val="CDITable-RowCentre"/>
            </w:pPr>
            <w:r w:rsidRPr="00255002">
              <w:t>0.0%</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29403F53" w14:textId="77777777" w:rsidR="006A73B4" w:rsidRPr="00255002" w:rsidRDefault="006A73B4" w:rsidP="00255002">
            <w:pPr>
              <w:pStyle w:val="CDITable-RowCentre"/>
            </w:pPr>
            <w:r w:rsidRPr="00255002">
              <w:t>0</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20CA2C9E" w14:textId="77777777" w:rsidR="006A73B4" w:rsidRPr="00255002" w:rsidRDefault="006A73B4" w:rsidP="00255002">
            <w:pPr>
              <w:pStyle w:val="CDITable-RowCentre"/>
            </w:pPr>
            <w:r w:rsidRPr="00255002">
              <w:t>0.0%</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071E7E99" w14:textId="77777777" w:rsidR="006A73B4" w:rsidRPr="00255002" w:rsidRDefault="006A73B4" w:rsidP="00255002">
            <w:pPr>
              <w:pStyle w:val="CDITable-RowCentre"/>
            </w:pPr>
            <w:r w:rsidRPr="00255002">
              <w:t>35</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37EB54DA" w14:textId="77777777" w:rsidR="006A73B4" w:rsidRPr="00255002" w:rsidRDefault="006A73B4" w:rsidP="00255002">
            <w:pPr>
              <w:pStyle w:val="CDITable-RowCentre"/>
            </w:pPr>
            <w:r w:rsidRPr="00255002">
              <w:t>3.3%</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5A22FB8C" w14:textId="77777777" w:rsidR="006A73B4" w:rsidRPr="00255002" w:rsidRDefault="006A73B4" w:rsidP="00255002">
            <w:pPr>
              <w:pStyle w:val="CDITable-RowCentre"/>
            </w:pPr>
            <w:r w:rsidRPr="00255002">
              <w:t>10</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0B190739" w14:textId="77777777" w:rsidR="006A73B4" w:rsidRPr="00255002" w:rsidRDefault="006A73B4" w:rsidP="00255002">
            <w:pPr>
              <w:pStyle w:val="CDITable-RowCentre"/>
            </w:pPr>
            <w:r w:rsidRPr="00255002">
              <w:t>1.8%</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5A36D59F" w14:textId="77777777" w:rsidR="006A73B4" w:rsidRPr="00255002" w:rsidRDefault="006A73B4" w:rsidP="00255002">
            <w:pPr>
              <w:pStyle w:val="CDITable-RowCentre"/>
            </w:pPr>
            <w:r w:rsidRPr="00255002">
              <w:t>46</w:t>
            </w:r>
          </w:p>
        </w:tc>
        <w:tc>
          <w:tcPr>
            <w:tcW w:w="119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04AE0C48" w14:textId="77777777" w:rsidR="006A73B4" w:rsidRPr="00255002" w:rsidRDefault="006A73B4" w:rsidP="00255002">
            <w:pPr>
              <w:pStyle w:val="CDITable-RowCentre"/>
            </w:pPr>
            <w:r w:rsidRPr="00255002">
              <w:t>0.8%</w:t>
            </w:r>
          </w:p>
        </w:tc>
      </w:tr>
      <w:tr w:rsidR="00974926" w:rsidRPr="00255002" w14:paraId="7702BA84" w14:textId="77777777" w:rsidTr="00974926">
        <w:trPr>
          <w:trHeight w:val="20"/>
        </w:trPr>
        <w:tc>
          <w:tcPr>
            <w:tcW w:w="2098"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0FA4E32E" w14:textId="77777777" w:rsidR="006A73B4" w:rsidRPr="00255002" w:rsidRDefault="006A73B4" w:rsidP="00255002">
            <w:pPr>
              <w:pStyle w:val="CDITable-RowLeft"/>
            </w:pPr>
            <w:r w:rsidRPr="00255002">
              <w:t>Pallor</w:t>
            </w:r>
          </w:p>
        </w:tc>
        <w:tc>
          <w:tcPr>
            <w:tcW w:w="85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43AC1E53" w14:textId="77777777" w:rsidR="006A73B4" w:rsidRPr="00255002" w:rsidRDefault="006A73B4" w:rsidP="00255002">
            <w:pPr>
              <w:pStyle w:val="CDITable-RowCentre"/>
            </w:pPr>
            <w:r w:rsidRPr="00255002">
              <w:t>15</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3D141BFC" w14:textId="77777777" w:rsidR="006A73B4" w:rsidRPr="00255002" w:rsidRDefault="006A73B4" w:rsidP="00255002">
            <w:pPr>
              <w:pStyle w:val="CDITable-RowCentre"/>
            </w:pPr>
            <w:r w:rsidRPr="00255002">
              <w:t>1.4%</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4782777A" w14:textId="77777777" w:rsidR="006A73B4" w:rsidRPr="00255002" w:rsidRDefault="006A73B4" w:rsidP="00255002">
            <w:pPr>
              <w:pStyle w:val="CDITable-RowCentre"/>
            </w:pPr>
            <w:r w:rsidRPr="00255002">
              <w:t>17</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732E507E" w14:textId="77777777" w:rsidR="006A73B4" w:rsidRPr="00255002" w:rsidRDefault="006A73B4" w:rsidP="00255002">
            <w:pPr>
              <w:pStyle w:val="CDITable-RowCentre"/>
            </w:pPr>
            <w:r w:rsidRPr="00255002">
              <w:t>0.7%</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52D2F56C" w14:textId="77777777" w:rsidR="006A73B4" w:rsidRPr="00255002" w:rsidRDefault="006A73B4" w:rsidP="00255002">
            <w:pPr>
              <w:pStyle w:val="CDITable-RowCentre"/>
            </w:pPr>
            <w:r w:rsidRPr="00255002">
              <w:t>11</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021E0F9F" w14:textId="77777777" w:rsidR="006A73B4" w:rsidRPr="00255002" w:rsidRDefault="006A73B4" w:rsidP="00255002">
            <w:pPr>
              <w:pStyle w:val="CDITable-RowCentre"/>
            </w:pPr>
            <w:r w:rsidRPr="00255002">
              <w:t>1.4%</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564A0301" w14:textId="77777777" w:rsidR="006A73B4" w:rsidRPr="00255002" w:rsidRDefault="006A73B4" w:rsidP="00255002">
            <w:pPr>
              <w:pStyle w:val="CDITable-RowCentre"/>
            </w:pPr>
            <w:r w:rsidRPr="00255002">
              <w:t>2</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706218B3" w14:textId="77777777" w:rsidR="006A73B4" w:rsidRPr="00255002" w:rsidRDefault="006A73B4" w:rsidP="00255002">
            <w:pPr>
              <w:pStyle w:val="CDITable-RowCentre"/>
            </w:pPr>
            <w:r w:rsidRPr="00255002">
              <w:t>0.2%</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7E5A8BFA" w14:textId="77777777" w:rsidR="006A73B4" w:rsidRPr="00255002" w:rsidRDefault="006A73B4" w:rsidP="00255002">
            <w:pPr>
              <w:pStyle w:val="CDITable-RowCentre"/>
            </w:pPr>
            <w:r w:rsidRPr="00255002">
              <w:t>0</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72B8E6E2" w14:textId="77777777" w:rsidR="006A73B4" w:rsidRPr="00255002" w:rsidRDefault="006A73B4" w:rsidP="00255002">
            <w:pPr>
              <w:pStyle w:val="CDITable-RowCentre"/>
            </w:pPr>
            <w:r w:rsidRPr="00255002">
              <w:t>0.0%</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3A7E700D" w14:textId="77777777" w:rsidR="006A73B4" w:rsidRPr="00255002" w:rsidRDefault="006A73B4" w:rsidP="00255002">
            <w:pPr>
              <w:pStyle w:val="CDITable-RowCentre"/>
            </w:pPr>
            <w:r w:rsidRPr="00255002">
              <w:t>45</w:t>
            </w:r>
          </w:p>
        </w:tc>
        <w:tc>
          <w:tcPr>
            <w:tcW w:w="119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1F9D779E" w14:textId="77777777" w:rsidR="006A73B4" w:rsidRPr="00255002" w:rsidRDefault="006A73B4" w:rsidP="00255002">
            <w:pPr>
              <w:pStyle w:val="CDITable-RowCentre"/>
            </w:pPr>
            <w:r w:rsidRPr="00255002">
              <w:t>0.8%</w:t>
            </w:r>
          </w:p>
        </w:tc>
      </w:tr>
      <w:tr w:rsidR="00974926" w:rsidRPr="00255002" w14:paraId="7D480A31" w14:textId="77777777" w:rsidTr="00974926">
        <w:trPr>
          <w:trHeight w:val="20"/>
        </w:trPr>
        <w:tc>
          <w:tcPr>
            <w:tcW w:w="2098"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3EBA5D27" w14:textId="77777777" w:rsidR="006A73B4" w:rsidRPr="00255002" w:rsidRDefault="006A73B4" w:rsidP="00255002">
            <w:pPr>
              <w:pStyle w:val="CDITable-RowLeft"/>
            </w:pPr>
            <w:r w:rsidRPr="00255002">
              <w:t>Dizziness</w:t>
            </w:r>
          </w:p>
        </w:tc>
        <w:tc>
          <w:tcPr>
            <w:tcW w:w="85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0E947D1C" w14:textId="77777777" w:rsidR="006A73B4" w:rsidRPr="00255002" w:rsidRDefault="006A73B4" w:rsidP="00255002">
            <w:pPr>
              <w:pStyle w:val="CDITable-RowCentre"/>
            </w:pPr>
            <w:r w:rsidRPr="00255002">
              <w:t>0</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719049C6" w14:textId="77777777" w:rsidR="006A73B4" w:rsidRPr="00255002" w:rsidRDefault="006A73B4" w:rsidP="00255002">
            <w:pPr>
              <w:pStyle w:val="CDITable-RowCentre"/>
            </w:pPr>
            <w:r w:rsidRPr="00255002">
              <w:t>0.0%</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476B3062" w14:textId="77777777" w:rsidR="006A73B4" w:rsidRPr="00255002" w:rsidRDefault="006A73B4" w:rsidP="00255002">
            <w:pPr>
              <w:pStyle w:val="CDITable-RowCentre"/>
            </w:pPr>
            <w:r w:rsidRPr="00255002">
              <w:t>0</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762BF863" w14:textId="77777777" w:rsidR="006A73B4" w:rsidRPr="00255002" w:rsidRDefault="006A73B4" w:rsidP="00255002">
            <w:pPr>
              <w:pStyle w:val="CDITable-RowCentre"/>
            </w:pPr>
            <w:r w:rsidRPr="00255002">
              <w:t>0.0%</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0FE4F789" w14:textId="77777777" w:rsidR="006A73B4" w:rsidRPr="00255002" w:rsidRDefault="006A73B4" w:rsidP="00255002">
            <w:pPr>
              <w:pStyle w:val="CDITable-RowCentre"/>
            </w:pPr>
            <w:r w:rsidRPr="00255002">
              <w:t>13</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5DF90920" w14:textId="77777777" w:rsidR="006A73B4" w:rsidRPr="00255002" w:rsidRDefault="006A73B4" w:rsidP="00255002">
            <w:pPr>
              <w:pStyle w:val="CDITable-RowCentre"/>
            </w:pPr>
            <w:r w:rsidRPr="00255002">
              <w:t>1.6%</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35DFFFF8" w14:textId="77777777" w:rsidR="006A73B4" w:rsidRPr="00255002" w:rsidRDefault="006A73B4" w:rsidP="00255002">
            <w:pPr>
              <w:pStyle w:val="CDITable-RowCentre"/>
            </w:pPr>
            <w:r w:rsidRPr="00255002">
              <w:t>26</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6D6BA3C9" w14:textId="77777777" w:rsidR="006A73B4" w:rsidRPr="00255002" w:rsidRDefault="006A73B4" w:rsidP="00255002">
            <w:pPr>
              <w:pStyle w:val="CDITable-RowCentre"/>
            </w:pPr>
            <w:r w:rsidRPr="00255002">
              <w:t>2.4%</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557735ED" w14:textId="77777777" w:rsidR="006A73B4" w:rsidRPr="00255002" w:rsidRDefault="006A73B4" w:rsidP="00255002">
            <w:pPr>
              <w:pStyle w:val="CDITable-RowCentre"/>
            </w:pPr>
            <w:r w:rsidRPr="00255002">
              <w:t>5</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595CB21E" w14:textId="77777777" w:rsidR="006A73B4" w:rsidRPr="00255002" w:rsidRDefault="006A73B4" w:rsidP="00255002">
            <w:pPr>
              <w:pStyle w:val="CDITable-RowCentre"/>
            </w:pPr>
            <w:r w:rsidRPr="00255002">
              <w:t>0.9%</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542A0DC0" w14:textId="77777777" w:rsidR="006A73B4" w:rsidRPr="00255002" w:rsidRDefault="006A73B4" w:rsidP="00255002">
            <w:pPr>
              <w:pStyle w:val="CDITable-RowCentre"/>
            </w:pPr>
            <w:r w:rsidRPr="00255002">
              <w:t>44</w:t>
            </w:r>
          </w:p>
        </w:tc>
        <w:tc>
          <w:tcPr>
            <w:tcW w:w="119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6C5E6B52" w14:textId="77777777" w:rsidR="006A73B4" w:rsidRPr="00255002" w:rsidRDefault="006A73B4" w:rsidP="00255002">
            <w:pPr>
              <w:pStyle w:val="CDITable-RowCentre"/>
            </w:pPr>
            <w:r w:rsidRPr="00255002">
              <w:t>0.7%</w:t>
            </w:r>
          </w:p>
        </w:tc>
      </w:tr>
      <w:tr w:rsidR="00974926" w:rsidRPr="00255002" w14:paraId="67C2BFA0" w14:textId="77777777" w:rsidTr="00974926">
        <w:trPr>
          <w:trHeight w:val="20"/>
        </w:trPr>
        <w:tc>
          <w:tcPr>
            <w:tcW w:w="2098"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4FBBFF19" w14:textId="77777777" w:rsidR="006A73B4" w:rsidRPr="00255002" w:rsidRDefault="006A73B4" w:rsidP="00255002">
            <w:pPr>
              <w:pStyle w:val="CDITable-RowLeft"/>
            </w:pPr>
            <w:r w:rsidRPr="00255002">
              <w:t>Abdominal pain</w:t>
            </w:r>
          </w:p>
        </w:tc>
        <w:tc>
          <w:tcPr>
            <w:tcW w:w="85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7A364150" w14:textId="77777777" w:rsidR="006A73B4" w:rsidRPr="00255002" w:rsidRDefault="006A73B4" w:rsidP="00255002">
            <w:pPr>
              <w:pStyle w:val="CDITable-RowCentre"/>
            </w:pPr>
            <w:r w:rsidRPr="00255002">
              <w:t>14</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0E749519" w14:textId="77777777" w:rsidR="006A73B4" w:rsidRPr="00255002" w:rsidRDefault="006A73B4" w:rsidP="00255002">
            <w:pPr>
              <w:pStyle w:val="CDITable-RowCentre"/>
            </w:pPr>
            <w:r w:rsidRPr="00255002">
              <w:t>1.3%</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29889D73" w14:textId="77777777" w:rsidR="006A73B4" w:rsidRPr="00255002" w:rsidRDefault="006A73B4" w:rsidP="00255002">
            <w:pPr>
              <w:pStyle w:val="CDITable-RowCentre"/>
            </w:pPr>
            <w:r w:rsidRPr="00255002">
              <w:t>10</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790D158C" w14:textId="77777777" w:rsidR="006A73B4" w:rsidRPr="00255002" w:rsidRDefault="006A73B4" w:rsidP="00255002">
            <w:pPr>
              <w:pStyle w:val="CDITable-RowCentre"/>
            </w:pPr>
            <w:r w:rsidRPr="00255002">
              <w:t>0.4%</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060094B9" w14:textId="77777777" w:rsidR="006A73B4" w:rsidRPr="00255002" w:rsidRDefault="006A73B4" w:rsidP="00255002">
            <w:pPr>
              <w:pStyle w:val="CDITable-RowCentre"/>
            </w:pPr>
            <w:r w:rsidRPr="00255002">
              <w:t>8</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5F56303B" w14:textId="77777777" w:rsidR="006A73B4" w:rsidRPr="00255002" w:rsidRDefault="006A73B4" w:rsidP="00255002">
            <w:pPr>
              <w:pStyle w:val="CDITable-RowCentre"/>
            </w:pPr>
            <w:r w:rsidRPr="00255002">
              <w:t>1.0%</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08853C07" w14:textId="77777777" w:rsidR="006A73B4" w:rsidRPr="00255002" w:rsidRDefault="006A73B4" w:rsidP="00255002">
            <w:pPr>
              <w:pStyle w:val="CDITable-RowCentre"/>
            </w:pPr>
            <w:r w:rsidRPr="00255002">
              <w:t>6</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7A5C7DEE" w14:textId="77777777" w:rsidR="006A73B4" w:rsidRPr="00255002" w:rsidRDefault="006A73B4" w:rsidP="00255002">
            <w:pPr>
              <w:pStyle w:val="CDITable-RowCentre"/>
            </w:pPr>
            <w:r w:rsidRPr="00255002">
              <w:t>0.6%</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495805CD" w14:textId="77777777" w:rsidR="006A73B4" w:rsidRPr="00255002" w:rsidRDefault="006A73B4" w:rsidP="00255002">
            <w:pPr>
              <w:pStyle w:val="CDITable-RowCentre"/>
            </w:pPr>
            <w:r w:rsidRPr="00255002">
              <w:t>1</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50E36A81" w14:textId="77777777" w:rsidR="006A73B4" w:rsidRPr="00255002" w:rsidRDefault="006A73B4" w:rsidP="00255002">
            <w:pPr>
              <w:pStyle w:val="CDITable-RowCentre"/>
            </w:pPr>
            <w:r w:rsidRPr="00255002">
              <w:t>0.2%</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3F79B952" w14:textId="77777777" w:rsidR="006A73B4" w:rsidRPr="00255002" w:rsidRDefault="006A73B4" w:rsidP="00255002">
            <w:pPr>
              <w:pStyle w:val="CDITable-RowCentre"/>
            </w:pPr>
            <w:r w:rsidRPr="00255002">
              <w:t>39</w:t>
            </w:r>
          </w:p>
        </w:tc>
        <w:tc>
          <w:tcPr>
            <w:tcW w:w="119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3BC74C31" w14:textId="77777777" w:rsidR="006A73B4" w:rsidRPr="00255002" w:rsidRDefault="006A73B4" w:rsidP="00255002">
            <w:pPr>
              <w:pStyle w:val="CDITable-RowCentre"/>
            </w:pPr>
            <w:r w:rsidRPr="00255002">
              <w:t>0.7%</w:t>
            </w:r>
          </w:p>
        </w:tc>
      </w:tr>
      <w:tr w:rsidR="00974926" w:rsidRPr="00255002" w14:paraId="0A322F9E" w14:textId="77777777" w:rsidTr="00974926">
        <w:trPr>
          <w:trHeight w:val="20"/>
        </w:trPr>
        <w:tc>
          <w:tcPr>
            <w:tcW w:w="2098"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353E566F" w14:textId="77777777" w:rsidR="006A73B4" w:rsidRPr="00255002" w:rsidRDefault="006A73B4" w:rsidP="00255002">
            <w:pPr>
              <w:pStyle w:val="CDITable-RowLeft"/>
            </w:pPr>
            <w:r w:rsidRPr="00255002">
              <w:t xml:space="preserve">Behaviour </w:t>
            </w:r>
            <w:proofErr w:type="spellStart"/>
            <w:r w:rsidRPr="00255002">
              <w:t>change</w:t>
            </w:r>
            <w:r w:rsidRPr="00255002">
              <w:rPr>
                <w:vertAlign w:val="superscript"/>
              </w:rPr>
              <w:t>e</w:t>
            </w:r>
            <w:proofErr w:type="spellEnd"/>
          </w:p>
        </w:tc>
        <w:tc>
          <w:tcPr>
            <w:tcW w:w="85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3386BD16" w14:textId="77777777" w:rsidR="006A73B4" w:rsidRPr="00255002" w:rsidRDefault="006A73B4" w:rsidP="00255002">
            <w:pPr>
              <w:pStyle w:val="CDITable-RowCentre"/>
            </w:pPr>
            <w:r w:rsidRPr="00255002">
              <w:t>9</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5310C9E3" w14:textId="77777777" w:rsidR="006A73B4" w:rsidRPr="00255002" w:rsidRDefault="006A73B4" w:rsidP="00255002">
            <w:pPr>
              <w:pStyle w:val="CDITable-RowCentre"/>
            </w:pPr>
            <w:r w:rsidRPr="00255002">
              <w:t>0.9%</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461DDB96" w14:textId="77777777" w:rsidR="006A73B4" w:rsidRPr="00255002" w:rsidRDefault="006A73B4" w:rsidP="00255002">
            <w:pPr>
              <w:pStyle w:val="CDITable-RowCentre"/>
            </w:pPr>
            <w:r w:rsidRPr="00255002">
              <w:t>26</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027DE655" w14:textId="77777777" w:rsidR="006A73B4" w:rsidRPr="00255002" w:rsidRDefault="006A73B4" w:rsidP="00255002">
            <w:pPr>
              <w:pStyle w:val="CDITable-RowCentre"/>
            </w:pPr>
            <w:r w:rsidRPr="00255002">
              <w:t>1.1%</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32FA0061" w14:textId="77777777" w:rsidR="006A73B4" w:rsidRPr="00255002" w:rsidRDefault="006A73B4" w:rsidP="00255002">
            <w:pPr>
              <w:pStyle w:val="CDITable-RowCentre"/>
            </w:pPr>
            <w:r w:rsidRPr="00255002">
              <w:t>3</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3BED573E" w14:textId="77777777" w:rsidR="006A73B4" w:rsidRPr="00255002" w:rsidRDefault="006A73B4" w:rsidP="00255002">
            <w:pPr>
              <w:pStyle w:val="CDITable-RowCentre"/>
            </w:pPr>
            <w:r w:rsidRPr="00255002">
              <w:t>0.4%</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1B38B360" w14:textId="77777777" w:rsidR="006A73B4" w:rsidRPr="00255002" w:rsidRDefault="006A73B4" w:rsidP="00255002">
            <w:pPr>
              <w:pStyle w:val="CDITable-RowCentre"/>
            </w:pPr>
            <w:r w:rsidRPr="00255002">
              <w:t>0</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69463926" w14:textId="77777777" w:rsidR="006A73B4" w:rsidRPr="00255002" w:rsidRDefault="006A73B4" w:rsidP="00255002">
            <w:pPr>
              <w:pStyle w:val="CDITable-RowCentre"/>
            </w:pPr>
            <w:r w:rsidRPr="00255002">
              <w:t>0.0%</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460B4763" w14:textId="77777777" w:rsidR="006A73B4" w:rsidRPr="00255002" w:rsidRDefault="006A73B4" w:rsidP="00255002">
            <w:pPr>
              <w:pStyle w:val="CDITable-RowCentre"/>
            </w:pPr>
            <w:r w:rsidRPr="00255002">
              <w:t>1</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39BE7FFA" w14:textId="77777777" w:rsidR="006A73B4" w:rsidRPr="00255002" w:rsidRDefault="006A73B4" w:rsidP="00255002">
            <w:pPr>
              <w:pStyle w:val="CDITable-RowCentre"/>
            </w:pPr>
            <w:r w:rsidRPr="00255002">
              <w:t>0.2%</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5C405995" w14:textId="77777777" w:rsidR="006A73B4" w:rsidRPr="00255002" w:rsidRDefault="006A73B4" w:rsidP="00255002">
            <w:pPr>
              <w:pStyle w:val="CDITable-RowCentre"/>
            </w:pPr>
            <w:r w:rsidRPr="00255002">
              <w:t>39</w:t>
            </w:r>
          </w:p>
        </w:tc>
        <w:tc>
          <w:tcPr>
            <w:tcW w:w="119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2BB99913" w14:textId="77777777" w:rsidR="006A73B4" w:rsidRPr="00255002" w:rsidRDefault="006A73B4" w:rsidP="00255002">
            <w:pPr>
              <w:pStyle w:val="CDITable-RowCentre"/>
            </w:pPr>
            <w:r w:rsidRPr="00255002">
              <w:t>0.7%</w:t>
            </w:r>
          </w:p>
        </w:tc>
      </w:tr>
      <w:tr w:rsidR="00974926" w:rsidRPr="00255002" w14:paraId="5D914DD2" w14:textId="77777777" w:rsidTr="00974926">
        <w:trPr>
          <w:trHeight w:val="20"/>
        </w:trPr>
        <w:tc>
          <w:tcPr>
            <w:tcW w:w="2098"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42597F57" w14:textId="77777777" w:rsidR="006A73B4" w:rsidRPr="00255002" w:rsidRDefault="006A73B4" w:rsidP="00255002">
            <w:pPr>
              <w:pStyle w:val="CDITable-RowLeft"/>
            </w:pPr>
            <w:r w:rsidRPr="00255002">
              <w:t>Myalgia</w:t>
            </w:r>
          </w:p>
        </w:tc>
        <w:tc>
          <w:tcPr>
            <w:tcW w:w="85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7E76F642" w14:textId="77777777" w:rsidR="006A73B4" w:rsidRPr="00255002" w:rsidRDefault="006A73B4" w:rsidP="00255002">
            <w:pPr>
              <w:pStyle w:val="CDITable-RowCentre"/>
            </w:pPr>
            <w:r w:rsidRPr="00255002">
              <w:t>0</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34D23105" w14:textId="77777777" w:rsidR="006A73B4" w:rsidRPr="00255002" w:rsidRDefault="006A73B4" w:rsidP="00255002">
            <w:pPr>
              <w:pStyle w:val="CDITable-RowCentre"/>
            </w:pPr>
            <w:r w:rsidRPr="00255002">
              <w:t>0.0%</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7EAF6E25" w14:textId="77777777" w:rsidR="006A73B4" w:rsidRPr="00255002" w:rsidRDefault="006A73B4" w:rsidP="00255002">
            <w:pPr>
              <w:pStyle w:val="CDITable-RowCentre"/>
            </w:pPr>
            <w:r w:rsidRPr="00255002">
              <w:t>0</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2B217FC6" w14:textId="77777777" w:rsidR="006A73B4" w:rsidRPr="00255002" w:rsidRDefault="006A73B4" w:rsidP="00255002">
            <w:pPr>
              <w:pStyle w:val="CDITable-RowCentre"/>
            </w:pPr>
            <w:r w:rsidRPr="00255002">
              <w:t>0.0%</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3F2F8BFF" w14:textId="77777777" w:rsidR="006A73B4" w:rsidRPr="00255002" w:rsidRDefault="006A73B4" w:rsidP="00255002">
            <w:pPr>
              <w:pStyle w:val="CDITable-RowCentre"/>
            </w:pPr>
            <w:r w:rsidRPr="00255002">
              <w:t>12</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1E1A90E7" w14:textId="77777777" w:rsidR="006A73B4" w:rsidRPr="00255002" w:rsidRDefault="006A73B4" w:rsidP="00255002">
            <w:pPr>
              <w:pStyle w:val="CDITable-RowCentre"/>
            </w:pPr>
            <w:r w:rsidRPr="00255002">
              <w:t>1.5%</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7C35AA88" w14:textId="77777777" w:rsidR="006A73B4" w:rsidRPr="00255002" w:rsidRDefault="006A73B4" w:rsidP="00255002">
            <w:pPr>
              <w:pStyle w:val="CDITable-RowCentre"/>
            </w:pPr>
            <w:r w:rsidRPr="00255002">
              <w:t>14</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31DC2196" w14:textId="77777777" w:rsidR="006A73B4" w:rsidRPr="00255002" w:rsidRDefault="006A73B4" w:rsidP="00255002">
            <w:pPr>
              <w:pStyle w:val="CDITable-RowCentre"/>
            </w:pPr>
            <w:r w:rsidRPr="00255002">
              <w:t>1.3%</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65014CD5" w14:textId="77777777" w:rsidR="006A73B4" w:rsidRPr="00255002" w:rsidRDefault="006A73B4" w:rsidP="00255002">
            <w:pPr>
              <w:pStyle w:val="CDITable-RowCentre"/>
            </w:pPr>
            <w:r w:rsidRPr="00255002">
              <w:t>12</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7DED834F" w14:textId="77777777" w:rsidR="006A73B4" w:rsidRPr="00255002" w:rsidRDefault="006A73B4" w:rsidP="00255002">
            <w:pPr>
              <w:pStyle w:val="CDITable-RowCentre"/>
            </w:pPr>
            <w:r w:rsidRPr="00255002">
              <w:t>2.1%</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1BD3582D" w14:textId="77777777" w:rsidR="006A73B4" w:rsidRPr="00255002" w:rsidRDefault="006A73B4" w:rsidP="00255002">
            <w:pPr>
              <w:pStyle w:val="CDITable-RowCentre"/>
            </w:pPr>
            <w:r w:rsidRPr="00255002">
              <w:t>38</w:t>
            </w:r>
          </w:p>
        </w:tc>
        <w:tc>
          <w:tcPr>
            <w:tcW w:w="119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15EA6E2C" w14:textId="77777777" w:rsidR="006A73B4" w:rsidRPr="00255002" w:rsidRDefault="006A73B4" w:rsidP="00255002">
            <w:pPr>
              <w:pStyle w:val="CDITable-RowCentre"/>
            </w:pPr>
            <w:r w:rsidRPr="00255002">
              <w:t>0.6%</w:t>
            </w:r>
          </w:p>
        </w:tc>
      </w:tr>
      <w:tr w:rsidR="00974926" w:rsidRPr="00255002" w14:paraId="0899E0ED" w14:textId="77777777" w:rsidTr="00974926">
        <w:trPr>
          <w:trHeight w:val="20"/>
        </w:trPr>
        <w:tc>
          <w:tcPr>
            <w:tcW w:w="2098"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2A636834" w14:textId="77777777" w:rsidR="006A73B4" w:rsidRPr="00255002" w:rsidRDefault="006A73B4" w:rsidP="00255002">
            <w:pPr>
              <w:pStyle w:val="CDITable-RowLeft"/>
            </w:pPr>
            <w:r w:rsidRPr="00255002">
              <w:t>Fever (T ≥ 40 °C)</w:t>
            </w:r>
          </w:p>
        </w:tc>
        <w:tc>
          <w:tcPr>
            <w:tcW w:w="85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42A1507B" w14:textId="77777777" w:rsidR="006A73B4" w:rsidRPr="00255002" w:rsidRDefault="006A73B4" w:rsidP="00255002">
            <w:pPr>
              <w:pStyle w:val="CDITable-RowCentre"/>
            </w:pPr>
            <w:r w:rsidRPr="00255002">
              <w:t>5</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4199645D" w14:textId="77777777" w:rsidR="006A73B4" w:rsidRPr="00255002" w:rsidRDefault="006A73B4" w:rsidP="00255002">
            <w:pPr>
              <w:pStyle w:val="CDITable-RowCentre"/>
            </w:pPr>
            <w:r w:rsidRPr="00255002">
              <w:t>0.5%</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34AC09EB" w14:textId="77777777" w:rsidR="006A73B4" w:rsidRPr="00255002" w:rsidRDefault="006A73B4" w:rsidP="00255002">
            <w:pPr>
              <w:pStyle w:val="CDITable-RowCentre"/>
            </w:pPr>
            <w:r w:rsidRPr="00255002">
              <w:t>26</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470556CF" w14:textId="77777777" w:rsidR="006A73B4" w:rsidRPr="00255002" w:rsidRDefault="006A73B4" w:rsidP="00255002">
            <w:pPr>
              <w:pStyle w:val="CDITable-RowCentre"/>
            </w:pPr>
            <w:r w:rsidRPr="00255002">
              <w:t>1.1%</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32E02641" w14:textId="77777777" w:rsidR="006A73B4" w:rsidRPr="00255002" w:rsidRDefault="006A73B4" w:rsidP="00255002">
            <w:pPr>
              <w:pStyle w:val="CDITable-RowCentre"/>
            </w:pPr>
            <w:r w:rsidRPr="00255002">
              <w:t>3</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5C286A65" w14:textId="77777777" w:rsidR="006A73B4" w:rsidRPr="00255002" w:rsidRDefault="006A73B4" w:rsidP="00255002">
            <w:pPr>
              <w:pStyle w:val="CDITable-RowCentre"/>
            </w:pPr>
            <w:r w:rsidRPr="00255002">
              <w:t>0.4%</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15869C48" w14:textId="77777777" w:rsidR="006A73B4" w:rsidRPr="00255002" w:rsidRDefault="006A73B4" w:rsidP="00255002">
            <w:pPr>
              <w:pStyle w:val="CDITable-RowCentre"/>
            </w:pPr>
            <w:r w:rsidRPr="00255002">
              <w:t>2</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682625BC" w14:textId="77777777" w:rsidR="006A73B4" w:rsidRPr="00255002" w:rsidRDefault="006A73B4" w:rsidP="00255002">
            <w:pPr>
              <w:pStyle w:val="CDITable-RowCentre"/>
            </w:pPr>
            <w:r w:rsidRPr="00255002">
              <w:t>0.2%</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1A828440" w14:textId="77777777" w:rsidR="006A73B4" w:rsidRPr="00255002" w:rsidRDefault="006A73B4" w:rsidP="00255002">
            <w:pPr>
              <w:pStyle w:val="CDITable-RowCentre"/>
            </w:pPr>
            <w:r w:rsidRPr="00255002">
              <w:t>0</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1C1854C2" w14:textId="77777777" w:rsidR="006A73B4" w:rsidRPr="00255002" w:rsidRDefault="006A73B4" w:rsidP="00255002">
            <w:pPr>
              <w:pStyle w:val="CDITable-RowCentre"/>
            </w:pPr>
            <w:r w:rsidRPr="00255002">
              <w:t>0.0%</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6C785138" w14:textId="77777777" w:rsidR="006A73B4" w:rsidRPr="00255002" w:rsidRDefault="006A73B4" w:rsidP="00255002">
            <w:pPr>
              <w:pStyle w:val="CDITable-RowCentre"/>
            </w:pPr>
            <w:r w:rsidRPr="00255002">
              <w:t>36</w:t>
            </w:r>
          </w:p>
        </w:tc>
        <w:tc>
          <w:tcPr>
            <w:tcW w:w="119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5ED0BAC4" w14:textId="77777777" w:rsidR="006A73B4" w:rsidRPr="00255002" w:rsidRDefault="006A73B4" w:rsidP="00255002">
            <w:pPr>
              <w:pStyle w:val="CDITable-RowCentre"/>
            </w:pPr>
            <w:r w:rsidRPr="00255002">
              <w:t>0.6%</w:t>
            </w:r>
          </w:p>
        </w:tc>
      </w:tr>
      <w:tr w:rsidR="00974926" w:rsidRPr="00255002" w14:paraId="18698D76" w14:textId="77777777" w:rsidTr="00974926">
        <w:trPr>
          <w:trHeight w:val="20"/>
        </w:trPr>
        <w:tc>
          <w:tcPr>
            <w:tcW w:w="2098"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125690E8" w14:textId="77777777" w:rsidR="006A73B4" w:rsidRPr="00255002" w:rsidRDefault="006A73B4" w:rsidP="00255002">
            <w:pPr>
              <w:pStyle w:val="CDITable-RowLeft"/>
            </w:pPr>
            <w:r w:rsidRPr="00255002">
              <w:t>Abscess</w:t>
            </w:r>
          </w:p>
        </w:tc>
        <w:tc>
          <w:tcPr>
            <w:tcW w:w="85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1E01DF96" w14:textId="77777777" w:rsidR="006A73B4" w:rsidRPr="00255002" w:rsidRDefault="006A73B4" w:rsidP="00255002">
            <w:pPr>
              <w:pStyle w:val="CDITable-RowCentre"/>
            </w:pPr>
            <w:r w:rsidRPr="00255002">
              <w:t>8</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48EB4606" w14:textId="77777777" w:rsidR="006A73B4" w:rsidRPr="00255002" w:rsidRDefault="006A73B4" w:rsidP="00255002">
            <w:pPr>
              <w:pStyle w:val="CDITable-RowCentre"/>
            </w:pPr>
            <w:r w:rsidRPr="00255002">
              <w:t>0.8%</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04EA276E" w14:textId="77777777" w:rsidR="006A73B4" w:rsidRPr="00255002" w:rsidRDefault="006A73B4" w:rsidP="00255002">
            <w:pPr>
              <w:pStyle w:val="CDITable-RowCentre"/>
            </w:pPr>
            <w:r w:rsidRPr="00255002">
              <w:t>18</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25F752DF" w14:textId="77777777" w:rsidR="006A73B4" w:rsidRPr="00255002" w:rsidRDefault="006A73B4" w:rsidP="00255002">
            <w:pPr>
              <w:pStyle w:val="CDITable-RowCentre"/>
            </w:pPr>
            <w:r w:rsidRPr="00255002">
              <w:t>0.7%</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1C32F96C" w14:textId="77777777" w:rsidR="006A73B4" w:rsidRPr="00255002" w:rsidRDefault="006A73B4" w:rsidP="00255002">
            <w:pPr>
              <w:pStyle w:val="CDITable-RowCentre"/>
            </w:pPr>
            <w:r w:rsidRPr="00255002">
              <w:t>4</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6A9777DA" w14:textId="77777777" w:rsidR="006A73B4" w:rsidRPr="00255002" w:rsidRDefault="006A73B4" w:rsidP="00255002">
            <w:pPr>
              <w:pStyle w:val="CDITable-RowCentre"/>
            </w:pPr>
            <w:r w:rsidRPr="00255002">
              <w:t>0.5%</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4FDDDB4F" w14:textId="77777777" w:rsidR="006A73B4" w:rsidRPr="00255002" w:rsidRDefault="006A73B4" w:rsidP="00255002">
            <w:pPr>
              <w:pStyle w:val="CDITable-RowCentre"/>
            </w:pPr>
            <w:r w:rsidRPr="00255002">
              <w:t>4</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0D333BDF" w14:textId="77777777" w:rsidR="006A73B4" w:rsidRPr="00255002" w:rsidRDefault="006A73B4" w:rsidP="00255002">
            <w:pPr>
              <w:pStyle w:val="CDITable-RowCentre"/>
            </w:pPr>
            <w:r w:rsidRPr="00255002">
              <w:t>0.4%</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018C8925" w14:textId="77777777" w:rsidR="006A73B4" w:rsidRPr="00255002" w:rsidRDefault="006A73B4" w:rsidP="00255002">
            <w:pPr>
              <w:pStyle w:val="CDITable-RowCentre"/>
            </w:pPr>
            <w:r w:rsidRPr="00255002">
              <w:t>0</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07760D96" w14:textId="77777777" w:rsidR="006A73B4" w:rsidRPr="00255002" w:rsidRDefault="006A73B4" w:rsidP="00255002">
            <w:pPr>
              <w:pStyle w:val="CDITable-RowCentre"/>
            </w:pPr>
            <w:r w:rsidRPr="00255002">
              <w:t>0.0%</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56F3EF5C" w14:textId="77777777" w:rsidR="006A73B4" w:rsidRPr="00255002" w:rsidRDefault="006A73B4" w:rsidP="00255002">
            <w:pPr>
              <w:pStyle w:val="CDITable-RowCentre"/>
            </w:pPr>
            <w:r w:rsidRPr="00255002">
              <w:t>34</w:t>
            </w:r>
          </w:p>
        </w:tc>
        <w:tc>
          <w:tcPr>
            <w:tcW w:w="119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673286C8" w14:textId="77777777" w:rsidR="006A73B4" w:rsidRPr="00255002" w:rsidRDefault="006A73B4" w:rsidP="00255002">
            <w:pPr>
              <w:pStyle w:val="CDITable-RowCentre"/>
            </w:pPr>
            <w:r w:rsidRPr="00255002">
              <w:t>0.6%</w:t>
            </w:r>
          </w:p>
        </w:tc>
      </w:tr>
      <w:tr w:rsidR="00974926" w:rsidRPr="00255002" w14:paraId="43AD5572" w14:textId="77777777" w:rsidTr="00974926">
        <w:trPr>
          <w:trHeight w:val="20"/>
        </w:trPr>
        <w:tc>
          <w:tcPr>
            <w:tcW w:w="2098"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2464A370" w14:textId="77777777" w:rsidR="006A73B4" w:rsidRPr="00255002" w:rsidRDefault="006A73B4" w:rsidP="00255002">
            <w:pPr>
              <w:pStyle w:val="CDITable-RowLeft"/>
            </w:pPr>
            <w:r w:rsidRPr="00255002">
              <w:t>Altered throat sensation</w:t>
            </w:r>
          </w:p>
        </w:tc>
        <w:tc>
          <w:tcPr>
            <w:tcW w:w="85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43DEC2AC" w14:textId="77777777" w:rsidR="006A73B4" w:rsidRPr="00255002" w:rsidRDefault="006A73B4" w:rsidP="00255002">
            <w:pPr>
              <w:pStyle w:val="CDITable-RowCentre"/>
            </w:pPr>
            <w:r w:rsidRPr="00255002">
              <w:t>0</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53DF2929" w14:textId="77777777" w:rsidR="006A73B4" w:rsidRPr="00255002" w:rsidRDefault="006A73B4" w:rsidP="00255002">
            <w:pPr>
              <w:pStyle w:val="CDITable-RowCentre"/>
            </w:pPr>
            <w:r w:rsidRPr="00255002">
              <w:t>0.0%</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333ADA38" w14:textId="77777777" w:rsidR="006A73B4" w:rsidRPr="00255002" w:rsidRDefault="006A73B4" w:rsidP="00255002">
            <w:pPr>
              <w:pStyle w:val="CDITable-RowCentre"/>
            </w:pPr>
            <w:r w:rsidRPr="00255002">
              <w:t>0</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73D26564" w14:textId="77777777" w:rsidR="006A73B4" w:rsidRPr="00255002" w:rsidRDefault="006A73B4" w:rsidP="00255002">
            <w:pPr>
              <w:pStyle w:val="CDITable-RowCentre"/>
            </w:pPr>
            <w:r w:rsidRPr="00255002">
              <w:t>0.0%</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69889F5E" w14:textId="77777777" w:rsidR="006A73B4" w:rsidRPr="00255002" w:rsidRDefault="006A73B4" w:rsidP="00255002">
            <w:pPr>
              <w:pStyle w:val="CDITable-RowCentre"/>
            </w:pPr>
            <w:r w:rsidRPr="00255002">
              <w:t>3</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3956C4AC" w14:textId="77777777" w:rsidR="006A73B4" w:rsidRPr="00255002" w:rsidRDefault="006A73B4" w:rsidP="00255002">
            <w:pPr>
              <w:pStyle w:val="CDITable-RowCentre"/>
            </w:pPr>
            <w:r w:rsidRPr="00255002">
              <w:t>0.4%</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50C3C70F" w14:textId="77777777" w:rsidR="006A73B4" w:rsidRPr="00255002" w:rsidRDefault="006A73B4" w:rsidP="00255002">
            <w:pPr>
              <w:pStyle w:val="CDITable-RowCentre"/>
            </w:pPr>
            <w:r w:rsidRPr="00255002">
              <w:t>22</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01B87CB8" w14:textId="77777777" w:rsidR="006A73B4" w:rsidRPr="00255002" w:rsidRDefault="006A73B4" w:rsidP="00255002">
            <w:pPr>
              <w:pStyle w:val="CDITable-RowCentre"/>
            </w:pPr>
            <w:r w:rsidRPr="00255002">
              <w:t>2.0%</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1D955266" w14:textId="77777777" w:rsidR="006A73B4" w:rsidRPr="00255002" w:rsidRDefault="006A73B4" w:rsidP="00255002">
            <w:pPr>
              <w:pStyle w:val="CDITable-RowCentre"/>
            </w:pPr>
            <w:r w:rsidRPr="00255002">
              <w:t>5</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0486C556" w14:textId="77777777" w:rsidR="006A73B4" w:rsidRPr="00255002" w:rsidRDefault="006A73B4" w:rsidP="00255002">
            <w:pPr>
              <w:pStyle w:val="CDITable-RowCentre"/>
            </w:pPr>
            <w:r w:rsidRPr="00255002">
              <w:t>0.9%</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414D3A27" w14:textId="77777777" w:rsidR="006A73B4" w:rsidRPr="00255002" w:rsidRDefault="006A73B4" w:rsidP="00255002">
            <w:pPr>
              <w:pStyle w:val="CDITable-RowCentre"/>
            </w:pPr>
            <w:r w:rsidRPr="00255002">
              <w:t>30</w:t>
            </w:r>
          </w:p>
        </w:tc>
        <w:tc>
          <w:tcPr>
            <w:tcW w:w="119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4ABCAFB3" w14:textId="77777777" w:rsidR="006A73B4" w:rsidRPr="00255002" w:rsidRDefault="006A73B4" w:rsidP="00255002">
            <w:pPr>
              <w:pStyle w:val="CDITable-RowCentre"/>
            </w:pPr>
            <w:r w:rsidRPr="00255002">
              <w:t>0.5%</w:t>
            </w:r>
          </w:p>
        </w:tc>
      </w:tr>
      <w:tr w:rsidR="00974926" w:rsidRPr="00255002" w14:paraId="1193CC3F" w14:textId="77777777" w:rsidTr="00974926">
        <w:trPr>
          <w:trHeight w:val="20"/>
        </w:trPr>
        <w:tc>
          <w:tcPr>
            <w:tcW w:w="2098"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6BB3D412" w14:textId="77777777" w:rsidR="006A73B4" w:rsidRPr="00255002" w:rsidRDefault="006A73B4" w:rsidP="00255002">
            <w:pPr>
              <w:pStyle w:val="CDITable-RowLeft"/>
            </w:pPr>
            <w:r w:rsidRPr="00255002">
              <w:t>Eczema flare</w:t>
            </w:r>
          </w:p>
        </w:tc>
        <w:tc>
          <w:tcPr>
            <w:tcW w:w="85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6CDBB8B0" w14:textId="77777777" w:rsidR="006A73B4" w:rsidRPr="00255002" w:rsidRDefault="006A73B4" w:rsidP="00255002">
            <w:pPr>
              <w:pStyle w:val="CDITable-RowCentre"/>
            </w:pPr>
            <w:r w:rsidRPr="00255002">
              <w:t>18</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44492568" w14:textId="77777777" w:rsidR="006A73B4" w:rsidRPr="00255002" w:rsidRDefault="006A73B4" w:rsidP="00255002">
            <w:pPr>
              <w:pStyle w:val="CDITable-RowCentre"/>
            </w:pPr>
            <w:r w:rsidRPr="00255002">
              <w:t>1.7%</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452CEF28" w14:textId="77777777" w:rsidR="006A73B4" w:rsidRPr="00255002" w:rsidRDefault="006A73B4" w:rsidP="00255002">
            <w:pPr>
              <w:pStyle w:val="CDITable-RowCentre"/>
            </w:pPr>
            <w:r w:rsidRPr="00255002">
              <w:t>8</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67DFAC58" w14:textId="77777777" w:rsidR="006A73B4" w:rsidRPr="00255002" w:rsidRDefault="006A73B4" w:rsidP="00255002">
            <w:pPr>
              <w:pStyle w:val="CDITable-RowCentre"/>
            </w:pPr>
            <w:r w:rsidRPr="00255002">
              <w:t>0.3%</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0AE38B82" w14:textId="77777777" w:rsidR="006A73B4" w:rsidRPr="00255002" w:rsidRDefault="006A73B4" w:rsidP="00255002">
            <w:pPr>
              <w:pStyle w:val="CDITable-RowCentre"/>
            </w:pPr>
            <w:r w:rsidRPr="00255002">
              <w:t>3</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566B9E0B" w14:textId="77777777" w:rsidR="006A73B4" w:rsidRPr="00255002" w:rsidRDefault="006A73B4" w:rsidP="00255002">
            <w:pPr>
              <w:pStyle w:val="CDITable-RowCentre"/>
            </w:pPr>
            <w:r w:rsidRPr="00255002">
              <w:t>0.4%</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799ADF17" w14:textId="77777777" w:rsidR="006A73B4" w:rsidRPr="00255002" w:rsidRDefault="006A73B4" w:rsidP="00255002">
            <w:pPr>
              <w:pStyle w:val="CDITable-RowCentre"/>
            </w:pPr>
            <w:r w:rsidRPr="00255002">
              <w:t>0</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456D600E" w14:textId="77777777" w:rsidR="006A73B4" w:rsidRPr="00255002" w:rsidRDefault="006A73B4" w:rsidP="00255002">
            <w:pPr>
              <w:pStyle w:val="CDITable-RowCentre"/>
            </w:pPr>
            <w:r w:rsidRPr="00255002">
              <w:t>0.0%</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100AC5BE" w14:textId="77777777" w:rsidR="006A73B4" w:rsidRPr="00255002" w:rsidRDefault="006A73B4" w:rsidP="00255002">
            <w:pPr>
              <w:pStyle w:val="CDITable-RowCentre"/>
            </w:pPr>
            <w:r w:rsidRPr="00255002">
              <w:t>0</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0850B689" w14:textId="77777777" w:rsidR="006A73B4" w:rsidRPr="00255002" w:rsidRDefault="006A73B4" w:rsidP="00255002">
            <w:pPr>
              <w:pStyle w:val="CDITable-RowCentre"/>
            </w:pPr>
            <w:r w:rsidRPr="00255002">
              <w:t>0.0%</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1B775534" w14:textId="77777777" w:rsidR="006A73B4" w:rsidRPr="00255002" w:rsidRDefault="006A73B4" w:rsidP="00255002">
            <w:pPr>
              <w:pStyle w:val="CDITable-RowCentre"/>
            </w:pPr>
            <w:r w:rsidRPr="00255002">
              <w:t>29</w:t>
            </w:r>
          </w:p>
        </w:tc>
        <w:tc>
          <w:tcPr>
            <w:tcW w:w="119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4C0C5E8B" w14:textId="77777777" w:rsidR="006A73B4" w:rsidRPr="00255002" w:rsidRDefault="006A73B4" w:rsidP="00255002">
            <w:pPr>
              <w:pStyle w:val="CDITable-RowCentre"/>
            </w:pPr>
            <w:r w:rsidRPr="00255002">
              <w:t>0.5%</w:t>
            </w:r>
          </w:p>
        </w:tc>
      </w:tr>
      <w:tr w:rsidR="00974926" w:rsidRPr="00255002" w14:paraId="4B7F9263" w14:textId="77777777" w:rsidTr="00974926">
        <w:trPr>
          <w:trHeight w:val="20"/>
        </w:trPr>
        <w:tc>
          <w:tcPr>
            <w:tcW w:w="2098"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6E0F46E1" w14:textId="77777777" w:rsidR="006A73B4" w:rsidRPr="00255002" w:rsidRDefault="006A73B4" w:rsidP="00255002">
            <w:pPr>
              <w:pStyle w:val="CDITable-RowLeft"/>
            </w:pPr>
            <w:r w:rsidRPr="00255002">
              <w:t>Seizure-syncopal</w:t>
            </w:r>
          </w:p>
        </w:tc>
        <w:tc>
          <w:tcPr>
            <w:tcW w:w="85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5B1F1634" w14:textId="77777777" w:rsidR="006A73B4" w:rsidRPr="00255002" w:rsidRDefault="006A73B4" w:rsidP="00255002">
            <w:pPr>
              <w:pStyle w:val="CDITable-RowCentre"/>
            </w:pPr>
            <w:r w:rsidRPr="00255002">
              <w:t>0</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52A3BB75" w14:textId="77777777" w:rsidR="006A73B4" w:rsidRPr="00255002" w:rsidRDefault="006A73B4" w:rsidP="00255002">
            <w:pPr>
              <w:pStyle w:val="CDITable-RowCentre"/>
            </w:pPr>
            <w:r w:rsidRPr="00255002">
              <w:t>0.0%</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6E5B46ED" w14:textId="77777777" w:rsidR="006A73B4" w:rsidRPr="00255002" w:rsidRDefault="006A73B4" w:rsidP="00255002">
            <w:pPr>
              <w:pStyle w:val="CDITable-RowCentre"/>
            </w:pPr>
            <w:r w:rsidRPr="00255002">
              <w:t>2</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3EBCE09E" w14:textId="77777777" w:rsidR="006A73B4" w:rsidRPr="00255002" w:rsidRDefault="006A73B4" w:rsidP="00255002">
            <w:pPr>
              <w:pStyle w:val="CDITable-RowCentre"/>
            </w:pPr>
            <w:r w:rsidRPr="00255002">
              <w:t>0.1%</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6F01E43D" w14:textId="77777777" w:rsidR="006A73B4" w:rsidRPr="00255002" w:rsidRDefault="006A73B4" w:rsidP="00255002">
            <w:pPr>
              <w:pStyle w:val="CDITable-RowCentre"/>
            </w:pPr>
            <w:r w:rsidRPr="00255002">
              <w:t>23</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369DE602" w14:textId="77777777" w:rsidR="006A73B4" w:rsidRPr="00255002" w:rsidRDefault="006A73B4" w:rsidP="00255002">
            <w:pPr>
              <w:pStyle w:val="CDITable-RowCentre"/>
            </w:pPr>
            <w:r w:rsidRPr="00255002">
              <w:t>2.9%</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628D994A" w14:textId="77777777" w:rsidR="006A73B4" w:rsidRPr="00255002" w:rsidRDefault="006A73B4" w:rsidP="00255002">
            <w:pPr>
              <w:pStyle w:val="CDITable-RowCentre"/>
            </w:pPr>
            <w:r w:rsidRPr="00255002">
              <w:t>1</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6D3E9F6B" w14:textId="77777777" w:rsidR="006A73B4" w:rsidRPr="00255002" w:rsidRDefault="006A73B4" w:rsidP="00255002">
            <w:pPr>
              <w:pStyle w:val="CDITable-RowCentre"/>
            </w:pPr>
            <w:r w:rsidRPr="00255002">
              <w:t>0.1%</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1676CF86" w14:textId="77777777" w:rsidR="006A73B4" w:rsidRPr="00255002" w:rsidRDefault="006A73B4" w:rsidP="00255002">
            <w:pPr>
              <w:pStyle w:val="CDITable-RowCentre"/>
            </w:pPr>
            <w:r w:rsidRPr="00255002">
              <w:t>0</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670400B3" w14:textId="77777777" w:rsidR="006A73B4" w:rsidRPr="00255002" w:rsidRDefault="006A73B4" w:rsidP="00255002">
            <w:pPr>
              <w:pStyle w:val="CDITable-RowCentre"/>
            </w:pPr>
            <w:r w:rsidRPr="00255002">
              <w:t>0.0%</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1F9BB5A3" w14:textId="77777777" w:rsidR="006A73B4" w:rsidRPr="00255002" w:rsidRDefault="006A73B4" w:rsidP="00255002">
            <w:pPr>
              <w:pStyle w:val="CDITable-RowCentre"/>
            </w:pPr>
            <w:r w:rsidRPr="00255002">
              <w:t>26</w:t>
            </w:r>
          </w:p>
        </w:tc>
        <w:tc>
          <w:tcPr>
            <w:tcW w:w="119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3393E331" w14:textId="77777777" w:rsidR="006A73B4" w:rsidRPr="00255002" w:rsidRDefault="006A73B4" w:rsidP="00255002">
            <w:pPr>
              <w:pStyle w:val="CDITable-RowCentre"/>
            </w:pPr>
            <w:r w:rsidRPr="00255002">
              <w:t>0.4%</w:t>
            </w:r>
          </w:p>
        </w:tc>
      </w:tr>
      <w:tr w:rsidR="00974926" w:rsidRPr="00255002" w14:paraId="6CD5FE24" w14:textId="77777777" w:rsidTr="00974926">
        <w:trPr>
          <w:trHeight w:val="20"/>
        </w:trPr>
        <w:tc>
          <w:tcPr>
            <w:tcW w:w="2098"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781FB3A8" w14:textId="77777777" w:rsidR="006A73B4" w:rsidRPr="00255002" w:rsidRDefault="006A73B4" w:rsidP="00255002">
            <w:pPr>
              <w:pStyle w:val="CDITable-RowLeft"/>
            </w:pPr>
            <w:r w:rsidRPr="00255002">
              <w:lastRenderedPageBreak/>
              <w:t>Abnormal movements</w:t>
            </w:r>
          </w:p>
        </w:tc>
        <w:tc>
          <w:tcPr>
            <w:tcW w:w="85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733C301C" w14:textId="77777777" w:rsidR="006A73B4" w:rsidRPr="00255002" w:rsidRDefault="006A73B4" w:rsidP="00255002">
            <w:pPr>
              <w:pStyle w:val="CDITable-RowCentre"/>
            </w:pPr>
            <w:r w:rsidRPr="00255002">
              <w:t>8</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670E9A94" w14:textId="77777777" w:rsidR="006A73B4" w:rsidRPr="00255002" w:rsidRDefault="006A73B4" w:rsidP="00255002">
            <w:pPr>
              <w:pStyle w:val="CDITable-RowCentre"/>
            </w:pPr>
            <w:r w:rsidRPr="00255002">
              <w:t>0.8%</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364D1C13" w14:textId="77777777" w:rsidR="006A73B4" w:rsidRPr="00255002" w:rsidRDefault="006A73B4" w:rsidP="00255002">
            <w:pPr>
              <w:pStyle w:val="CDITable-RowCentre"/>
            </w:pPr>
            <w:r w:rsidRPr="00255002">
              <w:t>12</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473AC57E" w14:textId="77777777" w:rsidR="006A73B4" w:rsidRPr="00255002" w:rsidRDefault="006A73B4" w:rsidP="00255002">
            <w:pPr>
              <w:pStyle w:val="CDITable-RowCentre"/>
            </w:pPr>
            <w:r w:rsidRPr="00255002">
              <w:t>0.5%</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34B73C47" w14:textId="77777777" w:rsidR="006A73B4" w:rsidRPr="00255002" w:rsidRDefault="006A73B4" w:rsidP="00255002">
            <w:pPr>
              <w:pStyle w:val="CDITable-RowCentre"/>
            </w:pPr>
            <w:r w:rsidRPr="00255002">
              <w:t>4</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749050E6" w14:textId="77777777" w:rsidR="006A73B4" w:rsidRPr="00255002" w:rsidRDefault="006A73B4" w:rsidP="00255002">
            <w:pPr>
              <w:pStyle w:val="CDITable-RowCentre"/>
            </w:pPr>
            <w:r w:rsidRPr="00255002">
              <w:t>0.5%</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5F7C70FA" w14:textId="77777777" w:rsidR="006A73B4" w:rsidRPr="00255002" w:rsidRDefault="006A73B4" w:rsidP="00255002">
            <w:pPr>
              <w:pStyle w:val="CDITable-RowCentre"/>
            </w:pPr>
            <w:r w:rsidRPr="00255002">
              <w:t>0</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4407168A" w14:textId="77777777" w:rsidR="006A73B4" w:rsidRPr="00255002" w:rsidRDefault="006A73B4" w:rsidP="00255002">
            <w:pPr>
              <w:pStyle w:val="CDITable-RowCentre"/>
            </w:pPr>
            <w:r w:rsidRPr="00255002">
              <w:t>0.0%</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5EF87F4D" w14:textId="77777777" w:rsidR="006A73B4" w:rsidRPr="00255002" w:rsidRDefault="006A73B4" w:rsidP="00255002">
            <w:pPr>
              <w:pStyle w:val="CDITable-RowCentre"/>
            </w:pPr>
            <w:r w:rsidRPr="00255002">
              <w:t>0</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7E389EA3" w14:textId="77777777" w:rsidR="006A73B4" w:rsidRPr="00255002" w:rsidRDefault="006A73B4" w:rsidP="00255002">
            <w:pPr>
              <w:pStyle w:val="CDITable-RowCentre"/>
            </w:pPr>
            <w:r w:rsidRPr="00255002">
              <w:t>0.0%</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5D2AC21B" w14:textId="77777777" w:rsidR="006A73B4" w:rsidRPr="00255002" w:rsidRDefault="006A73B4" w:rsidP="00255002">
            <w:pPr>
              <w:pStyle w:val="CDITable-RowCentre"/>
            </w:pPr>
            <w:r w:rsidRPr="00255002">
              <w:t>24</w:t>
            </w:r>
          </w:p>
        </w:tc>
        <w:tc>
          <w:tcPr>
            <w:tcW w:w="119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4C657F6B" w14:textId="77777777" w:rsidR="006A73B4" w:rsidRPr="00255002" w:rsidRDefault="006A73B4" w:rsidP="00255002">
            <w:pPr>
              <w:pStyle w:val="CDITable-RowCentre"/>
            </w:pPr>
            <w:r w:rsidRPr="00255002">
              <w:t>0.4%</w:t>
            </w:r>
          </w:p>
        </w:tc>
      </w:tr>
      <w:tr w:rsidR="00974926" w:rsidRPr="00255002" w14:paraId="5882BA85" w14:textId="77777777" w:rsidTr="00974926">
        <w:trPr>
          <w:trHeight w:val="20"/>
        </w:trPr>
        <w:tc>
          <w:tcPr>
            <w:tcW w:w="2098"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688395D9" w14:textId="77777777" w:rsidR="006A73B4" w:rsidRPr="00255002" w:rsidRDefault="006A73B4" w:rsidP="00255002">
            <w:pPr>
              <w:pStyle w:val="CDITable-RowLeft"/>
            </w:pPr>
            <w:r w:rsidRPr="00255002">
              <w:t>Blood in stool</w:t>
            </w:r>
          </w:p>
        </w:tc>
        <w:tc>
          <w:tcPr>
            <w:tcW w:w="85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1B189FE5" w14:textId="77777777" w:rsidR="006A73B4" w:rsidRPr="00255002" w:rsidRDefault="006A73B4" w:rsidP="00255002">
            <w:pPr>
              <w:pStyle w:val="CDITable-RowCentre"/>
            </w:pPr>
            <w:r w:rsidRPr="00255002">
              <w:t>22</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1ABAC38C" w14:textId="77777777" w:rsidR="006A73B4" w:rsidRPr="00255002" w:rsidRDefault="006A73B4" w:rsidP="00255002">
            <w:pPr>
              <w:pStyle w:val="CDITable-RowCentre"/>
            </w:pPr>
            <w:r w:rsidRPr="00255002">
              <w:t>2.1%</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09ECA3E9" w14:textId="77777777" w:rsidR="006A73B4" w:rsidRPr="00255002" w:rsidRDefault="006A73B4" w:rsidP="00255002">
            <w:pPr>
              <w:pStyle w:val="CDITable-RowCentre"/>
            </w:pPr>
            <w:r w:rsidRPr="00255002">
              <w:t>2</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5658D126" w14:textId="77777777" w:rsidR="006A73B4" w:rsidRPr="00255002" w:rsidRDefault="006A73B4" w:rsidP="00255002">
            <w:pPr>
              <w:pStyle w:val="CDITable-RowCentre"/>
            </w:pPr>
            <w:r w:rsidRPr="00255002">
              <w:t>0.1%</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285C7ECA" w14:textId="77777777" w:rsidR="006A73B4" w:rsidRPr="00255002" w:rsidRDefault="006A73B4" w:rsidP="00255002">
            <w:pPr>
              <w:pStyle w:val="CDITable-RowCentre"/>
            </w:pPr>
            <w:r w:rsidRPr="00255002">
              <w:t>0</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7F78D901" w14:textId="77777777" w:rsidR="006A73B4" w:rsidRPr="00255002" w:rsidRDefault="006A73B4" w:rsidP="00255002">
            <w:pPr>
              <w:pStyle w:val="CDITable-RowCentre"/>
            </w:pPr>
            <w:r w:rsidRPr="00255002">
              <w:t>0.0%</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5A2A0275" w14:textId="77777777" w:rsidR="006A73B4" w:rsidRPr="00255002" w:rsidRDefault="006A73B4" w:rsidP="00255002">
            <w:pPr>
              <w:pStyle w:val="CDITable-RowCentre"/>
            </w:pPr>
            <w:r w:rsidRPr="00255002">
              <w:t>0</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18AD2F87" w14:textId="77777777" w:rsidR="006A73B4" w:rsidRPr="00255002" w:rsidRDefault="006A73B4" w:rsidP="00255002">
            <w:pPr>
              <w:pStyle w:val="CDITable-RowCentre"/>
            </w:pPr>
            <w:r w:rsidRPr="00255002">
              <w:t>0.0%</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47050C88" w14:textId="77777777" w:rsidR="006A73B4" w:rsidRPr="00255002" w:rsidRDefault="006A73B4" w:rsidP="00255002">
            <w:pPr>
              <w:pStyle w:val="CDITable-RowCentre"/>
            </w:pPr>
            <w:r w:rsidRPr="00255002">
              <w:t>0</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27BEA9FB" w14:textId="77777777" w:rsidR="006A73B4" w:rsidRPr="00255002" w:rsidRDefault="006A73B4" w:rsidP="00255002">
            <w:pPr>
              <w:pStyle w:val="CDITable-RowCentre"/>
            </w:pPr>
            <w:r w:rsidRPr="00255002">
              <w:t>0.0%</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588BBD3A" w14:textId="77777777" w:rsidR="006A73B4" w:rsidRPr="00255002" w:rsidRDefault="006A73B4" w:rsidP="00255002">
            <w:pPr>
              <w:pStyle w:val="CDITable-RowCentre"/>
            </w:pPr>
            <w:r w:rsidRPr="00255002">
              <w:t>24</w:t>
            </w:r>
          </w:p>
        </w:tc>
        <w:tc>
          <w:tcPr>
            <w:tcW w:w="119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03E73902" w14:textId="77777777" w:rsidR="006A73B4" w:rsidRPr="00255002" w:rsidRDefault="006A73B4" w:rsidP="00255002">
            <w:pPr>
              <w:pStyle w:val="CDITable-RowCentre"/>
            </w:pPr>
            <w:r w:rsidRPr="00255002">
              <w:t>0.4%</w:t>
            </w:r>
          </w:p>
        </w:tc>
      </w:tr>
      <w:tr w:rsidR="00974926" w:rsidRPr="00255002" w14:paraId="3858DF9D" w14:textId="77777777" w:rsidTr="00974926">
        <w:trPr>
          <w:trHeight w:val="20"/>
        </w:trPr>
        <w:tc>
          <w:tcPr>
            <w:tcW w:w="2098"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2A3A7462" w14:textId="77777777" w:rsidR="006A73B4" w:rsidRPr="00255002" w:rsidRDefault="006A73B4" w:rsidP="00255002">
            <w:pPr>
              <w:pStyle w:val="CDITable-RowLeft"/>
            </w:pPr>
            <w:r w:rsidRPr="00255002">
              <w:t>Coryza</w:t>
            </w:r>
          </w:p>
        </w:tc>
        <w:tc>
          <w:tcPr>
            <w:tcW w:w="85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1F8F94F1" w14:textId="77777777" w:rsidR="006A73B4" w:rsidRPr="00255002" w:rsidRDefault="006A73B4" w:rsidP="00255002">
            <w:pPr>
              <w:pStyle w:val="CDITable-RowCentre"/>
            </w:pPr>
            <w:r w:rsidRPr="00255002">
              <w:t>2</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6251A403" w14:textId="77777777" w:rsidR="006A73B4" w:rsidRPr="00255002" w:rsidRDefault="006A73B4" w:rsidP="00255002">
            <w:pPr>
              <w:pStyle w:val="CDITable-RowCentre"/>
            </w:pPr>
            <w:r w:rsidRPr="00255002">
              <w:t>0.2%</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710DE559" w14:textId="77777777" w:rsidR="006A73B4" w:rsidRPr="00255002" w:rsidRDefault="006A73B4" w:rsidP="00255002">
            <w:pPr>
              <w:pStyle w:val="CDITable-RowCentre"/>
            </w:pPr>
            <w:r w:rsidRPr="00255002">
              <w:t>17</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3D247481" w14:textId="77777777" w:rsidR="006A73B4" w:rsidRPr="00255002" w:rsidRDefault="006A73B4" w:rsidP="00255002">
            <w:pPr>
              <w:pStyle w:val="CDITable-RowCentre"/>
            </w:pPr>
            <w:r w:rsidRPr="00255002">
              <w:t>0.7%</w:t>
            </w:r>
          </w:p>
        </w:tc>
        <w:tc>
          <w:tcPr>
            <w:tcW w:w="850"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3A96455E" w14:textId="77777777" w:rsidR="006A73B4" w:rsidRPr="00255002" w:rsidRDefault="006A73B4" w:rsidP="00255002">
            <w:pPr>
              <w:pStyle w:val="CDITable-RowCentre"/>
            </w:pPr>
            <w:r w:rsidRPr="00255002">
              <w:t>0</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31EFEC15" w14:textId="77777777" w:rsidR="006A73B4" w:rsidRPr="00255002" w:rsidRDefault="006A73B4" w:rsidP="00255002">
            <w:pPr>
              <w:pStyle w:val="CDITable-RowCentre"/>
            </w:pPr>
            <w:r w:rsidRPr="00255002">
              <w:t>0.0%</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5C40BFAA" w14:textId="77777777" w:rsidR="006A73B4" w:rsidRPr="00255002" w:rsidRDefault="006A73B4" w:rsidP="00255002">
            <w:pPr>
              <w:pStyle w:val="CDITable-RowCentre"/>
            </w:pPr>
            <w:r w:rsidRPr="00255002">
              <w:t>2</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3B05B506" w14:textId="77777777" w:rsidR="006A73B4" w:rsidRPr="00255002" w:rsidRDefault="006A73B4" w:rsidP="00255002">
            <w:pPr>
              <w:pStyle w:val="CDITable-RowCentre"/>
            </w:pPr>
            <w:r w:rsidRPr="00255002">
              <w:t>0.2%</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64FE7FF8" w14:textId="77777777" w:rsidR="006A73B4" w:rsidRPr="00255002" w:rsidRDefault="006A73B4" w:rsidP="00255002">
            <w:pPr>
              <w:pStyle w:val="CDITable-RowCentre"/>
            </w:pPr>
            <w:r w:rsidRPr="00255002">
              <w:t>0</w:t>
            </w:r>
          </w:p>
        </w:tc>
        <w:tc>
          <w:tcPr>
            <w:tcW w:w="1190" w:type="dxa"/>
            <w:tcBorders>
              <w:top w:val="single" w:sz="6" w:space="0" w:color="1E4496" w:themeColor="text2"/>
              <w:bottom w:val="single" w:sz="6" w:space="0" w:color="1E4496" w:themeColor="text2"/>
              <w:right w:val="single" w:sz="6" w:space="0" w:color="1E4496" w:themeColor="text2"/>
            </w:tcBorders>
            <w:tcMar>
              <w:top w:w="96" w:type="dxa"/>
              <w:left w:w="57" w:type="dxa"/>
              <w:bottom w:w="96" w:type="dxa"/>
              <w:right w:w="57" w:type="dxa"/>
            </w:tcMar>
            <w:vAlign w:val="center"/>
          </w:tcPr>
          <w:p w14:paraId="1280304D" w14:textId="77777777" w:rsidR="006A73B4" w:rsidRPr="00255002" w:rsidRDefault="006A73B4" w:rsidP="00255002">
            <w:pPr>
              <w:pStyle w:val="CDITable-RowCentre"/>
            </w:pPr>
            <w:r w:rsidRPr="00255002">
              <w:t>0.0%</w:t>
            </w:r>
          </w:p>
        </w:tc>
        <w:tc>
          <w:tcPr>
            <w:tcW w:w="851" w:type="dxa"/>
            <w:tcBorders>
              <w:top w:val="single" w:sz="6" w:space="0" w:color="1E4496" w:themeColor="text2"/>
              <w:left w:val="single" w:sz="6" w:space="0" w:color="1E4496" w:themeColor="text2"/>
              <w:bottom w:val="single" w:sz="6" w:space="0" w:color="1E4496" w:themeColor="text2"/>
            </w:tcBorders>
            <w:tcMar>
              <w:top w:w="96" w:type="dxa"/>
              <w:left w:w="57" w:type="dxa"/>
              <w:bottom w:w="96" w:type="dxa"/>
              <w:right w:w="57" w:type="dxa"/>
            </w:tcMar>
            <w:vAlign w:val="center"/>
          </w:tcPr>
          <w:p w14:paraId="5AC9C054" w14:textId="77777777" w:rsidR="006A73B4" w:rsidRPr="00255002" w:rsidRDefault="006A73B4" w:rsidP="00255002">
            <w:pPr>
              <w:pStyle w:val="CDITable-RowCentre"/>
            </w:pPr>
            <w:r w:rsidRPr="00255002">
              <w:t>21</w:t>
            </w:r>
          </w:p>
        </w:tc>
        <w:tc>
          <w:tcPr>
            <w:tcW w:w="1190" w:type="dxa"/>
            <w:tcBorders>
              <w:top w:val="single" w:sz="6" w:space="0" w:color="1E4496" w:themeColor="text2"/>
              <w:bottom w:val="single" w:sz="6" w:space="0" w:color="1E4496" w:themeColor="text2"/>
            </w:tcBorders>
            <w:tcMar>
              <w:top w:w="96" w:type="dxa"/>
              <w:left w:w="57" w:type="dxa"/>
              <w:bottom w:w="96" w:type="dxa"/>
              <w:right w:w="57" w:type="dxa"/>
            </w:tcMar>
            <w:vAlign w:val="center"/>
          </w:tcPr>
          <w:p w14:paraId="08E445DD" w14:textId="77777777" w:rsidR="006A73B4" w:rsidRPr="00255002" w:rsidRDefault="006A73B4" w:rsidP="00255002">
            <w:pPr>
              <w:pStyle w:val="CDITable-RowCentre"/>
            </w:pPr>
            <w:r w:rsidRPr="00255002">
              <w:t>0.4%</w:t>
            </w:r>
          </w:p>
        </w:tc>
      </w:tr>
      <w:tr w:rsidR="00974926" w:rsidRPr="00255002" w14:paraId="5C347D4A" w14:textId="77777777" w:rsidTr="00974926">
        <w:trPr>
          <w:trHeight w:val="20"/>
        </w:trPr>
        <w:tc>
          <w:tcPr>
            <w:tcW w:w="2098" w:type="dxa"/>
            <w:tcBorders>
              <w:top w:val="single" w:sz="6" w:space="0" w:color="1E4496" w:themeColor="text2"/>
              <w:bottom w:val="single" w:sz="6" w:space="0" w:color="1E4496" w:themeColor="text2"/>
            </w:tcBorders>
            <w:shd w:val="clear" w:color="auto" w:fill="DCF4FC" w:themeFill="background2" w:themeFillTint="33"/>
            <w:tcMar>
              <w:top w:w="96" w:type="dxa"/>
              <w:left w:w="57" w:type="dxa"/>
              <w:bottom w:w="96" w:type="dxa"/>
              <w:right w:w="57" w:type="dxa"/>
            </w:tcMar>
            <w:vAlign w:val="center"/>
          </w:tcPr>
          <w:p w14:paraId="448769F2" w14:textId="77777777" w:rsidR="006A73B4" w:rsidRPr="00255002" w:rsidRDefault="006A73B4" w:rsidP="00255002">
            <w:pPr>
              <w:pStyle w:val="CDITable-RowLeft"/>
            </w:pPr>
            <w:proofErr w:type="spellStart"/>
            <w:r w:rsidRPr="00255002">
              <w:t>Anaphylaxis</w:t>
            </w:r>
            <w:r w:rsidRPr="00255002">
              <w:rPr>
                <w:vertAlign w:val="superscript"/>
              </w:rPr>
              <w:t>f</w:t>
            </w:r>
            <w:proofErr w:type="spellEnd"/>
          </w:p>
        </w:tc>
        <w:tc>
          <w:tcPr>
            <w:tcW w:w="850" w:type="dxa"/>
            <w:tcBorders>
              <w:top w:val="single" w:sz="6" w:space="0" w:color="1E4496" w:themeColor="text2"/>
              <w:bottom w:val="single" w:sz="6" w:space="0" w:color="1E4496" w:themeColor="text2"/>
            </w:tcBorders>
            <w:shd w:val="clear" w:color="auto" w:fill="DCF4FC" w:themeFill="background2" w:themeFillTint="33"/>
            <w:tcMar>
              <w:top w:w="96" w:type="dxa"/>
              <w:left w:w="57" w:type="dxa"/>
              <w:bottom w:w="96" w:type="dxa"/>
              <w:right w:w="57" w:type="dxa"/>
            </w:tcMar>
            <w:vAlign w:val="center"/>
          </w:tcPr>
          <w:p w14:paraId="19F82F93" w14:textId="77777777" w:rsidR="006A73B4" w:rsidRPr="00255002" w:rsidRDefault="006A73B4" w:rsidP="00255002">
            <w:pPr>
              <w:pStyle w:val="CDITable-RowCentre"/>
            </w:pPr>
            <w:r w:rsidRPr="00255002">
              <w:t>1</w:t>
            </w:r>
          </w:p>
        </w:tc>
        <w:tc>
          <w:tcPr>
            <w:tcW w:w="1191" w:type="dxa"/>
            <w:tcBorders>
              <w:top w:val="single" w:sz="6" w:space="0" w:color="1E4496" w:themeColor="text2"/>
              <w:bottom w:val="single" w:sz="6" w:space="0" w:color="1E4496" w:themeColor="text2"/>
              <w:right w:val="single" w:sz="6" w:space="0" w:color="1E4496" w:themeColor="text2"/>
            </w:tcBorders>
            <w:shd w:val="clear" w:color="auto" w:fill="DCF4FC" w:themeFill="background2" w:themeFillTint="33"/>
            <w:tcMar>
              <w:top w:w="96" w:type="dxa"/>
              <w:left w:w="57" w:type="dxa"/>
              <w:bottom w:w="96" w:type="dxa"/>
              <w:right w:w="57" w:type="dxa"/>
            </w:tcMar>
            <w:vAlign w:val="center"/>
          </w:tcPr>
          <w:p w14:paraId="6145D8E4" w14:textId="77777777" w:rsidR="006A73B4" w:rsidRPr="00255002" w:rsidRDefault="006A73B4" w:rsidP="00255002">
            <w:pPr>
              <w:pStyle w:val="CDITable-RowCentre"/>
            </w:pPr>
            <w:r w:rsidRPr="00255002">
              <w:t>0.1%</w:t>
            </w:r>
          </w:p>
        </w:tc>
        <w:tc>
          <w:tcPr>
            <w:tcW w:w="850" w:type="dxa"/>
            <w:tcBorders>
              <w:top w:val="single" w:sz="6" w:space="0" w:color="1E4496" w:themeColor="text2"/>
              <w:left w:val="single" w:sz="6" w:space="0" w:color="1E4496" w:themeColor="text2"/>
              <w:bottom w:val="single" w:sz="6" w:space="0" w:color="1E4496" w:themeColor="text2"/>
            </w:tcBorders>
            <w:shd w:val="clear" w:color="auto" w:fill="DCF4FC" w:themeFill="background2" w:themeFillTint="33"/>
            <w:tcMar>
              <w:top w:w="96" w:type="dxa"/>
              <w:left w:w="57" w:type="dxa"/>
              <w:bottom w:w="96" w:type="dxa"/>
              <w:right w:w="57" w:type="dxa"/>
            </w:tcMar>
            <w:vAlign w:val="center"/>
          </w:tcPr>
          <w:p w14:paraId="4F9E8F66" w14:textId="77777777" w:rsidR="006A73B4" w:rsidRPr="00255002" w:rsidRDefault="006A73B4" w:rsidP="00255002">
            <w:pPr>
              <w:pStyle w:val="CDITable-RowCentre"/>
            </w:pPr>
            <w:r w:rsidRPr="00255002">
              <w:t>6</w:t>
            </w:r>
          </w:p>
        </w:tc>
        <w:tc>
          <w:tcPr>
            <w:tcW w:w="1191" w:type="dxa"/>
            <w:tcBorders>
              <w:top w:val="single" w:sz="6" w:space="0" w:color="1E4496" w:themeColor="text2"/>
              <w:bottom w:val="single" w:sz="6" w:space="0" w:color="1E4496" w:themeColor="text2"/>
              <w:right w:val="single" w:sz="6" w:space="0" w:color="1E4496" w:themeColor="text2"/>
            </w:tcBorders>
            <w:shd w:val="clear" w:color="auto" w:fill="DCF4FC" w:themeFill="background2" w:themeFillTint="33"/>
            <w:tcMar>
              <w:top w:w="96" w:type="dxa"/>
              <w:left w:w="57" w:type="dxa"/>
              <w:bottom w:w="96" w:type="dxa"/>
              <w:right w:w="57" w:type="dxa"/>
            </w:tcMar>
            <w:vAlign w:val="center"/>
          </w:tcPr>
          <w:p w14:paraId="10F01D77" w14:textId="77777777" w:rsidR="006A73B4" w:rsidRPr="00255002" w:rsidRDefault="006A73B4" w:rsidP="00255002">
            <w:pPr>
              <w:pStyle w:val="CDITable-RowCentre"/>
            </w:pPr>
            <w:r w:rsidRPr="00255002">
              <w:t>0.2%</w:t>
            </w:r>
          </w:p>
        </w:tc>
        <w:tc>
          <w:tcPr>
            <w:tcW w:w="850" w:type="dxa"/>
            <w:tcBorders>
              <w:top w:val="single" w:sz="6" w:space="0" w:color="1E4496" w:themeColor="text2"/>
              <w:left w:val="single" w:sz="6" w:space="0" w:color="1E4496" w:themeColor="text2"/>
              <w:bottom w:val="single" w:sz="6" w:space="0" w:color="1E4496" w:themeColor="text2"/>
            </w:tcBorders>
            <w:shd w:val="clear" w:color="auto" w:fill="DCF4FC" w:themeFill="background2" w:themeFillTint="33"/>
            <w:tcMar>
              <w:top w:w="96" w:type="dxa"/>
              <w:left w:w="57" w:type="dxa"/>
              <w:bottom w:w="96" w:type="dxa"/>
              <w:right w:w="57" w:type="dxa"/>
            </w:tcMar>
            <w:vAlign w:val="center"/>
          </w:tcPr>
          <w:p w14:paraId="66A716CD" w14:textId="77777777" w:rsidR="006A73B4" w:rsidRPr="00255002" w:rsidRDefault="006A73B4" w:rsidP="00255002">
            <w:pPr>
              <w:pStyle w:val="CDITable-RowCentre"/>
            </w:pPr>
            <w:r w:rsidRPr="00255002">
              <w:t>2</w:t>
            </w:r>
          </w:p>
        </w:tc>
        <w:tc>
          <w:tcPr>
            <w:tcW w:w="1190" w:type="dxa"/>
            <w:tcBorders>
              <w:top w:val="single" w:sz="6" w:space="0" w:color="1E4496" w:themeColor="text2"/>
              <w:bottom w:val="single" w:sz="6" w:space="0" w:color="1E4496" w:themeColor="text2"/>
              <w:right w:val="single" w:sz="6" w:space="0" w:color="1E4496" w:themeColor="text2"/>
            </w:tcBorders>
            <w:shd w:val="clear" w:color="auto" w:fill="DCF4FC" w:themeFill="background2" w:themeFillTint="33"/>
            <w:tcMar>
              <w:top w:w="96" w:type="dxa"/>
              <w:left w:w="57" w:type="dxa"/>
              <w:bottom w:w="96" w:type="dxa"/>
              <w:right w:w="57" w:type="dxa"/>
            </w:tcMar>
            <w:vAlign w:val="center"/>
          </w:tcPr>
          <w:p w14:paraId="332295A2" w14:textId="77777777" w:rsidR="006A73B4" w:rsidRPr="00255002" w:rsidRDefault="006A73B4" w:rsidP="00255002">
            <w:pPr>
              <w:pStyle w:val="CDITable-RowCentre"/>
            </w:pPr>
            <w:r w:rsidRPr="00255002">
              <w:t>0.3%</w:t>
            </w:r>
          </w:p>
        </w:tc>
        <w:tc>
          <w:tcPr>
            <w:tcW w:w="851" w:type="dxa"/>
            <w:tcBorders>
              <w:top w:val="single" w:sz="6" w:space="0" w:color="1E4496" w:themeColor="text2"/>
              <w:left w:val="single" w:sz="6" w:space="0" w:color="1E4496" w:themeColor="text2"/>
              <w:bottom w:val="single" w:sz="6" w:space="0" w:color="1E4496" w:themeColor="text2"/>
            </w:tcBorders>
            <w:shd w:val="clear" w:color="auto" w:fill="DCF4FC" w:themeFill="background2" w:themeFillTint="33"/>
            <w:tcMar>
              <w:top w:w="96" w:type="dxa"/>
              <w:left w:w="57" w:type="dxa"/>
              <w:bottom w:w="96" w:type="dxa"/>
              <w:right w:w="57" w:type="dxa"/>
            </w:tcMar>
            <w:vAlign w:val="center"/>
          </w:tcPr>
          <w:p w14:paraId="50D3358D" w14:textId="77777777" w:rsidR="006A73B4" w:rsidRPr="00255002" w:rsidRDefault="006A73B4" w:rsidP="00255002">
            <w:pPr>
              <w:pStyle w:val="CDITable-RowCentre"/>
            </w:pPr>
            <w:r w:rsidRPr="00255002">
              <w:t>5</w:t>
            </w:r>
          </w:p>
        </w:tc>
        <w:tc>
          <w:tcPr>
            <w:tcW w:w="1190" w:type="dxa"/>
            <w:tcBorders>
              <w:top w:val="single" w:sz="6" w:space="0" w:color="1E4496" w:themeColor="text2"/>
              <w:bottom w:val="single" w:sz="6" w:space="0" w:color="1E4496" w:themeColor="text2"/>
              <w:right w:val="single" w:sz="6" w:space="0" w:color="1E4496" w:themeColor="text2"/>
            </w:tcBorders>
            <w:shd w:val="clear" w:color="auto" w:fill="DCF4FC" w:themeFill="background2" w:themeFillTint="33"/>
            <w:tcMar>
              <w:top w:w="96" w:type="dxa"/>
              <w:left w:w="57" w:type="dxa"/>
              <w:bottom w:w="96" w:type="dxa"/>
              <w:right w:w="57" w:type="dxa"/>
            </w:tcMar>
            <w:vAlign w:val="center"/>
          </w:tcPr>
          <w:p w14:paraId="51BA49EC" w14:textId="77777777" w:rsidR="006A73B4" w:rsidRPr="00255002" w:rsidRDefault="006A73B4" w:rsidP="00255002">
            <w:pPr>
              <w:pStyle w:val="CDITable-RowCentre"/>
            </w:pPr>
            <w:r w:rsidRPr="00255002">
              <w:t>0.5%</w:t>
            </w:r>
          </w:p>
        </w:tc>
        <w:tc>
          <w:tcPr>
            <w:tcW w:w="851" w:type="dxa"/>
            <w:tcBorders>
              <w:top w:val="single" w:sz="6" w:space="0" w:color="1E4496" w:themeColor="text2"/>
              <w:left w:val="single" w:sz="6" w:space="0" w:color="1E4496" w:themeColor="text2"/>
              <w:bottom w:val="single" w:sz="6" w:space="0" w:color="1E4496" w:themeColor="text2"/>
            </w:tcBorders>
            <w:shd w:val="clear" w:color="auto" w:fill="DCF4FC" w:themeFill="background2" w:themeFillTint="33"/>
            <w:tcMar>
              <w:top w:w="96" w:type="dxa"/>
              <w:left w:w="57" w:type="dxa"/>
              <w:bottom w:w="96" w:type="dxa"/>
              <w:right w:w="57" w:type="dxa"/>
            </w:tcMar>
            <w:vAlign w:val="center"/>
          </w:tcPr>
          <w:p w14:paraId="72B2CB8E" w14:textId="77777777" w:rsidR="006A73B4" w:rsidRPr="00255002" w:rsidRDefault="006A73B4" w:rsidP="00255002">
            <w:pPr>
              <w:pStyle w:val="CDITable-RowCentre"/>
            </w:pPr>
            <w:r w:rsidRPr="00255002">
              <w:t>0</w:t>
            </w:r>
          </w:p>
        </w:tc>
        <w:tc>
          <w:tcPr>
            <w:tcW w:w="1190" w:type="dxa"/>
            <w:tcBorders>
              <w:top w:val="single" w:sz="6" w:space="0" w:color="1E4496" w:themeColor="text2"/>
              <w:bottom w:val="single" w:sz="6" w:space="0" w:color="1E4496" w:themeColor="text2"/>
              <w:right w:val="single" w:sz="6" w:space="0" w:color="1E4496" w:themeColor="text2"/>
            </w:tcBorders>
            <w:shd w:val="clear" w:color="auto" w:fill="DCF4FC" w:themeFill="background2" w:themeFillTint="33"/>
            <w:tcMar>
              <w:top w:w="96" w:type="dxa"/>
              <w:left w:w="57" w:type="dxa"/>
              <w:bottom w:w="96" w:type="dxa"/>
              <w:right w:w="57" w:type="dxa"/>
            </w:tcMar>
            <w:vAlign w:val="center"/>
          </w:tcPr>
          <w:p w14:paraId="50380B35" w14:textId="77777777" w:rsidR="006A73B4" w:rsidRPr="00255002" w:rsidRDefault="006A73B4" w:rsidP="00255002">
            <w:pPr>
              <w:pStyle w:val="CDITable-RowCentre"/>
            </w:pPr>
            <w:r w:rsidRPr="00255002">
              <w:t>0.0%</w:t>
            </w:r>
          </w:p>
        </w:tc>
        <w:tc>
          <w:tcPr>
            <w:tcW w:w="851" w:type="dxa"/>
            <w:tcBorders>
              <w:top w:val="single" w:sz="6" w:space="0" w:color="1E4496" w:themeColor="text2"/>
              <w:left w:val="single" w:sz="6" w:space="0" w:color="1E4496" w:themeColor="text2"/>
              <w:bottom w:val="single" w:sz="6" w:space="0" w:color="1E4496" w:themeColor="text2"/>
            </w:tcBorders>
            <w:shd w:val="clear" w:color="auto" w:fill="DCF4FC" w:themeFill="background2" w:themeFillTint="33"/>
            <w:tcMar>
              <w:top w:w="96" w:type="dxa"/>
              <w:left w:w="57" w:type="dxa"/>
              <w:bottom w:w="96" w:type="dxa"/>
              <w:right w:w="57" w:type="dxa"/>
            </w:tcMar>
            <w:vAlign w:val="center"/>
          </w:tcPr>
          <w:p w14:paraId="1112DD94" w14:textId="77777777" w:rsidR="006A73B4" w:rsidRPr="00255002" w:rsidRDefault="006A73B4" w:rsidP="00255002">
            <w:pPr>
              <w:pStyle w:val="CDITable-RowCentre"/>
            </w:pPr>
            <w:r w:rsidRPr="00255002">
              <w:t>14</w:t>
            </w:r>
          </w:p>
        </w:tc>
        <w:tc>
          <w:tcPr>
            <w:tcW w:w="1190" w:type="dxa"/>
            <w:tcBorders>
              <w:top w:val="single" w:sz="6" w:space="0" w:color="1E4496" w:themeColor="text2"/>
              <w:bottom w:val="single" w:sz="6" w:space="0" w:color="1E4496" w:themeColor="text2"/>
            </w:tcBorders>
            <w:shd w:val="clear" w:color="auto" w:fill="DCF4FC" w:themeFill="background2" w:themeFillTint="33"/>
            <w:tcMar>
              <w:top w:w="96" w:type="dxa"/>
              <w:left w:w="57" w:type="dxa"/>
              <w:bottom w:w="96" w:type="dxa"/>
              <w:right w:w="57" w:type="dxa"/>
            </w:tcMar>
            <w:vAlign w:val="center"/>
          </w:tcPr>
          <w:p w14:paraId="1BCB2AC5" w14:textId="77777777" w:rsidR="006A73B4" w:rsidRPr="00255002" w:rsidRDefault="006A73B4" w:rsidP="00255002">
            <w:pPr>
              <w:pStyle w:val="CDITable-RowCentre"/>
            </w:pPr>
            <w:r w:rsidRPr="00255002">
              <w:t>0.2%</w:t>
            </w:r>
          </w:p>
        </w:tc>
      </w:tr>
      <w:tr w:rsidR="00974926" w:rsidRPr="00255002" w14:paraId="292CAA84" w14:textId="77777777" w:rsidTr="00974926">
        <w:trPr>
          <w:trHeight w:val="20"/>
        </w:trPr>
        <w:tc>
          <w:tcPr>
            <w:tcW w:w="2098" w:type="dxa"/>
            <w:tcBorders>
              <w:top w:val="single" w:sz="6" w:space="0" w:color="1E4496" w:themeColor="text2"/>
              <w:bottom w:val="single" w:sz="6" w:space="0" w:color="1E4496" w:themeColor="text2"/>
            </w:tcBorders>
            <w:shd w:val="clear" w:color="auto" w:fill="DCF4FC" w:themeFill="background2" w:themeFillTint="33"/>
            <w:tcMar>
              <w:top w:w="96" w:type="dxa"/>
              <w:left w:w="57" w:type="dxa"/>
              <w:bottom w:w="96" w:type="dxa"/>
              <w:right w:w="57" w:type="dxa"/>
            </w:tcMar>
            <w:vAlign w:val="center"/>
          </w:tcPr>
          <w:p w14:paraId="64B762C9" w14:textId="77777777" w:rsidR="006A73B4" w:rsidRPr="00255002" w:rsidRDefault="006A73B4" w:rsidP="00255002">
            <w:pPr>
              <w:pStyle w:val="CDITable-RowLeft"/>
            </w:pPr>
            <w:r w:rsidRPr="00255002">
              <w:t xml:space="preserve">Bell's </w:t>
            </w:r>
            <w:proofErr w:type="spellStart"/>
            <w:r w:rsidRPr="00255002">
              <w:t>palsy</w:t>
            </w:r>
            <w:r w:rsidRPr="00255002">
              <w:rPr>
                <w:vertAlign w:val="superscript"/>
              </w:rPr>
              <w:t>f</w:t>
            </w:r>
            <w:proofErr w:type="spellEnd"/>
          </w:p>
        </w:tc>
        <w:tc>
          <w:tcPr>
            <w:tcW w:w="850" w:type="dxa"/>
            <w:tcBorders>
              <w:top w:val="single" w:sz="6" w:space="0" w:color="1E4496" w:themeColor="text2"/>
              <w:bottom w:val="single" w:sz="6" w:space="0" w:color="1E4496" w:themeColor="text2"/>
            </w:tcBorders>
            <w:shd w:val="clear" w:color="auto" w:fill="DCF4FC" w:themeFill="background2" w:themeFillTint="33"/>
            <w:tcMar>
              <w:top w:w="96" w:type="dxa"/>
              <w:left w:w="57" w:type="dxa"/>
              <w:bottom w:w="96" w:type="dxa"/>
              <w:right w:w="57" w:type="dxa"/>
            </w:tcMar>
            <w:vAlign w:val="center"/>
          </w:tcPr>
          <w:p w14:paraId="6A55B03A" w14:textId="77777777" w:rsidR="006A73B4" w:rsidRPr="00255002" w:rsidRDefault="006A73B4" w:rsidP="00255002">
            <w:pPr>
              <w:pStyle w:val="CDITable-RowCentre"/>
            </w:pPr>
            <w:r w:rsidRPr="00255002">
              <w:t>0</w:t>
            </w:r>
          </w:p>
        </w:tc>
        <w:tc>
          <w:tcPr>
            <w:tcW w:w="1191" w:type="dxa"/>
            <w:tcBorders>
              <w:top w:val="single" w:sz="6" w:space="0" w:color="1E4496" w:themeColor="text2"/>
              <w:bottom w:val="single" w:sz="6" w:space="0" w:color="1E4496" w:themeColor="text2"/>
              <w:right w:val="single" w:sz="6" w:space="0" w:color="1E4496" w:themeColor="text2"/>
            </w:tcBorders>
            <w:shd w:val="clear" w:color="auto" w:fill="DCF4FC" w:themeFill="background2" w:themeFillTint="33"/>
            <w:tcMar>
              <w:top w:w="96" w:type="dxa"/>
              <w:left w:w="57" w:type="dxa"/>
              <w:bottom w:w="96" w:type="dxa"/>
              <w:right w:w="57" w:type="dxa"/>
            </w:tcMar>
            <w:vAlign w:val="center"/>
          </w:tcPr>
          <w:p w14:paraId="7456A0E5" w14:textId="77777777" w:rsidR="006A73B4" w:rsidRPr="00255002" w:rsidRDefault="006A73B4" w:rsidP="00255002">
            <w:pPr>
              <w:pStyle w:val="CDITable-RowCentre"/>
            </w:pPr>
            <w:r w:rsidRPr="00255002">
              <w:t>0.0%</w:t>
            </w:r>
          </w:p>
        </w:tc>
        <w:tc>
          <w:tcPr>
            <w:tcW w:w="850" w:type="dxa"/>
            <w:tcBorders>
              <w:top w:val="single" w:sz="6" w:space="0" w:color="1E4496" w:themeColor="text2"/>
              <w:left w:val="single" w:sz="6" w:space="0" w:color="1E4496" w:themeColor="text2"/>
              <w:bottom w:val="single" w:sz="6" w:space="0" w:color="1E4496" w:themeColor="text2"/>
            </w:tcBorders>
            <w:shd w:val="clear" w:color="auto" w:fill="DCF4FC" w:themeFill="background2" w:themeFillTint="33"/>
            <w:tcMar>
              <w:top w:w="96" w:type="dxa"/>
              <w:left w:w="57" w:type="dxa"/>
              <w:bottom w:w="96" w:type="dxa"/>
              <w:right w:w="57" w:type="dxa"/>
            </w:tcMar>
            <w:vAlign w:val="center"/>
          </w:tcPr>
          <w:p w14:paraId="3A676CC0" w14:textId="77777777" w:rsidR="006A73B4" w:rsidRPr="00255002" w:rsidRDefault="006A73B4" w:rsidP="00255002">
            <w:pPr>
              <w:pStyle w:val="CDITable-RowCentre"/>
            </w:pPr>
            <w:r w:rsidRPr="00255002">
              <w:t>1</w:t>
            </w:r>
          </w:p>
        </w:tc>
        <w:tc>
          <w:tcPr>
            <w:tcW w:w="1191" w:type="dxa"/>
            <w:tcBorders>
              <w:top w:val="single" w:sz="6" w:space="0" w:color="1E4496" w:themeColor="text2"/>
              <w:bottom w:val="single" w:sz="6" w:space="0" w:color="1E4496" w:themeColor="text2"/>
              <w:right w:val="single" w:sz="6" w:space="0" w:color="1E4496" w:themeColor="text2"/>
            </w:tcBorders>
            <w:shd w:val="clear" w:color="auto" w:fill="DCF4FC" w:themeFill="background2" w:themeFillTint="33"/>
            <w:tcMar>
              <w:top w:w="96" w:type="dxa"/>
              <w:left w:w="57" w:type="dxa"/>
              <w:bottom w:w="96" w:type="dxa"/>
              <w:right w:w="57" w:type="dxa"/>
            </w:tcMar>
            <w:vAlign w:val="center"/>
          </w:tcPr>
          <w:p w14:paraId="2CC3C975" w14:textId="77777777" w:rsidR="006A73B4" w:rsidRPr="00255002" w:rsidRDefault="006A73B4" w:rsidP="00255002">
            <w:pPr>
              <w:pStyle w:val="CDITable-RowCentre"/>
            </w:pPr>
            <w:r w:rsidRPr="00255002">
              <w:t>0.0%</w:t>
            </w:r>
          </w:p>
        </w:tc>
        <w:tc>
          <w:tcPr>
            <w:tcW w:w="850" w:type="dxa"/>
            <w:tcBorders>
              <w:top w:val="single" w:sz="6" w:space="0" w:color="1E4496" w:themeColor="text2"/>
              <w:left w:val="single" w:sz="6" w:space="0" w:color="1E4496" w:themeColor="text2"/>
              <w:bottom w:val="single" w:sz="6" w:space="0" w:color="1E4496" w:themeColor="text2"/>
            </w:tcBorders>
            <w:shd w:val="clear" w:color="auto" w:fill="DCF4FC" w:themeFill="background2" w:themeFillTint="33"/>
            <w:tcMar>
              <w:top w:w="96" w:type="dxa"/>
              <w:left w:w="57" w:type="dxa"/>
              <w:bottom w:w="96" w:type="dxa"/>
              <w:right w:w="57" w:type="dxa"/>
            </w:tcMar>
            <w:vAlign w:val="center"/>
          </w:tcPr>
          <w:p w14:paraId="6E1460D2" w14:textId="77777777" w:rsidR="006A73B4" w:rsidRPr="00255002" w:rsidRDefault="006A73B4" w:rsidP="00255002">
            <w:pPr>
              <w:pStyle w:val="CDITable-RowCentre"/>
            </w:pPr>
            <w:r w:rsidRPr="00255002">
              <w:t>0</w:t>
            </w:r>
          </w:p>
        </w:tc>
        <w:tc>
          <w:tcPr>
            <w:tcW w:w="1190" w:type="dxa"/>
            <w:tcBorders>
              <w:top w:val="single" w:sz="6" w:space="0" w:color="1E4496" w:themeColor="text2"/>
              <w:bottom w:val="single" w:sz="6" w:space="0" w:color="1E4496" w:themeColor="text2"/>
              <w:right w:val="single" w:sz="6" w:space="0" w:color="1E4496" w:themeColor="text2"/>
            </w:tcBorders>
            <w:shd w:val="clear" w:color="auto" w:fill="DCF4FC" w:themeFill="background2" w:themeFillTint="33"/>
            <w:tcMar>
              <w:top w:w="96" w:type="dxa"/>
              <w:left w:w="57" w:type="dxa"/>
              <w:bottom w:w="96" w:type="dxa"/>
              <w:right w:w="57" w:type="dxa"/>
            </w:tcMar>
            <w:vAlign w:val="center"/>
          </w:tcPr>
          <w:p w14:paraId="1ED357E5" w14:textId="77777777" w:rsidR="006A73B4" w:rsidRPr="00255002" w:rsidRDefault="006A73B4" w:rsidP="00255002">
            <w:pPr>
              <w:pStyle w:val="CDITable-RowCentre"/>
            </w:pPr>
            <w:r w:rsidRPr="00255002">
              <w:t>0.0%</w:t>
            </w:r>
          </w:p>
        </w:tc>
        <w:tc>
          <w:tcPr>
            <w:tcW w:w="851" w:type="dxa"/>
            <w:tcBorders>
              <w:top w:val="single" w:sz="6" w:space="0" w:color="1E4496" w:themeColor="text2"/>
              <w:left w:val="single" w:sz="6" w:space="0" w:color="1E4496" w:themeColor="text2"/>
              <w:bottom w:val="single" w:sz="6" w:space="0" w:color="1E4496" w:themeColor="text2"/>
            </w:tcBorders>
            <w:shd w:val="clear" w:color="auto" w:fill="DCF4FC" w:themeFill="background2" w:themeFillTint="33"/>
            <w:tcMar>
              <w:top w:w="96" w:type="dxa"/>
              <w:left w:w="57" w:type="dxa"/>
              <w:bottom w:w="96" w:type="dxa"/>
              <w:right w:w="57" w:type="dxa"/>
            </w:tcMar>
            <w:vAlign w:val="center"/>
          </w:tcPr>
          <w:p w14:paraId="2CDFAC8E" w14:textId="77777777" w:rsidR="006A73B4" w:rsidRPr="00255002" w:rsidRDefault="006A73B4" w:rsidP="00255002">
            <w:pPr>
              <w:pStyle w:val="CDITable-RowCentre"/>
            </w:pPr>
            <w:r w:rsidRPr="00255002">
              <w:t>4</w:t>
            </w:r>
          </w:p>
        </w:tc>
        <w:tc>
          <w:tcPr>
            <w:tcW w:w="1190" w:type="dxa"/>
            <w:tcBorders>
              <w:top w:val="single" w:sz="6" w:space="0" w:color="1E4496" w:themeColor="text2"/>
              <w:bottom w:val="single" w:sz="6" w:space="0" w:color="1E4496" w:themeColor="text2"/>
              <w:right w:val="single" w:sz="6" w:space="0" w:color="1E4496" w:themeColor="text2"/>
            </w:tcBorders>
            <w:shd w:val="clear" w:color="auto" w:fill="DCF4FC" w:themeFill="background2" w:themeFillTint="33"/>
            <w:tcMar>
              <w:top w:w="96" w:type="dxa"/>
              <w:left w:w="57" w:type="dxa"/>
              <w:bottom w:w="96" w:type="dxa"/>
              <w:right w:w="57" w:type="dxa"/>
            </w:tcMar>
            <w:vAlign w:val="center"/>
          </w:tcPr>
          <w:p w14:paraId="1BEB9E8D" w14:textId="77777777" w:rsidR="006A73B4" w:rsidRPr="00255002" w:rsidRDefault="006A73B4" w:rsidP="00255002">
            <w:pPr>
              <w:pStyle w:val="CDITable-RowCentre"/>
            </w:pPr>
            <w:r w:rsidRPr="00255002">
              <w:t>0.4%</w:t>
            </w:r>
          </w:p>
        </w:tc>
        <w:tc>
          <w:tcPr>
            <w:tcW w:w="851" w:type="dxa"/>
            <w:tcBorders>
              <w:top w:val="single" w:sz="6" w:space="0" w:color="1E4496" w:themeColor="text2"/>
              <w:left w:val="single" w:sz="6" w:space="0" w:color="1E4496" w:themeColor="text2"/>
              <w:bottom w:val="single" w:sz="6" w:space="0" w:color="1E4496" w:themeColor="text2"/>
            </w:tcBorders>
            <w:shd w:val="clear" w:color="auto" w:fill="DCF4FC" w:themeFill="background2" w:themeFillTint="33"/>
            <w:tcMar>
              <w:top w:w="96" w:type="dxa"/>
              <w:left w:w="57" w:type="dxa"/>
              <w:bottom w:w="96" w:type="dxa"/>
              <w:right w:w="57" w:type="dxa"/>
            </w:tcMar>
            <w:vAlign w:val="center"/>
          </w:tcPr>
          <w:p w14:paraId="392E4E55" w14:textId="77777777" w:rsidR="006A73B4" w:rsidRPr="00255002" w:rsidRDefault="006A73B4" w:rsidP="00255002">
            <w:pPr>
              <w:pStyle w:val="CDITable-RowCentre"/>
            </w:pPr>
            <w:r w:rsidRPr="00255002">
              <w:t>0</w:t>
            </w:r>
          </w:p>
        </w:tc>
        <w:tc>
          <w:tcPr>
            <w:tcW w:w="1190" w:type="dxa"/>
            <w:tcBorders>
              <w:top w:val="single" w:sz="6" w:space="0" w:color="1E4496" w:themeColor="text2"/>
              <w:bottom w:val="single" w:sz="6" w:space="0" w:color="1E4496" w:themeColor="text2"/>
              <w:right w:val="single" w:sz="6" w:space="0" w:color="1E4496" w:themeColor="text2"/>
            </w:tcBorders>
            <w:shd w:val="clear" w:color="auto" w:fill="DCF4FC" w:themeFill="background2" w:themeFillTint="33"/>
            <w:tcMar>
              <w:top w:w="96" w:type="dxa"/>
              <w:left w:w="57" w:type="dxa"/>
              <w:bottom w:w="96" w:type="dxa"/>
              <w:right w:w="57" w:type="dxa"/>
            </w:tcMar>
            <w:vAlign w:val="center"/>
          </w:tcPr>
          <w:p w14:paraId="407FD4D1" w14:textId="77777777" w:rsidR="006A73B4" w:rsidRPr="00255002" w:rsidRDefault="006A73B4" w:rsidP="00255002">
            <w:pPr>
              <w:pStyle w:val="CDITable-RowCentre"/>
            </w:pPr>
            <w:r w:rsidRPr="00255002">
              <w:t>0.0%</w:t>
            </w:r>
          </w:p>
        </w:tc>
        <w:tc>
          <w:tcPr>
            <w:tcW w:w="851" w:type="dxa"/>
            <w:tcBorders>
              <w:top w:val="single" w:sz="6" w:space="0" w:color="1E4496" w:themeColor="text2"/>
              <w:left w:val="single" w:sz="6" w:space="0" w:color="1E4496" w:themeColor="text2"/>
              <w:bottom w:val="single" w:sz="6" w:space="0" w:color="1E4496" w:themeColor="text2"/>
            </w:tcBorders>
            <w:shd w:val="clear" w:color="auto" w:fill="DCF4FC" w:themeFill="background2" w:themeFillTint="33"/>
            <w:tcMar>
              <w:top w:w="96" w:type="dxa"/>
              <w:left w:w="57" w:type="dxa"/>
              <w:bottom w:w="96" w:type="dxa"/>
              <w:right w:w="57" w:type="dxa"/>
            </w:tcMar>
            <w:vAlign w:val="center"/>
          </w:tcPr>
          <w:p w14:paraId="031429C6" w14:textId="77777777" w:rsidR="006A73B4" w:rsidRPr="00255002" w:rsidRDefault="006A73B4" w:rsidP="00255002">
            <w:pPr>
              <w:pStyle w:val="CDITable-RowCentre"/>
            </w:pPr>
            <w:r w:rsidRPr="00255002">
              <w:t>5</w:t>
            </w:r>
          </w:p>
        </w:tc>
        <w:tc>
          <w:tcPr>
            <w:tcW w:w="1190" w:type="dxa"/>
            <w:tcBorders>
              <w:top w:val="single" w:sz="6" w:space="0" w:color="1E4496" w:themeColor="text2"/>
              <w:bottom w:val="single" w:sz="6" w:space="0" w:color="1E4496" w:themeColor="text2"/>
            </w:tcBorders>
            <w:shd w:val="clear" w:color="auto" w:fill="DCF4FC" w:themeFill="background2" w:themeFillTint="33"/>
            <w:tcMar>
              <w:top w:w="96" w:type="dxa"/>
              <w:left w:w="57" w:type="dxa"/>
              <w:bottom w:w="96" w:type="dxa"/>
              <w:right w:w="57" w:type="dxa"/>
            </w:tcMar>
            <w:vAlign w:val="center"/>
          </w:tcPr>
          <w:p w14:paraId="37934E39" w14:textId="77777777" w:rsidR="006A73B4" w:rsidRPr="00255002" w:rsidRDefault="006A73B4" w:rsidP="00255002">
            <w:pPr>
              <w:pStyle w:val="CDITable-RowCentre"/>
            </w:pPr>
            <w:r w:rsidRPr="00255002">
              <w:t>0.1%</w:t>
            </w:r>
          </w:p>
        </w:tc>
      </w:tr>
      <w:tr w:rsidR="00974926" w:rsidRPr="00255002" w14:paraId="711EAAF8" w14:textId="77777777" w:rsidTr="00974926">
        <w:trPr>
          <w:trHeight w:val="20"/>
        </w:trPr>
        <w:tc>
          <w:tcPr>
            <w:tcW w:w="2098" w:type="dxa"/>
            <w:tcBorders>
              <w:top w:val="single" w:sz="6" w:space="0" w:color="1E4496" w:themeColor="text2"/>
              <w:bottom w:val="single" w:sz="6" w:space="0" w:color="1E4496" w:themeColor="text2"/>
            </w:tcBorders>
            <w:shd w:val="clear" w:color="auto" w:fill="DCF4FC" w:themeFill="background2" w:themeFillTint="33"/>
            <w:tcMar>
              <w:top w:w="96" w:type="dxa"/>
              <w:left w:w="57" w:type="dxa"/>
              <w:bottom w:w="96" w:type="dxa"/>
              <w:right w:w="57" w:type="dxa"/>
            </w:tcMar>
            <w:vAlign w:val="center"/>
          </w:tcPr>
          <w:p w14:paraId="31965136" w14:textId="77777777" w:rsidR="006A73B4" w:rsidRPr="00255002" w:rsidRDefault="006A73B4" w:rsidP="00255002">
            <w:pPr>
              <w:pStyle w:val="CDITable-RowLeft"/>
            </w:pPr>
            <w:r w:rsidRPr="00255002">
              <w:t xml:space="preserve">Status </w:t>
            </w:r>
            <w:proofErr w:type="spellStart"/>
            <w:r w:rsidRPr="00255002">
              <w:t>epilepticus</w:t>
            </w:r>
            <w:r w:rsidRPr="00255002">
              <w:rPr>
                <w:vertAlign w:val="superscript"/>
              </w:rPr>
              <w:t>f</w:t>
            </w:r>
            <w:proofErr w:type="spellEnd"/>
          </w:p>
        </w:tc>
        <w:tc>
          <w:tcPr>
            <w:tcW w:w="850" w:type="dxa"/>
            <w:tcBorders>
              <w:top w:val="single" w:sz="6" w:space="0" w:color="1E4496" w:themeColor="text2"/>
              <w:bottom w:val="single" w:sz="6" w:space="0" w:color="1E4496" w:themeColor="text2"/>
            </w:tcBorders>
            <w:shd w:val="clear" w:color="auto" w:fill="DCF4FC" w:themeFill="background2" w:themeFillTint="33"/>
            <w:tcMar>
              <w:top w:w="96" w:type="dxa"/>
              <w:left w:w="57" w:type="dxa"/>
              <w:bottom w:w="96" w:type="dxa"/>
              <w:right w:w="57" w:type="dxa"/>
            </w:tcMar>
            <w:vAlign w:val="center"/>
          </w:tcPr>
          <w:p w14:paraId="6EB6547D" w14:textId="77777777" w:rsidR="006A73B4" w:rsidRPr="00255002" w:rsidRDefault="006A73B4" w:rsidP="00255002">
            <w:pPr>
              <w:pStyle w:val="CDITable-RowCentre"/>
            </w:pPr>
            <w:r w:rsidRPr="00255002">
              <w:t>1</w:t>
            </w:r>
          </w:p>
        </w:tc>
        <w:tc>
          <w:tcPr>
            <w:tcW w:w="1191" w:type="dxa"/>
            <w:tcBorders>
              <w:top w:val="single" w:sz="6" w:space="0" w:color="1E4496" w:themeColor="text2"/>
              <w:bottom w:val="single" w:sz="6" w:space="0" w:color="1E4496" w:themeColor="text2"/>
              <w:right w:val="single" w:sz="6" w:space="0" w:color="1E4496" w:themeColor="text2"/>
            </w:tcBorders>
            <w:shd w:val="clear" w:color="auto" w:fill="DCF4FC" w:themeFill="background2" w:themeFillTint="33"/>
            <w:tcMar>
              <w:top w:w="96" w:type="dxa"/>
              <w:left w:w="57" w:type="dxa"/>
              <w:bottom w:w="96" w:type="dxa"/>
              <w:right w:w="57" w:type="dxa"/>
            </w:tcMar>
            <w:vAlign w:val="center"/>
          </w:tcPr>
          <w:p w14:paraId="63D43160" w14:textId="77777777" w:rsidR="006A73B4" w:rsidRPr="00255002" w:rsidRDefault="006A73B4" w:rsidP="00255002">
            <w:pPr>
              <w:pStyle w:val="CDITable-RowCentre"/>
            </w:pPr>
            <w:r w:rsidRPr="00255002">
              <w:t>0.1%</w:t>
            </w:r>
          </w:p>
        </w:tc>
        <w:tc>
          <w:tcPr>
            <w:tcW w:w="850" w:type="dxa"/>
            <w:tcBorders>
              <w:top w:val="single" w:sz="6" w:space="0" w:color="1E4496" w:themeColor="text2"/>
              <w:left w:val="single" w:sz="6" w:space="0" w:color="1E4496" w:themeColor="text2"/>
              <w:bottom w:val="single" w:sz="6" w:space="0" w:color="1E4496" w:themeColor="text2"/>
            </w:tcBorders>
            <w:shd w:val="clear" w:color="auto" w:fill="DCF4FC" w:themeFill="background2" w:themeFillTint="33"/>
            <w:tcMar>
              <w:top w:w="96" w:type="dxa"/>
              <w:left w:w="57" w:type="dxa"/>
              <w:bottom w:w="96" w:type="dxa"/>
              <w:right w:w="57" w:type="dxa"/>
            </w:tcMar>
            <w:vAlign w:val="center"/>
          </w:tcPr>
          <w:p w14:paraId="5E77145A" w14:textId="77777777" w:rsidR="006A73B4" w:rsidRPr="00255002" w:rsidRDefault="006A73B4" w:rsidP="00255002">
            <w:pPr>
              <w:pStyle w:val="CDITable-RowCentre"/>
            </w:pPr>
            <w:r w:rsidRPr="00255002">
              <w:t>4</w:t>
            </w:r>
          </w:p>
        </w:tc>
        <w:tc>
          <w:tcPr>
            <w:tcW w:w="1191" w:type="dxa"/>
            <w:tcBorders>
              <w:top w:val="single" w:sz="6" w:space="0" w:color="1E4496" w:themeColor="text2"/>
              <w:bottom w:val="single" w:sz="6" w:space="0" w:color="1E4496" w:themeColor="text2"/>
              <w:right w:val="single" w:sz="6" w:space="0" w:color="1E4496" w:themeColor="text2"/>
            </w:tcBorders>
            <w:shd w:val="clear" w:color="auto" w:fill="DCF4FC" w:themeFill="background2" w:themeFillTint="33"/>
            <w:tcMar>
              <w:top w:w="96" w:type="dxa"/>
              <w:left w:w="57" w:type="dxa"/>
              <w:bottom w:w="96" w:type="dxa"/>
              <w:right w:w="57" w:type="dxa"/>
            </w:tcMar>
            <w:vAlign w:val="center"/>
          </w:tcPr>
          <w:p w14:paraId="1954B0CA" w14:textId="77777777" w:rsidR="006A73B4" w:rsidRPr="00255002" w:rsidRDefault="006A73B4" w:rsidP="00255002">
            <w:pPr>
              <w:pStyle w:val="CDITable-RowCentre"/>
            </w:pPr>
            <w:r w:rsidRPr="00255002">
              <w:t>0.2%</w:t>
            </w:r>
          </w:p>
        </w:tc>
        <w:tc>
          <w:tcPr>
            <w:tcW w:w="850" w:type="dxa"/>
            <w:tcBorders>
              <w:top w:val="single" w:sz="6" w:space="0" w:color="1E4496" w:themeColor="text2"/>
              <w:left w:val="single" w:sz="6" w:space="0" w:color="1E4496" w:themeColor="text2"/>
              <w:bottom w:val="single" w:sz="6" w:space="0" w:color="1E4496" w:themeColor="text2"/>
            </w:tcBorders>
            <w:shd w:val="clear" w:color="auto" w:fill="DCF4FC" w:themeFill="background2" w:themeFillTint="33"/>
            <w:tcMar>
              <w:top w:w="96" w:type="dxa"/>
              <w:left w:w="57" w:type="dxa"/>
              <w:bottom w:w="96" w:type="dxa"/>
              <w:right w:w="57" w:type="dxa"/>
            </w:tcMar>
            <w:vAlign w:val="center"/>
          </w:tcPr>
          <w:p w14:paraId="610F0508" w14:textId="77777777" w:rsidR="006A73B4" w:rsidRPr="00255002" w:rsidRDefault="006A73B4" w:rsidP="00255002">
            <w:pPr>
              <w:pStyle w:val="CDITable-RowCentre"/>
            </w:pPr>
            <w:r w:rsidRPr="00255002">
              <w:t>0</w:t>
            </w:r>
          </w:p>
        </w:tc>
        <w:tc>
          <w:tcPr>
            <w:tcW w:w="1190" w:type="dxa"/>
            <w:tcBorders>
              <w:top w:val="single" w:sz="6" w:space="0" w:color="1E4496" w:themeColor="text2"/>
              <w:bottom w:val="single" w:sz="6" w:space="0" w:color="1E4496" w:themeColor="text2"/>
              <w:right w:val="single" w:sz="6" w:space="0" w:color="1E4496" w:themeColor="text2"/>
            </w:tcBorders>
            <w:shd w:val="clear" w:color="auto" w:fill="DCF4FC" w:themeFill="background2" w:themeFillTint="33"/>
            <w:tcMar>
              <w:top w:w="96" w:type="dxa"/>
              <w:left w:w="57" w:type="dxa"/>
              <w:bottom w:w="96" w:type="dxa"/>
              <w:right w:w="57" w:type="dxa"/>
            </w:tcMar>
            <w:vAlign w:val="center"/>
          </w:tcPr>
          <w:p w14:paraId="1840E0F8" w14:textId="77777777" w:rsidR="006A73B4" w:rsidRPr="00255002" w:rsidRDefault="006A73B4" w:rsidP="00255002">
            <w:pPr>
              <w:pStyle w:val="CDITable-RowCentre"/>
            </w:pPr>
            <w:r w:rsidRPr="00255002">
              <w:t>0.0%</w:t>
            </w:r>
          </w:p>
        </w:tc>
        <w:tc>
          <w:tcPr>
            <w:tcW w:w="851" w:type="dxa"/>
            <w:tcBorders>
              <w:top w:val="single" w:sz="6" w:space="0" w:color="1E4496" w:themeColor="text2"/>
              <w:left w:val="single" w:sz="6" w:space="0" w:color="1E4496" w:themeColor="text2"/>
              <w:bottom w:val="single" w:sz="6" w:space="0" w:color="1E4496" w:themeColor="text2"/>
            </w:tcBorders>
            <w:shd w:val="clear" w:color="auto" w:fill="DCF4FC" w:themeFill="background2" w:themeFillTint="33"/>
            <w:tcMar>
              <w:top w:w="96" w:type="dxa"/>
              <w:left w:w="57" w:type="dxa"/>
              <w:bottom w:w="96" w:type="dxa"/>
              <w:right w:w="57" w:type="dxa"/>
            </w:tcMar>
            <w:vAlign w:val="center"/>
          </w:tcPr>
          <w:p w14:paraId="0C035480" w14:textId="77777777" w:rsidR="006A73B4" w:rsidRPr="00255002" w:rsidRDefault="006A73B4" w:rsidP="00255002">
            <w:pPr>
              <w:pStyle w:val="CDITable-RowCentre"/>
            </w:pPr>
            <w:r w:rsidRPr="00255002">
              <w:t>0</w:t>
            </w:r>
          </w:p>
        </w:tc>
        <w:tc>
          <w:tcPr>
            <w:tcW w:w="1190" w:type="dxa"/>
            <w:tcBorders>
              <w:top w:val="single" w:sz="6" w:space="0" w:color="1E4496" w:themeColor="text2"/>
              <w:bottom w:val="single" w:sz="6" w:space="0" w:color="1E4496" w:themeColor="text2"/>
              <w:right w:val="single" w:sz="6" w:space="0" w:color="1E4496" w:themeColor="text2"/>
            </w:tcBorders>
            <w:shd w:val="clear" w:color="auto" w:fill="DCF4FC" w:themeFill="background2" w:themeFillTint="33"/>
            <w:tcMar>
              <w:top w:w="96" w:type="dxa"/>
              <w:left w:w="57" w:type="dxa"/>
              <w:bottom w:w="96" w:type="dxa"/>
              <w:right w:w="57" w:type="dxa"/>
            </w:tcMar>
            <w:vAlign w:val="center"/>
          </w:tcPr>
          <w:p w14:paraId="76CD7422" w14:textId="77777777" w:rsidR="006A73B4" w:rsidRPr="00255002" w:rsidRDefault="006A73B4" w:rsidP="00255002">
            <w:pPr>
              <w:pStyle w:val="CDITable-RowCentre"/>
            </w:pPr>
            <w:r w:rsidRPr="00255002">
              <w:t>0.0%</w:t>
            </w:r>
          </w:p>
        </w:tc>
        <w:tc>
          <w:tcPr>
            <w:tcW w:w="851" w:type="dxa"/>
            <w:tcBorders>
              <w:top w:val="single" w:sz="6" w:space="0" w:color="1E4496" w:themeColor="text2"/>
              <w:left w:val="single" w:sz="6" w:space="0" w:color="1E4496" w:themeColor="text2"/>
              <w:bottom w:val="single" w:sz="6" w:space="0" w:color="1E4496" w:themeColor="text2"/>
            </w:tcBorders>
            <w:shd w:val="clear" w:color="auto" w:fill="DCF4FC" w:themeFill="background2" w:themeFillTint="33"/>
            <w:tcMar>
              <w:top w:w="96" w:type="dxa"/>
              <w:left w:w="57" w:type="dxa"/>
              <w:bottom w:w="96" w:type="dxa"/>
              <w:right w:w="57" w:type="dxa"/>
            </w:tcMar>
            <w:vAlign w:val="center"/>
          </w:tcPr>
          <w:p w14:paraId="42ED410D" w14:textId="77777777" w:rsidR="006A73B4" w:rsidRPr="00255002" w:rsidRDefault="006A73B4" w:rsidP="00255002">
            <w:pPr>
              <w:pStyle w:val="CDITable-RowCentre"/>
            </w:pPr>
            <w:r w:rsidRPr="00255002">
              <w:t>0</w:t>
            </w:r>
          </w:p>
        </w:tc>
        <w:tc>
          <w:tcPr>
            <w:tcW w:w="1190" w:type="dxa"/>
            <w:tcBorders>
              <w:top w:val="single" w:sz="6" w:space="0" w:color="1E4496" w:themeColor="text2"/>
              <w:bottom w:val="single" w:sz="6" w:space="0" w:color="1E4496" w:themeColor="text2"/>
              <w:right w:val="single" w:sz="6" w:space="0" w:color="1E4496" w:themeColor="text2"/>
            </w:tcBorders>
            <w:shd w:val="clear" w:color="auto" w:fill="DCF4FC" w:themeFill="background2" w:themeFillTint="33"/>
            <w:tcMar>
              <w:top w:w="96" w:type="dxa"/>
              <w:left w:w="57" w:type="dxa"/>
              <w:bottom w:w="96" w:type="dxa"/>
              <w:right w:w="57" w:type="dxa"/>
            </w:tcMar>
            <w:vAlign w:val="center"/>
          </w:tcPr>
          <w:p w14:paraId="22E55D93" w14:textId="77777777" w:rsidR="006A73B4" w:rsidRPr="00255002" w:rsidRDefault="006A73B4" w:rsidP="00255002">
            <w:pPr>
              <w:pStyle w:val="CDITable-RowCentre"/>
            </w:pPr>
            <w:r w:rsidRPr="00255002">
              <w:t>0.0%</w:t>
            </w:r>
          </w:p>
        </w:tc>
        <w:tc>
          <w:tcPr>
            <w:tcW w:w="851" w:type="dxa"/>
            <w:tcBorders>
              <w:top w:val="single" w:sz="6" w:space="0" w:color="1E4496" w:themeColor="text2"/>
              <w:left w:val="single" w:sz="6" w:space="0" w:color="1E4496" w:themeColor="text2"/>
              <w:bottom w:val="single" w:sz="6" w:space="0" w:color="1E4496" w:themeColor="text2"/>
            </w:tcBorders>
            <w:shd w:val="clear" w:color="auto" w:fill="DCF4FC" w:themeFill="background2" w:themeFillTint="33"/>
            <w:tcMar>
              <w:top w:w="96" w:type="dxa"/>
              <w:left w:w="57" w:type="dxa"/>
              <w:bottom w:w="96" w:type="dxa"/>
              <w:right w:w="57" w:type="dxa"/>
            </w:tcMar>
            <w:vAlign w:val="center"/>
          </w:tcPr>
          <w:p w14:paraId="54439FAD" w14:textId="77777777" w:rsidR="006A73B4" w:rsidRPr="00255002" w:rsidRDefault="006A73B4" w:rsidP="00255002">
            <w:pPr>
              <w:pStyle w:val="CDITable-RowCentre"/>
            </w:pPr>
            <w:r w:rsidRPr="00255002">
              <w:t>5</w:t>
            </w:r>
          </w:p>
        </w:tc>
        <w:tc>
          <w:tcPr>
            <w:tcW w:w="1190" w:type="dxa"/>
            <w:tcBorders>
              <w:top w:val="single" w:sz="6" w:space="0" w:color="1E4496" w:themeColor="text2"/>
              <w:bottom w:val="single" w:sz="6" w:space="0" w:color="1E4496" w:themeColor="text2"/>
            </w:tcBorders>
            <w:shd w:val="clear" w:color="auto" w:fill="DCF4FC" w:themeFill="background2" w:themeFillTint="33"/>
            <w:tcMar>
              <w:top w:w="96" w:type="dxa"/>
              <w:left w:w="57" w:type="dxa"/>
              <w:bottom w:w="96" w:type="dxa"/>
              <w:right w:w="57" w:type="dxa"/>
            </w:tcMar>
            <w:vAlign w:val="center"/>
          </w:tcPr>
          <w:p w14:paraId="4151906E" w14:textId="77777777" w:rsidR="006A73B4" w:rsidRPr="00255002" w:rsidRDefault="006A73B4" w:rsidP="00255002">
            <w:pPr>
              <w:pStyle w:val="CDITable-RowCentre"/>
            </w:pPr>
            <w:r w:rsidRPr="00255002">
              <w:t>0.1%</w:t>
            </w:r>
          </w:p>
        </w:tc>
      </w:tr>
      <w:tr w:rsidR="00974926" w:rsidRPr="00255002" w14:paraId="092C6B9B" w14:textId="77777777" w:rsidTr="00974926">
        <w:trPr>
          <w:trHeight w:val="20"/>
        </w:trPr>
        <w:tc>
          <w:tcPr>
            <w:tcW w:w="2098" w:type="dxa"/>
            <w:tcBorders>
              <w:top w:val="single" w:sz="6" w:space="0" w:color="1E4496" w:themeColor="text2"/>
              <w:bottom w:val="single" w:sz="6" w:space="0" w:color="1E4496" w:themeColor="text2"/>
            </w:tcBorders>
            <w:shd w:val="clear" w:color="auto" w:fill="DCF4FC" w:themeFill="background2" w:themeFillTint="33"/>
            <w:tcMar>
              <w:top w:w="96" w:type="dxa"/>
              <w:left w:w="57" w:type="dxa"/>
              <w:bottom w:w="96" w:type="dxa"/>
              <w:right w:w="57" w:type="dxa"/>
            </w:tcMar>
            <w:vAlign w:val="center"/>
          </w:tcPr>
          <w:p w14:paraId="4091D239" w14:textId="77777777" w:rsidR="006A73B4" w:rsidRPr="00255002" w:rsidRDefault="006A73B4" w:rsidP="00255002">
            <w:pPr>
              <w:pStyle w:val="CDITable-RowLeft"/>
            </w:pPr>
            <w:r w:rsidRPr="00255002">
              <w:t>Guillain-Barré syndrome (GBS)</w:t>
            </w:r>
            <w:r w:rsidRPr="00255002">
              <w:rPr>
                <w:vertAlign w:val="superscript"/>
              </w:rPr>
              <w:t>f</w:t>
            </w:r>
          </w:p>
        </w:tc>
        <w:tc>
          <w:tcPr>
            <w:tcW w:w="850" w:type="dxa"/>
            <w:tcBorders>
              <w:top w:val="single" w:sz="6" w:space="0" w:color="1E4496" w:themeColor="text2"/>
              <w:bottom w:val="single" w:sz="6" w:space="0" w:color="1E4496" w:themeColor="text2"/>
            </w:tcBorders>
            <w:shd w:val="clear" w:color="auto" w:fill="DCF4FC" w:themeFill="background2" w:themeFillTint="33"/>
            <w:tcMar>
              <w:top w:w="96" w:type="dxa"/>
              <w:left w:w="57" w:type="dxa"/>
              <w:bottom w:w="96" w:type="dxa"/>
              <w:right w:w="57" w:type="dxa"/>
            </w:tcMar>
            <w:vAlign w:val="center"/>
          </w:tcPr>
          <w:p w14:paraId="353A9E5D" w14:textId="77777777" w:rsidR="006A73B4" w:rsidRPr="00255002" w:rsidRDefault="006A73B4" w:rsidP="00255002">
            <w:pPr>
              <w:pStyle w:val="CDITable-RowCentre"/>
            </w:pPr>
            <w:r w:rsidRPr="00255002">
              <w:t>0</w:t>
            </w:r>
          </w:p>
        </w:tc>
        <w:tc>
          <w:tcPr>
            <w:tcW w:w="1191" w:type="dxa"/>
            <w:tcBorders>
              <w:top w:val="single" w:sz="6" w:space="0" w:color="1E4496" w:themeColor="text2"/>
              <w:bottom w:val="single" w:sz="6" w:space="0" w:color="1E4496" w:themeColor="text2"/>
              <w:right w:val="single" w:sz="6" w:space="0" w:color="1E4496" w:themeColor="text2"/>
            </w:tcBorders>
            <w:shd w:val="clear" w:color="auto" w:fill="DCF4FC" w:themeFill="background2" w:themeFillTint="33"/>
            <w:tcMar>
              <w:top w:w="96" w:type="dxa"/>
              <w:left w:w="57" w:type="dxa"/>
              <w:bottom w:w="96" w:type="dxa"/>
              <w:right w:w="57" w:type="dxa"/>
            </w:tcMar>
            <w:vAlign w:val="center"/>
          </w:tcPr>
          <w:p w14:paraId="24DA1E78" w14:textId="77777777" w:rsidR="006A73B4" w:rsidRPr="00255002" w:rsidRDefault="006A73B4" w:rsidP="00255002">
            <w:pPr>
              <w:pStyle w:val="CDITable-RowCentre"/>
            </w:pPr>
            <w:r w:rsidRPr="00255002">
              <w:t>0.0%</w:t>
            </w:r>
          </w:p>
        </w:tc>
        <w:tc>
          <w:tcPr>
            <w:tcW w:w="850" w:type="dxa"/>
            <w:tcBorders>
              <w:top w:val="single" w:sz="6" w:space="0" w:color="1E4496" w:themeColor="text2"/>
              <w:left w:val="single" w:sz="6" w:space="0" w:color="1E4496" w:themeColor="text2"/>
              <w:bottom w:val="single" w:sz="6" w:space="0" w:color="1E4496" w:themeColor="text2"/>
            </w:tcBorders>
            <w:shd w:val="clear" w:color="auto" w:fill="DCF4FC" w:themeFill="background2" w:themeFillTint="33"/>
            <w:tcMar>
              <w:top w:w="96" w:type="dxa"/>
              <w:left w:w="57" w:type="dxa"/>
              <w:bottom w:w="96" w:type="dxa"/>
              <w:right w:w="57" w:type="dxa"/>
            </w:tcMar>
            <w:vAlign w:val="center"/>
          </w:tcPr>
          <w:p w14:paraId="5ECF9C69" w14:textId="77777777" w:rsidR="006A73B4" w:rsidRPr="00255002" w:rsidRDefault="006A73B4" w:rsidP="00255002">
            <w:pPr>
              <w:pStyle w:val="CDITable-RowCentre"/>
            </w:pPr>
            <w:r w:rsidRPr="00255002">
              <w:t>2</w:t>
            </w:r>
          </w:p>
        </w:tc>
        <w:tc>
          <w:tcPr>
            <w:tcW w:w="1191" w:type="dxa"/>
            <w:tcBorders>
              <w:top w:val="single" w:sz="6" w:space="0" w:color="1E4496" w:themeColor="text2"/>
              <w:bottom w:val="single" w:sz="6" w:space="0" w:color="1E4496" w:themeColor="text2"/>
              <w:right w:val="single" w:sz="6" w:space="0" w:color="1E4496" w:themeColor="text2"/>
            </w:tcBorders>
            <w:shd w:val="clear" w:color="auto" w:fill="DCF4FC" w:themeFill="background2" w:themeFillTint="33"/>
            <w:tcMar>
              <w:top w:w="96" w:type="dxa"/>
              <w:left w:w="57" w:type="dxa"/>
              <w:bottom w:w="96" w:type="dxa"/>
              <w:right w:w="57" w:type="dxa"/>
            </w:tcMar>
            <w:vAlign w:val="center"/>
          </w:tcPr>
          <w:p w14:paraId="5DB05889" w14:textId="77777777" w:rsidR="006A73B4" w:rsidRPr="00255002" w:rsidRDefault="006A73B4" w:rsidP="00255002">
            <w:pPr>
              <w:pStyle w:val="CDITable-RowCentre"/>
            </w:pPr>
            <w:r w:rsidRPr="00255002">
              <w:t>0.1%</w:t>
            </w:r>
          </w:p>
        </w:tc>
        <w:tc>
          <w:tcPr>
            <w:tcW w:w="850" w:type="dxa"/>
            <w:tcBorders>
              <w:top w:val="single" w:sz="6" w:space="0" w:color="1E4496" w:themeColor="text2"/>
              <w:left w:val="single" w:sz="6" w:space="0" w:color="1E4496" w:themeColor="text2"/>
              <w:bottom w:val="single" w:sz="6" w:space="0" w:color="1E4496" w:themeColor="text2"/>
            </w:tcBorders>
            <w:shd w:val="clear" w:color="auto" w:fill="DCF4FC" w:themeFill="background2" w:themeFillTint="33"/>
            <w:tcMar>
              <w:top w:w="96" w:type="dxa"/>
              <w:left w:w="57" w:type="dxa"/>
              <w:bottom w:w="96" w:type="dxa"/>
              <w:right w:w="57" w:type="dxa"/>
            </w:tcMar>
            <w:vAlign w:val="center"/>
          </w:tcPr>
          <w:p w14:paraId="51416B4A" w14:textId="77777777" w:rsidR="006A73B4" w:rsidRPr="00255002" w:rsidRDefault="006A73B4" w:rsidP="00255002">
            <w:pPr>
              <w:pStyle w:val="CDITable-RowCentre"/>
            </w:pPr>
            <w:r w:rsidRPr="00255002">
              <w:t>0</w:t>
            </w:r>
          </w:p>
        </w:tc>
        <w:tc>
          <w:tcPr>
            <w:tcW w:w="1190" w:type="dxa"/>
            <w:tcBorders>
              <w:top w:val="single" w:sz="6" w:space="0" w:color="1E4496" w:themeColor="text2"/>
              <w:bottom w:val="single" w:sz="6" w:space="0" w:color="1E4496" w:themeColor="text2"/>
              <w:right w:val="single" w:sz="6" w:space="0" w:color="1E4496" w:themeColor="text2"/>
            </w:tcBorders>
            <w:shd w:val="clear" w:color="auto" w:fill="DCF4FC" w:themeFill="background2" w:themeFillTint="33"/>
            <w:tcMar>
              <w:top w:w="96" w:type="dxa"/>
              <w:left w:w="57" w:type="dxa"/>
              <w:bottom w:w="96" w:type="dxa"/>
              <w:right w:w="57" w:type="dxa"/>
            </w:tcMar>
            <w:vAlign w:val="center"/>
          </w:tcPr>
          <w:p w14:paraId="55BDE8D2" w14:textId="77777777" w:rsidR="006A73B4" w:rsidRPr="00255002" w:rsidRDefault="006A73B4" w:rsidP="00255002">
            <w:pPr>
              <w:pStyle w:val="CDITable-RowCentre"/>
            </w:pPr>
            <w:r w:rsidRPr="00255002">
              <w:t>0.0%</w:t>
            </w:r>
          </w:p>
        </w:tc>
        <w:tc>
          <w:tcPr>
            <w:tcW w:w="851" w:type="dxa"/>
            <w:tcBorders>
              <w:top w:val="single" w:sz="6" w:space="0" w:color="1E4496" w:themeColor="text2"/>
              <w:left w:val="single" w:sz="6" w:space="0" w:color="1E4496" w:themeColor="text2"/>
              <w:bottom w:val="single" w:sz="6" w:space="0" w:color="1E4496" w:themeColor="text2"/>
            </w:tcBorders>
            <w:shd w:val="clear" w:color="auto" w:fill="DCF4FC" w:themeFill="background2" w:themeFillTint="33"/>
            <w:tcMar>
              <w:top w:w="96" w:type="dxa"/>
              <w:left w:w="57" w:type="dxa"/>
              <w:bottom w:w="96" w:type="dxa"/>
              <w:right w:w="57" w:type="dxa"/>
            </w:tcMar>
            <w:vAlign w:val="center"/>
          </w:tcPr>
          <w:p w14:paraId="7199B28D" w14:textId="77777777" w:rsidR="006A73B4" w:rsidRPr="00255002" w:rsidRDefault="006A73B4" w:rsidP="00255002">
            <w:pPr>
              <w:pStyle w:val="CDITable-RowCentre"/>
            </w:pPr>
            <w:r w:rsidRPr="00255002">
              <w:t>2</w:t>
            </w:r>
          </w:p>
        </w:tc>
        <w:tc>
          <w:tcPr>
            <w:tcW w:w="1190" w:type="dxa"/>
            <w:tcBorders>
              <w:top w:val="single" w:sz="6" w:space="0" w:color="1E4496" w:themeColor="text2"/>
              <w:bottom w:val="single" w:sz="6" w:space="0" w:color="1E4496" w:themeColor="text2"/>
              <w:right w:val="single" w:sz="6" w:space="0" w:color="1E4496" w:themeColor="text2"/>
            </w:tcBorders>
            <w:shd w:val="clear" w:color="auto" w:fill="DCF4FC" w:themeFill="background2" w:themeFillTint="33"/>
            <w:tcMar>
              <w:top w:w="96" w:type="dxa"/>
              <w:left w:w="57" w:type="dxa"/>
              <w:bottom w:w="96" w:type="dxa"/>
              <w:right w:w="57" w:type="dxa"/>
            </w:tcMar>
            <w:vAlign w:val="center"/>
          </w:tcPr>
          <w:p w14:paraId="3063CB80" w14:textId="77777777" w:rsidR="006A73B4" w:rsidRPr="00255002" w:rsidRDefault="006A73B4" w:rsidP="00255002">
            <w:pPr>
              <w:pStyle w:val="CDITable-RowCentre"/>
            </w:pPr>
            <w:r w:rsidRPr="00255002">
              <w:t>0.2%</w:t>
            </w:r>
          </w:p>
        </w:tc>
        <w:tc>
          <w:tcPr>
            <w:tcW w:w="851" w:type="dxa"/>
            <w:tcBorders>
              <w:top w:val="single" w:sz="6" w:space="0" w:color="1E4496" w:themeColor="text2"/>
              <w:left w:val="single" w:sz="6" w:space="0" w:color="1E4496" w:themeColor="text2"/>
              <w:bottom w:val="single" w:sz="6" w:space="0" w:color="1E4496" w:themeColor="text2"/>
            </w:tcBorders>
            <w:shd w:val="clear" w:color="auto" w:fill="DCF4FC" w:themeFill="background2" w:themeFillTint="33"/>
            <w:tcMar>
              <w:top w:w="96" w:type="dxa"/>
              <w:left w:w="57" w:type="dxa"/>
              <w:bottom w:w="96" w:type="dxa"/>
              <w:right w:w="57" w:type="dxa"/>
            </w:tcMar>
            <w:vAlign w:val="center"/>
          </w:tcPr>
          <w:p w14:paraId="7F82C623" w14:textId="77777777" w:rsidR="006A73B4" w:rsidRPr="00255002" w:rsidRDefault="006A73B4" w:rsidP="00255002">
            <w:pPr>
              <w:pStyle w:val="CDITable-RowCentre"/>
            </w:pPr>
            <w:r w:rsidRPr="00255002">
              <w:t>0</w:t>
            </w:r>
          </w:p>
        </w:tc>
        <w:tc>
          <w:tcPr>
            <w:tcW w:w="1190" w:type="dxa"/>
            <w:tcBorders>
              <w:top w:val="single" w:sz="6" w:space="0" w:color="1E4496" w:themeColor="text2"/>
              <w:bottom w:val="single" w:sz="6" w:space="0" w:color="1E4496" w:themeColor="text2"/>
              <w:right w:val="single" w:sz="6" w:space="0" w:color="1E4496" w:themeColor="text2"/>
            </w:tcBorders>
            <w:shd w:val="clear" w:color="auto" w:fill="DCF4FC" w:themeFill="background2" w:themeFillTint="33"/>
            <w:tcMar>
              <w:top w:w="96" w:type="dxa"/>
              <w:left w:w="57" w:type="dxa"/>
              <w:bottom w:w="96" w:type="dxa"/>
              <w:right w:w="57" w:type="dxa"/>
            </w:tcMar>
            <w:vAlign w:val="center"/>
          </w:tcPr>
          <w:p w14:paraId="56F82858" w14:textId="77777777" w:rsidR="006A73B4" w:rsidRPr="00255002" w:rsidRDefault="006A73B4" w:rsidP="00255002">
            <w:pPr>
              <w:pStyle w:val="CDITable-RowCentre"/>
            </w:pPr>
            <w:r w:rsidRPr="00255002">
              <w:t>0.0%</w:t>
            </w:r>
          </w:p>
        </w:tc>
        <w:tc>
          <w:tcPr>
            <w:tcW w:w="851" w:type="dxa"/>
            <w:tcBorders>
              <w:top w:val="single" w:sz="6" w:space="0" w:color="1E4496" w:themeColor="text2"/>
              <w:left w:val="single" w:sz="6" w:space="0" w:color="1E4496" w:themeColor="text2"/>
              <w:bottom w:val="single" w:sz="6" w:space="0" w:color="1E4496" w:themeColor="text2"/>
            </w:tcBorders>
            <w:shd w:val="clear" w:color="auto" w:fill="DCF4FC" w:themeFill="background2" w:themeFillTint="33"/>
            <w:tcMar>
              <w:top w:w="96" w:type="dxa"/>
              <w:left w:w="57" w:type="dxa"/>
              <w:bottom w:w="96" w:type="dxa"/>
              <w:right w:w="57" w:type="dxa"/>
            </w:tcMar>
            <w:vAlign w:val="center"/>
          </w:tcPr>
          <w:p w14:paraId="0930AD16" w14:textId="77777777" w:rsidR="006A73B4" w:rsidRPr="00255002" w:rsidRDefault="006A73B4" w:rsidP="00255002">
            <w:pPr>
              <w:pStyle w:val="CDITable-RowCentre"/>
            </w:pPr>
            <w:r w:rsidRPr="00255002">
              <w:t>4</w:t>
            </w:r>
          </w:p>
        </w:tc>
        <w:tc>
          <w:tcPr>
            <w:tcW w:w="1190" w:type="dxa"/>
            <w:tcBorders>
              <w:top w:val="single" w:sz="6" w:space="0" w:color="1E4496" w:themeColor="text2"/>
              <w:bottom w:val="single" w:sz="6" w:space="0" w:color="1E4496" w:themeColor="text2"/>
            </w:tcBorders>
            <w:shd w:val="clear" w:color="auto" w:fill="DCF4FC" w:themeFill="background2" w:themeFillTint="33"/>
            <w:tcMar>
              <w:top w:w="96" w:type="dxa"/>
              <w:left w:w="57" w:type="dxa"/>
              <w:bottom w:w="96" w:type="dxa"/>
              <w:right w:w="57" w:type="dxa"/>
            </w:tcMar>
            <w:vAlign w:val="center"/>
          </w:tcPr>
          <w:p w14:paraId="2B6CD4CC" w14:textId="77777777" w:rsidR="006A73B4" w:rsidRPr="00255002" w:rsidRDefault="006A73B4" w:rsidP="00255002">
            <w:pPr>
              <w:pStyle w:val="CDITable-RowCentre"/>
            </w:pPr>
            <w:r w:rsidRPr="00255002">
              <w:t>0.1%</w:t>
            </w:r>
          </w:p>
        </w:tc>
      </w:tr>
      <w:tr w:rsidR="00974926" w:rsidRPr="00255002" w14:paraId="68071D82" w14:textId="77777777" w:rsidTr="00974926">
        <w:trPr>
          <w:trHeight w:val="20"/>
        </w:trPr>
        <w:tc>
          <w:tcPr>
            <w:tcW w:w="2098" w:type="dxa"/>
            <w:tcBorders>
              <w:top w:val="single" w:sz="6" w:space="0" w:color="1E4496" w:themeColor="text2"/>
            </w:tcBorders>
            <w:shd w:val="clear" w:color="auto" w:fill="DCF4FC" w:themeFill="background2" w:themeFillTint="33"/>
            <w:tcMar>
              <w:top w:w="96" w:type="dxa"/>
              <w:left w:w="57" w:type="dxa"/>
              <w:bottom w:w="96" w:type="dxa"/>
              <w:right w:w="57" w:type="dxa"/>
            </w:tcMar>
            <w:vAlign w:val="center"/>
          </w:tcPr>
          <w:p w14:paraId="0828D674" w14:textId="77777777" w:rsidR="006A73B4" w:rsidRPr="00255002" w:rsidRDefault="006A73B4" w:rsidP="00255002">
            <w:pPr>
              <w:pStyle w:val="CDITable-RowLeft"/>
            </w:pPr>
            <w:r w:rsidRPr="00255002">
              <w:t xml:space="preserve">Kawasaki </w:t>
            </w:r>
            <w:proofErr w:type="spellStart"/>
            <w:r w:rsidRPr="00255002">
              <w:t>disease</w:t>
            </w:r>
            <w:r w:rsidRPr="00255002">
              <w:rPr>
                <w:vertAlign w:val="superscript"/>
              </w:rPr>
              <w:t>f</w:t>
            </w:r>
            <w:proofErr w:type="spellEnd"/>
          </w:p>
        </w:tc>
        <w:tc>
          <w:tcPr>
            <w:tcW w:w="850" w:type="dxa"/>
            <w:tcBorders>
              <w:top w:val="single" w:sz="6" w:space="0" w:color="1E4496" w:themeColor="text2"/>
            </w:tcBorders>
            <w:shd w:val="clear" w:color="auto" w:fill="DCF4FC" w:themeFill="background2" w:themeFillTint="33"/>
            <w:tcMar>
              <w:top w:w="96" w:type="dxa"/>
              <w:left w:w="57" w:type="dxa"/>
              <w:bottom w:w="96" w:type="dxa"/>
              <w:right w:w="57" w:type="dxa"/>
            </w:tcMar>
            <w:vAlign w:val="center"/>
          </w:tcPr>
          <w:p w14:paraId="21B7DC03" w14:textId="77777777" w:rsidR="006A73B4" w:rsidRPr="00255002" w:rsidRDefault="006A73B4" w:rsidP="00255002">
            <w:pPr>
              <w:pStyle w:val="CDITable-RowCentre"/>
            </w:pPr>
            <w:r w:rsidRPr="00255002">
              <w:t>0</w:t>
            </w:r>
          </w:p>
        </w:tc>
        <w:tc>
          <w:tcPr>
            <w:tcW w:w="1191" w:type="dxa"/>
            <w:tcBorders>
              <w:top w:val="single" w:sz="6" w:space="0" w:color="1E4496" w:themeColor="text2"/>
              <w:right w:val="single" w:sz="6" w:space="0" w:color="1E4496" w:themeColor="text2"/>
            </w:tcBorders>
            <w:shd w:val="clear" w:color="auto" w:fill="DCF4FC" w:themeFill="background2" w:themeFillTint="33"/>
            <w:tcMar>
              <w:top w:w="96" w:type="dxa"/>
              <w:left w:w="57" w:type="dxa"/>
              <w:bottom w:w="96" w:type="dxa"/>
              <w:right w:w="57" w:type="dxa"/>
            </w:tcMar>
            <w:vAlign w:val="center"/>
          </w:tcPr>
          <w:p w14:paraId="25801796" w14:textId="77777777" w:rsidR="006A73B4" w:rsidRPr="00255002" w:rsidRDefault="006A73B4" w:rsidP="00255002">
            <w:pPr>
              <w:pStyle w:val="CDITable-RowCentre"/>
            </w:pPr>
            <w:r w:rsidRPr="00255002">
              <w:t>0.0%</w:t>
            </w:r>
          </w:p>
        </w:tc>
        <w:tc>
          <w:tcPr>
            <w:tcW w:w="850" w:type="dxa"/>
            <w:tcBorders>
              <w:top w:val="single" w:sz="6" w:space="0" w:color="1E4496" w:themeColor="text2"/>
              <w:left w:val="single" w:sz="6" w:space="0" w:color="1E4496" w:themeColor="text2"/>
            </w:tcBorders>
            <w:shd w:val="clear" w:color="auto" w:fill="DCF4FC" w:themeFill="background2" w:themeFillTint="33"/>
            <w:tcMar>
              <w:top w:w="96" w:type="dxa"/>
              <w:left w:w="57" w:type="dxa"/>
              <w:bottom w:w="96" w:type="dxa"/>
              <w:right w:w="57" w:type="dxa"/>
            </w:tcMar>
            <w:vAlign w:val="center"/>
          </w:tcPr>
          <w:p w14:paraId="3E15ADAF" w14:textId="77777777" w:rsidR="006A73B4" w:rsidRPr="00255002" w:rsidRDefault="006A73B4" w:rsidP="00255002">
            <w:pPr>
              <w:pStyle w:val="CDITable-RowCentre"/>
            </w:pPr>
            <w:r w:rsidRPr="00255002">
              <w:t>4</w:t>
            </w:r>
          </w:p>
        </w:tc>
        <w:tc>
          <w:tcPr>
            <w:tcW w:w="1191" w:type="dxa"/>
            <w:tcBorders>
              <w:top w:val="single" w:sz="6" w:space="0" w:color="1E4496" w:themeColor="text2"/>
              <w:right w:val="single" w:sz="6" w:space="0" w:color="1E4496" w:themeColor="text2"/>
            </w:tcBorders>
            <w:shd w:val="clear" w:color="auto" w:fill="DCF4FC" w:themeFill="background2" w:themeFillTint="33"/>
            <w:tcMar>
              <w:top w:w="96" w:type="dxa"/>
              <w:left w:w="57" w:type="dxa"/>
              <w:bottom w:w="96" w:type="dxa"/>
              <w:right w:w="57" w:type="dxa"/>
            </w:tcMar>
            <w:vAlign w:val="center"/>
          </w:tcPr>
          <w:p w14:paraId="60B4E465" w14:textId="77777777" w:rsidR="006A73B4" w:rsidRPr="00255002" w:rsidRDefault="006A73B4" w:rsidP="00255002">
            <w:pPr>
              <w:pStyle w:val="CDITable-RowCentre"/>
            </w:pPr>
            <w:r w:rsidRPr="00255002">
              <w:t>0.2%</w:t>
            </w:r>
          </w:p>
        </w:tc>
        <w:tc>
          <w:tcPr>
            <w:tcW w:w="850" w:type="dxa"/>
            <w:tcBorders>
              <w:top w:val="single" w:sz="6" w:space="0" w:color="1E4496" w:themeColor="text2"/>
              <w:left w:val="single" w:sz="6" w:space="0" w:color="1E4496" w:themeColor="text2"/>
            </w:tcBorders>
            <w:shd w:val="clear" w:color="auto" w:fill="DCF4FC" w:themeFill="background2" w:themeFillTint="33"/>
            <w:tcMar>
              <w:top w:w="96" w:type="dxa"/>
              <w:left w:w="57" w:type="dxa"/>
              <w:bottom w:w="96" w:type="dxa"/>
              <w:right w:w="57" w:type="dxa"/>
            </w:tcMar>
            <w:vAlign w:val="center"/>
          </w:tcPr>
          <w:p w14:paraId="16AADE05" w14:textId="77777777" w:rsidR="006A73B4" w:rsidRPr="00255002" w:rsidRDefault="006A73B4" w:rsidP="00255002">
            <w:pPr>
              <w:pStyle w:val="CDITable-RowCentre"/>
            </w:pPr>
            <w:r w:rsidRPr="00255002">
              <w:t>0</w:t>
            </w:r>
          </w:p>
        </w:tc>
        <w:tc>
          <w:tcPr>
            <w:tcW w:w="1190" w:type="dxa"/>
            <w:tcBorders>
              <w:top w:val="single" w:sz="6" w:space="0" w:color="1E4496" w:themeColor="text2"/>
              <w:right w:val="single" w:sz="6" w:space="0" w:color="1E4496" w:themeColor="text2"/>
            </w:tcBorders>
            <w:shd w:val="clear" w:color="auto" w:fill="DCF4FC" w:themeFill="background2" w:themeFillTint="33"/>
            <w:tcMar>
              <w:top w:w="96" w:type="dxa"/>
              <w:left w:w="57" w:type="dxa"/>
              <w:bottom w:w="96" w:type="dxa"/>
              <w:right w:w="57" w:type="dxa"/>
            </w:tcMar>
            <w:vAlign w:val="center"/>
          </w:tcPr>
          <w:p w14:paraId="34142BCD" w14:textId="77777777" w:rsidR="006A73B4" w:rsidRPr="00255002" w:rsidRDefault="006A73B4" w:rsidP="00255002">
            <w:pPr>
              <w:pStyle w:val="CDITable-RowCentre"/>
            </w:pPr>
            <w:r w:rsidRPr="00255002">
              <w:t>0.0%</w:t>
            </w:r>
          </w:p>
        </w:tc>
        <w:tc>
          <w:tcPr>
            <w:tcW w:w="851" w:type="dxa"/>
            <w:tcBorders>
              <w:top w:val="single" w:sz="6" w:space="0" w:color="1E4496" w:themeColor="text2"/>
              <w:left w:val="single" w:sz="6" w:space="0" w:color="1E4496" w:themeColor="text2"/>
            </w:tcBorders>
            <w:shd w:val="clear" w:color="auto" w:fill="DCF4FC" w:themeFill="background2" w:themeFillTint="33"/>
            <w:tcMar>
              <w:top w:w="96" w:type="dxa"/>
              <w:left w:w="57" w:type="dxa"/>
              <w:bottom w:w="96" w:type="dxa"/>
              <w:right w:w="57" w:type="dxa"/>
            </w:tcMar>
            <w:vAlign w:val="center"/>
          </w:tcPr>
          <w:p w14:paraId="04E123FA" w14:textId="77777777" w:rsidR="006A73B4" w:rsidRPr="00255002" w:rsidRDefault="006A73B4" w:rsidP="00255002">
            <w:pPr>
              <w:pStyle w:val="CDITable-RowCentre"/>
            </w:pPr>
            <w:r w:rsidRPr="00255002">
              <w:t>0</w:t>
            </w:r>
          </w:p>
        </w:tc>
        <w:tc>
          <w:tcPr>
            <w:tcW w:w="1190" w:type="dxa"/>
            <w:tcBorders>
              <w:top w:val="single" w:sz="6" w:space="0" w:color="1E4496" w:themeColor="text2"/>
              <w:right w:val="single" w:sz="6" w:space="0" w:color="1E4496" w:themeColor="text2"/>
            </w:tcBorders>
            <w:shd w:val="clear" w:color="auto" w:fill="DCF4FC" w:themeFill="background2" w:themeFillTint="33"/>
            <w:tcMar>
              <w:top w:w="96" w:type="dxa"/>
              <w:left w:w="57" w:type="dxa"/>
              <w:bottom w:w="96" w:type="dxa"/>
              <w:right w:w="57" w:type="dxa"/>
            </w:tcMar>
            <w:vAlign w:val="center"/>
          </w:tcPr>
          <w:p w14:paraId="4C2DF2C1" w14:textId="77777777" w:rsidR="006A73B4" w:rsidRPr="00255002" w:rsidRDefault="006A73B4" w:rsidP="00255002">
            <w:pPr>
              <w:pStyle w:val="CDITable-RowCentre"/>
            </w:pPr>
            <w:r w:rsidRPr="00255002">
              <w:t>0.0%</w:t>
            </w:r>
          </w:p>
        </w:tc>
        <w:tc>
          <w:tcPr>
            <w:tcW w:w="851" w:type="dxa"/>
            <w:tcBorders>
              <w:top w:val="single" w:sz="6" w:space="0" w:color="1E4496" w:themeColor="text2"/>
              <w:left w:val="single" w:sz="6" w:space="0" w:color="1E4496" w:themeColor="text2"/>
            </w:tcBorders>
            <w:shd w:val="clear" w:color="auto" w:fill="DCF4FC" w:themeFill="background2" w:themeFillTint="33"/>
            <w:tcMar>
              <w:top w:w="96" w:type="dxa"/>
              <w:left w:w="57" w:type="dxa"/>
              <w:bottom w:w="96" w:type="dxa"/>
              <w:right w:w="57" w:type="dxa"/>
            </w:tcMar>
            <w:vAlign w:val="center"/>
          </w:tcPr>
          <w:p w14:paraId="19C6B427" w14:textId="77777777" w:rsidR="006A73B4" w:rsidRPr="00255002" w:rsidRDefault="006A73B4" w:rsidP="00255002">
            <w:pPr>
              <w:pStyle w:val="CDITable-RowCentre"/>
            </w:pPr>
            <w:r w:rsidRPr="00255002">
              <w:t>0</w:t>
            </w:r>
          </w:p>
        </w:tc>
        <w:tc>
          <w:tcPr>
            <w:tcW w:w="1190" w:type="dxa"/>
            <w:tcBorders>
              <w:top w:val="single" w:sz="6" w:space="0" w:color="1E4496" w:themeColor="text2"/>
              <w:right w:val="single" w:sz="6" w:space="0" w:color="1E4496" w:themeColor="text2"/>
            </w:tcBorders>
            <w:shd w:val="clear" w:color="auto" w:fill="DCF4FC" w:themeFill="background2" w:themeFillTint="33"/>
            <w:tcMar>
              <w:top w:w="96" w:type="dxa"/>
              <w:left w:w="57" w:type="dxa"/>
              <w:bottom w:w="96" w:type="dxa"/>
              <w:right w:w="57" w:type="dxa"/>
            </w:tcMar>
            <w:vAlign w:val="center"/>
          </w:tcPr>
          <w:p w14:paraId="76F9EE11" w14:textId="77777777" w:rsidR="006A73B4" w:rsidRPr="00255002" w:rsidRDefault="006A73B4" w:rsidP="00255002">
            <w:pPr>
              <w:pStyle w:val="CDITable-RowCentre"/>
            </w:pPr>
            <w:r w:rsidRPr="00255002">
              <w:t>0.0%</w:t>
            </w:r>
          </w:p>
        </w:tc>
        <w:tc>
          <w:tcPr>
            <w:tcW w:w="851" w:type="dxa"/>
            <w:tcBorders>
              <w:top w:val="single" w:sz="6" w:space="0" w:color="1E4496" w:themeColor="text2"/>
              <w:left w:val="single" w:sz="6" w:space="0" w:color="1E4496" w:themeColor="text2"/>
            </w:tcBorders>
            <w:shd w:val="clear" w:color="auto" w:fill="DCF4FC" w:themeFill="background2" w:themeFillTint="33"/>
            <w:tcMar>
              <w:top w:w="96" w:type="dxa"/>
              <w:left w:w="57" w:type="dxa"/>
              <w:bottom w:w="96" w:type="dxa"/>
              <w:right w:w="57" w:type="dxa"/>
            </w:tcMar>
            <w:vAlign w:val="center"/>
          </w:tcPr>
          <w:p w14:paraId="6D2F0154" w14:textId="77777777" w:rsidR="006A73B4" w:rsidRPr="00255002" w:rsidRDefault="006A73B4" w:rsidP="00255002">
            <w:pPr>
              <w:pStyle w:val="CDITable-RowCentre"/>
            </w:pPr>
            <w:r w:rsidRPr="00255002">
              <w:t>4</w:t>
            </w:r>
          </w:p>
        </w:tc>
        <w:tc>
          <w:tcPr>
            <w:tcW w:w="1190" w:type="dxa"/>
            <w:tcBorders>
              <w:top w:val="single" w:sz="6" w:space="0" w:color="1E4496" w:themeColor="text2"/>
            </w:tcBorders>
            <w:shd w:val="clear" w:color="auto" w:fill="DCF4FC" w:themeFill="background2" w:themeFillTint="33"/>
            <w:tcMar>
              <w:top w:w="96" w:type="dxa"/>
              <w:left w:w="57" w:type="dxa"/>
              <w:bottom w:w="96" w:type="dxa"/>
              <w:right w:w="57" w:type="dxa"/>
            </w:tcMar>
            <w:vAlign w:val="center"/>
          </w:tcPr>
          <w:p w14:paraId="3F52D6CC" w14:textId="77777777" w:rsidR="006A73B4" w:rsidRPr="00255002" w:rsidRDefault="006A73B4" w:rsidP="00255002">
            <w:pPr>
              <w:pStyle w:val="CDITable-RowCentre"/>
            </w:pPr>
            <w:r w:rsidRPr="00255002">
              <w:t>0.1%</w:t>
            </w:r>
          </w:p>
        </w:tc>
      </w:tr>
      <w:tr w:rsidR="00974926" w:rsidRPr="00255002" w14:paraId="60F9101C" w14:textId="77777777" w:rsidTr="00974926">
        <w:trPr>
          <w:trHeight w:val="20"/>
        </w:trPr>
        <w:tc>
          <w:tcPr>
            <w:tcW w:w="2098" w:type="dxa"/>
            <w:tcBorders>
              <w:bottom w:val="single" w:sz="6" w:space="0" w:color="1E4496" w:themeColor="text2"/>
            </w:tcBorders>
            <w:shd w:val="clear" w:color="auto" w:fill="53C9F1" w:themeFill="background2"/>
            <w:tcMar>
              <w:top w:w="96" w:type="dxa"/>
              <w:left w:w="57" w:type="dxa"/>
              <w:bottom w:w="96" w:type="dxa"/>
              <w:right w:w="57" w:type="dxa"/>
            </w:tcMar>
            <w:vAlign w:val="center"/>
          </w:tcPr>
          <w:p w14:paraId="7403F66A" w14:textId="77777777" w:rsidR="006A73B4" w:rsidRPr="00255002" w:rsidRDefault="006A73B4" w:rsidP="00974926">
            <w:pPr>
              <w:pStyle w:val="CDITable-TotalRowLeft"/>
            </w:pPr>
            <w:r w:rsidRPr="00255002">
              <w:t>Total</w:t>
            </w:r>
          </w:p>
        </w:tc>
        <w:tc>
          <w:tcPr>
            <w:tcW w:w="850" w:type="dxa"/>
            <w:tcBorders>
              <w:bottom w:val="single" w:sz="6" w:space="0" w:color="1E4496" w:themeColor="text2"/>
            </w:tcBorders>
            <w:shd w:val="clear" w:color="auto" w:fill="53C9F1" w:themeFill="background2"/>
            <w:tcMar>
              <w:top w:w="96" w:type="dxa"/>
              <w:left w:w="57" w:type="dxa"/>
              <w:bottom w:w="96" w:type="dxa"/>
              <w:right w:w="57" w:type="dxa"/>
            </w:tcMar>
            <w:vAlign w:val="center"/>
          </w:tcPr>
          <w:p w14:paraId="571139D1" w14:textId="77777777" w:rsidR="006A73B4" w:rsidRPr="00255002" w:rsidRDefault="006A73B4" w:rsidP="00974926">
            <w:pPr>
              <w:pStyle w:val="CDITable-TotalRowCentre"/>
            </w:pPr>
            <w:r w:rsidRPr="00255002">
              <w:t>1,049</w:t>
            </w:r>
          </w:p>
        </w:tc>
        <w:tc>
          <w:tcPr>
            <w:tcW w:w="1191" w:type="dxa"/>
            <w:tcBorders>
              <w:bottom w:val="single" w:sz="6" w:space="0" w:color="1E4496" w:themeColor="text2"/>
              <w:right w:val="single" w:sz="6" w:space="0" w:color="1E4496" w:themeColor="text2"/>
            </w:tcBorders>
            <w:shd w:val="clear" w:color="auto" w:fill="53C9F1" w:themeFill="background2"/>
            <w:tcMar>
              <w:top w:w="96" w:type="dxa"/>
              <w:left w:w="57" w:type="dxa"/>
              <w:bottom w:w="96" w:type="dxa"/>
              <w:right w:w="57" w:type="dxa"/>
            </w:tcMar>
            <w:vAlign w:val="center"/>
          </w:tcPr>
          <w:p w14:paraId="4AE3E3C3" w14:textId="77777777" w:rsidR="006A73B4" w:rsidRPr="00255002" w:rsidRDefault="006A73B4" w:rsidP="00974926">
            <w:pPr>
              <w:pStyle w:val="CDITable-TotalRowCentre"/>
            </w:pPr>
            <w:r w:rsidRPr="00255002">
              <w:t>—</w:t>
            </w:r>
          </w:p>
        </w:tc>
        <w:tc>
          <w:tcPr>
            <w:tcW w:w="850" w:type="dxa"/>
            <w:tcBorders>
              <w:left w:val="single" w:sz="6" w:space="0" w:color="1E4496" w:themeColor="text2"/>
              <w:bottom w:val="single" w:sz="6" w:space="0" w:color="1E4496" w:themeColor="text2"/>
            </w:tcBorders>
            <w:shd w:val="clear" w:color="auto" w:fill="53C9F1" w:themeFill="background2"/>
            <w:tcMar>
              <w:top w:w="96" w:type="dxa"/>
              <w:left w:w="57" w:type="dxa"/>
              <w:bottom w:w="96" w:type="dxa"/>
              <w:right w:w="57" w:type="dxa"/>
            </w:tcMar>
            <w:vAlign w:val="center"/>
          </w:tcPr>
          <w:p w14:paraId="23A58BB4" w14:textId="77777777" w:rsidR="006A73B4" w:rsidRPr="00255002" w:rsidRDefault="006A73B4" w:rsidP="00974926">
            <w:pPr>
              <w:pStyle w:val="CDITable-TotalRowCentre"/>
            </w:pPr>
            <w:r w:rsidRPr="00255002">
              <w:t>2,460</w:t>
            </w:r>
          </w:p>
        </w:tc>
        <w:tc>
          <w:tcPr>
            <w:tcW w:w="1191" w:type="dxa"/>
            <w:tcBorders>
              <w:bottom w:val="single" w:sz="6" w:space="0" w:color="1E4496" w:themeColor="text2"/>
              <w:right w:val="single" w:sz="6" w:space="0" w:color="1E4496" w:themeColor="text2"/>
            </w:tcBorders>
            <w:shd w:val="clear" w:color="auto" w:fill="53C9F1" w:themeFill="background2"/>
            <w:tcMar>
              <w:top w:w="96" w:type="dxa"/>
              <w:left w:w="57" w:type="dxa"/>
              <w:bottom w:w="96" w:type="dxa"/>
              <w:right w:w="57" w:type="dxa"/>
            </w:tcMar>
            <w:vAlign w:val="center"/>
          </w:tcPr>
          <w:p w14:paraId="20ED4665" w14:textId="77777777" w:rsidR="006A73B4" w:rsidRPr="00255002" w:rsidRDefault="006A73B4" w:rsidP="00974926">
            <w:pPr>
              <w:pStyle w:val="CDITable-TotalRowCentre"/>
            </w:pPr>
            <w:r w:rsidRPr="00255002">
              <w:t>—</w:t>
            </w:r>
          </w:p>
        </w:tc>
        <w:tc>
          <w:tcPr>
            <w:tcW w:w="850" w:type="dxa"/>
            <w:tcBorders>
              <w:left w:val="single" w:sz="6" w:space="0" w:color="1E4496" w:themeColor="text2"/>
              <w:bottom w:val="single" w:sz="6" w:space="0" w:color="1E4496" w:themeColor="text2"/>
            </w:tcBorders>
            <w:shd w:val="clear" w:color="auto" w:fill="53C9F1" w:themeFill="background2"/>
            <w:tcMar>
              <w:top w:w="96" w:type="dxa"/>
              <w:left w:w="57" w:type="dxa"/>
              <w:bottom w:w="96" w:type="dxa"/>
              <w:right w:w="57" w:type="dxa"/>
            </w:tcMar>
            <w:vAlign w:val="center"/>
          </w:tcPr>
          <w:p w14:paraId="49B2478A" w14:textId="77777777" w:rsidR="006A73B4" w:rsidRPr="00255002" w:rsidRDefault="006A73B4" w:rsidP="00974926">
            <w:pPr>
              <w:pStyle w:val="CDITable-TotalRowCentre"/>
            </w:pPr>
            <w:r w:rsidRPr="00255002">
              <w:t>797</w:t>
            </w:r>
          </w:p>
        </w:tc>
        <w:tc>
          <w:tcPr>
            <w:tcW w:w="1190" w:type="dxa"/>
            <w:tcBorders>
              <w:bottom w:val="single" w:sz="6" w:space="0" w:color="1E4496" w:themeColor="text2"/>
              <w:right w:val="single" w:sz="6" w:space="0" w:color="1E4496" w:themeColor="text2"/>
            </w:tcBorders>
            <w:shd w:val="clear" w:color="auto" w:fill="53C9F1" w:themeFill="background2"/>
            <w:tcMar>
              <w:top w:w="96" w:type="dxa"/>
              <w:left w:w="57" w:type="dxa"/>
              <w:bottom w:w="96" w:type="dxa"/>
              <w:right w:w="57" w:type="dxa"/>
            </w:tcMar>
            <w:vAlign w:val="center"/>
          </w:tcPr>
          <w:p w14:paraId="576F5179" w14:textId="77777777" w:rsidR="006A73B4" w:rsidRPr="00255002" w:rsidRDefault="006A73B4" w:rsidP="00974926">
            <w:pPr>
              <w:pStyle w:val="CDITable-TotalRowCentre"/>
            </w:pPr>
            <w:r w:rsidRPr="00255002">
              <w:t>—</w:t>
            </w:r>
          </w:p>
        </w:tc>
        <w:tc>
          <w:tcPr>
            <w:tcW w:w="851" w:type="dxa"/>
            <w:tcBorders>
              <w:left w:val="single" w:sz="6" w:space="0" w:color="1E4496" w:themeColor="text2"/>
              <w:bottom w:val="single" w:sz="6" w:space="0" w:color="1E4496" w:themeColor="text2"/>
            </w:tcBorders>
            <w:shd w:val="clear" w:color="auto" w:fill="53C9F1" w:themeFill="background2"/>
            <w:tcMar>
              <w:top w:w="96" w:type="dxa"/>
              <w:left w:w="57" w:type="dxa"/>
              <w:bottom w:w="96" w:type="dxa"/>
              <w:right w:w="57" w:type="dxa"/>
            </w:tcMar>
            <w:vAlign w:val="center"/>
          </w:tcPr>
          <w:p w14:paraId="64956EB7" w14:textId="77777777" w:rsidR="006A73B4" w:rsidRPr="00255002" w:rsidRDefault="006A73B4" w:rsidP="00974926">
            <w:pPr>
              <w:pStyle w:val="CDITable-TotalRowCentre"/>
            </w:pPr>
            <w:r w:rsidRPr="00255002">
              <w:t>1,076</w:t>
            </w:r>
          </w:p>
        </w:tc>
        <w:tc>
          <w:tcPr>
            <w:tcW w:w="1190" w:type="dxa"/>
            <w:tcBorders>
              <w:bottom w:val="single" w:sz="6" w:space="0" w:color="1E4496" w:themeColor="text2"/>
              <w:right w:val="single" w:sz="6" w:space="0" w:color="1E4496" w:themeColor="text2"/>
            </w:tcBorders>
            <w:shd w:val="clear" w:color="auto" w:fill="53C9F1" w:themeFill="background2"/>
            <w:tcMar>
              <w:top w:w="96" w:type="dxa"/>
              <w:left w:w="57" w:type="dxa"/>
              <w:bottom w:w="96" w:type="dxa"/>
              <w:right w:w="57" w:type="dxa"/>
            </w:tcMar>
            <w:vAlign w:val="center"/>
          </w:tcPr>
          <w:p w14:paraId="53C54190" w14:textId="77777777" w:rsidR="006A73B4" w:rsidRPr="00255002" w:rsidRDefault="006A73B4" w:rsidP="00974926">
            <w:pPr>
              <w:pStyle w:val="CDITable-TotalRowCentre"/>
            </w:pPr>
            <w:r w:rsidRPr="00255002">
              <w:t>—</w:t>
            </w:r>
          </w:p>
        </w:tc>
        <w:tc>
          <w:tcPr>
            <w:tcW w:w="851" w:type="dxa"/>
            <w:tcBorders>
              <w:left w:val="single" w:sz="6" w:space="0" w:color="1E4496" w:themeColor="text2"/>
              <w:bottom w:val="single" w:sz="6" w:space="0" w:color="1E4496" w:themeColor="text2"/>
            </w:tcBorders>
            <w:shd w:val="clear" w:color="auto" w:fill="53C9F1" w:themeFill="background2"/>
            <w:tcMar>
              <w:top w:w="96" w:type="dxa"/>
              <w:left w:w="57" w:type="dxa"/>
              <w:bottom w:w="96" w:type="dxa"/>
              <w:right w:w="57" w:type="dxa"/>
            </w:tcMar>
            <w:vAlign w:val="center"/>
          </w:tcPr>
          <w:p w14:paraId="51711E68" w14:textId="77777777" w:rsidR="006A73B4" w:rsidRPr="00255002" w:rsidRDefault="006A73B4" w:rsidP="00974926">
            <w:pPr>
              <w:pStyle w:val="CDITable-TotalRowCentre"/>
            </w:pPr>
            <w:r w:rsidRPr="00255002">
              <w:t>564</w:t>
            </w:r>
          </w:p>
        </w:tc>
        <w:tc>
          <w:tcPr>
            <w:tcW w:w="1190" w:type="dxa"/>
            <w:tcBorders>
              <w:bottom w:val="single" w:sz="6" w:space="0" w:color="1E4496" w:themeColor="text2"/>
              <w:right w:val="single" w:sz="6" w:space="0" w:color="1E4496" w:themeColor="text2"/>
            </w:tcBorders>
            <w:shd w:val="clear" w:color="auto" w:fill="53C9F1" w:themeFill="background2"/>
            <w:tcMar>
              <w:top w:w="96" w:type="dxa"/>
              <w:left w:w="57" w:type="dxa"/>
              <w:bottom w:w="96" w:type="dxa"/>
              <w:right w:w="57" w:type="dxa"/>
            </w:tcMar>
            <w:vAlign w:val="center"/>
          </w:tcPr>
          <w:p w14:paraId="7BA8679A" w14:textId="77777777" w:rsidR="006A73B4" w:rsidRPr="00255002" w:rsidRDefault="006A73B4" w:rsidP="00974926">
            <w:pPr>
              <w:pStyle w:val="CDITable-TotalRowCentre"/>
            </w:pPr>
            <w:r w:rsidRPr="00255002">
              <w:t>—</w:t>
            </w:r>
          </w:p>
        </w:tc>
        <w:tc>
          <w:tcPr>
            <w:tcW w:w="851" w:type="dxa"/>
            <w:tcBorders>
              <w:left w:val="single" w:sz="6" w:space="0" w:color="1E4496" w:themeColor="text2"/>
              <w:bottom w:val="single" w:sz="6" w:space="0" w:color="1E4496" w:themeColor="text2"/>
            </w:tcBorders>
            <w:shd w:val="clear" w:color="auto" w:fill="53C9F1" w:themeFill="background2"/>
            <w:tcMar>
              <w:top w:w="96" w:type="dxa"/>
              <w:left w:w="57" w:type="dxa"/>
              <w:bottom w:w="96" w:type="dxa"/>
              <w:right w:w="57" w:type="dxa"/>
            </w:tcMar>
            <w:vAlign w:val="center"/>
          </w:tcPr>
          <w:p w14:paraId="069B6766" w14:textId="77777777" w:rsidR="006A73B4" w:rsidRPr="00255002" w:rsidRDefault="006A73B4" w:rsidP="00974926">
            <w:pPr>
              <w:pStyle w:val="CDITable-TotalRowCentre"/>
            </w:pPr>
            <w:r w:rsidRPr="00255002">
              <w:t>5,946</w:t>
            </w:r>
          </w:p>
        </w:tc>
        <w:tc>
          <w:tcPr>
            <w:tcW w:w="1190" w:type="dxa"/>
            <w:tcBorders>
              <w:bottom w:val="single" w:sz="6" w:space="0" w:color="1E4496" w:themeColor="text2"/>
            </w:tcBorders>
            <w:shd w:val="clear" w:color="auto" w:fill="53C9F1" w:themeFill="background2"/>
            <w:tcMar>
              <w:top w:w="96" w:type="dxa"/>
              <w:left w:w="57" w:type="dxa"/>
              <w:bottom w:w="96" w:type="dxa"/>
              <w:right w:w="57" w:type="dxa"/>
            </w:tcMar>
            <w:vAlign w:val="center"/>
          </w:tcPr>
          <w:p w14:paraId="12DA6FA0" w14:textId="77777777" w:rsidR="006A73B4" w:rsidRPr="00255002" w:rsidRDefault="006A73B4" w:rsidP="00974926">
            <w:pPr>
              <w:pStyle w:val="CDITable-TotalRowCentre"/>
            </w:pPr>
            <w:r w:rsidRPr="00255002">
              <w:t>—</w:t>
            </w:r>
          </w:p>
        </w:tc>
      </w:tr>
      <w:tr w:rsidR="00974926" w:rsidRPr="00255002" w14:paraId="4E2A889A" w14:textId="77777777" w:rsidTr="00974926">
        <w:trPr>
          <w:trHeight w:val="20"/>
        </w:trPr>
        <w:tc>
          <w:tcPr>
            <w:tcW w:w="2098" w:type="dxa"/>
            <w:tcBorders>
              <w:top w:val="single" w:sz="6" w:space="0" w:color="1E4496" w:themeColor="text2"/>
              <w:bottom w:val="single" w:sz="6" w:space="0" w:color="1E4496" w:themeColor="text2"/>
            </w:tcBorders>
            <w:shd w:val="clear" w:color="auto" w:fill="53C9F1" w:themeFill="background2"/>
            <w:tcMar>
              <w:top w:w="96" w:type="dxa"/>
              <w:left w:w="57" w:type="dxa"/>
              <w:bottom w:w="96" w:type="dxa"/>
              <w:right w:w="57" w:type="dxa"/>
            </w:tcMar>
            <w:vAlign w:val="center"/>
          </w:tcPr>
          <w:p w14:paraId="4DEBEAD9" w14:textId="77777777" w:rsidR="006A73B4" w:rsidRPr="00255002" w:rsidRDefault="006A73B4" w:rsidP="00974926">
            <w:pPr>
              <w:pStyle w:val="CDITable-TotalRowLeft"/>
            </w:pPr>
            <w:r w:rsidRPr="00255002">
              <w:t>% of all adverse events</w:t>
            </w:r>
          </w:p>
        </w:tc>
        <w:tc>
          <w:tcPr>
            <w:tcW w:w="850" w:type="dxa"/>
            <w:tcBorders>
              <w:top w:val="single" w:sz="6" w:space="0" w:color="1E4496" w:themeColor="text2"/>
              <w:bottom w:val="single" w:sz="6" w:space="0" w:color="1E4496" w:themeColor="text2"/>
            </w:tcBorders>
            <w:shd w:val="clear" w:color="auto" w:fill="53C9F1" w:themeFill="background2"/>
            <w:tcMar>
              <w:top w:w="96" w:type="dxa"/>
              <w:left w:w="57" w:type="dxa"/>
              <w:bottom w:w="96" w:type="dxa"/>
              <w:right w:w="57" w:type="dxa"/>
            </w:tcMar>
            <w:vAlign w:val="center"/>
          </w:tcPr>
          <w:p w14:paraId="6E9D5727" w14:textId="77777777" w:rsidR="006A73B4" w:rsidRPr="00255002" w:rsidRDefault="006A73B4" w:rsidP="00974926">
            <w:pPr>
              <w:pStyle w:val="CDITable-TotalRowCentre"/>
            </w:pPr>
            <w:r w:rsidRPr="00255002">
              <w:t>17.6%</w:t>
            </w:r>
          </w:p>
        </w:tc>
        <w:tc>
          <w:tcPr>
            <w:tcW w:w="1191" w:type="dxa"/>
            <w:tcBorders>
              <w:top w:val="single" w:sz="6" w:space="0" w:color="1E4496" w:themeColor="text2"/>
              <w:bottom w:val="single" w:sz="6" w:space="0" w:color="1E4496" w:themeColor="text2"/>
              <w:right w:val="single" w:sz="6" w:space="0" w:color="1E4496" w:themeColor="text2"/>
            </w:tcBorders>
            <w:shd w:val="clear" w:color="auto" w:fill="53C9F1" w:themeFill="background2"/>
            <w:tcMar>
              <w:top w:w="96" w:type="dxa"/>
              <w:left w:w="57" w:type="dxa"/>
              <w:bottom w:w="96" w:type="dxa"/>
              <w:right w:w="57" w:type="dxa"/>
            </w:tcMar>
            <w:vAlign w:val="center"/>
          </w:tcPr>
          <w:p w14:paraId="25256895" w14:textId="77777777" w:rsidR="006A73B4" w:rsidRPr="00255002" w:rsidRDefault="006A73B4" w:rsidP="00974926">
            <w:pPr>
              <w:pStyle w:val="CDITable-TotalRowCentre"/>
            </w:pPr>
          </w:p>
        </w:tc>
        <w:tc>
          <w:tcPr>
            <w:tcW w:w="850" w:type="dxa"/>
            <w:tcBorders>
              <w:top w:val="single" w:sz="6" w:space="0" w:color="1E4496" w:themeColor="text2"/>
              <w:left w:val="single" w:sz="6" w:space="0" w:color="1E4496" w:themeColor="text2"/>
              <w:bottom w:val="single" w:sz="6" w:space="0" w:color="1E4496" w:themeColor="text2"/>
            </w:tcBorders>
            <w:shd w:val="clear" w:color="auto" w:fill="53C9F1" w:themeFill="background2"/>
            <w:tcMar>
              <w:top w:w="96" w:type="dxa"/>
              <w:left w:w="57" w:type="dxa"/>
              <w:bottom w:w="96" w:type="dxa"/>
              <w:right w:w="57" w:type="dxa"/>
            </w:tcMar>
            <w:vAlign w:val="center"/>
          </w:tcPr>
          <w:p w14:paraId="2729E7E2" w14:textId="77777777" w:rsidR="006A73B4" w:rsidRPr="00255002" w:rsidRDefault="006A73B4" w:rsidP="00974926">
            <w:pPr>
              <w:pStyle w:val="CDITable-TotalRowCentre"/>
            </w:pPr>
            <w:r w:rsidRPr="00255002">
              <w:t>41.4%</w:t>
            </w:r>
          </w:p>
        </w:tc>
        <w:tc>
          <w:tcPr>
            <w:tcW w:w="1191" w:type="dxa"/>
            <w:tcBorders>
              <w:top w:val="single" w:sz="6" w:space="0" w:color="1E4496" w:themeColor="text2"/>
              <w:bottom w:val="single" w:sz="6" w:space="0" w:color="1E4496" w:themeColor="text2"/>
              <w:right w:val="single" w:sz="6" w:space="0" w:color="1E4496" w:themeColor="text2"/>
            </w:tcBorders>
            <w:shd w:val="clear" w:color="auto" w:fill="53C9F1" w:themeFill="background2"/>
            <w:tcMar>
              <w:top w:w="96" w:type="dxa"/>
              <w:left w:w="57" w:type="dxa"/>
              <w:bottom w:w="96" w:type="dxa"/>
              <w:right w:w="57" w:type="dxa"/>
            </w:tcMar>
            <w:vAlign w:val="center"/>
          </w:tcPr>
          <w:p w14:paraId="0DB19515" w14:textId="77777777" w:rsidR="006A73B4" w:rsidRPr="00255002" w:rsidRDefault="006A73B4" w:rsidP="00974926">
            <w:pPr>
              <w:pStyle w:val="CDITable-TotalRowCentre"/>
            </w:pPr>
          </w:p>
        </w:tc>
        <w:tc>
          <w:tcPr>
            <w:tcW w:w="850" w:type="dxa"/>
            <w:tcBorders>
              <w:top w:val="single" w:sz="6" w:space="0" w:color="1E4496" w:themeColor="text2"/>
              <w:left w:val="single" w:sz="6" w:space="0" w:color="1E4496" w:themeColor="text2"/>
              <w:bottom w:val="single" w:sz="6" w:space="0" w:color="1E4496" w:themeColor="text2"/>
            </w:tcBorders>
            <w:shd w:val="clear" w:color="auto" w:fill="53C9F1" w:themeFill="background2"/>
            <w:tcMar>
              <w:top w:w="96" w:type="dxa"/>
              <w:left w:w="57" w:type="dxa"/>
              <w:bottom w:w="96" w:type="dxa"/>
              <w:right w:w="57" w:type="dxa"/>
            </w:tcMar>
            <w:vAlign w:val="center"/>
          </w:tcPr>
          <w:p w14:paraId="70B10125" w14:textId="77777777" w:rsidR="006A73B4" w:rsidRPr="00255002" w:rsidRDefault="006A73B4" w:rsidP="00974926">
            <w:pPr>
              <w:pStyle w:val="CDITable-TotalRowCentre"/>
            </w:pPr>
            <w:r w:rsidRPr="00255002">
              <w:t>13.4%</w:t>
            </w:r>
          </w:p>
        </w:tc>
        <w:tc>
          <w:tcPr>
            <w:tcW w:w="1190" w:type="dxa"/>
            <w:tcBorders>
              <w:top w:val="single" w:sz="6" w:space="0" w:color="1E4496" w:themeColor="text2"/>
              <w:bottom w:val="single" w:sz="6" w:space="0" w:color="1E4496" w:themeColor="text2"/>
              <w:right w:val="single" w:sz="6" w:space="0" w:color="1E4496" w:themeColor="text2"/>
            </w:tcBorders>
            <w:shd w:val="clear" w:color="auto" w:fill="53C9F1" w:themeFill="background2"/>
            <w:tcMar>
              <w:top w:w="96" w:type="dxa"/>
              <w:left w:w="57" w:type="dxa"/>
              <w:bottom w:w="96" w:type="dxa"/>
              <w:right w:w="57" w:type="dxa"/>
            </w:tcMar>
            <w:vAlign w:val="center"/>
          </w:tcPr>
          <w:p w14:paraId="5185E353" w14:textId="77777777" w:rsidR="006A73B4" w:rsidRPr="00255002" w:rsidRDefault="006A73B4" w:rsidP="00974926">
            <w:pPr>
              <w:pStyle w:val="CDITable-TotalRowCentre"/>
            </w:pPr>
          </w:p>
        </w:tc>
        <w:tc>
          <w:tcPr>
            <w:tcW w:w="851" w:type="dxa"/>
            <w:tcBorders>
              <w:top w:val="single" w:sz="6" w:space="0" w:color="1E4496" w:themeColor="text2"/>
              <w:left w:val="single" w:sz="6" w:space="0" w:color="1E4496" w:themeColor="text2"/>
              <w:bottom w:val="single" w:sz="6" w:space="0" w:color="1E4496" w:themeColor="text2"/>
            </w:tcBorders>
            <w:shd w:val="clear" w:color="auto" w:fill="53C9F1" w:themeFill="background2"/>
            <w:tcMar>
              <w:top w:w="96" w:type="dxa"/>
              <w:left w:w="57" w:type="dxa"/>
              <w:bottom w:w="96" w:type="dxa"/>
              <w:right w:w="57" w:type="dxa"/>
            </w:tcMar>
            <w:vAlign w:val="center"/>
          </w:tcPr>
          <w:p w14:paraId="186EBCCC" w14:textId="77777777" w:rsidR="006A73B4" w:rsidRPr="00255002" w:rsidRDefault="006A73B4" w:rsidP="00974926">
            <w:pPr>
              <w:pStyle w:val="CDITable-TotalRowCentre"/>
            </w:pPr>
            <w:r w:rsidRPr="00255002">
              <w:t>18.1%</w:t>
            </w:r>
          </w:p>
        </w:tc>
        <w:tc>
          <w:tcPr>
            <w:tcW w:w="1190" w:type="dxa"/>
            <w:tcBorders>
              <w:top w:val="single" w:sz="6" w:space="0" w:color="1E4496" w:themeColor="text2"/>
              <w:bottom w:val="single" w:sz="6" w:space="0" w:color="1E4496" w:themeColor="text2"/>
              <w:right w:val="single" w:sz="6" w:space="0" w:color="1E4496" w:themeColor="text2"/>
            </w:tcBorders>
            <w:shd w:val="clear" w:color="auto" w:fill="53C9F1" w:themeFill="background2"/>
            <w:tcMar>
              <w:top w:w="96" w:type="dxa"/>
              <w:left w:w="57" w:type="dxa"/>
              <w:bottom w:w="96" w:type="dxa"/>
              <w:right w:w="57" w:type="dxa"/>
            </w:tcMar>
            <w:vAlign w:val="center"/>
          </w:tcPr>
          <w:p w14:paraId="6B4DA92F" w14:textId="77777777" w:rsidR="006A73B4" w:rsidRPr="00255002" w:rsidRDefault="006A73B4" w:rsidP="00974926">
            <w:pPr>
              <w:pStyle w:val="CDITable-TotalRowCentre"/>
            </w:pPr>
          </w:p>
        </w:tc>
        <w:tc>
          <w:tcPr>
            <w:tcW w:w="851" w:type="dxa"/>
            <w:tcBorders>
              <w:top w:val="single" w:sz="6" w:space="0" w:color="1E4496" w:themeColor="text2"/>
              <w:left w:val="single" w:sz="6" w:space="0" w:color="1E4496" w:themeColor="text2"/>
              <w:bottom w:val="single" w:sz="6" w:space="0" w:color="1E4496" w:themeColor="text2"/>
            </w:tcBorders>
            <w:shd w:val="clear" w:color="auto" w:fill="53C9F1" w:themeFill="background2"/>
            <w:tcMar>
              <w:top w:w="96" w:type="dxa"/>
              <w:left w:w="57" w:type="dxa"/>
              <w:bottom w:w="96" w:type="dxa"/>
              <w:right w:w="57" w:type="dxa"/>
            </w:tcMar>
            <w:vAlign w:val="center"/>
          </w:tcPr>
          <w:p w14:paraId="1D60706E" w14:textId="77777777" w:rsidR="006A73B4" w:rsidRPr="00255002" w:rsidRDefault="006A73B4" w:rsidP="00974926">
            <w:pPr>
              <w:pStyle w:val="CDITable-TotalRowCentre"/>
            </w:pPr>
            <w:r w:rsidRPr="00255002">
              <w:t>9.5%</w:t>
            </w:r>
          </w:p>
        </w:tc>
        <w:tc>
          <w:tcPr>
            <w:tcW w:w="1190" w:type="dxa"/>
            <w:tcBorders>
              <w:top w:val="single" w:sz="6" w:space="0" w:color="1E4496" w:themeColor="text2"/>
              <w:bottom w:val="single" w:sz="6" w:space="0" w:color="1E4496" w:themeColor="text2"/>
              <w:right w:val="single" w:sz="6" w:space="0" w:color="1E4496" w:themeColor="text2"/>
            </w:tcBorders>
            <w:shd w:val="clear" w:color="auto" w:fill="53C9F1" w:themeFill="background2"/>
            <w:tcMar>
              <w:top w:w="96" w:type="dxa"/>
              <w:left w:w="57" w:type="dxa"/>
              <w:bottom w:w="96" w:type="dxa"/>
              <w:right w:w="57" w:type="dxa"/>
            </w:tcMar>
            <w:vAlign w:val="center"/>
          </w:tcPr>
          <w:p w14:paraId="17C5E549" w14:textId="77777777" w:rsidR="006A73B4" w:rsidRPr="00255002" w:rsidRDefault="006A73B4" w:rsidP="00974926">
            <w:pPr>
              <w:pStyle w:val="CDITable-TotalRowCentre"/>
            </w:pPr>
          </w:p>
        </w:tc>
        <w:tc>
          <w:tcPr>
            <w:tcW w:w="851" w:type="dxa"/>
            <w:tcBorders>
              <w:top w:val="single" w:sz="6" w:space="0" w:color="1E4496" w:themeColor="text2"/>
              <w:left w:val="single" w:sz="6" w:space="0" w:color="1E4496" w:themeColor="text2"/>
              <w:bottom w:val="single" w:sz="6" w:space="0" w:color="1E4496" w:themeColor="text2"/>
            </w:tcBorders>
            <w:shd w:val="clear" w:color="auto" w:fill="53C9F1" w:themeFill="background2"/>
            <w:tcMar>
              <w:top w:w="96" w:type="dxa"/>
              <w:left w:w="57" w:type="dxa"/>
              <w:bottom w:w="96" w:type="dxa"/>
              <w:right w:w="57" w:type="dxa"/>
            </w:tcMar>
            <w:vAlign w:val="center"/>
          </w:tcPr>
          <w:p w14:paraId="1DF9D346" w14:textId="77777777" w:rsidR="006A73B4" w:rsidRPr="00255002" w:rsidRDefault="006A73B4" w:rsidP="00974926">
            <w:pPr>
              <w:pStyle w:val="CDITable-TotalRowCentre"/>
            </w:pPr>
          </w:p>
        </w:tc>
        <w:tc>
          <w:tcPr>
            <w:tcW w:w="1190" w:type="dxa"/>
            <w:tcBorders>
              <w:top w:val="single" w:sz="6" w:space="0" w:color="1E4496" w:themeColor="text2"/>
              <w:bottom w:val="single" w:sz="6" w:space="0" w:color="1E4496" w:themeColor="text2"/>
            </w:tcBorders>
            <w:shd w:val="clear" w:color="auto" w:fill="53C9F1" w:themeFill="background2"/>
            <w:tcMar>
              <w:top w:w="96" w:type="dxa"/>
              <w:left w:w="57" w:type="dxa"/>
              <w:bottom w:w="96" w:type="dxa"/>
              <w:right w:w="57" w:type="dxa"/>
            </w:tcMar>
            <w:vAlign w:val="center"/>
          </w:tcPr>
          <w:p w14:paraId="142AEF49" w14:textId="77777777" w:rsidR="006A73B4" w:rsidRPr="00255002" w:rsidRDefault="006A73B4" w:rsidP="00974926">
            <w:pPr>
              <w:pStyle w:val="CDITable-TotalRowCentre"/>
            </w:pPr>
          </w:p>
        </w:tc>
      </w:tr>
    </w:tbl>
    <w:p w14:paraId="60E7F137" w14:textId="77777777" w:rsidR="00923250" w:rsidRPr="00923250" w:rsidRDefault="00923250" w:rsidP="00255002">
      <w:pPr>
        <w:pStyle w:val="CDITable-FirstFootnote"/>
        <w:rPr>
          <w:lang w:val="en-GB"/>
        </w:rPr>
      </w:pPr>
      <w:proofErr w:type="spellStart"/>
      <w:r w:rsidRPr="00923250">
        <w:rPr>
          <w:lang w:val="en-GB"/>
        </w:rPr>
        <w:t>a</w:t>
      </w:r>
      <w:proofErr w:type="spellEnd"/>
      <w:r w:rsidRPr="00923250">
        <w:rPr>
          <w:lang w:val="en-GB"/>
        </w:rPr>
        <w:tab/>
        <w:t>This table presents counts and percentages of reported adverse events whereby one person may report more than one adverse event. Percentage is calculated based on all adverse events reported in that age group.</w:t>
      </w:r>
    </w:p>
    <w:p w14:paraId="3D1DA2F2" w14:textId="77777777" w:rsidR="00923250" w:rsidRPr="00923250" w:rsidRDefault="00923250" w:rsidP="00923250">
      <w:pPr>
        <w:pStyle w:val="CDITable-Footnote"/>
        <w:rPr>
          <w:lang w:val="en-GB"/>
        </w:rPr>
      </w:pPr>
      <w:r w:rsidRPr="00923250">
        <w:rPr>
          <w:lang w:val="en-GB"/>
        </w:rPr>
        <w:t>b</w:t>
      </w:r>
      <w:r w:rsidRPr="00923250">
        <w:rPr>
          <w:lang w:val="en-GB"/>
        </w:rPr>
        <w:tab/>
        <w:t>Values with dark grey shading indicate higher reporting of adverse events of interest within specific age-group variations.</w:t>
      </w:r>
    </w:p>
    <w:p w14:paraId="35010132" w14:textId="77777777" w:rsidR="00923250" w:rsidRPr="00923250" w:rsidRDefault="00923250" w:rsidP="00923250">
      <w:pPr>
        <w:pStyle w:val="CDITable-Footnote"/>
        <w:rPr>
          <w:lang w:val="en-GB"/>
        </w:rPr>
      </w:pPr>
      <w:r w:rsidRPr="00923250">
        <w:rPr>
          <w:lang w:val="en-GB"/>
        </w:rPr>
        <w:t>c</w:t>
      </w:r>
      <w:r w:rsidRPr="00923250">
        <w:rPr>
          <w:lang w:val="en-GB"/>
        </w:rPr>
        <w:tab/>
        <w:t>Restricted movement, also known as restricted movement of the shoulder, is a symptom that forms part of the clinical assessment of shoulder pain related to vaccine administration (SIRVA).</w:t>
      </w:r>
    </w:p>
    <w:p w14:paraId="0297A87E" w14:textId="77777777" w:rsidR="00923250" w:rsidRPr="00923250" w:rsidRDefault="00923250" w:rsidP="00923250">
      <w:pPr>
        <w:pStyle w:val="CDITable-Footnote"/>
        <w:rPr>
          <w:lang w:val="en-GB"/>
        </w:rPr>
      </w:pPr>
      <w:r w:rsidRPr="00923250">
        <w:rPr>
          <w:lang w:val="en-GB"/>
        </w:rPr>
        <w:t>d</w:t>
      </w:r>
      <w:r w:rsidRPr="00923250">
        <w:rPr>
          <w:lang w:val="en-GB"/>
        </w:rPr>
        <w:tab/>
        <w:t>Hypotonic-hyporesponsive episode (HHE); definition is restricted to children aged &lt; 2 years.</w:t>
      </w:r>
    </w:p>
    <w:p w14:paraId="0F27AEA3" w14:textId="77777777" w:rsidR="00923250" w:rsidRPr="00923250" w:rsidRDefault="00923250" w:rsidP="00923250">
      <w:pPr>
        <w:pStyle w:val="CDITable-Footnote"/>
        <w:rPr>
          <w:lang w:val="en-GB"/>
        </w:rPr>
      </w:pPr>
      <w:r w:rsidRPr="00923250">
        <w:rPr>
          <w:lang w:val="en-GB"/>
        </w:rPr>
        <w:t>e</w:t>
      </w:r>
      <w:r w:rsidRPr="00923250">
        <w:rPr>
          <w:lang w:val="en-GB"/>
        </w:rPr>
        <w:tab/>
        <w:t>Behaviour change refers to a change in the vaccinee’s normal interaction with other people (including parents/carers) and their surroundings.</w:t>
      </w:r>
    </w:p>
    <w:p w14:paraId="3207032A" w14:textId="3B87582D" w:rsidR="001A53DB" w:rsidRDefault="00923250" w:rsidP="00923250">
      <w:pPr>
        <w:pStyle w:val="CDITable-Footnote"/>
        <w:rPr>
          <w:lang w:val="en-GB"/>
        </w:rPr>
      </w:pPr>
      <w:r w:rsidRPr="00923250">
        <w:rPr>
          <w:lang w:val="en-GB"/>
        </w:rPr>
        <w:t>f</w:t>
      </w:r>
      <w:r w:rsidRPr="00923250">
        <w:rPr>
          <w:lang w:val="en-GB"/>
        </w:rPr>
        <w:tab/>
        <w:t>Highlighted as a selected condition of interest.</w:t>
      </w:r>
    </w:p>
    <w:p w14:paraId="64FCA43F" w14:textId="77777777" w:rsidR="001A53DB" w:rsidRDefault="001A53DB" w:rsidP="00AC46DC">
      <w:pPr>
        <w:rPr>
          <w:lang w:val="en-GB"/>
        </w:rPr>
        <w:sectPr w:rsidR="001A53DB" w:rsidSect="001A53DB">
          <w:footnotePr>
            <w:numFmt w:val="lowerRoman"/>
          </w:footnotePr>
          <w:pgSz w:w="16840" w:h="11907" w:orient="landscape" w:code="9"/>
          <w:pgMar w:top="1134" w:right="1134" w:bottom="1134" w:left="1134" w:header="709" w:footer="567" w:gutter="0"/>
          <w:cols w:space="708"/>
          <w:docGrid w:linePitch="360"/>
        </w:sectPr>
      </w:pPr>
    </w:p>
    <w:p w14:paraId="047C013C" w14:textId="77777777" w:rsidR="00923250" w:rsidRPr="00923250" w:rsidRDefault="00923250" w:rsidP="00923250">
      <w:pPr>
        <w:pStyle w:val="Heading3"/>
        <w:spacing w:before="0"/>
        <w:rPr>
          <w:lang w:val="en-GB"/>
        </w:rPr>
      </w:pPr>
      <w:r w:rsidRPr="00923250">
        <w:rPr>
          <w:lang w:val="en-GB"/>
        </w:rPr>
        <w:lastRenderedPageBreak/>
        <w:t>Vaccine administration errors</w:t>
      </w:r>
    </w:p>
    <w:p w14:paraId="2448116C" w14:textId="77777777" w:rsidR="00923250" w:rsidRPr="00923250" w:rsidRDefault="00923250" w:rsidP="00923250">
      <w:pPr>
        <w:rPr>
          <w:lang w:val="en-GB"/>
        </w:rPr>
      </w:pPr>
      <w:r w:rsidRPr="00923250">
        <w:rPr>
          <w:lang w:val="en-GB"/>
        </w:rPr>
        <w:t xml:space="preserve">Vaccine administration errors were reported for 13.8% of AEFI reports: 14.2% (272/1,920) in 2019 and 13.5% (257/1,908) in 2020. This proportion of all reports was consistent at approximately 13.5% from 2018 to 2020 but was an observed increase on the preceding four-year average of 9.9% (2015–2018), </w:t>
      </w:r>
      <w:r w:rsidRPr="00923250">
        <w:rPr>
          <w:i/>
          <w:iCs/>
          <w:lang w:val="en-GB"/>
        </w:rPr>
        <w:t>p</w:t>
      </w:r>
      <w:r w:rsidRPr="00923250">
        <w:rPr>
          <w:lang w:val="en-GB"/>
        </w:rPr>
        <w:t xml:space="preserve"> &lt; 0.001 (Figure 5); this is consistent with an overall increase in reporting associated with additions to the NIP and no change to the type of error reported. Forty-six of the reports associated with vaccine administration error (9.6% [26/272] in 2019 and 7.8% [20/257] in 2020) described associated AEFI of localised injection site reaction, generalised or allergy-related reactions following the vaccination, but were not considered related to the vaccine administration error as likely due to symptoms/side effects associated with </w:t>
      </w:r>
      <w:proofErr w:type="spellStart"/>
      <w:r w:rsidRPr="00923250">
        <w:rPr>
          <w:lang w:val="en-GB"/>
        </w:rPr>
        <w:t>coadministered</w:t>
      </w:r>
      <w:proofErr w:type="spellEnd"/>
      <w:r w:rsidRPr="00923250">
        <w:rPr>
          <w:lang w:val="en-GB"/>
        </w:rPr>
        <w:t xml:space="preserve"> vaccines. Two reports described pregnancy-related outcomes: one of miscarriage (unable to determine if considered related to vaccination) and the other of congenital cataracts in the newborn following inadvertent maternal vaccination with a live MMR vaccine.</w:t>
      </w:r>
    </w:p>
    <w:p w14:paraId="7BD11FAB" w14:textId="77777777" w:rsidR="00923250" w:rsidRPr="00923250" w:rsidRDefault="00923250" w:rsidP="00923250">
      <w:pPr>
        <w:rPr>
          <w:lang w:val="en-GB"/>
        </w:rPr>
      </w:pPr>
      <w:r w:rsidRPr="00923250">
        <w:rPr>
          <w:lang w:val="en-GB"/>
        </w:rPr>
        <w:t>Administration of vaccines outside of recommendations were consistently the most frequently reported type of error (2019: 227/272 [83.5%] and 2020: 191/257 [74.3%]), including: wrong vaccine given; vaccine given at wrong age; repeat dose given; and incorrect interval between vaccine doses.</w:t>
      </w:r>
    </w:p>
    <w:p w14:paraId="20B8CF3F" w14:textId="77777777" w:rsidR="00923250" w:rsidRPr="00923250" w:rsidRDefault="00923250" w:rsidP="00923250">
      <w:pPr>
        <w:pStyle w:val="CDIFigure-Title"/>
        <w:rPr>
          <w:lang w:val="en-GB"/>
        </w:rPr>
      </w:pPr>
      <w:bookmarkStart w:id="40" w:name="_Toc222142544"/>
      <w:r w:rsidRPr="00923250">
        <w:rPr>
          <w:lang w:val="en-GB"/>
        </w:rPr>
        <w:t>Figure 5: Vaccine administration errors reported to SAEFVIC, Victoria, Australia, 2015–2020</w:t>
      </w:r>
      <w:bookmarkEnd w:id="40"/>
    </w:p>
    <w:p w14:paraId="1EE041E7" w14:textId="4903631A" w:rsidR="00923250" w:rsidRDefault="00923250" w:rsidP="00923250">
      <w:pPr>
        <w:pStyle w:val="CDIFigure-Placeholder"/>
        <w:rPr>
          <w:lang w:val="en-GB"/>
        </w:rPr>
      </w:pPr>
      <w:r>
        <w:rPr>
          <w:noProof/>
          <w:lang w:val="en-GB"/>
          <w14:ligatures w14:val="none"/>
        </w:rPr>
        <w:drawing>
          <wp:inline distT="0" distB="0" distL="0" distR="0" wp14:anchorId="7C568DC9" wp14:editId="3C9A79C9">
            <wp:extent cx="6120765" cy="2701925"/>
            <wp:effectExtent l="0" t="0" r="0" b="3175"/>
            <wp:docPr id="1716605639" name="Picture 6" descr="Dual column and line graph with the primary axis showing the count of vaccine error reports by year reported from 2015 to 2020. The secondary axis (line graph) demonstrates the contribution of vaccine error reports to all AEFI reports as a percentage, by year reported. Reporting of vaccine errors as a count and percentage of all reports peaked in 2019 at 272 reports and 14.2% respectively after increasing from 2016. Vaccine error reporting volume and percentage plateaued in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05639" name="Picture 6" descr="Dual column and line graph with the primary axis showing the count of vaccine error reports by year reported from 2015 to 2020. The secondary axis (line graph) demonstrates the contribution of vaccine error reports to all AEFI reports as a percentage, by year reported. Reporting of vaccine errors as a count and percentage of all reports peaked in 2019 at 272 reports and 14.2% respectively after increasing from 2016. Vaccine error reporting volume and percentage plateaued in 2020."/>
                    <pic:cNvPicPr/>
                  </pic:nvPicPr>
                  <pic:blipFill>
                    <a:blip r:embed="rId28">
                      <a:extLst>
                        <a:ext uri="{28A0092B-C50C-407E-A947-70E740481C1C}">
                          <a14:useLocalDpi xmlns:a14="http://schemas.microsoft.com/office/drawing/2010/main" val="0"/>
                        </a:ext>
                      </a:extLst>
                    </a:blip>
                    <a:stretch>
                      <a:fillRect/>
                    </a:stretch>
                  </pic:blipFill>
                  <pic:spPr>
                    <a:xfrm>
                      <a:off x="0" y="0"/>
                      <a:ext cx="6120765" cy="2701925"/>
                    </a:xfrm>
                    <a:prstGeom prst="rect">
                      <a:avLst/>
                    </a:prstGeom>
                  </pic:spPr>
                </pic:pic>
              </a:graphicData>
            </a:graphic>
          </wp:inline>
        </w:drawing>
      </w:r>
      <w:r>
        <w:rPr>
          <w:lang w:val="en-GB"/>
        </w:rPr>
        <w:br w:type="page"/>
      </w:r>
    </w:p>
    <w:p w14:paraId="3996FCD0" w14:textId="77777777" w:rsidR="00923250" w:rsidRPr="00923250" w:rsidRDefault="00923250" w:rsidP="00923250">
      <w:pPr>
        <w:pStyle w:val="Heading3"/>
        <w:rPr>
          <w:lang w:val="en-GB"/>
        </w:rPr>
      </w:pPr>
      <w:r w:rsidRPr="00923250">
        <w:rPr>
          <w:lang w:val="en-GB"/>
        </w:rPr>
        <w:lastRenderedPageBreak/>
        <w:t>Targeted monitoring</w:t>
      </w:r>
    </w:p>
    <w:p w14:paraId="706D9C90" w14:textId="77777777" w:rsidR="00923250" w:rsidRPr="00923250" w:rsidRDefault="00923250" w:rsidP="00923250">
      <w:pPr>
        <w:rPr>
          <w:lang w:val="en-GB"/>
        </w:rPr>
      </w:pPr>
      <w:r w:rsidRPr="00923250">
        <w:rPr>
          <w:lang w:val="en-GB"/>
        </w:rPr>
        <w:t>SAEFVIC conducts enhanced surveillance of new vaccines or immunisation program changes to monitor for potential vaccine safety signals. Vaccines and vaccination programs under enhanced surveillance during 2019 and 2020 are detailed in Table 6.</w:t>
      </w:r>
    </w:p>
    <w:p w14:paraId="381C3AD2" w14:textId="77777777" w:rsidR="00923250" w:rsidRPr="00923250" w:rsidRDefault="00923250" w:rsidP="00923250">
      <w:pPr>
        <w:pStyle w:val="Heading3"/>
        <w:rPr>
          <w:lang w:val="en-GB"/>
        </w:rPr>
      </w:pPr>
      <w:r w:rsidRPr="00923250">
        <w:rPr>
          <w:lang w:val="en-GB"/>
        </w:rPr>
        <w:t>Signal investigations</w:t>
      </w:r>
    </w:p>
    <w:p w14:paraId="2E096388" w14:textId="77777777" w:rsidR="00923250" w:rsidRPr="00923250" w:rsidRDefault="00923250" w:rsidP="00923250">
      <w:pPr>
        <w:rPr>
          <w:lang w:val="en-GB"/>
        </w:rPr>
      </w:pPr>
      <w:r w:rsidRPr="00923250">
        <w:rPr>
          <w:lang w:val="en-GB"/>
        </w:rPr>
        <w:t>No safety signals were detected or investigated in 2019.</w:t>
      </w:r>
    </w:p>
    <w:p w14:paraId="393C18B2" w14:textId="77777777" w:rsidR="00923250" w:rsidRPr="00923250" w:rsidRDefault="00923250" w:rsidP="00923250">
      <w:pPr>
        <w:rPr>
          <w:lang w:val="en-GB"/>
        </w:rPr>
      </w:pPr>
      <w:r w:rsidRPr="00923250">
        <w:rPr>
          <w:lang w:val="en-GB"/>
        </w:rPr>
        <w:t>An investigation into seizures (febrile and afebrile) following influenza vaccination was undertaken after a perceived increase in reporting during the early portion of the 2020 influenza season (March–October). The investigation determined the signal was likely attributable to increased vaccine administration, with the PRR of seizure-related AEFI, compared against previous years, never crossing the threshold for signal detection (Table 6). Monitoring of the remaining 2020 influenza season for additional reports did not reveal any further signals. Detailed analysis was conducted at the conclusion of the season, in collaboration with the Australian national regulator, the Therapeutic Goods Administration (TGA).</w:t>
      </w:r>
    </w:p>
    <w:p w14:paraId="620BB1B5" w14:textId="77777777" w:rsidR="00923250" w:rsidRDefault="00923250" w:rsidP="00923250">
      <w:pPr>
        <w:rPr>
          <w:lang w:val="en-GB"/>
        </w:rPr>
        <w:sectPr w:rsidR="00923250" w:rsidSect="001E3ECB">
          <w:footnotePr>
            <w:numFmt w:val="lowerRoman"/>
          </w:footnotePr>
          <w:pgSz w:w="11907" w:h="16840" w:code="9"/>
          <w:pgMar w:top="1134" w:right="1134" w:bottom="1134" w:left="1134" w:header="709" w:footer="567" w:gutter="0"/>
          <w:cols w:space="708"/>
          <w:docGrid w:linePitch="360"/>
        </w:sectPr>
      </w:pPr>
      <w:r w:rsidRPr="00923250">
        <w:rPr>
          <w:lang w:val="en-GB"/>
        </w:rPr>
        <w:t>Enhanced surveillance of SANE and SIRVA continued in 2019 and 2020 following detection of potential vaccine safety signals in 2018, with no further signals detected.</w:t>
      </w:r>
      <w:r w:rsidRPr="00923250">
        <w:rPr>
          <w:vertAlign w:val="superscript"/>
          <w:lang w:val="en-GB"/>
        </w:rPr>
        <w:t>6,26</w:t>
      </w:r>
      <w:r w:rsidRPr="00923250">
        <w:rPr>
          <w:lang w:val="en-GB"/>
        </w:rPr>
        <w:t xml:space="preserve"> </w:t>
      </w:r>
    </w:p>
    <w:p w14:paraId="0E57EC1C" w14:textId="77777777" w:rsidR="00923250" w:rsidRPr="00923250" w:rsidRDefault="00923250" w:rsidP="00923250">
      <w:pPr>
        <w:pStyle w:val="CDITable-Title"/>
        <w:spacing w:before="0"/>
        <w:rPr>
          <w:lang w:val="en-GB"/>
        </w:rPr>
      </w:pPr>
      <w:bookmarkStart w:id="41" w:name="_Toc222142533"/>
      <w:r w:rsidRPr="00923250">
        <w:rPr>
          <w:lang w:val="en-GB"/>
        </w:rPr>
        <w:lastRenderedPageBreak/>
        <w:t>Table 6: Targeted monitoring for vaccine pharmacovigilance, SAEFVIC, Victoria, Australia, 2019–2020</w:t>
      </w:r>
      <w:bookmarkEnd w:id="41"/>
    </w:p>
    <w:tbl>
      <w:tblPr>
        <w:tblW w:w="0" w:type="auto"/>
        <w:tblLayout w:type="fixed"/>
        <w:tblCellMar>
          <w:left w:w="0" w:type="dxa"/>
          <w:right w:w="0" w:type="dxa"/>
        </w:tblCellMar>
        <w:tblLook w:val="0000" w:firstRow="0" w:lastRow="0" w:firstColumn="0" w:lastColumn="0" w:noHBand="0" w:noVBand="0"/>
        <w:tblCaption w:val="Table 6: Targeted monitoring for vaccine pharmacovigilance, SAEFVIC, Victoria, Australia, 2019–2020"/>
        <w:tblDescription w:val="Table 6 shows the targeted monitoring of AEFI for the vaccine/population of interest, the period of monitoring, rationale and the findings."/>
      </w:tblPr>
      <w:tblGrid>
        <w:gridCol w:w="2211"/>
        <w:gridCol w:w="2211"/>
        <w:gridCol w:w="3855"/>
        <w:gridCol w:w="6066"/>
      </w:tblGrid>
      <w:tr w:rsidR="000B62CE" w:rsidRPr="000B62CE" w14:paraId="23532139" w14:textId="77777777" w:rsidTr="004514E9">
        <w:trPr>
          <w:trHeight w:val="60"/>
          <w:tblHeader/>
        </w:trPr>
        <w:tc>
          <w:tcPr>
            <w:tcW w:w="2211" w:type="dxa"/>
            <w:shd w:val="clear" w:color="auto" w:fill="1E4496" w:themeFill="text2"/>
            <w:tcMar>
              <w:top w:w="113" w:type="dxa"/>
              <w:left w:w="113" w:type="dxa"/>
              <w:bottom w:w="113" w:type="dxa"/>
              <w:right w:w="113" w:type="dxa"/>
            </w:tcMar>
            <w:vAlign w:val="bottom"/>
          </w:tcPr>
          <w:p w14:paraId="4CBD1ED3" w14:textId="77777777" w:rsidR="000B62CE" w:rsidRPr="000B62CE" w:rsidRDefault="000B62CE" w:rsidP="000B62CE">
            <w:pPr>
              <w:pStyle w:val="CDITable-HeaderRowLeft"/>
            </w:pPr>
            <w:r w:rsidRPr="000B62CE">
              <w:t>Vaccines/population</w:t>
            </w:r>
          </w:p>
        </w:tc>
        <w:tc>
          <w:tcPr>
            <w:tcW w:w="2211" w:type="dxa"/>
            <w:shd w:val="clear" w:color="auto" w:fill="1E4496" w:themeFill="text2"/>
            <w:tcMar>
              <w:top w:w="113" w:type="dxa"/>
              <w:left w:w="113" w:type="dxa"/>
              <w:bottom w:w="113" w:type="dxa"/>
              <w:right w:w="113" w:type="dxa"/>
            </w:tcMar>
            <w:vAlign w:val="bottom"/>
          </w:tcPr>
          <w:p w14:paraId="0E545D72" w14:textId="77777777" w:rsidR="000B62CE" w:rsidRPr="000B62CE" w:rsidRDefault="000B62CE" w:rsidP="000B62CE">
            <w:pPr>
              <w:pStyle w:val="CDITable-HeaderRowLeft"/>
            </w:pPr>
            <w:r w:rsidRPr="000B62CE">
              <w:t>Monitoring period</w:t>
            </w:r>
          </w:p>
        </w:tc>
        <w:tc>
          <w:tcPr>
            <w:tcW w:w="3855" w:type="dxa"/>
            <w:shd w:val="clear" w:color="auto" w:fill="1E4496" w:themeFill="text2"/>
            <w:tcMar>
              <w:top w:w="113" w:type="dxa"/>
              <w:left w:w="113" w:type="dxa"/>
              <w:bottom w:w="113" w:type="dxa"/>
              <w:right w:w="113" w:type="dxa"/>
            </w:tcMar>
            <w:vAlign w:val="bottom"/>
          </w:tcPr>
          <w:p w14:paraId="55919B41" w14:textId="77777777" w:rsidR="000B62CE" w:rsidRPr="000B62CE" w:rsidRDefault="000B62CE" w:rsidP="000B62CE">
            <w:pPr>
              <w:pStyle w:val="CDITable-HeaderRowLeft"/>
            </w:pPr>
            <w:r w:rsidRPr="000B62CE">
              <w:t>Reason for targeted monitoring</w:t>
            </w:r>
          </w:p>
        </w:tc>
        <w:tc>
          <w:tcPr>
            <w:tcW w:w="6066" w:type="dxa"/>
            <w:shd w:val="clear" w:color="auto" w:fill="1E4496" w:themeFill="text2"/>
            <w:tcMar>
              <w:top w:w="113" w:type="dxa"/>
              <w:left w:w="113" w:type="dxa"/>
              <w:bottom w:w="113" w:type="dxa"/>
              <w:right w:w="113" w:type="dxa"/>
            </w:tcMar>
            <w:vAlign w:val="bottom"/>
          </w:tcPr>
          <w:p w14:paraId="4DFDF955" w14:textId="77777777" w:rsidR="000B62CE" w:rsidRPr="000B62CE" w:rsidRDefault="000B62CE" w:rsidP="000B62CE">
            <w:pPr>
              <w:pStyle w:val="CDITable-HeaderRowLeft"/>
            </w:pPr>
            <w:r w:rsidRPr="000B62CE">
              <w:t>Findings</w:t>
            </w:r>
          </w:p>
        </w:tc>
      </w:tr>
      <w:tr w:rsidR="000B62CE" w:rsidRPr="000B62CE" w14:paraId="678DF07F" w14:textId="77777777" w:rsidTr="004514E9">
        <w:trPr>
          <w:trHeight w:val="60"/>
        </w:trPr>
        <w:tc>
          <w:tcPr>
            <w:tcW w:w="2211" w:type="dxa"/>
            <w:tcBorders>
              <w:bottom w:val="single" w:sz="6" w:space="0" w:color="1E4496" w:themeColor="text2"/>
            </w:tcBorders>
            <w:tcMar>
              <w:top w:w="113" w:type="dxa"/>
              <w:left w:w="113" w:type="dxa"/>
              <w:bottom w:w="113" w:type="dxa"/>
              <w:right w:w="113" w:type="dxa"/>
            </w:tcMar>
            <w:vAlign w:val="center"/>
          </w:tcPr>
          <w:p w14:paraId="472E5E66" w14:textId="77777777" w:rsidR="000B62CE" w:rsidRPr="000B62CE" w:rsidRDefault="000B62CE" w:rsidP="004514E9">
            <w:pPr>
              <w:pStyle w:val="CDITable-RowLeft"/>
            </w:pPr>
            <w:r w:rsidRPr="000B62CE">
              <w:t>Influenza</w:t>
            </w:r>
          </w:p>
        </w:tc>
        <w:tc>
          <w:tcPr>
            <w:tcW w:w="2211" w:type="dxa"/>
            <w:tcBorders>
              <w:bottom w:val="single" w:sz="6" w:space="0" w:color="1E4496" w:themeColor="text2"/>
            </w:tcBorders>
            <w:tcMar>
              <w:top w:w="113" w:type="dxa"/>
              <w:left w:w="113" w:type="dxa"/>
              <w:bottom w:w="113" w:type="dxa"/>
              <w:right w:w="113" w:type="dxa"/>
            </w:tcMar>
            <w:vAlign w:val="center"/>
          </w:tcPr>
          <w:p w14:paraId="58E84EF6" w14:textId="7955873A" w:rsidR="000B62CE" w:rsidRPr="000B62CE" w:rsidRDefault="000B62CE" w:rsidP="004514E9">
            <w:pPr>
              <w:pStyle w:val="CDITable-RowLeft"/>
            </w:pPr>
            <w:r w:rsidRPr="000B62CE">
              <w:t>Annual seasonal (March</w:t>
            </w:r>
            <w:r w:rsidR="004514E9">
              <w:t> </w:t>
            </w:r>
            <w:r w:rsidRPr="000B62CE">
              <w:t>to October)</w:t>
            </w:r>
          </w:p>
        </w:tc>
        <w:tc>
          <w:tcPr>
            <w:tcW w:w="3855" w:type="dxa"/>
            <w:tcBorders>
              <w:bottom w:val="single" w:sz="6" w:space="0" w:color="1E4496" w:themeColor="text2"/>
            </w:tcBorders>
            <w:tcMar>
              <w:top w:w="113" w:type="dxa"/>
              <w:left w:w="113" w:type="dxa"/>
              <w:bottom w:w="113" w:type="dxa"/>
              <w:right w:w="113" w:type="dxa"/>
            </w:tcMar>
            <w:vAlign w:val="center"/>
          </w:tcPr>
          <w:p w14:paraId="632A2063" w14:textId="77777777" w:rsidR="000B62CE" w:rsidRPr="000B62CE" w:rsidRDefault="000B62CE" w:rsidP="004514E9">
            <w:pPr>
              <w:pStyle w:val="CDITable-RowLeft"/>
            </w:pPr>
            <w:r w:rsidRPr="000B62CE">
              <w:t xml:space="preserve">Seasonal changes to strain with </w:t>
            </w:r>
            <w:proofErr w:type="gramStart"/>
            <w:r w:rsidRPr="000B62CE">
              <w:t>past history</w:t>
            </w:r>
            <w:proofErr w:type="gramEnd"/>
            <w:r w:rsidRPr="000B62CE">
              <w:t xml:space="preserve"> of AEFI signal </w:t>
            </w:r>
            <w:proofErr w:type="spellStart"/>
            <w:r w:rsidRPr="000B62CE">
              <w:t>events</w:t>
            </w:r>
            <w:r w:rsidRPr="004514E9">
              <w:rPr>
                <w:vertAlign w:val="superscript"/>
              </w:rPr>
              <w:t>a</w:t>
            </w:r>
            <w:proofErr w:type="spellEnd"/>
          </w:p>
        </w:tc>
        <w:tc>
          <w:tcPr>
            <w:tcW w:w="6066" w:type="dxa"/>
            <w:tcBorders>
              <w:bottom w:val="single" w:sz="6" w:space="0" w:color="1E4496" w:themeColor="text2"/>
            </w:tcBorders>
            <w:tcMar>
              <w:top w:w="113" w:type="dxa"/>
              <w:left w:w="113" w:type="dxa"/>
              <w:bottom w:w="113" w:type="dxa"/>
              <w:right w:w="113" w:type="dxa"/>
            </w:tcMar>
            <w:vAlign w:val="center"/>
          </w:tcPr>
          <w:p w14:paraId="62295AD1" w14:textId="77777777" w:rsidR="000B62CE" w:rsidRPr="000B62CE" w:rsidRDefault="000B62CE" w:rsidP="004514E9">
            <w:pPr>
              <w:pStyle w:val="CDITable-RowLeft"/>
            </w:pPr>
            <w:r w:rsidRPr="000B62CE">
              <w:t>Perceived increase in reporting of seizures with seasonal influenza vaccines in 2020. Investigation determined the signal as likely attributable to increased vaccine administration earlier in the season. Detailed analysis undertaken at the conclusion of the season in collaboration with TGA concluded no signal indicated.</w:t>
            </w:r>
          </w:p>
        </w:tc>
      </w:tr>
      <w:tr w:rsidR="000B62CE" w:rsidRPr="000B62CE" w14:paraId="1DA38A12" w14:textId="77777777" w:rsidTr="004514E9">
        <w:trPr>
          <w:trHeight w:val="60"/>
        </w:trPr>
        <w:tc>
          <w:tcPr>
            <w:tcW w:w="221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50198B" w14:textId="77777777" w:rsidR="000B62CE" w:rsidRPr="000B62CE" w:rsidRDefault="000B62CE" w:rsidP="004514E9">
            <w:pPr>
              <w:pStyle w:val="CDITable-RowLeft"/>
            </w:pPr>
            <w:r w:rsidRPr="000B62CE">
              <w:t xml:space="preserve">Meningococcal ACWY </w:t>
            </w:r>
            <w:proofErr w:type="spellStart"/>
            <w:r w:rsidRPr="000B62CE">
              <w:t>Nimenrix</w:t>
            </w:r>
            <w:proofErr w:type="spellEnd"/>
            <w:r w:rsidRPr="004514E9">
              <w:rPr>
                <w:vertAlign w:val="superscript"/>
              </w:rPr>
              <w:t>®</w:t>
            </w:r>
          </w:p>
        </w:tc>
        <w:tc>
          <w:tcPr>
            <w:tcW w:w="221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AF0C86E" w14:textId="77777777" w:rsidR="000B62CE" w:rsidRPr="000B62CE" w:rsidRDefault="000B62CE" w:rsidP="004514E9">
            <w:pPr>
              <w:pStyle w:val="CDITable-RowLeft"/>
            </w:pPr>
            <w:r w:rsidRPr="000B62CE">
              <w:t>2019</w:t>
            </w:r>
          </w:p>
        </w:tc>
        <w:tc>
          <w:tcPr>
            <w:tcW w:w="385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246031E" w14:textId="77777777" w:rsidR="000B62CE" w:rsidRPr="000B62CE" w:rsidRDefault="000B62CE" w:rsidP="004514E9">
            <w:pPr>
              <w:pStyle w:val="CDITable-RowLeft"/>
            </w:pPr>
            <w:r w:rsidRPr="000B62CE">
              <w:t>New vaccine introduced to the Victorian school-based program for nationally funded ACWY meningococcal vaccine</w:t>
            </w:r>
          </w:p>
        </w:tc>
        <w:tc>
          <w:tcPr>
            <w:tcW w:w="606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2F289F7" w14:textId="77777777" w:rsidR="000B62CE" w:rsidRPr="000B62CE" w:rsidRDefault="000B62CE" w:rsidP="004514E9">
            <w:pPr>
              <w:pStyle w:val="CDITable-RowLeft"/>
            </w:pPr>
            <w:r w:rsidRPr="000B62CE">
              <w:t>22 AEFI reports received. No safety signals detected.</w:t>
            </w:r>
          </w:p>
        </w:tc>
      </w:tr>
      <w:tr w:rsidR="000B62CE" w:rsidRPr="000B62CE" w14:paraId="0FD937C4" w14:textId="77777777" w:rsidTr="004514E9">
        <w:trPr>
          <w:trHeight w:val="60"/>
        </w:trPr>
        <w:tc>
          <w:tcPr>
            <w:tcW w:w="221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5F49701" w14:textId="77777777" w:rsidR="000B62CE" w:rsidRPr="000B62CE" w:rsidRDefault="000B62CE" w:rsidP="004514E9">
            <w:pPr>
              <w:pStyle w:val="CDITable-RowLeft"/>
            </w:pPr>
            <w:r w:rsidRPr="000B62CE">
              <w:t>Pharmacist administered</w:t>
            </w:r>
          </w:p>
        </w:tc>
        <w:tc>
          <w:tcPr>
            <w:tcW w:w="221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351B943" w14:textId="77777777" w:rsidR="000B62CE" w:rsidRPr="000B62CE" w:rsidRDefault="000B62CE" w:rsidP="004514E9">
            <w:pPr>
              <w:pStyle w:val="CDITable-RowLeft"/>
            </w:pPr>
            <w:r w:rsidRPr="000B62CE">
              <w:t>2016-2019</w:t>
            </w:r>
          </w:p>
        </w:tc>
        <w:tc>
          <w:tcPr>
            <w:tcW w:w="385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3D0625" w14:textId="77777777" w:rsidR="000B62CE" w:rsidRPr="000B62CE" w:rsidRDefault="000B62CE" w:rsidP="004514E9">
            <w:pPr>
              <w:pStyle w:val="CDITable-RowLeft"/>
            </w:pPr>
            <w:r w:rsidRPr="000B62CE">
              <w:t>Implementation of Victorian Pharmacist-Administered Vaccination Program in 2016</w:t>
            </w:r>
          </w:p>
        </w:tc>
        <w:tc>
          <w:tcPr>
            <w:tcW w:w="606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D21AC3A" w14:textId="77777777" w:rsidR="000B62CE" w:rsidRPr="000B62CE" w:rsidRDefault="000B62CE" w:rsidP="004514E9">
            <w:pPr>
              <w:pStyle w:val="CDITable-RowLeft"/>
            </w:pPr>
            <w:r w:rsidRPr="000B62CE">
              <w:t xml:space="preserve">Small numbers of reports were submitted during 2019, with most common adverse events being pain in limb of injection site. This is consistent with the volume of reports documented for 2016—2018 </w:t>
            </w:r>
            <w:proofErr w:type="spellStart"/>
            <w:proofErr w:type="gramStart"/>
            <w:r w:rsidRPr="000B62CE">
              <w:t>previously.</w:t>
            </w:r>
            <w:r w:rsidRPr="004514E9">
              <w:rPr>
                <w:vertAlign w:val="superscript"/>
              </w:rPr>
              <w:t>b</w:t>
            </w:r>
            <w:proofErr w:type="spellEnd"/>
            <w:proofErr w:type="gramEnd"/>
          </w:p>
        </w:tc>
      </w:tr>
    </w:tbl>
    <w:p w14:paraId="7680C108" w14:textId="77777777" w:rsidR="00923250" w:rsidRPr="00923250" w:rsidRDefault="00923250" w:rsidP="00923250">
      <w:pPr>
        <w:pStyle w:val="CDITable-FirstFootnote"/>
        <w:rPr>
          <w:lang w:val="en-GB"/>
        </w:rPr>
      </w:pPr>
      <w:r w:rsidRPr="00923250">
        <w:rPr>
          <w:lang w:val="en-GB"/>
        </w:rPr>
        <w:t>a</w:t>
      </w:r>
      <w:r w:rsidRPr="00923250">
        <w:rPr>
          <w:lang w:val="en-GB"/>
        </w:rPr>
        <w:tab/>
        <w:t>References 24,25.</w:t>
      </w:r>
    </w:p>
    <w:p w14:paraId="3810FFAE" w14:textId="77777777" w:rsidR="00923250" w:rsidRDefault="00923250" w:rsidP="00923250">
      <w:pPr>
        <w:pStyle w:val="CDITable-Footnote"/>
        <w:rPr>
          <w:lang w:val="en-GB"/>
        </w:rPr>
        <w:sectPr w:rsidR="00923250" w:rsidSect="00923250">
          <w:footnotePr>
            <w:numFmt w:val="lowerRoman"/>
          </w:footnotePr>
          <w:pgSz w:w="16840" w:h="11907" w:orient="landscape" w:code="9"/>
          <w:pgMar w:top="1134" w:right="1134" w:bottom="1134" w:left="1134" w:header="709" w:footer="567" w:gutter="0"/>
          <w:cols w:space="708"/>
          <w:docGrid w:linePitch="360"/>
        </w:sectPr>
      </w:pPr>
      <w:r w:rsidRPr="00923250">
        <w:rPr>
          <w:lang w:val="en-GB"/>
        </w:rPr>
        <w:t>b</w:t>
      </w:r>
      <w:r w:rsidRPr="00923250">
        <w:rPr>
          <w:lang w:val="en-GB"/>
        </w:rPr>
        <w:tab/>
        <w:t>Reference 6.</w:t>
      </w:r>
    </w:p>
    <w:p w14:paraId="5D8EB092" w14:textId="24E25506" w:rsidR="00DA2159" w:rsidRDefault="00DA2159" w:rsidP="00DA2159">
      <w:pPr>
        <w:pStyle w:val="Heading2-nospacebefore"/>
      </w:pPr>
      <w:bookmarkStart w:id="42" w:name="_Toc222142596"/>
      <w:bookmarkStart w:id="43" w:name="_Toc195519590"/>
      <w:bookmarkStart w:id="44" w:name="_Toc195522359"/>
      <w:r w:rsidRPr="00DA2159">
        <w:lastRenderedPageBreak/>
        <w:t>SAEFVIC clinical services and education</w:t>
      </w:r>
      <w:bookmarkEnd w:id="42"/>
    </w:p>
    <w:p w14:paraId="47A65308" w14:textId="77777777" w:rsidR="00DA2159" w:rsidRPr="00DA2159" w:rsidRDefault="00DA2159" w:rsidP="00DA2159">
      <w:pPr>
        <w:pStyle w:val="Heading3-lessspacebefore"/>
        <w:rPr>
          <w:lang w:val="en-GB"/>
        </w:rPr>
      </w:pPr>
      <w:r w:rsidRPr="00DA2159">
        <w:rPr>
          <w:lang w:val="en-GB"/>
        </w:rPr>
        <w:t>Clinical review</w:t>
      </w:r>
    </w:p>
    <w:p w14:paraId="52CC4461" w14:textId="77777777" w:rsidR="00DA2159" w:rsidRPr="00DA2159" w:rsidRDefault="00DA2159" w:rsidP="00DA2159">
      <w:pPr>
        <w:rPr>
          <w:lang w:val="en-GB"/>
        </w:rPr>
      </w:pPr>
      <w:r w:rsidRPr="00DA2159">
        <w:rPr>
          <w:lang w:val="en-GB"/>
        </w:rPr>
        <w:t xml:space="preserve">Across 2019–2020, approximately one fifth (22%; 832/3,828) of persons reported with an AEFI accepted specialist clinical review. Services were accessed as on-site clinics at either one of the two tertiary hospitals (Monash Health or the Royal Children’s Hospital), via Telehealth, or at other metropolitan/rural services by arrangement (357/1,920: 18.6% in 2019 and 475/1,908: 24.9% in 2020). Consultations following reported AEFI in 2019 declined compared to the 2015–2018 four-year average: 18.6% vs. 22.8%; </w:t>
      </w:r>
      <w:r w:rsidRPr="00DA2159">
        <w:rPr>
          <w:i/>
          <w:iCs/>
          <w:lang w:val="en-GB"/>
        </w:rPr>
        <w:t>p</w:t>
      </w:r>
      <w:r w:rsidRPr="00DA2159">
        <w:rPr>
          <w:lang w:val="en-GB"/>
        </w:rPr>
        <w:t xml:space="preserve"> = 0.003, with the type of consultation remaining steady. Consultations in 2020 were stable compared to the 2015–2018 four-year average (24.9% vs. 22.8%), albeit with a significant increase in Telehealth consultations (149%; </w:t>
      </w:r>
      <w:r w:rsidRPr="00DA2159">
        <w:rPr>
          <w:i/>
          <w:iCs/>
          <w:lang w:val="en-GB"/>
        </w:rPr>
        <w:t>p</w:t>
      </w:r>
      <w:r w:rsidRPr="00DA2159">
        <w:rPr>
          <w:lang w:val="en-GB"/>
        </w:rPr>
        <w:t xml:space="preserve"> &lt; 0.001) (Figure 6). Of those attending a specialist service in 2020, the proportion who received subsequent vaccination through the service was 44.8% (198/442)—a decrease of 45% compared to 2019 (259/363; 71.3%; </w:t>
      </w:r>
      <w:r w:rsidRPr="00DA2159">
        <w:rPr>
          <w:i/>
          <w:iCs/>
          <w:lang w:val="en-GB"/>
        </w:rPr>
        <w:t>p</w:t>
      </w:r>
      <w:r w:rsidRPr="00DA2159">
        <w:rPr>
          <w:lang w:val="en-GB"/>
        </w:rPr>
        <w:t xml:space="preserve"> &lt; 0.001)—with 84 being admitted for day (n = 67) or overnight (n = 17) supervision. The decrease in in-clinic attendance and supervised vaccination in 2020 was coincident with Victorian COVID-19 pandemic movement restrictions</w:t>
      </w:r>
      <w:r w:rsidRPr="00DA2159">
        <w:rPr>
          <w:vertAlign w:val="superscript"/>
          <w:lang w:val="en-GB"/>
        </w:rPr>
        <w:t>27</w:t>
      </w:r>
      <w:r w:rsidRPr="00DA2159">
        <w:rPr>
          <w:lang w:val="en-GB"/>
        </w:rPr>
        <w:t xml:space="preserve"> and may not be indicative of an ongoing trend. It is noted that not all clinic attendees would require further vaccination at the time of their clinic visit.</w:t>
      </w:r>
    </w:p>
    <w:p w14:paraId="01681B5A" w14:textId="77777777" w:rsidR="00DA2159" w:rsidRPr="00DA2159" w:rsidRDefault="00DA2159" w:rsidP="00DA2159">
      <w:pPr>
        <w:pStyle w:val="CDIFigure-Title"/>
        <w:rPr>
          <w:lang w:val="en-GB"/>
        </w:rPr>
      </w:pPr>
      <w:bookmarkStart w:id="45" w:name="_Toc222142545"/>
      <w:r w:rsidRPr="00DA2159">
        <w:rPr>
          <w:lang w:val="en-GB"/>
        </w:rPr>
        <w:t>Figure 6: Type of clinic consultation attendance at Monash Health and the Royal Children’s Hospital, SAEFVIC, Victoria, Australia, 2015–2020</w:t>
      </w:r>
      <w:bookmarkEnd w:id="45"/>
    </w:p>
    <w:p w14:paraId="5CCCFA60" w14:textId="1EC15B3E" w:rsidR="00DA2159" w:rsidRDefault="00DA2159" w:rsidP="00DA2159">
      <w:pPr>
        <w:pStyle w:val="CDIFigure-Placeholder"/>
      </w:pPr>
      <w:r>
        <w:rPr>
          <w:noProof/>
          <w14:ligatures w14:val="none"/>
        </w:rPr>
        <w:drawing>
          <wp:inline distT="0" distB="0" distL="0" distR="0" wp14:anchorId="7AD62606" wp14:editId="1D3ADD62">
            <wp:extent cx="6120765" cy="3871126"/>
            <wp:effectExtent l="0" t="0" r="0" b="0"/>
            <wp:docPr id="265461656" name="Picture 7" descr="One hundred percent stacked chart showing the mode of attending a specialist clinic consultation by year attended from 2015 to 2020. In-person clinic visits was the main mode of attending specialist clinic consultation from 2015 at 96.9% to 2019 at 92.2%. In 2020, Telehealth was the most frequent mode of attending specialist clinic consultations at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461656" name="Picture 7" descr="One hundred percent stacked chart showing the mode of attending a specialist clinic consultation by year attended from 2015 to 2020. In-person clinic visits was the main mode of attending specialist clinic consultation from 2015 at 96.9% to 2019 at 92.2%. In 2020, Telehealth was the most frequent mode of attending specialist clinic consultations at 53.9%."/>
                    <pic:cNvPicPr/>
                  </pic:nvPicPr>
                  <pic:blipFill rotWithShape="1">
                    <a:blip r:embed="rId29">
                      <a:extLst>
                        <a:ext uri="{28A0092B-C50C-407E-A947-70E740481C1C}">
                          <a14:useLocalDpi xmlns:a14="http://schemas.microsoft.com/office/drawing/2010/main" val="0"/>
                        </a:ext>
                      </a:extLst>
                    </a:blip>
                    <a:srcRect t="2210"/>
                    <a:stretch>
                      <a:fillRect/>
                    </a:stretch>
                  </pic:blipFill>
                  <pic:spPr bwMode="auto">
                    <a:xfrm>
                      <a:off x="0" y="0"/>
                      <a:ext cx="6120765" cy="3871126"/>
                    </a:xfrm>
                    <a:prstGeom prst="rect">
                      <a:avLst/>
                    </a:prstGeom>
                    <a:ln>
                      <a:noFill/>
                    </a:ln>
                    <a:extLst>
                      <a:ext uri="{53640926-AAD7-44D8-BBD7-CCE9431645EC}">
                        <a14:shadowObscured xmlns:a14="http://schemas.microsoft.com/office/drawing/2010/main"/>
                      </a:ext>
                    </a:extLst>
                  </pic:spPr>
                </pic:pic>
              </a:graphicData>
            </a:graphic>
          </wp:inline>
        </w:drawing>
      </w:r>
    </w:p>
    <w:p w14:paraId="4B766523" w14:textId="77777777" w:rsidR="00DA2159" w:rsidRPr="00DA2159" w:rsidRDefault="00DA2159" w:rsidP="00DA2159">
      <w:pPr>
        <w:pStyle w:val="Heading3"/>
        <w:rPr>
          <w:lang w:val="en-GB"/>
        </w:rPr>
      </w:pPr>
      <w:r w:rsidRPr="00DA2159">
        <w:rPr>
          <w:lang w:val="en-GB"/>
        </w:rPr>
        <w:lastRenderedPageBreak/>
        <w:t>Immunisation advice</w:t>
      </w:r>
    </w:p>
    <w:p w14:paraId="1812CA28" w14:textId="77777777" w:rsidR="00DA2159" w:rsidRPr="00DA2159" w:rsidRDefault="00DA2159" w:rsidP="00DA2159">
      <w:pPr>
        <w:rPr>
          <w:lang w:val="en-GB"/>
        </w:rPr>
      </w:pPr>
      <w:r w:rsidRPr="00DA2159">
        <w:rPr>
          <w:lang w:val="en-GB"/>
        </w:rPr>
        <w:t>The SAEFVIC clinical team attended to 2,158 phone calls during 2020, which was a 31% decrease compared to 2019 (n = 2,974), noting that online enquiry and automated email responses had been implemented in early 2020 in response to COVID-19 pandemic measures.</w:t>
      </w:r>
      <w:r w:rsidRPr="00DA2159">
        <w:rPr>
          <w:vertAlign w:val="superscript"/>
          <w:lang w:val="en-GB"/>
        </w:rPr>
        <w:t>27,28</w:t>
      </w:r>
      <w:r w:rsidRPr="00DA2159">
        <w:rPr>
          <w:lang w:val="en-GB"/>
        </w:rPr>
        <w:t xml:space="preserve"> </w:t>
      </w:r>
    </w:p>
    <w:p w14:paraId="23E21D3A" w14:textId="77777777" w:rsidR="00DA2159" w:rsidRPr="00DA2159" w:rsidRDefault="00DA2159" w:rsidP="00DA2159">
      <w:pPr>
        <w:rPr>
          <w:lang w:val="en-GB"/>
        </w:rPr>
      </w:pPr>
      <w:r w:rsidRPr="00DA2159">
        <w:rPr>
          <w:lang w:val="en-GB"/>
        </w:rPr>
        <w:t>In collaboration with MVEC, SAEFVIC provided access to online resources for advice and information on specific vaccines, including at-risk populations. Tailored advice included influenza, zoster and meningococcal vaccines, and for Indigenous Australians, those with underlying chronic diseases, and those receiving treatment where certain vaccines (live) may be contraindicated.</w:t>
      </w:r>
      <w:r w:rsidRPr="00DA2159">
        <w:rPr>
          <w:vertAlign w:val="superscript"/>
          <w:lang w:val="en-GB"/>
        </w:rPr>
        <w:t>4</w:t>
      </w:r>
      <w:r w:rsidRPr="00DA2159">
        <w:rPr>
          <w:lang w:val="en-GB"/>
        </w:rPr>
        <w:t xml:space="preserve"> </w:t>
      </w:r>
    </w:p>
    <w:p w14:paraId="70D37F71" w14:textId="77777777" w:rsidR="00DA2159" w:rsidRPr="00DA2159" w:rsidRDefault="00DA2159" w:rsidP="00DA2159">
      <w:pPr>
        <w:pStyle w:val="Heading4"/>
        <w:rPr>
          <w:lang w:val="en-GB"/>
        </w:rPr>
      </w:pPr>
      <w:r w:rsidRPr="00DA2159">
        <w:rPr>
          <w:lang w:val="en-GB"/>
        </w:rPr>
        <w:t>Melbourne Vaccine Education centre (MVEC) activities</w:t>
      </w:r>
    </w:p>
    <w:p w14:paraId="7CCD0E5A" w14:textId="77777777" w:rsidR="00DA2159" w:rsidRPr="00DA2159" w:rsidRDefault="00DA2159" w:rsidP="00DA2159">
      <w:pPr>
        <w:rPr>
          <w:lang w:val="en-GB"/>
        </w:rPr>
      </w:pPr>
      <w:r w:rsidRPr="00DA2159">
        <w:rPr>
          <w:lang w:val="en-GB"/>
        </w:rPr>
        <w:t>The Clinical Vaccinology Update (CVU) is a series of educational conferences providing immunisation providers and healthcare professionals the opportunity to gather and discuss vaccine preventable disease epidemiology, vaccines, and vaccine safety.</w:t>
      </w:r>
    </w:p>
    <w:p w14:paraId="61ACA015" w14:textId="77777777" w:rsidR="00DA2159" w:rsidRPr="00DA2159" w:rsidRDefault="00DA2159" w:rsidP="00DA2159">
      <w:pPr>
        <w:rPr>
          <w:lang w:val="en-GB"/>
        </w:rPr>
      </w:pPr>
      <w:r w:rsidRPr="00DA2159">
        <w:rPr>
          <w:lang w:val="en-GB"/>
        </w:rPr>
        <w:t xml:space="preserve">In 2019, a total of 398 healthcare professionals attended the two symposiums held in April and November, covering a breadth of updates that included travel immunisations; immunisation errors and SIRVA; NIP schedule changes and immunisation policy; maternal immunisation; vaccine-preventable diseases; and immunisation in vulnerable groups. </w:t>
      </w:r>
    </w:p>
    <w:p w14:paraId="36863C8A" w14:textId="77777777" w:rsidR="00DA2159" w:rsidRPr="00DA2159" w:rsidRDefault="00DA2159" w:rsidP="00DA2159">
      <w:pPr>
        <w:rPr>
          <w:lang w:val="en-GB"/>
        </w:rPr>
      </w:pPr>
      <w:r w:rsidRPr="00DA2159">
        <w:rPr>
          <w:lang w:val="en-GB"/>
        </w:rPr>
        <w:t>The 2020 CVU symposium was held virtually due to the COVID-19 pandemic, with 426 individuals from around Australia and New Zealand attending. A considerable focus was placed on COVID-19 vaccines, but the symposium also covered updates on zoster, measles and influenza vaccines; immunisation by pharmacists; and vaccine communication and confidence. The most recent presentations were made available to healthcare professionals and the public on the MVEC website.</w:t>
      </w:r>
      <w:r w:rsidRPr="00DA2159">
        <w:rPr>
          <w:vertAlign w:val="superscript"/>
          <w:lang w:val="en-GB"/>
        </w:rPr>
        <w:t>29</w:t>
      </w:r>
    </w:p>
    <w:p w14:paraId="56CD5E16" w14:textId="77777777" w:rsidR="00DA2159" w:rsidRPr="00DA2159" w:rsidRDefault="00DA2159" w:rsidP="00DA2159">
      <w:pPr>
        <w:rPr>
          <w:lang w:val="en-GB"/>
        </w:rPr>
      </w:pPr>
      <w:r w:rsidRPr="00DA2159">
        <w:rPr>
          <w:lang w:val="en-GB"/>
        </w:rPr>
        <w:t>A mobile phone application for easy reference of the NIP was also created for immunisation providers (</w:t>
      </w:r>
      <w:proofErr w:type="spellStart"/>
      <w:r w:rsidRPr="00DA2159">
        <w:rPr>
          <w:lang w:val="en-GB"/>
        </w:rPr>
        <w:t>VicVax</w:t>
      </w:r>
      <w:proofErr w:type="spellEnd"/>
      <w:r w:rsidRPr="00DA2159">
        <w:rPr>
          <w:lang w:val="en-GB"/>
        </w:rPr>
        <w:t>); however, this application was removed for review given changes to the NIP in July 2020.</w:t>
      </w:r>
      <w:r w:rsidRPr="00DA2159">
        <w:rPr>
          <w:vertAlign w:val="superscript"/>
          <w:lang w:val="en-GB"/>
        </w:rPr>
        <w:t>30</w:t>
      </w:r>
      <w:r w:rsidRPr="00DA2159">
        <w:rPr>
          <w:lang w:val="en-GB"/>
        </w:rPr>
        <w:t xml:space="preserve"> Information packages were published online covering vaccine safety topics (Guillain-Barre syndrome, Kawasaki disease, and HHE), and vaccination recommendations on specific vaccines (such as Zostavax</w:t>
      </w:r>
      <w:r w:rsidRPr="00DA2159">
        <w:rPr>
          <w:vertAlign w:val="superscript"/>
          <w:lang w:val="en-GB"/>
        </w:rPr>
        <w:t>®</w:t>
      </w:r>
      <w:r w:rsidRPr="00DA2159">
        <w:rPr>
          <w:lang w:val="en-GB"/>
        </w:rPr>
        <w:t xml:space="preserve"> and immunocompromised individuals) or for specific at-risk groups. </w:t>
      </w:r>
    </w:p>
    <w:p w14:paraId="4031D286" w14:textId="386856D3" w:rsidR="00DA2159" w:rsidRDefault="00DA2159" w:rsidP="00DA2159">
      <w:r w:rsidRPr="00DA2159">
        <w:rPr>
          <w:lang w:val="en-GB"/>
        </w:rPr>
        <w:t>A designated section of the MVEC website was allocated for information on COVID-19 vaccines and the anticipated commencement of the vaccination program in Australia. This section catered for increased traffic accessing this topic, and for additional resources to be added including the special podcast series ‘COVID-19 Road to a vaccine,’ capturing information on vaccine development, safety and efficacy, and managing trials and obstacles.</w:t>
      </w:r>
      <w:r w:rsidRPr="00DA2159">
        <w:rPr>
          <w:vertAlign w:val="superscript"/>
          <w:lang w:val="en-GB"/>
        </w:rPr>
        <w:t>31</w:t>
      </w:r>
    </w:p>
    <w:p w14:paraId="7B94764D" w14:textId="0DF3D067" w:rsidR="006E0B0E" w:rsidRDefault="008017B6" w:rsidP="00923250">
      <w:pPr>
        <w:pStyle w:val="Heading1-nospacebefore"/>
      </w:pPr>
      <w:bookmarkStart w:id="46" w:name="_Toc222142597"/>
      <w:r>
        <w:lastRenderedPageBreak/>
        <w:t>Discussion</w:t>
      </w:r>
      <w:bookmarkEnd w:id="46"/>
    </w:p>
    <w:p w14:paraId="65F19902" w14:textId="77777777" w:rsidR="00DA2159" w:rsidRPr="00DA2159" w:rsidRDefault="00DA2159" w:rsidP="00DA2159">
      <w:pPr>
        <w:rPr>
          <w:lang w:val="en-GB"/>
        </w:rPr>
      </w:pPr>
      <w:r w:rsidRPr="00DA2159">
        <w:rPr>
          <w:lang w:val="en-GB"/>
        </w:rPr>
        <w:t>SAEFVIC continues to provide robust AEFI surveillance with an annual reporting rate of approximately 28 per 100,000 population, the highest AEFI reporting ascertainment nationwide.</w:t>
      </w:r>
      <w:r w:rsidRPr="00DA2159">
        <w:rPr>
          <w:vertAlign w:val="superscript"/>
          <w:lang w:val="en-GB"/>
        </w:rPr>
        <w:t>2,32</w:t>
      </w:r>
      <w:r w:rsidRPr="00DA2159">
        <w:rPr>
          <w:lang w:val="en-GB"/>
        </w:rPr>
        <w:t xml:space="preserve"> Uptake of online reporting has stabilised at approximately half of reports submitted, highlighting a continued demand for personalised telephone enquiry response. The distribution of AEFI reporting by age (with the exception of school-aged children in 2020, due to school-based vaccination delivery changes in line with pandemic public health measures),</w:t>
      </w:r>
      <w:r w:rsidRPr="00DA2159">
        <w:rPr>
          <w:vertAlign w:val="superscript"/>
          <w:lang w:val="en-GB"/>
        </w:rPr>
        <w:t>23</w:t>
      </w:r>
      <w:r w:rsidRPr="00DA2159">
        <w:rPr>
          <w:lang w:val="en-GB"/>
        </w:rPr>
        <w:t xml:space="preserve"> sex, Indigenous Australian status, type of reporter, adverse events defined as serious, and the most frequently reported adverse events remained stable into the 2019–2020 period, with any observed variations consistent with NIP schedule changes occurring at the time. </w:t>
      </w:r>
    </w:p>
    <w:p w14:paraId="0087BFC4" w14:textId="77777777" w:rsidR="00DA2159" w:rsidRPr="00DA2159" w:rsidRDefault="00DA2159" w:rsidP="00DA2159">
      <w:pPr>
        <w:rPr>
          <w:lang w:val="en-GB"/>
        </w:rPr>
      </w:pPr>
      <w:r w:rsidRPr="00DA2159">
        <w:rPr>
          <w:lang w:val="en-GB"/>
        </w:rPr>
        <w:t>This is the first Victorian report to determine vaccine-specific AEFI reporting rates for all ages groups by doses administered, using vaccination encounter records in AIR as a denominator. The continued improvements to the national register has ranged from merging records from the Australian Childhood Immunisation Register to incentivising immunisation providers to electronically record vaccination encounters, all aimed at providing an accurate record of vaccination for all age groups.</w:t>
      </w:r>
      <w:r w:rsidRPr="00DA2159">
        <w:rPr>
          <w:vertAlign w:val="superscript"/>
          <w:lang w:val="en-GB"/>
        </w:rPr>
        <w:t>33,34</w:t>
      </w:r>
      <w:r w:rsidRPr="00DA2159">
        <w:rPr>
          <w:lang w:val="en-GB"/>
        </w:rPr>
        <w:t xml:space="preserve"> These improvements have allowed exploration of reporting trends as a rate per doses administered over time, as well as an improved ability to investigate potential safety signals that could inform risk mitigation through policy change.</w:t>
      </w:r>
    </w:p>
    <w:p w14:paraId="72D4741A" w14:textId="77777777" w:rsidR="00DA2159" w:rsidRPr="00DA2159" w:rsidRDefault="00DA2159" w:rsidP="00DA2159">
      <w:pPr>
        <w:rPr>
          <w:lang w:val="en-GB"/>
        </w:rPr>
      </w:pPr>
      <w:r w:rsidRPr="00DA2159">
        <w:rPr>
          <w:lang w:val="en-GB"/>
        </w:rPr>
        <w:t>The sex distribution of AEFI reports received in 2019 and 2020 was comparable to that seen in previous years, with a higher female proportional reporting noted in adult and older person age groups. This was surmised to be due to increased vaccine uptake in target groups of health workers, older persons and in pregnancy, which have female predominance. The potential for sex inequity of safe vaccination, either through higher rates of AEFI in females, or through under-reporting in males, requires further investigation.</w:t>
      </w:r>
    </w:p>
    <w:p w14:paraId="5B770899" w14:textId="337F4230" w:rsidR="00DA2159" w:rsidRPr="00DA2159" w:rsidRDefault="00DA2159" w:rsidP="00DA2159">
      <w:pPr>
        <w:rPr>
          <w:lang w:val="en-GB"/>
        </w:rPr>
      </w:pPr>
      <w:r w:rsidRPr="00DA2159">
        <w:rPr>
          <w:lang w:val="en-GB"/>
        </w:rPr>
        <w:t>With the exception for the school-aged children age group, the reporting volume of AEFI remained stable through 2019 into 2020, where the latter was a year that saw a significant public health response to the COVID-19 pandemic by instigating personal movement restrictions to curtail transmission of SARS-CoV-2 in the community, prior to the availability of COVID-19 vaccines</w:t>
      </w:r>
      <w:r w:rsidRPr="00DA2159">
        <w:rPr>
          <w:vertAlign w:val="superscript"/>
          <w:lang w:val="en-GB"/>
        </w:rPr>
        <w:t>23,27</w:t>
      </w:r>
      <w:r w:rsidRPr="00DA2159">
        <w:rPr>
          <w:lang w:val="en-GB"/>
        </w:rPr>
        <w:t xml:space="preserve"> School closures causing disruption to the school-based vaccination programs during the start of the pandemic may have contributed to the decline in AEFI reporting volume for school-aged children.</w:t>
      </w:r>
      <w:r w:rsidRPr="00DA2159">
        <w:rPr>
          <w:vertAlign w:val="superscript"/>
          <w:lang w:val="en-GB"/>
        </w:rPr>
        <w:t>23</w:t>
      </w:r>
      <w:r w:rsidRPr="00DA2159">
        <w:rPr>
          <w:lang w:val="en-GB"/>
        </w:rPr>
        <w:t xml:space="preserve"> </w:t>
      </w:r>
    </w:p>
    <w:p w14:paraId="0091C468" w14:textId="77777777" w:rsidR="00DA2159" w:rsidRPr="00DA2159" w:rsidRDefault="00DA2159" w:rsidP="00DA2159">
      <w:pPr>
        <w:rPr>
          <w:lang w:val="en-GB"/>
        </w:rPr>
      </w:pPr>
      <w:r w:rsidRPr="00DA2159">
        <w:rPr>
          <w:lang w:val="en-GB"/>
        </w:rPr>
        <w:t xml:space="preserve">Undertaking targeted enhanced surveillance for new or current vaccines administered through a new provider type or to an at-risk population allows SAEFVIC to effectively detect and investigate vaccine safety issues. Any vaccine safety issues identified from the enhanced surveillance informs evidence-based recommendations for policy change, which is aimed at reducing risk of harm and at keeping vaccination in the community safe. For example, the scope of pharmacists participating in the Victorian Pharmacist-Administered Vaccination program expanded in 2019 to provide additional vaccines to a wider age range of vaccinees. Additionally, the replacement of </w:t>
      </w:r>
      <w:proofErr w:type="spellStart"/>
      <w:r w:rsidRPr="00DA2159">
        <w:rPr>
          <w:lang w:val="en-GB"/>
        </w:rPr>
        <w:t>Menactra</w:t>
      </w:r>
      <w:proofErr w:type="spellEnd"/>
      <w:r w:rsidRPr="00DA2159">
        <w:rPr>
          <w:vertAlign w:val="superscript"/>
          <w:lang w:val="en-GB"/>
        </w:rPr>
        <w:t>®</w:t>
      </w:r>
      <w:r w:rsidRPr="00DA2159">
        <w:rPr>
          <w:lang w:val="en-GB"/>
        </w:rPr>
        <w:t xml:space="preserve"> with </w:t>
      </w:r>
      <w:proofErr w:type="spellStart"/>
      <w:r w:rsidRPr="00DA2159">
        <w:rPr>
          <w:lang w:val="en-GB"/>
        </w:rPr>
        <w:t>Nimenrix</w:t>
      </w:r>
      <w:proofErr w:type="spellEnd"/>
      <w:r w:rsidRPr="00DA2159">
        <w:rPr>
          <w:vertAlign w:val="superscript"/>
          <w:lang w:val="en-GB"/>
        </w:rPr>
        <w:t>®</w:t>
      </w:r>
      <w:r w:rsidRPr="00DA2159">
        <w:rPr>
          <w:lang w:val="en-GB"/>
        </w:rPr>
        <w:t xml:space="preserve"> in the Victorian school-based immunisation program introduced a routine childhood vaccine given to young children at the age of 12 months to an older at-risk age group. Findings for both initiatives showed the enhanced surveillance approaches were appropriate, along with the low reporting and no signals detected providing reassurance these vaccines are safe.</w:t>
      </w:r>
    </w:p>
    <w:p w14:paraId="73286FB1" w14:textId="77777777" w:rsidR="00DA2159" w:rsidRPr="00DA2159" w:rsidRDefault="00DA2159" w:rsidP="00DA2159">
      <w:pPr>
        <w:rPr>
          <w:lang w:val="en-GB"/>
        </w:rPr>
      </w:pPr>
      <w:r w:rsidRPr="00DA2159">
        <w:rPr>
          <w:lang w:val="en-GB"/>
        </w:rPr>
        <w:t xml:space="preserve">Similarly, enhanced surveillance of AEFI known to be associated with vaccination, such as SIRVA, allows SAEFVIC to provide an evidence base to influence updating vaccination recommendations </w:t>
      </w:r>
      <w:r w:rsidRPr="00DA2159">
        <w:rPr>
          <w:lang w:val="en-GB"/>
        </w:rPr>
        <w:lastRenderedPageBreak/>
        <w:t xml:space="preserve">or risk mitigation. In 2020, there was an anticipated increased risk of SIRVA cases due to the positioning of vaccinees who attended ‘drive-through vaccination clinics’ for their seasonal influenza vaccines. However, enhanced surveillance identified there was no increased risk of SIRVA, supporting the benefit-risk profile of these clinics. </w:t>
      </w:r>
    </w:p>
    <w:p w14:paraId="7151D60E" w14:textId="77777777" w:rsidR="00DA2159" w:rsidRPr="00DA2159" w:rsidRDefault="00DA2159" w:rsidP="00DA2159">
      <w:pPr>
        <w:rPr>
          <w:lang w:val="en-GB"/>
        </w:rPr>
      </w:pPr>
      <w:r w:rsidRPr="00DA2159">
        <w:rPr>
          <w:lang w:val="en-GB"/>
        </w:rPr>
        <w:t>Vaccine administration errors continued to represent a substantial volume of all AEFI reports during 2019 and 2020.</w:t>
      </w:r>
      <w:r w:rsidRPr="00DA2159">
        <w:rPr>
          <w:vertAlign w:val="superscript"/>
          <w:lang w:val="en-GB"/>
        </w:rPr>
        <w:t>6</w:t>
      </w:r>
      <w:r w:rsidRPr="00DA2159">
        <w:rPr>
          <w:lang w:val="en-GB"/>
        </w:rPr>
        <w:t xml:space="preserve"> Reporting of vaccine administration errors is encouraged for risk assessment and mitigation to prevent further errors in the future. Effective surveillance requires analyses of categorised errors to inform on potential areas for risk mitigation. Given the increased volume of reported errors and the need for an efficient method for analysis, a systematised process to review and categorise vaccine administration errors that meet international definitions is being explored.</w:t>
      </w:r>
    </w:p>
    <w:p w14:paraId="6B8DCD18" w14:textId="77777777" w:rsidR="00DA2159" w:rsidRPr="00DA2159" w:rsidRDefault="00DA2159" w:rsidP="00DA2159">
      <w:pPr>
        <w:rPr>
          <w:lang w:val="en-GB"/>
        </w:rPr>
      </w:pPr>
      <w:r w:rsidRPr="00DA2159">
        <w:rPr>
          <w:lang w:val="en-GB"/>
        </w:rPr>
        <w:t>Passive AEFI surveillance has known limitations, which have been covered in detail in previous reports.</w:t>
      </w:r>
      <w:r w:rsidRPr="00DA2159">
        <w:rPr>
          <w:vertAlign w:val="superscript"/>
          <w:lang w:val="en-GB"/>
        </w:rPr>
        <w:t>5,6</w:t>
      </w:r>
      <w:r w:rsidRPr="00DA2159">
        <w:rPr>
          <w:lang w:val="en-GB"/>
        </w:rPr>
        <w:t xml:space="preserve"> In addition, the current process of access to AIR data through static extracts from Services Australia restricts SAEFVIC from determining reported AEFI rates in real time, impacting the capture of vaccine delivery fluctuations that could be affected by external factors.</w:t>
      </w:r>
      <w:r w:rsidRPr="00DA2159">
        <w:rPr>
          <w:vertAlign w:val="superscript"/>
          <w:lang w:val="en-GB"/>
        </w:rPr>
        <w:t>35,36</w:t>
      </w:r>
      <w:r w:rsidRPr="00DA2159">
        <w:rPr>
          <w:lang w:val="en-GB"/>
        </w:rPr>
        <w:t xml:space="preserve"> Authorisation for real-time access is being negotiated. Moreover, the frequency of concomitant vaccinations restricts the capability of attributing specific AEFI to a specific vaccine given at a specific encounter.</w:t>
      </w:r>
    </w:p>
    <w:p w14:paraId="3A021538" w14:textId="77777777" w:rsidR="00DA2159" w:rsidRPr="00DA2159" w:rsidRDefault="00DA2159" w:rsidP="00DA2159">
      <w:pPr>
        <w:rPr>
          <w:lang w:val="en-GB"/>
        </w:rPr>
      </w:pPr>
      <w:r w:rsidRPr="00DA2159">
        <w:rPr>
          <w:lang w:val="en-GB"/>
        </w:rPr>
        <w:t xml:space="preserve">Active surveillance platforms such as PAEDS and </w:t>
      </w:r>
      <w:proofErr w:type="spellStart"/>
      <w:r w:rsidRPr="00DA2159">
        <w:rPr>
          <w:lang w:val="en-GB"/>
        </w:rPr>
        <w:t>AusVaxSafety</w:t>
      </w:r>
      <w:proofErr w:type="spellEnd"/>
      <w:r w:rsidRPr="00DA2159">
        <w:rPr>
          <w:lang w:val="en-GB"/>
        </w:rPr>
        <w:t xml:space="preserve"> provide an additional data source on AEFI reporting. During 2019–2020, PAEDS identified paediatric hospital admissions for certain conditions that may be associated with vaccination and </w:t>
      </w:r>
      <w:proofErr w:type="spellStart"/>
      <w:r w:rsidRPr="00DA2159">
        <w:rPr>
          <w:lang w:val="en-GB"/>
        </w:rPr>
        <w:t>AusVaxSafety</w:t>
      </w:r>
      <w:proofErr w:type="spellEnd"/>
      <w:r w:rsidRPr="00DA2159">
        <w:rPr>
          <w:lang w:val="en-GB"/>
        </w:rPr>
        <w:t xml:space="preserve"> solicited surveys indicating medical attendance being sought.</w:t>
      </w:r>
      <w:r w:rsidRPr="00DA2159">
        <w:rPr>
          <w:vertAlign w:val="superscript"/>
          <w:lang w:val="en-GB"/>
        </w:rPr>
        <w:t>37,38</w:t>
      </w:r>
      <w:r w:rsidRPr="00DA2159">
        <w:rPr>
          <w:lang w:val="en-GB"/>
        </w:rPr>
        <w:t xml:space="preserve"> The contribution of active surveillance to the reporting volume is small (1%). Passive surveillance continues to be critical for capturing data on uncommon and rare AEFI.</w:t>
      </w:r>
    </w:p>
    <w:p w14:paraId="7CF4D6CA" w14:textId="77777777" w:rsidR="00DA2159" w:rsidRPr="00DA2159" w:rsidRDefault="00DA2159" w:rsidP="00DA2159">
      <w:pPr>
        <w:rPr>
          <w:lang w:val="en-GB"/>
        </w:rPr>
      </w:pPr>
      <w:r w:rsidRPr="00DA2159">
        <w:rPr>
          <w:lang w:val="en-GB"/>
        </w:rPr>
        <w:t>The potential for COVID-19 pandemic lockdowns</w:t>
      </w:r>
      <w:r w:rsidRPr="00DA2159">
        <w:rPr>
          <w:vertAlign w:val="superscript"/>
          <w:lang w:val="en-GB"/>
        </w:rPr>
        <w:t>27</w:t>
      </w:r>
      <w:r w:rsidRPr="00DA2159">
        <w:rPr>
          <w:lang w:val="en-GB"/>
        </w:rPr>
        <w:t xml:space="preserve"> to impact on ability to provide Specialist Immunisation Clinics in 2020 was minimised as changes to the Medicare eligibility for medical consultations allowed for in-person consultations to be moved to Telehealth.</w:t>
      </w:r>
      <w:r w:rsidRPr="00DA2159">
        <w:rPr>
          <w:vertAlign w:val="superscript"/>
          <w:lang w:val="en-GB"/>
        </w:rPr>
        <w:t>39</w:t>
      </w:r>
      <w:r w:rsidRPr="00DA2159">
        <w:rPr>
          <w:lang w:val="en-GB"/>
        </w:rPr>
        <w:t xml:space="preserve"> There was strong uptake of Telehealth, which facilitated continued access to specialist consultation for all Victorians; however, capacity to provide onsite vaccination under specialist supervision was reduced.</w:t>
      </w:r>
    </w:p>
    <w:p w14:paraId="57E0EE3B" w14:textId="77777777" w:rsidR="00DA2159" w:rsidRPr="00DA2159" w:rsidRDefault="00DA2159" w:rsidP="00DA2159">
      <w:pPr>
        <w:pStyle w:val="Heading2"/>
        <w:rPr>
          <w:lang w:val="en-GB"/>
        </w:rPr>
      </w:pPr>
      <w:bookmarkStart w:id="47" w:name="_Toc222142598"/>
      <w:r w:rsidRPr="00DA2159">
        <w:rPr>
          <w:lang w:val="en-GB"/>
        </w:rPr>
        <w:t>MVEC resources</w:t>
      </w:r>
      <w:bookmarkEnd w:id="47"/>
    </w:p>
    <w:p w14:paraId="6B20282B" w14:textId="77777777" w:rsidR="00DA2159" w:rsidRPr="00DA2159" w:rsidRDefault="00DA2159" w:rsidP="00DA2159">
      <w:pPr>
        <w:rPr>
          <w:lang w:val="en-GB"/>
        </w:rPr>
      </w:pPr>
      <w:r w:rsidRPr="00DA2159">
        <w:rPr>
          <w:lang w:val="en-GB"/>
        </w:rPr>
        <w:t>MVEC, a member of the World Health Organization’s Vaccine Safety Net of verified sources for credible information on vaccine safety, continued to provide accessible, accurate and trusted education resources supporting healthcare professionals and community to make informed decisions.</w:t>
      </w:r>
    </w:p>
    <w:p w14:paraId="4BB1F88D" w14:textId="77777777" w:rsidR="00DA2159" w:rsidRPr="00DA2159" w:rsidRDefault="00DA2159" w:rsidP="00DA2159">
      <w:pPr>
        <w:rPr>
          <w:lang w:val="en-GB"/>
        </w:rPr>
      </w:pPr>
      <w:r w:rsidRPr="00DA2159">
        <w:rPr>
          <w:lang w:val="en-GB"/>
        </w:rPr>
        <w:t>With the COVID-19 vaccination program due to commence in early 2021,</w:t>
      </w:r>
      <w:r w:rsidRPr="00DA2159">
        <w:rPr>
          <w:vertAlign w:val="superscript"/>
          <w:lang w:val="en-GB"/>
        </w:rPr>
        <w:t>40</w:t>
      </w:r>
      <w:r w:rsidRPr="00DA2159">
        <w:rPr>
          <w:lang w:val="en-GB"/>
        </w:rPr>
        <w:t xml:space="preserve"> the MVEC website provided the ideal platform to host accessible materials developed by the SAEFVIC/Victorian Government Department of Health collaboration for healthcare workers and the public to better understand vaccine development and the risk-benefit of being vaccinated. Additionally, MVEC developed and hosted eLearning modules to facilitate immuniser training in preparation to equip a surge workforce to meet the anticipated COVID-19 vaccination demand. Expanding the MVEC website to host these materials provided a readiness platform for MVEC to respond to community vaccine safety concerns, or for new vaccination programs which might be implemented in response to an outbreak.</w:t>
      </w:r>
    </w:p>
    <w:p w14:paraId="098B7032" w14:textId="44BC312B" w:rsidR="0001020A" w:rsidRDefault="00DA2159" w:rsidP="00830AEA">
      <w:r w:rsidRPr="00DA2159">
        <w:rPr>
          <w:lang w:val="en-GB"/>
        </w:rPr>
        <w:lastRenderedPageBreak/>
        <w:t>The overarching goal of harmonising AEFI data collation and surveillance has continued to be a vision for SAEFVIC’s SAFEVAC data platform, with the Western Australia Vaccine Safety Service (WAVSS) and ACT Health coming on board to utilise their unique database ‘silo’ for the purposes of clinical and passive AEFI surveillance. Improvements to the database were being undertaken to facilitate management of the anticipated influx of AEFI reports with commencement of the COVID-19 vaccine program.</w:t>
      </w:r>
    </w:p>
    <w:p w14:paraId="455BEA55" w14:textId="77777777" w:rsidR="00FE2847" w:rsidRDefault="008017B6" w:rsidP="008017B6">
      <w:pPr>
        <w:pStyle w:val="Heading1"/>
      </w:pPr>
      <w:bookmarkStart w:id="48" w:name="_Toc222142599"/>
      <w:bookmarkEnd w:id="43"/>
      <w:bookmarkEnd w:id="44"/>
      <w:r>
        <w:lastRenderedPageBreak/>
        <w:t>Conclusion</w:t>
      </w:r>
      <w:bookmarkEnd w:id="48"/>
    </w:p>
    <w:p w14:paraId="7239933F" w14:textId="02B70C2D" w:rsidR="008017B6" w:rsidRPr="008017B6" w:rsidRDefault="00DA2159" w:rsidP="008017B6">
      <w:r w:rsidRPr="00DA2159">
        <w:rPr>
          <w:lang w:val="en-GB"/>
        </w:rPr>
        <w:t>AEFI reporting in Victoria has continued to support safe immunisation in the state and in Australia during 2019 and 2020, with Victoria’s the highest reporting rates nationally. A potential signal event of febrile and afebrile seizures was closely monitored during 2020 in collaboration with the TGA; however, no further signals were verified. AEFI reporting patterns for 2019 and 2020 provided a baseline prior to commencement of the COVID-19 vaccination program in early 2021. This baseline incorporates the current structure and model of spontaneous reporting and AEFI surveillance integrated with clinical services, enhanced with additional active surveillance to provide a detailed vaccine safety profile for the COVID-19 vaccines.</w:t>
      </w:r>
    </w:p>
    <w:p w14:paraId="25D2C5F5" w14:textId="77777777" w:rsidR="00F216F0" w:rsidRDefault="00F216F0" w:rsidP="00DA2159">
      <w:pPr>
        <w:pStyle w:val="Heading1"/>
        <w:pageBreakBefore w:val="0"/>
      </w:pPr>
      <w:bookmarkStart w:id="49" w:name="_Toc195530510"/>
      <w:bookmarkStart w:id="50" w:name="_Toc222142600"/>
      <w:bookmarkStart w:id="51" w:name="_Toc195530508"/>
      <w:r>
        <w:t>Acknowledgments</w:t>
      </w:r>
      <w:bookmarkEnd w:id="49"/>
      <w:bookmarkEnd w:id="50"/>
    </w:p>
    <w:p w14:paraId="22011B67" w14:textId="3C41E2FD" w:rsidR="00F216F0" w:rsidRDefault="00DA2159" w:rsidP="00F216F0">
      <w:pPr>
        <w:rPr>
          <w:lang w:val="en-GB"/>
        </w:rPr>
      </w:pPr>
      <w:r w:rsidRPr="00DA2159">
        <w:rPr>
          <w:lang w:val="en-GB"/>
        </w:rPr>
        <w:t>We would like to acknowledge healthcare providers, vaccinees and parents/caregivers for submitting reports to SAEFVIC; the SAEFVIC clinical team for providing clinical advice, assessment and support; and the MVEC team for their assistance with developing and publishing educational materials for immunisation providers and the public. SAEFVIC is funded by the Victorian Government Department of Health.</w:t>
      </w:r>
    </w:p>
    <w:p w14:paraId="3C13D9F8" w14:textId="78944F1E" w:rsidR="00DA2159" w:rsidRDefault="00DA2159" w:rsidP="00DA2159">
      <w:pPr>
        <w:pStyle w:val="Heading1"/>
        <w:pageBreakBefore w:val="0"/>
      </w:pPr>
      <w:bookmarkStart w:id="52" w:name="_Toc222142601"/>
      <w:r>
        <w:t>Conflicts of interest</w:t>
      </w:r>
      <w:bookmarkEnd w:id="52"/>
    </w:p>
    <w:p w14:paraId="049C7692" w14:textId="5E7E4EF7" w:rsidR="00DA2159" w:rsidRPr="008017B6" w:rsidRDefault="00DA2159" w:rsidP="00F216F0">
      <w:r w:rsidRPr="00DA2159">
        <w:rPr>
          <w:lang w:val="en-GB"/>
        </w:rPr>
        <w:t>All authors report no conflict of interest.</w:t>
      </w:r>
    </w:p>
    <w:p w14:paraId="1F84F844" w14:textId="77777777" w:rsidR="008A0736" w:rsidRDefault="008A0736" w:rsidP="008A0736">
      <w:pPr>
        <w:pStyle w:val="Heading1"/>
      </w:pPr>
      <w:bookmarkStart w:id="53" w:name="_Toc222142602"/>
      <w:r>
        <w:lastRenderedPageBreak/>
        <w:t>Author details</w:t>
      </w:r>
      <w:bookmarkEnd w:id="51"/>
      <w:bookmarkEnd w:id="53"/>
    </w:p>
    <w:p w14:paraId="376153B1" w14:textId="77777777" w:rsidR="00DA2159" w:rsidRPr="00DA2159" w:rsidRDefault="00DA2159" w:rsidP="00DA2159">
      <w:pPr>
        <w:rPr>
          <w:lang w:val="en-GB"/>
        </w:rPr>
      </w:pPr>
      <w:r w:rsidRPr="00DA2159">
        <w:rPr>
          <w:lang w:val="en-GB"/>
        </w:rPr>
        <w:t>Jesse J Fryk,</w:t>
      </w:r>
      <w:r w:rsidRPr="00DA2159">
        <w:rPr>
          <w:vertAlign w:val="superscript"/>
          <w:lang w:val="en-GB"/>
        </w:rPr>
        <w:t>1,2</w:t>
      </w:r>
    </w:p>
    <w:p w14:paraId="2BD4789B" w14:textId="77777777" w:rsidR="00DA2159" w:rsidRPr="00DA2159" w:rsidRDefault="00DA2159" w:rsidP="00DA2159">
      <w:pPr>
        <w:pStyle w:val="Normal-lessspace"/>
      </w:pPr>
      <w:r w:rsidRPr="00DA2159">
        <w:t>Hazel J Clothier,</w:t>
      </w:r>
      <w:r w:rsidRPr="00DA2159">
        <w:rPr>
          <w:vertAlign w:val="superscript"/>
        </w:rPr>
        <w:t>1,2,3,4</w:t>
      </w:r>
      <w:r w:rsidRPr="00DA2159">
        <w:t xml:space="preserve"> </w:t>
      </w:r>
    </w:p>
    <w:p w14:paraId="11239AD8" w14:textId="77777777" w:rsidR="00DA2159" w:rsidRPr="00DA2159" w:rsidRDefault="00DA2159" w:rsidP="00DA2159">
      <w:pPr>
        <w:pStyle w:val="Normal-lessspace"/>
      </w:pPr>
      <w:r w:rsidRPr="00DA2159">
        <w:t>Daneeta Hennessy,</w:t>
      </w:r>
      <w:r w:rsidRPr="00DA2159">
        <w:rPr>
          <w:vertAlign w:val="superscript"/>
        </w:rPr>
        <w:t>1,2</w:t>
      </w:r>
    </w:p>
    <w:p w14:paraId="1DF7FD5A" w14:textId="77777777" w:rsidR="00DA2159" w:rsidRPr="00DA2159" w:rsidRDefault="00DA2159" w:rsidP="00DA2159">
      <w:pPr>
        <w:pStyle w:val="Normal-lessspace"/>
      </w:pPr>
      <w:r w:rsidRPr="00DA2159">
        <w:t>Georgina Lewis,</w:t>
      </w:r>
      <w:r w:rsidRPr="00DA2159">
        <w:rPr>
          <w:vertAlign w:val="superscript"/>
        </w:rPr>
        <w:t>1</w:t>
      </w:r>
    </w:p>
    <w:p w14:paraId="4DBF37F7" w14:textId="77777777" w:rsidR="00DA2159" w:rsidRPr="00DA2159" w:rsidRDefault="00DA2159" w:rsidP="00DA2159">
      <w:pPr>
        <w:pStyle w:val="Normal-lessspace"/>
      </w:pPr>
      <w:r w:rsidRPr="00DA2159">
        <w:t>Emma Roney,</w:t>
      </w:r>
      <w:r w:rsidRPr="00DA2159">
        <w:rPr>
          <w:vertAlign w:val="superscript"/>
        </w:rPr>
        <w:t>1,2</w:t>
      </w:r>
    </w:p>
    <w:p w14:paraId="3BD2E981" w14:textId="77777777" w:rsidR="00DA2159" w:rsidRPr="00DA2159" w:rsidRDefault="00DA2159" w:rsidP="00DA2159">
      <w:pPr>
        <w:pStyle w:val="Normal-lessspace"/>
      </w:pPr>
      <w:r w:rsidRPr="00DA2159">
        <w:t>Nigel W Crawford,</w:t>
      </w:r>
      <w:r w:rsidRPr="00DA2159">
        <w:rPr>
          <w:vertAlign w:val="superscript"/>
        </w:rPr>
        <w:t>1,4,5</w:t>
      </w:r>
    </w:p>
    <w:p w14:paraId="2554CD7C" w14:textId="77777777" w:rsidR="00DA2159" w:rsidRPr="00DA2159" w:rsidRDefault="00DA2159" w:rsidP="00DA2159">
      <w:pPr>
        <w:pStyle w:val="Normal-lessspace"/>
      </w:pPr>
      <w:r w:rsidRPr="00DA2159">
        <w:t>Jim P. Buttery</w:t>
      </w:r>
      <w:r w:rsidRPr="00DA2159">
        <w:rPr>
          <w:vertAlign w:val="superscript"/>
        </w:rPr>
        <w:t>1,2,4,5</w:t>
      </w:r>
    </w:p>
    <w:p w14:paraId="415BDCCC" w14:textId="77777777" w:rsidR="00DA2159" w:rsidRPr="00DA2159" w:rsidRDefault="00DA2159" w:rsidP="00DA2159">
      <w:pPr>
        <w:pStyle w:val="CDINumberedList1L1"/>
        <w:rPr>
          <w:lang w:val="en-GB"/>
        </w:rPr>
      </w:pPr>
      <w:r w:rsidRPr="00DA2159">
        <w:rPr>
          <w:lang w:val="en-GB"/>
        </w:rPr>
        <w:t>SAEFVIC, Murdoch Children's Research Institute, Melbourne, Victoria, Australia</w:t>
      </w:r>
    </w:p>
    <w:p w14:paraId="7C325446" w14:textId="77777777" w:rsidR="00DA2159" w:rsidRPr="00DA2159" w:rsidRDefault="00DA2159" w:rsidP="00DA2159">
      <w:pPr>
        <w:pStyle w:val="CDINumberedList1L1"/>
        <w:rPr>
          <w:lang w:val="en-GB"/>
        </w:rPr>
      </w:pPr>
      <w:r w:rsidRPr="00DA2159">
        <w:rPr>
          <w:lang w:val="en-GB"/>
        </w:rPr>
        <w:t>Epidemiology-Informatics, Centre for Health Analytics, Melbourne Children’s Campus, Melbourne, Victoria, Australia</w:t>
      </w:r>
    </w:p>
    <w:p w14:paraId="31D7FD4A" w14:textId="77777777" w:rsidR="00DA2159" w:rsidRPr="00DA2159" w:rsidRDefault="00DA2159" w:rsidP="00DA2159">
      <w:pPr>
        <w:pStyle w:val="CDINumberedList1L1"/>
        <w:rPr>
          <w:lang w:val="en-GB"/>
        </w:rPr>
      </w:pPr>
      <w:r w:rsidRPr="00DA2159">
        <w:rPr>
          <w:lang w:val="en-GB"/>
        </w:rPr>
        <w:t>School of Population and Global Health, University of Melbourne, Parkville, Victoria, Australia</w:t>
      </w:r>
    </w:p>
    <w:p w14:paraId="461CBD19" w14:textId="77777777" w:rsidR="00DA2159" w:rsidRPr="00DA2159" w:rsidRDefault="00DA2159" w:rsidP="00DA2159">
      <w:pPr>
        <w:pStyle w:val="CDINumberedList1L1"/>
        <w:rPr>
          <w:lang w:val="en-GB"/>
        </w:rPr>
      </w:pPr>
      <w:r w:rsidRPr="00DA2159">
        <w:rPr>
          <w:lang w:val="en-GB"/>
        </w:rPr>
        <w:t>Department Paediatrics, University of Melbourne, Parkville, Victoria, Australia</w:t>
      </w:r>
    </w:p>
    <w:p w14:paraId="578F5148" w14:textId="77777777" w:rsidR="00DA2159" w:rsidRPr="00DA2159" w:rsidRDefault="00DA2159" w:rsidP="00DA2159">
      <w:pPr>
        <w:pStyle w:val="CDINumberedList1L1"/>
        <w:rPr>
          <w:lang w:val="en-GB"/>
        </w:rPr>
      </w:pPr>
      <w:r w:rsidRPr="00DA2159">
        <w:rPr>
          <w:lang w:val="en-GB"/>
        </w:rPr>
        <w:t>Immunisation Service, Royal Children's Hospital, Parkville, Victoria, Australia</w:t>
      </w:r>
    </w:p>
    <w:p w14:paraId="4C08B361" w14:textId="77777777" w:rsidR="00423436" w:rsidRDefault="00423436" w:rsidP="00423436">
      <w:pPr>
        <w:pStyle w:val="CDICorrespondingauthor"/>
      </w:pPr>
      <w:r>
        <w:t>Corresponding author</w:t>
      </w:r>
    </w:p>
    <w:p w14:paraId="7B53CBAA" w14:textId="77777777" w:rsidR="00DA2159" w:rsidRPr="00DA2159" w:rsidRDefault="00DA2159" w:rsidP="00DA2159">
      <w:pPr>
        <w:rPr>
          <w:lang w:val="en-GB"/>
        </w:rPr>
      </w:pPr>
      <w:r w:rsidRPr="00DA2159">
        <w:rPr>
          <w:lang w:val="en-GB"/>
        </w:rPr>
        <w:t>Daneeta Hennessy</w:t>
      </w:r>
    </w:p>
    <w:p w14:paraId="58B92062" w14:textId="77777777" w:rsidR="00DA2159" w:rsidRPr="00DA2159" w:rsidRDefault="00DA2159" w:rsidP="00DA2159">
      <w:pPr>
        <w:rPr>
          <w:lang w:val="en-GB"/>
        </w:rPr>
      </w:pPr>
      <w:r w:rsidRPr="00DA2159">
        <w:rPr>
          <w:lang w:val="en-GB"/>
        </w:rPr>
        <w:t>50 Flemington Road, Parkville, Victoria, Australia, 3052</w:t>
      </w:r>
    </w:p>
    <w:p w14:paraId="04D67E50" w14:textId="4573C62D" w:rsidR="008A0736" w:rsidRDefault="00DA2159" w:rsidP="00423436">
      <w:r w:rsidRPr="00DA2159">
        <w:rPr>
          <w:lang w:val="en-GB"/>
        </w:rPr>
        <w:t xml:space="preserve">Email: </w:t>
      </w:r>
      <w:hyperlink r:id="rId30" w:history="1">
        <w:r w:rsidRPr="00DA2159">
          <w:rPr>
            <w:rStyle w:val="Hyperlink"/>
            <w:lang w:val="en-GB"/>
          </w:rPr>
          <w:t>daneeta.hennessy@mcri.edu.au</w:t>
        </w:r>
      </w:hyperlink>
    </w:p>
    <w:p w14:paraId="33B87005" w14:textId="77777777" w:rsidR="008A0736" w:rsidRDefault="008A0736" w:rsidP="00122ADA">
      <w:pPr>
        <w:pStyle w:val="Heading1"/>
      </w:pPr>
      <w:bookmarkStart w:id="54" w:name="_Toc195530511"/>
      <w:bookmarkStart w:id="55" w:name="_Toc222142603"/>
      <w:r>
        <w:lastRenderedPageBreak/>
        <w:t>References</w:t>
      </w:r>
      <w:bookmarkEnd w:id="54"/>
      <w:bookmarkEnd w:id="55"/>
    </w:p>
    <w:p w14:paraId="6EBD7C2B" w14:textId="77777777" w:rsidR="00656BED" w:rsidRDefault="00656BED" w:rsidP="00656BED">
      <w:pPr>
        <w:pStyle w:val="CDINumberedList1L1"/>
        <w:numPr>
          <w:ilvl w:val="0"/>
          <w:numId w:val="10"/>
        </w:numPr>
        <w:ind w:left="397" w:hanging="397"/>
      </w:pPr>
      <w:r>
        <w:t xml:space="preserve">Clothier HJ, Crawford NW, Kempe A, Buttery JP. Surveillance of adverse events following immunisation: the model of SAEFVIC, Victoria. </w:t>
      </w:r>
      <w:r w:rsidRPr="00656BED">
        <w:rPr>
          <w:i/>
          <w:iCs/>
        </w:rPr>
        <w:t>Commun Dis Intell Q Rep</w:t>
      </w:r>
      <w:r>
        <w:t xml:space="preserve">. 2011;35(4):294–8. doi: </w:t>
      </w:r>
      <w:hyperlink r:id="rId31" w:history="1">
        <w:r>
          <w:rPr>
            <w:rStyle w:val="Hyperlink"/>
          </w:rPr>
          <w:t>https://doi.org/10.33321/cdi.2011.35.28</w:t>
        </w:r>
      </w:hyperlink>
      <w:r>
        <w:t xml:space="preserve">. </w:t>
      </w:r>
    </w:p>
    <w:p w14:paraId="76517295" w14:textId="01527F5C" w:rsidR="00656BED" w:rsidRDefault="00656BED" w:rsidP="00656BED">
      <w:pPr>
        <w:pStyle w:val="CDINumberedList1L1"/>
        <w:ind w:left="397" w:hanging="397"/>
      </w:pPr>
      <w:r>
        <w:t xml:space="preserve">Dey A, Wang H, Quinn H, Pillsbury A, Glover C, Hickie M et al. Surveillance of adverse events following immunisation in Australia annual report, 2019. </w:t>
      </w:r>
      <w:r w:rsidRPr="00656BED">
        <w:rPr>
          <w:i/>
          <w:iCs/>
        </w:rPr>
        <w:t>Commun Dis Intell (2018)</w:t>
      </w:r>
      <w:r>
        <w:t xml:space="preserve">. 2021;45. doi: </w:t>
      </w:r>
      <w:hyperlink r:id="rId32" w:history="1">
        <w:r w:rsidRPr="006B1080">
          <w:rPr>
            <w:rStyle w:val="Hyperlink"/>
          </w:rPr>
          <w:t>https://doi.org/10.33321/cdi.2021.45.23</w:t>
        </w:r>
      </w:hyperlink>
      <w:r>
        <w:t>.</w:t>
      </w:r>
    </w:p>
    <w:p w14:paraId="2DA5ACCD" w14:textId="0EB3DA7A" w:rsidR="00656BED" w:rsidRDefault="00656BED" w:rsidP="00656BED">
      <w:pPr>
        <w:pStyle w:val="CDINumberedList1L1"/>
        <w:ind w:left="397" w:hanging="397"/>
      </w:pPr>
      <w:r>
        <w:t xml:space="preserve">Dey A, Wang H, Quinn H, Pillsbury A, Glover C, Hickie M et al. Surveillance of adverse events following immunisation in Australia: annual report, 2018. </w:t>
      </w:r>
      <w:r w:rsidRPr="00656BED">
        <w:rPr>
          <w:i/>
          <w:iCs/>
        </w:rPr>
        <w:t>Commun Dis Intell (2018)</w:t>
      </w:r>
      <w:r>
        <w:t xml:space="preserve">. 2020;44. doi: </w:t>
      </w:r>
      <w:hyperlink r:id="rId33" w:history="1">
        <w:r w:rsidRPr="006B1080">
          <w:rPr>
            <w:rStyle w:val="Hyperlink"/>
          </w:rPr>
          <w:t>https://doi.org/10.33321/cdi.2020.44.12</w:t>
        </w:r>
      </w:hyperlink>
      <w:r>
        <w:t>.</w:t>
      </w:r>
    </w:p>
    <w:p w14:paraId="47E2F2E3" w14:textId="32CE85EF" w:rsidR="00656BED" w:rsidRDefault="00656BED" w:rsidP="00656BED">
      <w:pPr>
        <w:pStyle w:val="CDINumberedList1L1"/>
        <w:ind w:left="397" w:hanging="397"/>
      </w:pPr>
      <w:r>
        <w:t xml:space="preserve">Melbourne Vaccine Education Centre (MVEC). Melbourne Vaccine Education Centre. [Webpage.] Melbourne: SAEFVIC, MVEC; 2021. [Accessed on 8 September 2021.] Available from: </w:t>
      </w:r>
      <w:hyperlink r:id="rId34" w:history="1">
        <w:r w:rsidRPr="006B1080">
          <w:rPr>
            <w:rStyle w:val="Hyperlink"/>
          </w:rPr>
          <w:t>https://mvec.mcri.edu.au/</w:t>
        </w:r>
      </w:hyperlink>
      <w:r>
        <w:t>.</w:t>
      </w:r>
    </w:p>
    <w:p w14:paraId="688CD411" w14:textId="77777777" w:rsidR="00656BED" w:rsidRDefault="00656BED" w:rsidP="00656BED">
      <w:pPr>
        <w:pStyle w:val="CDINumberedList1L1"/>
        <w:ind w:left="397" w:hanging="397"/>
      </w:pPr>
      <w:r>
        <w:t xml:space="preserve">Clothier HJ, Selvaraj G, McMinn A, Lewis G, Crawford NW, Buttery JP. SAEFVIC: surveillance of adverse events following immunisation (AEFI) in Victoria, 2012. </w:t>
      </w:r>
      <w:r w:rsidRPr="00656BED">
        <w:rPr>
          <w:i/>
          <w:iCs/>
        </w:rPr>
        <w:t>Vic Infect Dis Bull</w:t>
      </w:r>
      <w:r>
        <w:t>. 2013;16(4):2–9.</w:t>
      </w:r>
    </w:p>
    <w:p w14:paraId="7DB075B3" w14:textId="69A616D7" w:rsidR="00656BED" w:rsidRDefault="00656BED" w:rsidP="00656BED">
      <w:pPr>
        <w:pStyle w:val="CDINumberedList1L1"/>
        <w:ind w:left="397" w:hanging="397"/>
      </w:pPr>
      <w:r>
        <w:t xml:space="preserve">Clothier HJ, Lawrie J, Lewis G, Russell M, Crawford NW, Buttery JP. SAEFVIC: surveillance of adverse events following immunisation (AEFI) in Victoria, Australia, 2018. </w:t>
      </w:r>
      <w:r w:rsidRPr="00656BED">
        <w:rPr>
          <w:i/>
          <w:iCs/>
        </w:rPr>
        <w:t>Commun Dis Intell (2018)</w:t>
      </w:r>
      <w:r>
        <w:t xml:space="preserve">. 2020;44. doi: </w:t>
      </w:r>
      <w:hyperlink r:id="rId35" w:history="1">
        <w:r w:rsidRPr="006B1080">
          <w:rPr>
            <w:rStyle w:val="Hyperlink"/>
          </w:rPr>
          <w:t>https://doi.org/10.33321/cdi.2020.44.46</w:t>
        </w:r>
      </w:hyperlink>
      <w:r>
        <w:t>.</w:t>
      </w:r>
    </w:p>
    <w:p w14:paraId="75A058F2" w14:textId="77777777" w:rsidR="00656BED" w:rsidRDefault="00656BED" w:rsidP="00656BED">
      <w:pPr>
        <w:pStyle w:val="CDINumberedList1L1"/>
        <w:ind w:left="397" w:hanging="397"/>
      </w:pPr>
      <w:r>
        <w:t xml:space="preserve">National Centre for Immunisation Research &amp; Surveillance (NCIRS). Vaccine Safety. [Internet.] Sydney: Sydney Children’s Hospitals Network, NCIRS; 2021. [Accessed on 9 September 2021.] Available from: </w:t>
      </w:r>
      <w:hyperlink r:id="rId36" w:history="1">
        <w:r>
          <w:rPr>
            <w:rStyle w:val="Hyperlink"/>
          </w:rPr>
          <w:t>https://www.ncirs.org.au/health-professionals/vaccine-safety</w:t>
        </w:r>
      </w:hyperlink>
      <w:r>
        <w:t>.</w:t>
      </w:r>
    </w:p>
    <w:p w14:paraId="2381451C" w14:textId="77777777" w:rsidR="00656BED" w:rsidRDefault="00656BED" w:rsidP="00656BED">
      <w:pPr>
        <w:pStyle w:val="CDINumberedList1L1"/>
        <w:ind w:left="397" w:hanging="397"/>
      </w:pPr>
      <w:r>
        <w:t xml:space="preserve">NCIRS. Paediatric Active Enhanced Disease Surveillance (PAEDS). [Internet.] Sydney: Sydney Children’s Hospitals Network, NCIRS, PAEDS; 2024. [Accessed on 8 May 2024.] Available from: </w:t>
      </w:r>
      <w:hyperlink r:id="rId37" w:history="1">
        <w:r>
          <w:rPr>
            <w:rStyle w:val="Hyperlink"/>
          </w:rPr>
          <w:t>https://paeds.org.au/</w:t>
        </w:r>
      </w:hyperlink>
      <w:r>
        <w:t>.</w:t>
      </w:r>
    </w:p>
    <w:p w14:paraId="31450D21" w14:textId="77777777" w:rsidR="00656BED" w:rsidRDefault="00656BED" w:rsidP="00656BED">
      <w:pPr>
        <w:pStyle w:val="CDINumberedList1L1"/>
        <w:ind w:left="397" w:hanging="397"/>
      </w:pPr>
      <w:r>
        <w:t xml:space="preserve">NCIRS. </w:t>
      </w:r>
      <w:proofErr w:type="spellStart"/>
      <w:r>
        <w:t>AusVaxSafety</w:t>
      </w:r>
      <w:proofErr w:type="spellEnd"/>
      <w:r>
        <w:t xml:space="preserve">. [Internet.] Sydney: Sydney Children’s Hospitals Network, NCIRS, </w:t>
      </w:r>
      <w:proofErr w:type="spellStart"/>
      <w:r>
        <w:t>AusVaxSafety</w:t>
      </w:r>
      <w:proofErr w:type="spellEnd"/>
      <w:r>
        <w:t xml:space="preserve">; 2022. [Accessed on 8 May 2024.] Available from: </w:t>
      </w:r>
      <w:hyperlink r:id="rId38" w:history="1">
        <w:r>
          <w:rPr>
            <w:rStyle w:val="Hyperlink"/>
          </w:rPr>
          <w:t>https://ausvaxsafety.org.au/</w:t>
        </w:r>
      </w:hyperlink>
      <w:r>
        <w:t>.</w:t>
      </w:r>
    </w:p>
    <w:p w14:paraId="4115692E" w14:textId="7079AC54" w:rsidR="00656BED" w:rsidRDefault="00656BED" w:rsidP="00656BED">
      <w:pPr>
        <w:pStyle w:val="CDINumberedList1L1"/>
        <w:ind w:left="397" w:hanging="397"/>
      </w:pPr>
      <w:r>
        <w:t xml:space="preserve">Clothier HJ, Crawford NW, Russell M, Kelly H, Buttery JP. Evaluation of 'SAEFVIC', a pharmacovigilance surveillance scheme for the spontaneous reporting of adverse events following immunisation in Victoria, Australia. </w:t>
      </w:r>
      <w:r w:rsidRPr="00656BED">
        <w:rPr>
          <w:i/>
          <w:iCs/>
        </w:rPr>
        <w:t>Drug Saf</w:t>
      </w:r>
      <w:r>
        <w:t>. 2017;40(6):483–95. doi: </w:t>
      </w:r>
      <w:hyperlink r:id="rId39" w:history="1">
        <w:r>
          <w:rPr>
            <w:rStyle w:val="Hyperlink"/>
          </w:rPr>
          <w:t>https://doi.org/10.1007/s40264-017-0520-7</w:t>
        </w:r>
      </w:hyperlink>
      <w:r>
        <w:t>.</w:t>
      </w:r>
    </w:p>
    <w:p w14:paraId="6D70DA68" w14:textId="165F64D5" w:rsidR="00656BED" w:rsidRDefault="00656BED" w:rsidP="00656BED">
      <w:pPr>
        <w:pStyle w:val="CDINumberedList1L1"/>
        <w:ind w:left="397" w:hanging="397"/>
      </w:pPr>
      <w:r>
        <w:t xml:space="preserve">World Health Organization (WHO). </w:t>
      </w:r>
      <w:r w:rsidRPr="00656BED">
        <w:rPr>
          <w:i/>
          <w:iCs/>
        </w:rPr>
        <w:t>Global Vaccine Safety Blueprint 2.0 (GVBSB2.0) 2021–2023</w:t>
      </w:r>
      <w:r>
        <w:t xml:space="preserve">. Geneva: WHO; 2021. [Accessed on 8 May 2024.] Available from: </w:t>
      </w:r>
      <w:hyperlink r:id="rId40" w:history="1">
        <w:r w:rsidRPr="006B1080">
          <w:rPr>
            <w:rStyle w:val="Hyperlink"/>
          </w:rPr>
          <w:t>https://iris.who.int/bitstream/handle/10665/348966/9789240036963-eng.pdf</w:t>
        </w:r>
      </w:hyperlink>
      <w:r>
        <w:t>.</w:t>
      </w:r>
    </w:p>
    <w:p w14:paraId="1D77B9AD" w14:textId="506E1343" w:rsidR="00656BED" w:rsidRDefault="00656BED" w:rsidP="00656BED">
      <w:pPr>
        <w:pStyle w:val="CDINumberedList1L1"/>
        <w:ind w:left="397" w:hanging="397"/>
      </w:pPr>
      <w:r>
        <w:t xml:space="preserve">Brighton Collaboration. Case Definitions. [Webpage.] Decatur (GA): Task Force for Global Health, Brighton Collaboration; 2021. [Accessed on 8 September 2021.] Available from: </w:t>
      </w:r>
      <w:hyperlink r:id="rId41" w:history="1">
        <w:r w:rsidRPr="006B1080">
          <w:rPr>
            <w:rStyle w:val="Hyperlink"/>
          </w:rPr>
          <w:t>https://brightoncollaboration.us/category/pubs-tools/case-definitions/</w:t>
        </w:r>
      </w:hyperlink>
      <w:r>
        <w:t>.</w:t>
      </w:r>
    </w:p>
    <w:p w14:paraId="151AD8EC" w14:textId="77777777" w:rsidR="00656BED" w:rsidRDefault="00656BED" w:rsidP="00656BED">
      <w:pPr>
        <w:pStyle w:val="CDINumberedList1L1"/>
        <w:ind w:left="397" w:hanging="397"/>
      </w:pPr>
      <w:r>
        <w:lastRenderedPageBreak/>
        <w:t xml:space="preserve">Australian Government Department of Health, Disability and Ageing; Australian Technical Advisory Group on Immunisation (ATAGI). </w:t>
      </w:r>
      <w:r w:rsidRPr="00656BED">
        <w:rPr>
          <w:i/>
          <w:iCs/>
        </w:rPr>
        <w:t>Australian Immunisation Handbook</w:t>
      </w:r>
      <w:r>
        <w:t xml:space="preserve">. [Online resource.] Canberra: Australian Government Department of Health, Disability and Ageing; 2021. [Accessed on 9 September 2021.] Available from: </w:t>
      </w:r>
      <w:hyperlink r:id="rId42" w:history="1">
        <w:r>
          <w:rPr>
            <w:rStyle w:val="Hyperlink"/>
          </w:rPr>
          <w:t>immunisationhandbook.health.gov.au</w:t>
        </w:r>
      </w:hyperlink>
      <w:r>
        <w:t>.</w:t>
      </w:r>
    </w:p>
    <w:p w14:paraId="42009C9E" w14:textId="389D0DD5" w:rsidR="00656BED" w:rsidRDefault="00656BED" w:rsidP="00656BED">
      <w:pPr>
        <w:pStyle w:val="CDINumberedList1L1"/>
        <w:ind w:left="397" w:hanging="397"/>
      </w:pPr>
      <w:r>
        <w:t xml:space="preserve">WHO Collaborating Centre for International Drug Monitoring, Uppsala Monitoring Centre (UMC). Pharmacovigilance communications: glossary. [Webpage.] Uppsala: WHO UMC; 2021. [Accessed on 8 May 2024.] Available from: </w:t>
      </w:r>
      <w:hyperlink r:id="rId43" w:history="1">
        <w:r w:rsidRPr="006B1080">
          <w:rPr>
            <w:rStyle w:val="Hyperlink"/>
          </w:rPr>
          <w:t>https://who-umc.org/pharmacovigilance-communications/glossary/</w:t>
        </w:r>
      </w:hyperlink>
      <w:r>
        <w:t>.</w:t>
      </w:r>
    </w:p>
    <w:p w14:paraId="2C852CCC" w14:textId="67241CD8" w:rsidR="00656BED" w:rsidRDefault="00656BED" w:rsidP="00656BED">
      <w:pPr>
        <w:pStyle w:val="CDINumberedList1L1"/>
        <w:ind w:left="397" w:hanging="397"/>
      </w:pPr>
      <w:r>
        <w:t xml:space="preserve">Marshall T, Addison M, Crawford NW, Buttery JP, Cheng DR. Aiming too high: shoulder injury related to vaccine administration (SIRVA): a case series. </w:t>
      </w:r>
      <w:r w:rsidRPr="00656BED">
        <w:rPr>
          <w:i/>
          <w:iCs/>
        </w:rPr>
        <w:t>Vaccine</w:t>
      </w:r>
      <w:r>
        <w:t>. 2022;40(52):7505–9. doi: </w:t>
      </w:r>
      <w:hyperlink r:id="rId44" w:history="1">
        <w:r>
          <w:rPr>
            <w:rStyle w:val="Hyperlink"/>
          </w:rPr>
          <w:t>https://doi.org/10.1016/j.vaccine.2022.10.086</w:t>
        </w:r>
      </w:hyperlink>
      <w:r>
        <w:t>.</w:t>
      </w:r>
    </w:p>
    <w:p w14:paraId="0C1447F5" w14:textId="42B99758" w:rsidR="00656BED" w:rsidRDefault="00656BED" w:rsidP="00656BED">
      <w:pPr>
        <w:pStyle w:val="CDINumberedList1L1"/>
        <w:ind w:left="397" w:hanging="397"/>
      </w:pPr>
      <w:r>
        <w:t xml:space="preserve">Australian Bureau of Statistics. Regional population by age and sex. Reference period: 2020. [Webpage.] Canberra: Australian Bureau of Statistics; 27 August 2021. [Accessed on 7 September 2021.] Available from: </w:t>
      </w:r>
      <w:hyperlink r:id="rId45" w:history="1">
        <w:r w:rsidRPr="006B1080">
          <w:rPr>
            <w:rStyle w:val="Hyperlink"/>
          </w:rPr>
          <w:t>https://www.abs.gov.au/statistics/people/population/regional-population-age-and-sex/2020</w:t>
        </w:r>
      </w:hyperlink>
      <w:r>
        <w:t>.</w:t>
      </w:r>
    </w:p>
    <w:p w14:paraId="01193E2D" w14:textId="77C0EC73" w:rsidR="00656BED" w:rsidRDefault="00656BED" w:rsidP="00656BED">
      <w:pPr>
        <w:pStyle w:val="CDINumberedList1L1"/>
        <w:ind w:left="397" w:hanging="397"/>
      </w:pPr>
      <w:r>
        <w:t xml:space="preserve">Australian Bureau of Statistics (ABS). Regional population. Reference period: 2019-20 financial year. [Webpage.] Canberra: Australian Bureau of Statistics; 30 March 2021. [Accessed on 9 September 2021.] Available from: </w:t>
      </w:r>
      <w:hyperlink r:id="rId46" w:history="1">
        <w:r w:rsidRPr="006B1080">
          <w:rPr>
            <w:rStyle w:val="Hyperlink"/>
          </w:rPr>
          <w:t>https://www.abs.gov.au/statistics/people/population/regional-population/2019-20</w:t>
        </w:r>
      </w:hyperlink>
      <w:r>
        <w:t>.</w:t>
      </w:r>
    </w:p>
    <w:p w14:paraId="4072F25B" w14:textId="77777777" w:rsidR="00656BED" w:rsidRDefault="00656BED" w:rsidP="00656BED">
      <w:pPr>
        <w:pStyle w:val="CDINumberedList1L1"/>
        <w:ind w:left="397" w:hanging="397"/>
      </w:pPr>
      <w:r>
        <w:t xml:space="preserve">Australian Government Services Australia. Australian Immunisation Register. [Website.] Canberra: Australian Government; 2021. [Accessed on 8 May 2024.] Available from: </w:t>
      </w:r>
      <w:hyperlink r:id="rId47" w:history="1">
        <w:r>
          <w:rPr>
            <w:rStyle w:val="Hyperlink"/>
          </w:rPr>
          <w:t>https://www.servicesaustralia.gov.au/individuals/services/medicare/australian-immunisation-register</w:t>
        </w:r>
      </w:hyperlink>
      <w:r>
        <w:t>.</w:t>
      </w:r>
    </w:p>
    <w:p w14:paraId="14C854C5" w14:textId="77777777" w:rsidR="00656BED" w:rsidRDefault="00656BED" w:rsidP="00656BED">
      <w:pPr>
        <w:pStyle w:val="CDINumberedList1L1"/>
        <w:ind w:left="397" w:hanging="397"/>
      </w:pPr>
      <w:r>
        <w:t xml:space="preserve">Clothier HJ, Lawrie J, Russell MA, Kelly H, Buttery JP. Early signal detection of adverse events following influenza vaccination using proportional reporting ratio, Victoria, Australia. </w:t>
      </w:r>
      <w:r w:rsidRPr="00656BED">
        <w:rPr>
          <w:i/>
          <w:iCs/>
        </w:rPr>
        <w:t>PLoS One</w:t>
      </w:r>
      <w:r>
        <w:t>. 2019;14(11</w:t>
      </w:r>
      <w:proofErr w:type="gramStart"/>
      <w:r>
        <w:t>):e</w:t>
      </w:r>
      <w:proofErr w:type="gramEnd"/>
      <w:r>
        <w:t xml:space="preserve">0224702. doi: </w:t>
      </w:r>
      <w:hyperlink r:id="rId48" w:history="1">
        <w:r>
          <w:rPr>
            <w:rStyle w:val="Hyperlink"/>
          </w:rPr>
          <w:t>https://doi.org/10.1371/journal.pone.0224702</w:t>
        </w:r>
      </w:hyperlink>
      <w:r>
        <w:t>.</w:t>
      </w:r>
    </w:p>
    <w:p w14:paraId="6468C1FC" w14:textId="777A8E66" w:rsidR="00656BED" w:rsidRDefault="00656BED" w:rsidP="00656BED">
      <w:pPr>
        <w:pStyle w:val="CDINumberedList1L1"/>
        <w:ind w:left="397" w:hanging="397"/>
      </w:pPr>
      <w:r>
        <w:t xml:space="preserve">Hauben M, Madigan D, Gerrits CM, Walsh L, Van </w:t>
      </w:r>
      <w:proofErr w:type="spellStart"/>
      <w:r>
        <w:t>Puijenbroek</w:t>
      </w:r>
      <w:proofErr w:type="spellEnd"/>
      <w:r>
        <w:t xml:space="preserve"> EP. The role of data mining in pharmacovigilance. </w:t>
      </w:r>
      <w:r w:rsidRPr="00656BED">
        <w:rPr>
          <w:i/>
          <w:iCs/>
        </w:rPr>
        <w:t xml:space="preserve">Expert </w:t>
      </w:r>
      <w:proofErr w:type="spellStart"/>
      <w:r w:rsidRPr="00656BED">
        <w:rPr>
          <w:i/>
          <w:iCs/>
        </w:rPr>
        <w:t>Opin</w:t>
      </w:r>
      <w:proofErr w:type="spellEnd"/>
      <w:r w:rsidRPr="00656BED">
        <w:rPr>
          <w:i/>
          <w:iCs/>
        </w:rPr>
        <w:t xml:space="preserve"> Drug Saf</w:t>
      </w:r>
      <w:r>
        <w:t>. 2005;4(5):929–48. doi: </w:t>
      </w:r>
      <w:hyperlink r:id="rId49" w:history="1">
        <w:r>
          <w:rPr>
            <w:rStyle w:val="Hyperlink"/>
          </w:rPr>
          <w:t>https://doi.org/10.1517/14740338.4.5.929</w:t>
        </w:r>
      </w:hyperlink>
      <w:r>
        <w:t>.</w:t>
      </w:r>
    </w:p>
    <w:p w14:paraId="21E6D822" w14:textId="77777777" w:rsidR="00656BED" w:rsidRDefault="00656BED" w:rsidP="00656BED">
      <w:pPr>
        <w:pStyle w:val="CDINumberedList1L1"/>
        <w:ind w:left="397" w:hanging="397"/>
      </w:pPr>
      <w:r>
        <w:t xml:space="preserve">Victorian State Government Department of Health (Victoria Health). Vaccine history timeline. [Internet.] Melbourne: Victoria Health; 2024. [Accessed on 8 May 2024.] Available from: </w:t>
      </w:r>
      <w:hyperlink r:id="rId50" w:history="1">
        <w:r>
          <w:rPr>
            <w:rStyle w:val="Hyperlink"/>
          </w:rPr>
          <w:t>https://www.health.vic.gov.au/immunisation/vaccine-history-timeline</w:t>
        </w:r>
      </w:hyperlink>
      <w:r>
        <w:t>.</w:t>
      </w:r>
    </w:p>
    <w:p w14:paraId="2FFE664C" w14:textId="02923B29" w:rsidR="00656BED" w:rsidRDefault="00656BED" w:rsidP="00656BED">
      <w:pPr>
        <w:pStyle w:val="CDINumberedList1L1"/>
        <w:ind w:left="397" w:hanging="397"/>
      </w:pPr>
      <w:r>
        <w:t xml:space="preserve">Australian Government Department of Health, Disability and Ageing, ATAGI. Australian Immunisation Handbook: Bexsero [Internet]. Canberra: Australian Government Department of Health, Disability and Ageing; 4 June 2018. [Accessed on 8 May 2024.] Available from: </w:t>
      </w:r>
      <w:hyperlink r:id="rId51" w:history="1">
        <w:r w:rsidRPr="006B1080">
          <w:rPr>
            <w:rStyle w:val="Hyperlink"/>
          </w:rPr>
          <w:t>https://immunisationhandbook.health.gov.au/vaccines/bexsero</w:t>
        </w:r>
      </w:hyperlink>
      <w:r>
        <w:t>.</w:t>
      </w:r>
    </w:p>
    <w:p w14:paraId="4DA73232" w14:textId="77777777" w:rsidR="00656BED" w:rsidRDefault="00656BED" w:rsidP="00656BED">
      <w:pPr>
        <w:pStyle w:val="CDINumberedList1L1"/>
        <w:ind w:left="397" w:hanging="397"/>
      </w:pPr>
      <w:r>
        <w:t xml:space="preserve">Victorian Department of Health COVID-19 writing group. Population-based analysis of the epidemiological features of COVID-19 epidemics in Victoria, Australia, January 2020 – March 2021, and their suppression through comprehensive control strategies. </w:t>
      </w:r>
      <w:r w:rsidRPr="00656BED">
        <w:rPr>
          <w:i/>
          <w:iCs/>
        </w:rPr>
        <w:t>Lancet Reg Health West Pac</w:t>
      </w:r>
      <w:r>
        <w:t xml:space="preserve">. </w:t>
      </w:r>
      <w:proofErr w:type="gramStart"/>
      <w:r>
        <w:t>2021;17:100297</w:t>
      </w:r>
      <w:proofErr w:type="gramEnd"/>
      <w:r>
        <w:t xml:space="preserve">. doi: </w:t>
      </w:r>
      <w:hyperlink r:id="rId52" w:history="1">
        <w:r>
          <w:rPr>
            <w:rStyle w:val="Hyperlink"/>
          </w:rPr>
          <w:t>https://doi.org/10.1016/j.lanwpc.2021.100297</w:t>
        </w:r>
      </w:hyperlink>
      <w:r>
        <w:t>.</w:t>
      </w:r>
    </w:p>
    <w:p w14:paraId="223D9809" w14:textId="3982FA4B" w:rsidR="00656BED" w:rsidRDefault="00656BED" w:rsidP="00656BED">
      <w:pPr>
        <w:pStyle w:val="CDINumberedList1L1"/>
        <w:ind w:left="397" w:hanging="397"/>
      </w:pPr>
      <w:r>
        <w:t xml:space="preserve">Clothier HJ, Crawford N, Russell MA, Buttery JP. Allergic adverse events following 2015 seasonal influenza vaccine, Victoria, Australia. </w:t>
      </w:r>
      <w:r w:rsidRPr="00656BED">
        <w:rPr>
          <w:i/>
          <w:iCs/>
        </w:rPr>
        <w:t xml:space="preserve">Euro </w:t>
      </w:r>
      <w:proofErr w:type="spellStart"/>
      <w:r w:rsidRPr="00656BED">
        <w:rPr>
          <w:i/>
          <w:iCs/>
        </w:rPr>
        <w:t>Surveill</w:t>
      </w:r>
      <w:proofErr w:type="spellEnd"/>
      <w:r>
        <w:t>. 2017;22(20):30535. doi: </w:t>
      </w:r>
      <w:hyperlink r:id="rId53" w:history="1">
        <w:r>
          <w:rPr>
            <w:rStyle w:val="Hyperlink"/>
          </w:rPr>
          <w:t>https://doi.org/10.2807/1560-7917.Es.2017.22.20.30535</w:t>
        </w:r>
      </w:hyperlink>
      <w:r>
        <w:t>.</w:t>
      </w:r>
    </w:p>
    <w:p w14:paraId="2FFE4C04" w14:textId="109B03D7" w:rsidR="00656BED" w:rsidRDefault="00656BED" w:rsidP="00656BED">
      <w:pPr>
        <w:pStyle w:val="CDINumberedList1L1"/>
        <w:ind w:left="397" w:hanging="397"/>
      </w:pPr>
      <w:r>
        <w:lastRenderedPageBreak/>
        <w:t xml:space="preserve">Gold MS, Effler P, Kelly H, Richmond PC, Buttery JP. Febrile convulsions after 2010 seasonal trivalent influenza vaccine: implications for vaccine safety surveillance in Australia. </w:t>
      </w:r>
      <w:r w:rsidRPr="00656BED">
        <w:rPr>
          <w:i/>
          <w:iCs/>
        </w:rPr>
        <w:t>Med J Aust</w:t>
      </w:r>
      <w:r>
        <w:t xml:space="preserve">. 2010;193(9):492–3. doi: </w:t>
      </w:r>
      <w:hyperlink r:id="rId54" w:history="1">
        <w:r w:rsidRPr="006B1080">
          <w:rPr>
            <w:rStyle w:val="Hyperlink"/>
          </w:rPr>
          <w:t>https://doi.org/10.5694/j.1326-5377.2010.tb04029.x</w:t>
        </w:r>
      </w:hyperlink>
    </w:p>
    <w:p w14:paraId="49B6F884" w14:textId="77777777" w:rsidR="00656BED" w:rsidRDefault="00656BED" w:rsidP="00656BED">
      <w:pPr>
        <w:pStyle w:val="CDINumberedList1L1"/>
        <w:ind w:left="397" w:hanging="397"/>
      </w:pPr>
      <w:r>
        <w:t xml:space="preserve">Therapeutic Goods Administration (TGA). Advisory Committee on Vaccines meeting statement, meeting 11, 5 December 2018. [Internet.] Canberra: Australian Government Department of Health, Disability and Ageing, TGA; 8 October 2019. [Accessed on 20 October 2021.] Available from: </w:t>
      </w:r>
      <w:hyperlink r:id="rId55" w:history="1">
        <w:r>
          <w:rPr>
            <w:rStyle w:val="Hyperlink"/>
          </w:rPr>
          <w:t>https://www.tga.gov.au/committee-meeting-info/acv-meeting-statement-meeting-11-5-december-2018</w:t>
        </w:r>
      </w:hyperlink>
      <w:r>
        <w:t>.</w:t>
      </w:r>
    </w:p>
    <w:p w14:paraId="0B68A93D" w14:textId="77777777" w:rsidR="00656BED" w:rsidRDefault="00656BED" w:rsidP="00656BED">
      <w:pPr>
        <w:pStyle w:val="CDINumberedList1L1"/>
        <w:ind w:left="397" w:hanging="397"/>
      </w:pPr>
      <w:proofErr w:type="spellStart"/>
      <w:r>
        <w:t>Basseal</w:t>
      </w:r>
      <w:proofErr w:type="spellEnd"/>
      <w:r>
        <w:t xml:space="preserve"> JM, Bennett CM, Collignon P, Currie BJ, Durrheim DN, Leask J et al. Key lessons from the COVID-19 public health response in Australia. </w:t>
      </w:r>
      <w:r w:rsidRPr="00656BED">
        <w:rPr>
          <w:i/>
          <w:iCs/>
        </w:rPr>
        <w:t>Lancet Reg Health West Pac</w:t>
      </w:r>
      <w:r>
        <w:t xml:space="preserve">. </w:t>
      </w:r>
      <w:proofErr w:type="gramStart"/>
      <w:r>
        <w:t>2023;30:100616</w:t>
      </w:r>
      <w:proofErr w:type="gramEnd"/>
      <w:r>
        <w:t xml:space="preserve">. doi: </w:t>
      </w:r>
      <w:hyperlink r:id="rId56" w:history="1">
        <w:r>
          <w:rPr>
            <w:rStyle w:val="Hyperlink"/>
          </w:rPr>
          <w:t>https://doi.org/10.1016/j.lanwpc.2022.100616</w:t>
        </w:r>
      </w:hyperlink>
      <w:r>
        <w:t>.</w:t>
      </w:r>
    </w:p>
    <w:p w14:paraId="49312F00" w14:textId="77777777" w:rsidR="00656BED" w:rsidRDefault="00656BED" w:rsidP="00656BED">
      <w:pPr>
        <w:pStyle w:val="CDINumberedList1L1"/>
        <w:ind w:left="397" w:hanging="397"/>
      </w:pPr>
      <w:r>
        <w:t xml:space="preserve">Laemmle-Ruff I, Lewis G, Clothier HJ, </w:t>
      </w:r>
      <w:proofErr w:type="spellStart"/>
      <w:r>
        <w:t>Dimaguila</w:t>
      </w:r>
      <w:proofErr w:type="spellEnd"/>
      <w:r>
        <w:t xml:space="preserve"> GL, </w:t>
      </w:r>
      <w:proofErr w:type="spellStart"/>
      <w:r>
        <w:t>Wolthuizen</w:t>
      </w:r>
      <w:proofErr w:type="spellEnd"/>
      <w:r>
        <w:t xml:space="preserve"> M, Buttery J et al. Vaccine safety in Australia during the COVID-19 pandemic: lessons learned on the frontline. </w:t>
      </w:r>
      <w:r w:rsidRPr="00656BED">
        <w:rPr>
          <w:i/>
          <w:iCs/>
        </w:rPr>
        <w:t>Front Public Health</w:t>
      </w:r>
      <w:r>
        <w:t xml:space="preserve">. </w:t>
      </w:r>
      <w:proofErr w:type="gramStart"/>
      <w:r>
        <w:t>2022;10:1053637</w:t>
      </w:r>
      <w:proofErr w:type="gramEnd"/>
      <w:r>
        <w:t xml:space="preserve">. doi: </w:t>
      </w:r>
      <w:hyperlink r:id="rId57" w:history="1">
        <w:r>
          <w:rPr>
            <w:rStyle w:val="Hyperlink"/>
          </w:rPr>
          <w:t>https://doi.org/10.3389/fpubh.2022.1053637</w:t>
        </w:r>
      </w:hyperlink>
      <w:r>
        <w:t>.</w:t>
      </w:r>
    </w:p>
    <w:p w14:paraId="7EE4E26C" w14:textId="4D8B0BB2" w:rsidR="00656BED" w:rsidRDefault="00656BED" w:rsidP="00656BED">
      <w:pPr>
        <w:pStyle w:val="CDINumberedList1L1"/>
        <w:ind w:left="397" w:hanging="397"/>
      </w:pPr>
      <w:r>
        <w:t xml:space="preserve">MVEC. Clinical Vaccinology Update (CVU) – December 2020. [Webpage.] Melbourne: SAEFVIC, MVEC; December 2020. [Accessed on 20 October 2021.] Available from: </w:t>
      </w:r>
      <w:hyperlink r:id="rId58" w:history="1">
        <w:r w:rsidRPr="006B1080">
          <w:rPr>
            <w:rStyle w:val="Hyperlink"/>
          </w:rPr>
          <w:t>https://mvec.mcri.edu.au/events/clinical-vaccinology-update-cvu-monday-7th-december-2020/</w:t>
        </w:r>
      </w:hyperlink>
      <w:r>
        <w:t>.</w:t>
      </w:r>
    </w:p>
    <w:p w14:paraId="2DCF37C1" w14:textId="77777777" w:rsidR="00656BED" w:rsidRDefault="00656BED" w:rsidP="00656BED">
      <w:pPr>
        <w:pStyle w:val="CDINumberedList1L1"/>
        <w:ind w:left="397" w:hanging="397"/>
      </w:pPr>
      <w:r>
        <w:t xml:space="preserve">MVEC. </w:t>
      </w:r>
      <w:proofErr w:type="spellStart"/>
      <w:r>
        <w:t>VicVax</w:t>
      </w:r>
      <w:proofErr w:type="spellEnd"/>
      <w:r>
        <w:t xml:space="preserve"> (Victorian Immunisation Schedule) app- currently undergoing review. [Webpage.] Melbourne: SAEFVIC, MVEC; 28 July 2020. [Accessed on 20 October 2021.] Available from: </w:t>
      </w:r>
      <w:hyperlink r:id="rId59" w:history="1">
        <w:r>
          <w:rPr>
            <w:rStyle w:val="Hyperlink"/>
          </w:rPr>
          <w:t>https://mvec.mcri.edu.au/vicvax-victorian-immunisation-schedule-app-currently-undergoing-review/</w:t>
        </w:r>
      </w:hyperlink>
      <w:r>
        <w:t>.</w:t>
      </w:r>
    </w:p>
    <w:p w14:paraId="019ABDF6" w14:textId="2C82484D" w:rsidR="00656BED" w:rsidRDefault="00656BED" w:rsidP="00656BED">
      <w:pPr>
        <w:pStyle w:val="CDINumberedList1L1"/>
        <w:ind w:left="397" w:hanging="397"/>
      </w:pPr>
      <w:r>
        <w:t xml:space="preserve">MVEC, Crawford N. COVID-19 Road to a vaccine. [Webpage; podcasts.] Melbourne: SAEFVIC, MVEC; 2020. [Accessed on 20 October 2021.] Available from: </w:t>
      </w:r>
      <w:hyperlink r:id="rId60" w:history="1">
        <w:r w:rsidRPr="006B1080">
          <w:rPr>
            <w:rStyle w:val="Hyperlink"/>
          </w:rPr>
          <w:t>https://mvec.mcri.edu.au/podcasts/covid19-podcast-road-to-a-vaccine/</w:t>
        </w:r>
      </w:hyperlink>
      <w:r>
        <w:t>.</w:t>
      </w:r>
    </w:p>
    <w:p w14:paraId="2876277D" w14:textId="77777777" w:rsidR="00656BED" w:rsidRDefault="00656BED" w:rsidP="00656BED">
      <w:pPr>
        <w:pStyle w:val="CDINumberedList1L1"/>
        <w:ind w:left="397" w:hanging="397"/>
      </w:pPr>
      <w:r>
        <w:t xml:space="preserve">Dey A, Wang H, Quinn H, Pillsbury A, Hickie M, Deng L et al. Surveillance of adverse events following immunisation in Australia annual report, 2020. </w:t>
      </w:r>
      <w:r w:rsidRPr="00656BED">
        <w:rPr>
          <w:i/>
          <w:iCs/>
        </w:rPr>
        <w:t>Commun Dis Intell (2018)</w:t>
      </w:r>
      <w:r>
        <w:t xml:space="preserve">. 2022;46. doi: </w:t>
      </w:r>
      <w:hyperlink r:id="rId61" w:history="1">
        <w:r>
          <w:rPr>
            <w:rStyle w:val="Hyperlink"/>
          </w:rPr>
          <w:t>https://doi.org/10.33321/cdi.2022.46.47</w:t>
        </w:r>
      </w:hyperlink>
      <w:r>
        <w:t>.</w:t>
      </w:r>
    </w:p>
    <w:p w14:paraId="57D5A4D3" w14:textId="77777777" w:rsidR="00656BED" w:rsidRDefault="00656BED" w:rsidP="00656BED">
      <w:pPr>
        <w:pStyle w:val="CDINumberedList1L1"/>
        <w:ind w:left="397" w:hanging="397"/>
      </w:pPr>
      <w:r>
        <w:t xml:space="preserve">Hull B, Hendry A, Dey A, Macartney K, Beard F. Immunisation Coverage Annual Report 2019. </w:t>
      </w:r>
      <w:r w:rsidRPr="00656BED">
        <w:rPr>
          <w:i/>
          <w:iCs/>
        </w:rPr>
        <w:t>Commun Dis Intell (2018)</w:t>
      </w:r>
      <w:r>
        <w:t xml:space="preserve">. 2021;45. doi: </w:t>
      </w:r>
      <w:hyperlink r:id="rId62" w:history="1">
        <w:r>
          <w:rPr>
            <w:rStyle w:val="Hyperlink"/>
          </w:rPr>
          <w:t>https://doi.org/10.33321/cdi.2020.45.18</w:t>
        </w:r>
      </w:hyperlink>
      <w:r>
        <w:t>.</w:t>
      </w:r>
    </w:p>
    <w:p w14:paraId="3A2123C2" w14:textId="77777777" w:rsidR="00656BED" w:rsidRDefault="00656BED" w:rsidP="00656BED">
      <w:pPr>
        <w:pStyle w:val="CDINumberedList1L1"/>
        <w:ind w:left="397" w:hanging="397"/>
      </w:pPr>
      <w:r>
        <w:t xml:space="preserve">Hull B, Hendry A, Dey A, Macartney K, McIntyre P, Beard F. </w:t>
      </w:r>
      <w:r w:rsidRPr="00656BED">
        <w:rPr>
          <w:i/>
          <w:iCs/>
        </w:rPr>
        <w:t>Exploratory analysis of the first 2 years of adult vaccination data recorded on AIR</w:t>
      </w:r>
      <w:r>
        <w:t xml:space="preserve">. Sydney: Sydney Children’s Hospital Network, NCIRS; November 2019. [Accessed on 27 October 2021.] Available from: </w:t>
      </w:r>
      <w:hyperlink r:id="rId63" w:history="1">
        <w:r>
          <w:rPr>
            <w:rStyle w:val="Hyperlink"/>
          </w:rPr>
          <w:t>https://ncirs.org.au/sites/default/files/2019-12/Analysis%20of%20adult%20vaccination%20data%20on%20AIR_Nov%202019.pdf</w:t>
        </w:r>
      </w:hyperlink>
      <w:r>
        <w:t>.</w:t>
      </w:r>
    </w:p>
    <w:p w14:paraId="24659741" w14:textId="77777777" w:rsidR="00656BED" w:rsidRDefault="00656BED" w:rsidP="00656BED">
      <w:pPr>
        <w:pStyle w:val="CDINumberedList1L1"/>
        <w:ind w:left="397" w:hanging="397"/>
      </w:pPr>
      <w:r>
        <w:t xml:space="preserve">Gibbons CL, Mangen MJ, Plass D, </w:t>
      </w:r>
      <w:proofErr w:type="spellStart"/>
      <w:r>
        <w:t>Havelaar</w:t>
      </w:r>
      <w:proofErr w:type="spellEnd"/>
      <w:r>
        <w:t xml:space="preserve"> AH, Brooke RJ, Kramarz P et al. Measuring underreporting and under-ascertainment in infectious disease datasets: a comparison of methods. </w:t>
      </w:r>
      <w:r w:rsidRPr="00656BED">
        <w:rPr>
          <w:i/>
          <w:iCs/>
        </w:rPr>
        <w:t>BMC Public Health</w:t>
      </w:r>
      <w:r>
        <w:t xml:space="preserve">. </w:t>
      </w:r>
      <w:proofErr w:type="gramStart"/>
      <w:r>
        <w:t>2014;14:147</w:t>
      </w:r>
      <w:proofErr w:type="gramEnd"/>
      <w:r>
        <w:t xml:space="preserve">. doi: </w:t>
      </w:r>
      <w:hyperlink r:id="rId64" w:history="1">
        <w:r>
          <w:rPr>
            <w:rStyle w:val="Hyperlink"/>
          </w:rPr>
          <w:t>https://doi.org/10.1186/1471-2458-14-147</w:t>
        </w:r>
      </w:hyperlink>
      <w:r>
        <w:t>.</w:t>
      </w:r>
    </w:p>
    <w:p w14:paraId="686860EB" w14:textId="77777777" w:rsidR="00656BED" w:rsidRDefault="00656BED" w:rsidP="00656BED">
      <w:pPr>
        <w:pStyle w:val="CDINumberedList1L1"/>
        <w:ind w:left="397" w:hanging="397"/>
      </w:pPr>
      <w:r>
        <w:t xml:space="preserve">Hazell L, Shakir SA. Under-reporting of adverse drug </w:t>
      </w:r>
      <w:proofErr w:type="gramStart"/>
      <w:r>
        <w:t>reactions :</w:t>
      </w:r>
      <w:proofErr w:type="gramEnd"/>
      <w:r>
        <w:t xml:space="preserve"> a systematic review. </w:t>
      </w:r>
      <w:r w:rsidRPr="00656BED">
        <w:rPr>
          <w:i/>
          <w:iCs/>
        </w:rPr>
        <w:t>Drug Saf</w:t>
      </w:r>
      <w:r>
        <w:t xml:space="preserve">. 2006;29(5):385–96. doi: </w:t>
      </w:r>
      <w:hyperlink r:id="rId65" w:history="1">
        <w:r>
          <w:rPr>
            <w:rStyle w:val="Hyperlink"/>
          </w:rPr>
          <w:t>https://doi.org/10.2165/00002018-200629050-00003</w:t>
        </w:r>
      </w:hyperlink>
      <w:r>
        <w:t>.</w:t>
      </w:r>
    </w:p>
    <w:p w14:paraId="075AFC14" w14:textId="77777777" w:rsidR="00656BED" w:rsidRDefault="00656BED" w:rsidP="00656BED">
      <w:pPr>
        <w:pStyle w:val="CDINumberedList1L1"/>
        <w:ind w:left="397" w:hanging="397"/>
      </w:pPr>
      <w:r>
        <w:lastRenderedPageBreak/>
        <w:t xml:space="preserve">Australian Government Department of Health, Disability and Ageing. </w:t>
      </w:r>
      <w:r w:rsidRPr="00656BED">
        <w:rPr>
          <w:i/>
          <w:iCs/>
        </w:rPr>
        <w:t xml:space="preserve">Vaccine safety in Australia: </w:t>
      </w:r>
      <w:proofErr w:type="spellStart"/>
      <w:r w:rsidRPr="00656BED">
        <w:rPr>
          <w:i/>
          <w:iCs/>
        </w:rPr>
        <w:t>AusVaxSafety</w:t>
      </w:r>
      <w:proofErr w:type="spellEnd"/>
      <w:r w:rsidRPr="00656BED">
        <w:rPr>
          <w:i/>
          <w:iCs/>
        </w:rPr>
        <w:t xml:space="preserve"> summary report 2019</w:t>
      </w:r>
      <w:r>
        <w:t xml:space="preserve">. Canberra: Australian Government Department of Health, Disability and Ageing; 2020. [Accessed on 8 May 2024.] Available from: </w:t>
      </w:r>
      <w:hyperlink r:id="rId66" w:history="1">
        <w:r>
          <w:rPr>
            <w:rStyle w:val="Hyperlink"/>
          </w:rPr>
          <w:t>https://www.health.gov.au/sites/default/files/documents/2020/11/vaccine-safety-in-australia-ausvaxsafety-summary-report-2019.pdf</w:t>
        </w:r>
      </w:hyperlink>
      <w:r>
        <w:t>.</w:t>
      </w:r>
    </w:p>
    <w:p w14:paraId="48854389" w14:textId="6A38273A" w:rsidR="00656BED" w:rsidRDefault="00656BED" w:rsidP="00656BED">
      <w:pPr>
        <w:pStyle w:val="CDINumberedList1L1"/>
        <w:ind w:left="397" w:hanging="397"/>
      </w:pPr>
      <w:r>
        <w:t xml:space="preserve">Westphal DW, Williams SA, Leeb A, Effler PV. Continuous active surveillance of adverse events following immunisation using SMS technology. </w:t>
      </w:r>
      <w:r w:rsidRPr="00656BED">
        <w:rPr>
          <w:i/>
          <w:iCs/>
        </w:rPr>
        <w:t>Vaccine</w:t>
      </w:r>
      <w:r>
        <w:t>. 2016;34(29):3350–5. doi: </w:t>
      </w:r>
      <w:hyperlink r:id="rId67" w:history="1">
        <w:r>
          <w:rPr>
            <w:rStyle w:val="Hyperlink"/>
          </w:rPr>
          <w:t>https://doi.org/10.1016/j.vaccine.2016.05.015</w:t>
        </w:r>
      </w:hyperlink>
      <w:r>
        <w:t>.</w:t>
      </w:r>
    </w:p>
    <w:p w14:paraId="3B7CC86B" w14:textId="77777777" w:rsidR="00656BED" w:rsidRDefault="00656BED" w:rsidP="00656BED">
      <w:pPr>
        <w:pStyle w:val="CDINumberedList1L1"/>
        <w:ind w:left="397" w:hanging="397"/>
      </w:pPr>
      <w:r>
        <w:t xml:space="preserve">Australian Government Department of Health, Disability and Ageing. COVID-19 Temporary MBS Telehealth Services. [Internet.] Canberra: Australian Government Department of Health, Disability and Ageing; 19 December 2022. [Accessed on 8 May 2024.] Available from: </w:t>
      </w:r>
      <w:hyperlink r:id="rId68" w:history="1">
        <w:r>
          <w:rPr>
            <w:rStyle w:val="Hyperlink"/>
          </w:rPr>
          <w:t>http://www.mbsonline.gov.au/internet/mbsonline/publishing.nsf/Content/Factsheet-TempBB</w:t>
        </w:r>
      </w:hyperlink>
      <w:r>
        <w:t>.</w:t>
      </w:r>
    </w:p>
    <w:p w14:paraId="45AE490E" w14:textId="3D218F0E" w:rsidR="0058264F" w:rsidRPr="001E3ECB" w:rsidRDefault="00656BED" w:rsidP="00656BED">
      <w:pPr>
        <w:pStyle w:val="CDINumberedList1L1"/>
        <w:ind w:left="397" w:hanging="397"/>
      </w:pPr>
      <w:r>
        <w:t xml:space="preserve">Australian Government Department of Health, Disability and Ageing. COVID-19 vaccination – Australia's COVID-19 vaccine national roll-out strategy. [Internet.] Canberra: Australian Government Department of Health, Disability and Ageing; 7 January 2021. [Accessed on 8 May 2024.] Available from: </w:t>
      </w:r>
      <w:hyperlink r:id="rId69" w:history="1">
        <w:r>
          <w:rPr>
            <w:rStyle w:val="Hyperlink"/>
          </w:rPr>
          <w:t>https://www.health.gov.au/resources/publications/covid-19-vaccination-australias-covid-19-vaccine-national-roll-out-strategy</w:t>
        </w:r>
      </w:hyperlink>
      <w:r>
        <w:t>.</w:t>
      </w:r>
    </w:p>
    <w:sectPr w:rsidR="0058264F" w:rsidRPr="001E3ECB" w:rsidSect="001E3ECB">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E51F9" w14:textId="77777777" w:rsidR="00420A2A" w:rsidRDefault="00420A2A" w:rsidP="00E54DBA">
      <w:r>
        <w:separator/>
      </w:r>
    </w:p>
    <w:p w14:paraId="7AEBCAD8" w14:textId="77777777" w:rsidR="00420A2A" w:rsidRDefault="00420A2A"/>
    <w:p w14:paraId="42D1B761" w14:textId="77777777" w:rsidR="00420A2A" w:rsidRDefault="00420A2A" w:rsidP="008714B0"/>
  </w:endnote>
  <w:endnote w:type="continuationSeparator" w:id="0">
    <w:p w14:paraId="59FF6559" w14:textId="77777777" w:rsidR="00420A2A" w:rsidRDefault="00420A2A" w:rsidP="00E54DBA">
      <w:r>
        <w:continuationSeparator/>
      </w:r>
    </w:p>
    <w:p w14:paraId="35DFEFB6" w14:textId="77777777" w:rsidR="00420A2A" w:rsidRDefault="00420A2A"/>
    <w:p w14:paraId="6AFBE491" w14:textId="77777777" w:rsidR="00420A2A" w:rsidRDefault="00420A2A"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LTPro-Roman">
    <w:altName w:val="Arial"/>
    <w:panose1 w:val="00000000000000000000"/>
    <w:charset w:val="00"/>
    <w:family w:val="auto"/>
    <w:notTrueType/>
    <w:pitch w:val="default"/>
    <w:sig w:usb0="00000003" w:usb1="00000000" w:usb2="00000000" w:usb3="00000000" w:csb0="00000001" w:csb1="00000000"/>
  </w:font>
  <w:font w:name="HelveticaNeueLTPro-B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6342" w14:textId="77777777" w:rsidR="00B87589" w:rsidRDefault="00271616">
    <w:r>
      <w:rPr>
        <w:noProof/>
        <w14:ligatures w14:val="none"/>
      </w:rPr>
      <mc:AlternateContent>
        <mc:Choice Requires="wps">
          <w:drawing>
            <wp:anchor distT="0" distB="0" distL="0" distR="0" simplePos="0" relativeHeight="251667456" behindDoc="0" locked="0" layoutInCell="1" allowOverlap="1" wp14:anchorId="67347D51" wp14:editId="63B86C2F">
              <wp:simplePos x="635" y="635"/>
              <wp:positionH relativeFrom="page">
                <wp:align>center</wp:align>
              </wp:positionH>
              <wp:positionV relativeFrom="page">
                <wp:align>bottom</wp:align>
              </wp:positionV>
              <wp:extent cx="551815" cy="518795"/>
              <wp:effectExtent l="0" t="0" r="635" b="0"/>
              <wp:wrapNone/>
              <wp:docPr id="184457404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71070057"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347D51"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71070057"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7B23" w14:textId="5CF315FD"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420A2A">
        <w:t>2026</w:t>
      </w:r>
    </w:fldSimple>
    <w:r w:rsidR="009B78A9">
      <w:t>;</w:t>
    </w:r>
    <w:fldSimple w:instr=" DOCPROPERTY  Vol  \* MERGEFORMAT ">
      <w:r w:rsidR="00420A2A">
        <w:t>50</w:t>
      </w:r>
    </w:fldSimple>
    <w:r w:rsidR="00385655" w:rsidRPr="001D0612">
      <w:t xml:space="preserve"> </w:t>
    </w:r>
    <w:r w:rsidR="00385655" w:rsidRPr="00B85B74">
      <w:t>•</w:t>
    </w:r>
    <w:r w:rsidR="00385655">
      <w:t xml:space="preserve"> </w:t>
    </w:r>
    <w:fldSimple w:instr=" DOCPROPERTY  DOI  \* MERGEFORMAT ">
      <w:r w:rsidR="00112EED">
        <w:t>doi.org/10.33321/cdi.2026.50.012</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112EED">
        <w:t>24.02.2026</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86EB9" w14:textId="77777777" w:rsidR="00B87589" w:rsidRDefault="00271616">
    <w:r>
      <w:rPr>
        <w:noProof/>
        <w14:ligatures w14:val="none"/>
      </w:rPr>
      <mc:AlternateContent>
        <mc:Choice Requires="wps">
          <w:drawing>
            <wp:anchor distT="0" distB="0" distL="0" distR="0" simplePos="0" relativeHeight="251666432" behindDoc="0" locked="0" layoutInCell="1" allowOverlap="1" wp14:anchorId="57451AF2" wp14:editId="11279E71">
              <wp:simplePos x="635" y="635"/>
              <wp:positionH relativeFrom="page">
                <wp:align>center</wp:align>
              </wp:positionH>
              <wp:positionV relativeFrom="page">
                <wp:align>bottom</wp:align>
              </wp:positionV>
              <wp:extent cx="551815" cy="518795"/>
              <wp:effectExtent l="0" t="0" r="635" b="0"/>
              <wp:wrapNone/>
              <wp:docPr id="9427397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656414FC"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451AF2" id="_x0000_t202" coordsize="21600,21600" o:spt="202" path="m,l,21600r21600,l21600,xe">
              <v:stroke joinstyle="miter"/>
              <v:path gradientshapeok="t" o:connecttype="rect"/>
            </v:shapetype>
            <v:shape id="Text Box 4" o:spid="_x0000_s1029" type="#_x0000_t202" alt="OFFICIAL" style="position:absolute;margin-left:0;margin-top:0;width:43.45pt;height:40.8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" filled="f" stroked="f">
              <v:textbox style="mso-fit-shape-to-text:t" inset="0,0,0,15pt">
                <w:txbxContent>
                  <w:p w14:paraId="656414FC"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A53C" w14:textId="77777777" w:rsidR="00420A2A" w:rsidRPr="00B91FB5" w:rsidRDefault="00420A2A" w:rsidP="00B91FB5">
      <w:pPr>
        <w:spacing w:line="240" w:lineRule="auto"/>
        <w:rPr>
          <w:sz w:val="18"/>
          <w:szCs w:val="18"/>
        </w:rPr>
      </w:pPr>
      <w:r w:rsidRPr="00B91FB5">
        <w:rPr>
          <w:sz w:val="18"/>
          <w:szCs w:val="18"/>
        </w:rPr>
        <w:separator/>
      </w:r>
    </w:p>
  </w:footnote>
  <w:footnote w:type="continuationSeparator" w:id="0">
    <w:p w14:paraId="542FEE56" w14:textId="77777777" w:rsidR="00420A2A" w:rsidRDefault="00420A2A" w:rsidP="00E54DBA">
      <w:r>
        <w:continuationSeparator/>
      </w:r>
    </w:p>
  </w:footnote>
  <w:footnote w:type="continuationNotice" w:id="1">
    <w:p w14:paraId="52DE092A" w14:textId="77777777" w:rsidR="00420A2A" w:rsidRPr="00224EFF" w:rsidRDefault="00420A2A"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C562" w14:textId="77777777" w:rsidR="00B87589" w:rsidRDefault="00271616">
    <w:pPr>
      <w:pStyle w:val="Header"/>
    </w:pPr>
    <w:r>
      <w:rPr>
        <w:noProof/>
        <w14:ligatures w14:val="none"/>
      </w:rPr>
      <mc:AlternateContent>
        <mc:Choice Requires="wps">
          <w:drawing>
            <wp:anchor distT="0" distB="0" distL="0" distR="0" simplePos="0" relativeHeight="251664384" behindDoc="0" locked="0" layoutInCell="1" allowOverlap="1" wp14:anchorId="6F263D9D" wp14:editId="2916B542">
              <wp:simplePos x="635" y="635"/>
              <wp:positionH relativeFrom="page">
                <wp:align>center</wp:align>
              </wp:positionH>
              <wp:positionV relativeFrom="page">
                <wp:align>top</wp:align>
              </wp:positionV>
              <wp:extent cx="551815" cy="518795"/>
              <wp:effectExtent l="0" t="0" r="635" b="14605"/>
              <wp:wrapNone/>
              <wp:docPr id="4654446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22C23A1D"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263D9D"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22C23A1D"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88A8" w14:textId="77777777"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78E5" w14:textId="77777777" w:rsidR="00B87589" w:rsidRDefault="00271616">
    <w:pPr>
      <w:pStyle w:val="Header"/>
    </w:pPr>
    <w:r>
      <w:rPr>
        <w:noProof/>
        <w14:ligatures w14:val="none"/>
      </w:rPr>
      <mc:AlternateContent>
        <mc:Choice Requires="wps">
          <w:drawing>
            <wp:anchor distT="0" distB="0" distL="0" distR="0" simplePos="0" relativeHeight="251663360" behindDoc="0" locked="0" layoutInCell="1" allowOverlap="1" wp14:anchorId="351B2629" wp14:editId="6D93B9A0">
              <wp:simplePos x="635" y="635"/>
              <wp:positionH relativeFrom="page">
                <wp:align>center</wp:align>
              </wp:positionH>
              <wp:positionV relativeFrom="page">
                <wp:align>top</wp:align>
              </wp:positionV>
              <wp:extent cx="551815" cy="518795"/>
              <wp:effectExtent l="0" t="0" r="635" b="14605"/>
              <wp:wrapNone/>
              <wp:docPr id="16966496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390BEC3E"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1B2629"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390BEC3E"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20" w:hanging="360"/>
      </w:pPr>
      <w:rPr>
        <w:rFonts w:ascii="Symbol" w:hAnsi="Symbol" w:hint="default"/>
      </w:rPr>
    </w:lvl>
    <w:lvl w:ilvl="1" w:tplc="0C090003" w:tentative="1">
      <w:start w:val="1"/>
      <w:numFmt w:val="bullet"/>
      <w:lvlText w:val="o"/>
      <w:lvlJc w:val="left"/>
      <w:pPr>
        <w:ind w:left="4700" w:hanging="360"/>
      </w:pPr>
      <w:rPr>
        <w:rFonts w:ascii="Courier New" w:hAnsi="Courier New" w:cs="Courier New" w:hint="default"/>
      </w:rPr>
    </w:lvl>
    <w:lvl w:ilvl="2" w:tplc="0C090005" w:tentative="1">
      <w:start w:val="1"/>
      <w:numFmt w:val="bullet"/>
      <w:lvlText w:val=""/>
      <w:lvlJc w:val="left"/>
      <w:pPr>
        <w:ind w:left="5420" w:hanging="360"/>
      </w:pPr>
      <w:rPr>
        <w:rFonts w:ascii="Wingdings" w:hAnsi="Wingdings" w:hint="default"/>
      </w:rPr>
    </w:lvl>
    <w:lvl w:ilvl="3" w:tplc="0C090001" w:tentative="1">
      <w:start w:val="1"/>
      <w:numFmt w:val="bullet"/>
      <w:lvlText w:val=""/>
      <w:lvlJc w:val="left"/>
      <w:pPr>
        <w:ind w:left="6140" w:hanging="360"/>
      </w:pPr>
      <w:rPr>
        <w:rFonts w:ascii="Symbol" w:hAnsi="Symbol" w:hint="default"/>
      </w:rPr>
    </w:lvl>
    <w:lvl w:ilvl="4" w:tplc="0C090003" w:tentative="1">
      <w:start w:val="1"/>
      <w:numFmt w:val="bullet"/>
      <w:lvlText w:val="o"/>
      <w:lvlJc w:val="left"/>
      <w:pPr>
        <w:ind w:left="6860" w:hanging="360"/>
      </w:pPr>
      <w:rPr>
        <w:rFonts w:ascii="Courier New" w:hAnsi="Courier New" w:cs="Courier New" w:hint="default"/>
      </w:rPr>
    </w:lvl>
    <w:lvl w:ilvl="5" w:tplc="0C090005" w:tentative="1">
      <w:start w:val="1"/>
      <w:numFmt w:val="bullet"/>
      <w:lvlText w:val=""/>
      <w:lvlJc w:val="left"/>
      <w:pPr>
        <w:ind w:left="7580" w:hanging="360"/>
      </w:pPr>
      <w:rPr>
        <w:rFonts w:ascii="Wingdings" w:hAnsi="Wingdings" w:hint="default"/>
      </w:rPr>
    </w:lvl>
    <w:lvl w:ilvl="6" w:tplc="0C090001" w:tentative="1">
      <w:start w:val="1"/>
      <w:numFmt w:val="bullet"/>
      <w:lvlText w:val=""/>
      <w:lvlJc w:val="left"/>
      <w:pPr>
        <w:ind w:left="8300" w:hanging="360"/>
      </w:pPr>
      <w:rPr>
        <w:rFonts w:ascii="Symbol" w:hAnsi="Symbol" w:hint="default"/>
      </w:rPr>
    </w:lvl>
    <w:lvl w:ilvl="7" w:tplc="0C090003" w:tentative="1">
      <w:start w:val="1"/>
      <w:numFmt w:val="bullet"/>
      <w:lvlText w:val="o"/>
      <w:lvlJc w:val="left"/>
      <w:pPr>
        <w:ind w:left="9020" w:hanging="360"/>
      </w:pPr>
      <w:rPr>
        <w:rFonts w:ascii="Courier New" w:hAnsi="Courier New" w:cs="Courier New" w:hint="default"/>
      </w:rPr>
    </w:lvl>
    <w:lvl w:ilvl="8" w:tplc="0C090005" w:tentative="1">
      <w:start w:val="1"/>
      <w:numFmt w:val="bullet"/>
      <w:lvlText w:val=""/>
      <w:lvlJc w:val="left"/>
      <w:pPr>
        <w:ind w:left="9740" w:hanging="360"/>
      </w:pPr>
      <w:rPr>
        <w:rFonts w:ascii="Wingdings" w:hAnsi="Wingdings" w:hint="default"/>
      </w:rPr>
    </w:lvl>
  </w:abstractNum>
  <w:abstractNum w:abstractNumId="1" w15:restartNumberingAfterBreak="0">
    <w:nsid w:val="1C5F1EF6"/>
    <w:multiLevelType w:val="hybridMultilevel"/>
    <w:tmpl w:val="BFD2855C"/>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17395004">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A2A"/>
    <w:rsid w:val="00000B5B"/>
    <w:rsid w:val="00001611"/>
    <w:rsid w:val="00002B8D"/>
    <w:rsid w:val="000073ED"/>
    <w:rsid w:val="0001020A"/>
    <w:rsid w:val="000104A8"/>
    <w:rsid w:val="0001246E"/>
    <w:rsid w:val="000124B1"/>
    <w:rsid w:val="00013B65"/>
    <w:rsid w:val="000147ED"/>
    <w:rsid w:val="00014B0F"/>
    <w:rsid w:val="00015416"/>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5035"/>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0E8"/>
    <w:rsid w:val="00081655"/>
    <w:rsid w:val="00084BAB"/>
    <w:rsid w:val="000864E0"/>
    <w:rsid w:val="00087301"/>
    <w:rsid w:val="000879D8"/>
    <w:rsid w:val="00087CC4"/>
    <w:rsid w:val="00090F9D"/>
    <w:rsid w:val="000969B3"/>
    <w:rsid w:val="000A26CA"/>
    <w:rsid w:val="000A5F42"/>
    <w:rsid w:val="000A7822"/>
    <w:rsid w:val="000B4AE0"/>
    <w:rsid w:val="000B4B63"/>
    <w:rsid w:val="000B62CE"/>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02232"/>
    <w:rsid w:val="0010368E"/>
    <w:rsid w:val="00110B7D"/>
    <w:rsid w:val="00112E44"/>
    <w:rsid w:val="00112EED"/>
    <w:rsid w:val="00113D58"/>
    <w:rsid w:val="001176D5"/>
    <w:rsid w:val="001200CB"/>
    <w:rsid w:val="00122ADA"/>
    <w:rsid w:val="00126546"/>
    <w:rsid w:val="0013546A"/>
    <w:rsid w:val="001371D9"/>
    <w:rsid w:val="001378A3"/>
    <w:rsid w:val="00137C98"/>
    <w:rsid w:val="00142578"/>
    <w:rsid w:val="00144F10"/>
    <w:rsid w:val="00146435"/>
    <w:rsid w:val="00153D94"/>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3DB"/>
    <w:rsid w:val="001A5900"/>
    <w:rsid w:val="001A5D05"/>
    <w:rsid w:val="001A796C"/>
    <w:rsid w:val="001B0E7B"/>
    <w:rsid w:val="001B248E"/>
    <w:rsid w:val="001B2614"/>
    <w:rsid w:val="001B37B8"/>
    <w:rsid w:val="001B4B8D"/>
    <w:rsid w:val="001B552F"/>
    <w:rsid w:val="001C0893"/>
    <w:rsid w:val="001C1303"/>
    <w:rsid w:val="001C1BD1"/>
    <w:rsid w:val="001C2B4B"/>
    <w:rsid w:val="001C2C3A"/>
    <w:rsid w:val="001C5BB1"/>
    <w:rsid w:val="001C5F09"/>
    <w:rsid w:val="001C70B2"/>
    <w:rsid w:val="001C7CE1"/>
    <w:rsid w:val="001D0612"/>
    <w:rsid w:val="001D37C7"/>
    <w:rsid w:val="001D5B20"/>
    <w:rsid w:val="001D6888"/>
    <w:rsid w:val="001D719C"/>
    <w:rsid w:val="001E3ECB"/>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8EA"/>
    <w:rsid w:val="00236A5F"/>
    <w:rsid w:val="00242659"/>
    <w:rsid w:val="002428F7"/>
    <w:rsid w:val="00242A9E"/>
    <w:rsid w:val="0024315F"/>
    <w:rsid w:val="00245439"/>
    <w:rsid w:val="0024631C"/>
    <w:rsid w:val="00252C9A"/>
    <w:rsid w:val="00254E56"/>
    <w:rsid w:val="00255002"/>
    <w:rsid w:val="00256309"/>
    <w:rsid w:val="002571C9"/>
    <w:rsid w:val="00257484"/>
    <w:rsid w:val="00260636"/>
    <w:rsid w:val="00262EA6"/>
    <w:rsid w:val="00264B29"/>
    <w:rsid w:val="00271616"/>
    <w:rsid w:val="00271AFA"/>
    <w:rsid w:val="00272A9B"/>
    <w:rsid w:val="00275C5C"/>
    <w:rsid w:val="00275C78"/>
    <w:rsid w:val="00275F5D"/>
    <w:rsid w:val="00280594"/>
    <w:rsid w:val="00281EE3"/>
    <w:rsid w:val="00282B56"/>
    <w:rsid w:val="0028429F"/>
    <w:rsid w:val="00284E4A"/>
    <w:rsid w:val="00290E04"/>
    <w:rsid w:val="002A3799"/>
    <w:rsid w:val="002A3BCC"/>
    <w:rsid w:val="002A4516"/>
    <w:rsid w:val="002A569F"/>
    <w:rsid w:val="002A5B2C"/>
    <w:rsid w:val="002A7066"/>
    <w:rsid w:val="002B001E"/>
    <w:rsid w:val="002B09B7"/>
    <w:rsid w:val="002B3482"/>
    <w:rsid w:val="002B3A40"/>
    <w:rsid w:val="002B493C"/>
    <w:rsid w:val="002B75A9"/>
    <w:rsid w:val="002B7779"/>
    <w:rsid w:val="002C21B0"/>
    <w:rsid w:val="002C3003"/>
    <w:rsid w:val="002C4CD7"/>
    <w:rsid w:val="002C5D55"/>
    <w:rsid w:val="002D74C3"/>
    <w:rsid w:val="002E12D6"/>
    <w:rsid w:val="002E2FB3"/>
    <w:rsid w:val="002E5438"/>
    <w:rsid w:val="002F327B"/>
    <w:rsid w:val="00301626"/>
    <w:rsid w:val="003052F5"/>
    <w:rsid w:val="003059EC"/>
    <w:rsid w:val="00316727"/>
    <w:rsid w:val="00316CCD"/>
    <w:rsid w:val="003230B3"/>
    <w:rsid w:val="00324F7E"/>
    <w:rsid w:val="0032526F"/>
    <w:rsid w:val="00325841"/>
    <w:rsid w:val="0033008B"/>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0984"/>
    <w:rsid w:val="00371080"/>
    <w:rsid w:val="0037146D"/>
    <w:rsid w:val="00372A88"/>
    <w:rsid w:val="00373D51"/>
    <w:rsid w:val="00374F80"/>
    <w:rsid w:val="003802A0"/>
    <w:rsid w:val="00381A0F"/>
    <w:rsid w:val="00381E8E"/>
    <w:rsid w:val="00385655"/>
    <w:rsid w:val="003858B4"/>
    <w:rsid w:val="00390F66"/>
    <w:rsid w:val="00392D07"/>
    <w:rsid w:val="00393B4D"/>
    <w:rsid w:val="003A1B3A"/>
    <w:rsid w:val="003A25A3"/>
    <w:rsid w:val="003A40F5"/>
    <w:rsid w:val="003A5BF3"/>
    <w:rsid w:val="003B3487"/>
    <w:rsid w:val="003B5B8C"/>
    <w:rsid w:val="003B7ADD"/>
    <w:rsid w:val="003C02BF"/>
    <w:rsid w:val="003C2299"/>
    <w:rsid w:val="003C23C9"/>
    <w:rsid w:val="003C554E"/>
    <w:rsid w:val="003C5E16"/>
    <w:rsid w:val="003C7841"/>
    <w:rsid w:val="003D0190"/>
    <w:rsid w:val="003D15AE"/>
    <w:rsid w:val="003D18AF"/>
    <w:rsid w:val="003D2AE3"/>
    <w:rsid w:val="003D5EAA"/>
    <w:rsid w:val="003D79B1"/>
    <w:rsid w:val="003E3A4E"/>
    <w:rsid w:val="003E4B09"/>
    <w:rsid w:val="003E74EE"/>
    <w:rsid w:val="003F0552"/>
    <w:rsid w:val="003F2AC2"/>
    <w:rsid w:val="003F3BC2"/>
    <w:rsid w:val="003F5172"/>
    <w:rsid w:val="003F6268"/>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0A2A"/>
    <w:rsid w:val="00421A14"/>
    <w:rsid w:val="00421ECE"/>
    <w:rsid w:val="004228F2"/>
    <w:rsid w:val="00422FEB"/>
    <w:rsid w:val="00423436"/>
    <w:rsid w:val="0042435E"/>
    <w:rsid w:val="00425757"/>
    <w:rsid w:val="004315F5"/>
    <w:rsid w:val="00432ADD"/>
    <w:rsid w:val="00433456"/>
    <w:rsid w:val="00433DFA"/>
    <w:rsid w:val="00435D67"/>
    <w:rsid w:val="0043642C"/>
    <w:rsid w:val="0043704E"/>
    <w:rsid w:val="00437680"/>
    <w:rsid w:val="004427FD"/>
    <w:rsid w:val="004514E9"/>
    <w:rsid w:val="00452C2E"/>
    <w:rsid w:val="004568FC"/>
    <w:rsid w:val="00461653"/>
    <w:rsid w:val="00464A58"/>
    <w:rsid w:val="00464E0D"/>
    <w:rsid w:val="00470721"/>
    <w:rsid w:val="00470C19"/>
    <w:rsid w:val="00471494"/>
    <w:rsid w:val="00472B68"/>
    <w:rsid w:val="00473D2D"/>
    <w:rsid w:val="00481503"/>
    <w:rsid w:val="00484919"/>
    <w:rsid w:val="004914F7"/>
    <w:rsid w:val="00491C26"/>
    <w:rsid w:val="00492014"/>
    <w:rsid w:val="004973B4"/>
    <w:rsid w:val="004A19B8"/>
    <w:rsid w:val="004A2125"/>
    <w:rsid w:val="004A2E24"/>
    <w:rsid w:val="004A38F6"/>
    <w:rsid w:val="004B0C95"/>
    <w:rsid w:val="004B0E96"/>
    <w:rsid w:val="004B1266"/>
    <w:rsid w:val="004B4EB6"/>
    <w:rsid w:val="004B4F34"/>
    <w:rsid w:val="004C04D3"/>
    <w:rsid w:val="004C083C"/>
    <w:rsid w:val="004C2636"/>
    <w:rsid w:val="004C3BDE"/>
    <w:rsid w:val="004C62AA"/>
    <w:rsid w:val="004C67C6"/>
    <w:rsid w:val="004D1D6A"/>
    <w:rsid w:val="004D29DE"/>
    <w:rsid w:val="004E1094"/>
    <w:rsid w:val="004E2E81"/>
    <w:rsid w:val="004E5103"/>
    <w:rsid w:val="004F5434"/>
    <w:rsid w:val="004F55C9"/>
    <w:rsid w:val="00505184"/>
    <w:rsid w:val="0050662A"/>
    <w:rsid w:val="00510EAC"/>
    <w:rsid w:val="005138AF"/>
    <w:rsid w:val="00514F40"/>
    <w:rsid w:val="005226F2"/>
    <w:rsid w:val="00526875"/>
    <w:rsid w:val="0052708C"/>
    <w:rsid w:val="00532189"/>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219D"/>
    <w:rsid w:val="00656427"/>
    <w:rsid w:val="00656BED"/>
    <w:rsid w:val="00656FDA"/>
    <w:rsid w:val="00660255"/>
    <w:rsid w:val="00661FE1"/>
    <w:rsid w:val="00662078"/>
    <w:rsid w:val="0066362A"/>
    <w:rsid w:val="00663EA5"/>
    <w:rsid w:val="00666D94"/>
    <w:rsid w:val="00676161"/>
    <w:rsid w:val="00681509"/>
    <w:rsid w:val="00682146"/>
    <w:rsid w:val="00682E53"/>
    <w:rsid w:val="00683E6F"/>
    <w:rsid w:val="006862C0"/>
    <w:rsid w:val="00690811"/>
    <w:rsid w:val="00690957"/>
    <w:rsid w:val="00693DAE"/>
    <w:rsid w:val="00697039"/>
    <w:rsid w:val="006971F3"/>
    <w:rsid w:val="006A12BE"/>
    <w:rsid w:val="006A73B4"/>
    <w:rsid w:val="006B16A5"/>
    <w:rsid w:val="006B337D"/>
    <w:rsid w:val="006C2787"/>
    <w:rsid w:val="006C5B50"/>
    <w:rsid w:val="006C74A3"/>
    <w:rsid w:val="006C76D0"/>
    <w:rsid w:val="006C7D54"/>
    <w:rsid w:val="006D1381"/>
    <w:rsid w:val="006D31BC"/>
    <w:rsid w:val="006D4979"/>
    <w:rsid w:val="006D4E32"/>
    <w:rsid w:val="006D508B"/>
    <w:rsid w:val="006D6625"/>
    <w:rsid w:val="006E0B0E"/>
    <w:rsid w:val="006E222D"/>
    <w:rsid w:val="006E7943"/>
    <w:rsid w:val="006E7AC3"/>
    <w:rsid w:val="006F24EA"/>
    <w:rsid w:val="006F540F"/>
    <w:rsid w:val="006F5FEC"/>
    <w:rsid w:val="00700338"/>
    <w:rsid w:val="0070113C"/>
    <w:rsid w:val="00702D05"/>
    <w:rsid w:val="00703009"/>
    <w:rsid w:val="00704CA9"/>
    <w:rsid w:val="0071048D"/>
    <w:rsid w:val="00710F86"/>
    <w:rsid w:val="007111A8"/>
    <w:rsid w:val="007114BA"/>
    <w:rsid w:val="00714CD2"/>
    <w:rsid w:val="0071536A"/>
    <w:rsid w:val="007179BE"/>
    <w:rsid w:val="00723B5F"/>
    <w:rsid w:val="00725C33"/>
    <w:rsid w:val="00726C6A"/>
    <w:rsid w:val="00731BC3"/>
    <w:rsid w:val="00731FF7"/>
    <w:rsid w:val="00733216"/>
    <w:rsid w:val="00734159"/>
    <w:rsid w:val="007401FD"/>
    <w:rsid w:val="00741192"/>
    <w:rsid w:val="007430BF"/>
    <w:rsid w:val="007439DE"/>
    <w:rsid w:val="00743A33"/>
    <w:rsid w:val="00743DF3"/>
    <w:rsid w:val="00745AE2"/>
    <w:rsid w:val="00746080"/>
    <w:rsid w:val="0075144A"/>
    <w:rsid w:val="00760A97"/>
    <w:rsid w:val="0076543B"/>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119B"/>
    <w:rsid w:val="007B537E"/>
    <w:rsid w:val="007B7854"/>
    <w:rsid w:val="007C1CF5"/>
    <w:rsid w:val="007C457F"/>
    <w:rsid w:val="007C482B"/>
    <w:rsid w:val="007C56A1"/>
    <w:rsid w:val="007C6454"/>
    <w:rsid w:val="007D5B5D"/>
    <w:rsid w:val="007D6F3B"/>
    <w:rsid w:val="007E01E0"/>
    <w:rsid w:val="007E0C24"/>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675"/>
    <w:rsid w:val="00811708"/>
    <w:rsid w:val="00813007"/>
    <w:rsid w:val="0081404B"/>
    <w:rsid w:val="00814759"/>
    <w:rsid w:val="008158F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45F68"/>
    <w:rsid w:val="00850D54"/>
    <w:rsid w:val="00852E2B"/>
    <w:rsid w:val="00854079"/>
    <w:rsid w:val="00856EC6"/>
    <w:rsid w:val="00856FF3"/>
    <w:rsid w:val="0086228F"/>
    <w:rsid w:val="00862C50"/>
    <w:rsid w:val="00863F8D"/>
    <w:rsid w:val="008673F6"/>
    <w:rsid w:val="00867976"/>
    <w:rsid w:val="008714B0"/>
    <w:rsid w:val="008724FB"/>
    <w:rsid w:val="00872A7F"/>
    <w:rsid w:val="0087374B"/>
    <w:rsid w:val="00876331"/>
    <w:rsid w:val="008766FF"/>
    <w:rsid w:val="00877B90"/>
    <w:rsid w:val="00880726"/>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536D"/>
    <w:rsid w:val="008C5F09"/>
    <w:rsid w:val="008D0261"/>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3250"/>
    <w:rsid w:val="0092746F"/>
    <w:rsid w:val="00933DE2"/>
    <w:rsid w:val="00935DC9"/>
    <w:rsid w:val="00937F3C"/>
    <w:rsid w:val="009446C0"/>
    <w:rsid w:val="00947BAF"/>
    <w:rsid w:val="00947D0A"/>
    <w:rsid w:val="00951883"/>
    <w:rsid w:val="009527E3"/>
    <w:rsid w:val="009533E1"/>
    <w:rsid w:val="00955A0C"/>
    <w:rsid w:val="009572C6"/>
    <w:rsid w:val="0096082E"/>
    <w:rsid w:val="00961347"/>
    <w:rsid w:val="00962C2F"/>
    <w:rsid w:val="00964753"/>
    <w:rsid w:val="00965AD4"/>
    <w:rsid w:val="009666BE"/>
    <w:rsid w:val="00967410"/>
    <w:rsid w:val="00967D73"/>
    <w:rsid w:val="00970B9A"/>
    <w:rsid w:val="00971C4F"/>
    <w:rsid w:val="009745B6"/>
    <w:rsid w:val="00974926"/>
    <w:rsid w:val="0098119A"/>
    <w:rsid w:val="009823EE"/>
    <w:rsid w:val="0098426C"/>
    <w:rsid w:val="00984AAF"/>
    <w:rsid w:val="00985521"/>
    <w:rsid w:val="00987E68"/>
    <w:rsid w:val="00991B09"/>
    <w:rsid w:val="0099319C"/>
    <w:rsid w:val="00993CB2"/>
    <w:rsid w:val="0099796D"/>
    <w:rsid w:val="009A0251"/>
    <w:rsid w:val="009A218B"/>
    <w:rsid w:val="009A5166"/>
    <w:rsid w:val="009A76F8"/>
    <w:rsid w:val="009B2B11"/>
    <w:rsid w:val="009B2B83"/>
    <w:rsid w:val="009B720F"/>
    <w:rsid w:val="009B78A9"/>
    <w:rsid w:val="009C31B2"/>
    <w:rsid w:val="009C49F8"/>
    <w:rsid w:val="009D0F93"/>
    <w:rsid w:val="009D56E7"/>
    <w:rsid w:val="009D77CC"/>
    <w:rsid w:val="009D797A"/>
    <w:rsid w:val="009E07CF"/>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0A10"/>
    <w:rsid w:val="00A14629"/>
    <w:rsid w:val="00A153B6"/>
    <w:rsid w:val="00A164D5"/>
    <w:rsid w:val="00A16A06"/>
    <w:rsid w:val="00A20C2D"/>
    <w:rsid w:val="00A20E4F"/>
    <w:rsid w:val="00A24E95"/>
    <w:rsid w:val="00A25601"/>
    <w:rsid w:val="00A2678D"/>
    <w:rsid w:val="00A273C3"/>
    <w:rsid w:val="00A30C37"/>
    <w:rsid w:val="00A31091"/>
    <w:rsid w:val="00A34275"/>
    <w:rsid w:val="00A3671B"/>
    <w:rsid w:val="00A36C65"/>
    <w:rsid w:val="00A37AE9"/>
    <w:rsid w:val="00A40894"/>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25D6"/>
    <w:rsid w:val="00A955B2"/>
    <w:rsid w:val="00A95A81"/>
    <w:rsid w:val="00AA075C"/>
    <w:rsid w:val="00AA3329"/>
    <w:rsid w:val="00AA35E6"/>
    <w:rsid w:val="00AA50B6"/>
    <w:rsid w:val="00AA78FF"/>
    <w:rsid w:val="00AB1368"/>
    <w:rsid w:val="00AB1606"/>
    <w:rsid w:val="00AB3472"/>
    <w:rsid w:val="00AB3C13"/>
    <w:rsid w:val="00AB7613"/>
    <w:rsid w:val="00AC0F5D"/>
    <w:rsid w:val="00AC27EF"/>
    <w:rsid w:val="00AC3843"/>
    <w:rsid w:val="00AC4595"/>
    <w:rsid w:val="00AC46DC"/>
    <w:rsid w:val="00AC659C"/>
    <w:rsid w:val="00AC66D9"/>
    <w:rsid w:val="00AC69D8"/>
    <w:rsid w:val="00AC7CD7"/>
    <w:rsid w:val="00AD0762"/>
    <w:rsid w:val="00AD3C9E"/>
    <w:rsid w:val="00AE0209"/>
    <w:rsid w:val="00AE2D55"/>
    <w:rsid w:val="00AE3DCF"/>
    <w:rsid w:val="00AE4452"/>
    <w:rsid w:val="00AE6604"/>
    <w:rsid w:val="00AE7C38"/>
    <w:rsid w:val="00AF1538"/>
    <w:rsid w:val="00AF1FAC"/>
    <w:rsid w:val="00AF2679"/>
    <w:rsid w:val="00AF2814"/>
    <w:rsid w:val="00AF5008"/>
    <w:rsid w:val="00AF6920"/>
    <w:rsid w:val="00B01F99"/>
    <w:rsid w:val="00B02B37"/>
    <w:rsid w:val="00B05276"/>
    <w:rsid w:val="00B0666B"/>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47B13"/>
    <w:rsid w:val="00B50210"/>
    <w:rsid w:val="00B5057E"/>
    <w:rsid w:val="00B50D8D"/>
    <w:rsid w:val="00B52457"/>
    <w:rsid w:val="00B53955"/>
    <w:rsid w:val="00B53BFC"/>
    <w:rsid w:val="00B63C79"/>
    <w:rsid w:val="00B6408A"/>
    <w:rsid w:val="00B6478A"/>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589B"/>
    <w:rsid w:val="00BB6F53"/>
    <w:rsid w:val="00BC086C"/>
    <w:rsid w:val="00BC0BD3"/>
    <w:rsid w:val="00BC4B9A"/>
    <w:rsid w:val="00BC4EAA"/>
    <w:rsid w:val="00BC5BA6"/>
    <w:rsid w:val="00BD0107"/>
    <w:rsid w:val="00BD2220"/>
    <w:rsid w:val="00BD4DBE"/>
    <w:rsid w:val="00BE0C33"/>
    <w:rsid w:val="00BE0FE9"/>
    <w:rsid w:val="00BE262C"/>
    <w:rsid w:val="00BE479F"/>
    <w:rsid w:val="00BE4C25"/>
    <w:rsid w:val="00BE6C3D"/>
    <w:rsid w:val="00BE73E6"/>
    <w:rsid w:val="00BF1476"/>
    <w:rsid w:val="00BF42FE"/>
    <w:rsid w:val="00C02B29"/>
    <w:rsid w:val="00C06DA4"/>
    <w:rsid w:val="00C07606"/>
    <w:rsid w:val="00C12542"/>
    <w:rsid w:val="00C130EE"/>
    <w:rsid w:val="00C230DA"/>
    <w:rsid w:val="00C245C5"/>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F9F"/>
    <w:rsid w:val="00C6558E"/>
    <w:rsid w:val="00C66F97"/>
    <w:rsid w:val="00C722FD"/>
    <w:rsid w:val="00C735E0"/>
    <w:rsid w:val="00C7723C"/>
    <w:rsid w:val="00C81439"/>
    <w:rsid w:val="00C82027"/>
    <w:rsid w:val="00C838F5"/>
    <w:rsid w:val="00C841C0"/>
    <w:rsid w:val="00C91F37"/>
    <w:rsid w:val="00C97898"/>
    <w:rsid w:val="00CA07E5"/>
    <w:rsid w:val="00CA1AF4"/>
    <w:rsid w:val="00CA4725"/>
    <w:rsid w:val="00CA6068"/>
    <w:rsid w:val="00CA757A"/>
    <w:rsid w:val="00CB15E1"/>
    <w:rsid w:val="00CB3460"/>
    <w:rsid w:val="00CB3D46"/>
    <w:rsid w:val="00CB3D7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2CC8"/>
    <w:rsid w:val="00D25896"/>
    <w:rsid w:val="00D26EE6"/>
    <w:rsid w:val="00D26FF6"/>
    <w:rsid w:val="00D32A59"/>
    <w:rsid w:val="00D33918"/>
    <w:rsid w:val="00D34AAF"/>
    <w:rsid w:val="00D36033"/>
    <w:rsid w:val="00D373A1"/>
    <w:rsid w:val="00D37C0F"/>
    <w:rsid w:val="00D4113F"/>
    <w:rsid w:val="00D43E8E"/>
    <w:rsid w:val="00D45661"/>
    <w:rsid w:val="00D45943"/>
    <w:rsid w:val="00D47D22"/>
    <w:rsid w:val="00D50346"/>
    <w:rsid w:val="00D50368"/>
    <w:rsid w:val="00D51865"/>
    <w:rsid w:val="00D51D0C"/>
    <w:rsid w:val="00D52ECE"/>
    <w:rsid w:val="00D54734"/>
    <w:rsid w:val="00D54C21"/>
    <w:rsid w:val="00D55D13"/>
    <w:rsid w:val="00D56C54"/>
    <w:rsid w:val="00D6364B"/>
    <w:rsid w:val="00D63E60"/>
    <w:rsid w:val="00D6407A"/>
    <w:rsid w:val="00D64A19"/>
    <w:rsid w:val="00D666A7"/>
    <w:rsid w:val="00D7189B"/>
    <w:rsid w:val="00D7327C"/>
    <w:rsid w:val="00D74140"/>
    <w:rsid w:val="00D74EC3"/>
    <w:rsid w:val="00D80045"/>
    <w:rsid w:val="00D8087F"/>
    <w:rsid w:val="00D842AC"/>
    <w:rsid w:val="00D84FBE"/>
    <w:rsid w:val="00D93AD4"/>
    <w:rsid w:val="00DA2159"/>
    <w:rsid w:val="00DA2E9E"/>
    <w:rsid w:val="00DA6D25"/>
    <w:rsid w:val="00DA6E56"/>
    <w:rsid w:val="00DA78DD"/>
    <w:rsid w:val="00DB0DF2"/>
    <w:rsid w:val="00DB1C65"/>
    <w:rsid w:val="00DB5F45"/>
    <w:rsid w:val="00DC0C4C"/>
    <w:rsid w:val="00DC127D"/>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660B"/>
    <w:rsid w:val="00E57DB7"/>
    <w:rsid w:val="00E61A68"/>
    <w:rsid w:val="00E61FEF"/>
    <w:rsid w:val="00E62A74"/>
    <w:rsid w:val="00E62A9E"/>
    <w:rsid w:val="00E63D7C"/>
    <w:rsid w:val="00E640D5"/>
    <w:rsid w:val="00E64C4F"/>
    <w:rsid w:val="00E66E2E"/>
    <w:rsid w:val="00E67691"/>
    <w:rsid w:val="00E6790C"/>
    <w:rsid w:val="00E714F6"/>
    <w:rsid w:val="00E734F1"/>
    <w:rsid w:val="00E80F90"/>
    <w:rsid w:val="00E8436D"/>
    <w:rsid w:val="00E87669"/>
    <w:rsid w:val="00E877F0"/>
    <w:rsid w:val="00E91ABD"/>
    <w:rsid w:val="00E92237"/>
    <w:rsid w:val="00E9313B"/>
    <w:rsid w:val="00E94D1B"/>
    <w:rsid w:val="00E951EF"/>
    <w:rsid w:val="00E969B0"/>
    <w:rsid w:val="00E96FA4"/>
    <w:rsid w:val="00E97D6E"/>
    <w:rsid w:val="00EA1A80"/>
    <w:rsid w:val="00EA3397"/>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55D"/>
    <w:rsid w:val="00EE18FF"/>
    <w:rsid w:val="00EE1D64"/>
    <w:rsid w:val="00EE3E29"/>
    <w:rsid w:val="00EE489F"/>
    <w:rsid w:val="00EE558A"/>
    <w:rsid w:val="00EF082D"/>
    <w:rsid w:val="00EF55AE"/>
    <w:rsid w:val="00F04552"/>
    <w:rsid w:val="00F051E5"/>
    <w:rsid w:val="00F0647F"/>
    <w:rsid w:val="00F07FA0"/>
    <w:rsid w:val="00F10CE3"/>
    <w:rsid w:val="00F12006"/>
    <w:rsid w:val="00F13443"/>
    <w:rsid w:val="00F14F3B"/>
    <w:rsid w:val="00F16362"/>
    <w:rsid w:val="00F165AE"/>
    <w:rsid w:val="00F207C7"/>
    <w:rsid w:val="00F216F0"/>
    <w:rsid w:val="00F22124"/>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069"/>
    <w:rsid w:val="00F85DCB"/>
    <w:rsid w:val="00F86F9C"/>
    <w:rsid w:val="00F90067"/>
    <w:rsid w:val="00F90D76"/>
    <w:rsid w:val="00F94055"/>
    <w:rsid w:val="00F95581"/>
    <w:rsid w:val="00FA4A4C"/>
    <w:rsid w:val="00FB17AB"/>
    <w:rsid w:val="00FB48CF"/>
    <w:rsid w:val="00FC002E"/>
    <w:rsid w:val="00FC4C23"/>
    <w:rsid w:val="00FC6204"/>
    <w:rsid w:val="00FC642E"/>
    <w:rsid w:val="00FD2E5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5E803B"/>
  <w15:docId w15:val="{5E470E59-FD15-4EC2-9546-A7E88573E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2CE"/>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920F4E"/>
    <w:pPr>
      <w:keepNext/>
      <w:autoSpaceDE w:val="0"/>
      <w:autoSpaceDN w:val="0"/>
      <w:adjustRightInd w:val="0"/>
      <w:spacing w:before="360" w:line="240" w:lineRule="auto"/>
      <w:textAlignment w:val="center"/>
      <w:outlineLvl w:val="1"/>
    </w:pPr>
    <w:rPr>
      <w:rFonts w:asciiTheme="majorHAnsi" w:hAnsiTheme="majorHAnsi" w:cs="MyriadPro-Bold"/>
      <w:b/>
      <w:bCs/>
      <w:color w:val="1E4496" w:themeColor="text2"/>
      <w:sz w:val="38"/>
      <w:szCs w:val="28"/>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920F4E"/>
    <w:rPr>
      <w:rFonts w:asciiTheme="majorHAnsi" w:hAnsiTheme="majorHAnsi" w:cs="MyriadPro-Bold"/>
      <w:b/>
      <w:bCs/>
      <w:color w:val="1E4496" w:themeColor="text2"/>
      <w:sz w:val="38"/>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112EED"/>
    <w:pPr>
      <w:spacing w:before="400"/>
    </w:pPr>
    <w:rPr>
      <w:rFonts w:asciiTheme="majorHAnsi" w:hAnsiTheme="majorHAnsi" w:cs="Arial"/>
      <w:b/>
      <w:bCs/>
      <w:sz w:val="52"/>
      <w:szCs w:val="52"/>
    </w:rPr>
  </w:style>
  <w:style w:type="character" w:customStyle="1" w:styleId="TitleChar">
    <w:name w:val="Title Char"/>
    <w:basedOn w:val="DefaultParagraphFont"/>
    <w:link w:val="Title"/>
    <w:uiPriority w:val="10"/>
    <w:rsid w:val="00112EED"/>
    <w:rPr>
      <w:rFonts w:asciiTheme="majorHAnsi" w:hAnsiTheme="majorHAnsi" w:cs="Arial"/>
      <w:b/>
      <w:bCs/>
      <w:sz w:val="52"/>
      <w:szCs w:val="52"/>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D54C21"/>
    <w:pPr>
      <w:spacing w:before="240"/>
    </w:pPr>
    <w:rPr>
      <w:rFonts w:asciiTheme="majorHAnsi" w:hAnsiTheme="majorHAnsi"/>
      <w:sz w:val="28"/>
    </w:rPr>
  </w:style>
  <w:style w:type="character" w:customStyle="1" w:styleId="SubtitleChar">
    <w:name w:val="Subtitle Char"/>
    <w:basedOn w:val="DefaultParagraphFont"/>
    <w:link w:val="Subtitle"/>
    <w:uiPriority w:val="11"/>
    <w:rsid w:val="00D54C21"/>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425757"/>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71C9"/>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7179BE"/>
    <w:pPr>
      <w:numPr>
        <w:numId w:val="2"/>
      </w:numPr>
      <w:suppressAutoHyphens/>
      <w:autoSpaceDE w:val="0"/>
      <w:autoSpaceDN w:val="0"/>
      <w:adjustRightInd w:val="0"/>
      <w:ind w:left="794" w:hanging="397"/>
      <w:textAlignment w:val="center"/>
    </w:pPr>
    <w:rPr>
      <w:rFonts w:cs="Minion3-Regular"/>
      <w:szCs w:val="23"/>
    </w:rPr>
  </w:style>
  <w:style w:type="paragraph" w:customStyle="1" w:styleId="CDINumberedList1L1">
    <w:name w:val="CDI Numbered List (1.) L1"/>
    <w:basedOn w:val="Normal"/>
    <w:uiPriority w:val="99"/>
    <w:rsid w:val="00C735E0"/>
    <w:pPr>
      <w:keepLines/>
      <w:numPr>
        <w:numId w:val="1"/>
      </w:numPr>
      <w:autoSpaceDE w:val="0"/>
      <w:autoSpaceDN w:val="0"/>
      <w:adjustRightInd w:val="0"/>
      <w:textAlignment w:val="center"/>
    </w:pPr>
    <w:rPr>
      <w:rFonts w:cs="Minion3-Regular"/>
      <w:szCs w:val="23"/>
    </w:rPr>
  </w:style>
  <w:style w:type="paragraph" w:customStyle="1" w:styleId="CDIBoxBullet">
    <w:name w:val="CDI Box Bullet"/>
    <w:basedOn w:val="Normal"/>
    <w:rsid w:val="007179BE"/>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ind w:left="397" w:hanging="397"/>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700338"/>
    <w:pPr>
      <w:spacing w:before="2640"/>
    </w:pPr>
    <w:rPr>
      <w:rFonts w:ascii="Arial" w:hAnsi="Arial"/>
      <w:sz w:val="20"/>
    </w:rPr>
  </w:style>
  <w:style w:type="paragraph" w:customStyle="1" w:styleId="CDIFigure-Placeholder">
    <w:name w:val="CDI Figure - Placeholder"/>
    <w:basedOn w:val="Normal"/>
    <w:rsid w:val="00BB589B"/>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662078"/>
    <w:pPr>
      <w:spacing w:before="360"/>
    </w:pPr>
  </w:style>
  <w:style w:type="paragraph" w:customStyle="1" w:styleId="CDITable-HeaderRowLeft">
    <w:name w:val="CDI Table - Header Row Left"/>
    <w:basedOn w:val="CDITable-Title"/>
    <w:rsid w:val="00987E68"/>
    <w:pPr>
      <w:spacing w:beforeAutospacing="1" w:afterAutospacing="1" w:line="240" w:lineRule="auto"/>
    </w:pPr>
    <w:rPr>
      <w:color w:val="FFFFFF" w:themeColor="background1"/>
      <w:sz w:val="18"/>
    </w:rPr>
  </w:style>
  <w:style w:type="paragraph" w:customStyle="1" w:styleId="CDITable-RowLeft">
    <w:name w:val="CDI Table - Row Left"/>
    <w:basedOn w:val="Normal"/>
    <w:rsid w:val="002571C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2571C9"/>
    <w:pPr>
      <w:jc w:val="center"/>
    </w:pPr>
  </w:style>
  <w:style w:type="paragraph" w:customStyle="1" w:styleId="CDITable-HeaderRowCentre">
    <w:name w:val="CDI Table - Header Row Centre"/>
    <w:basedOn w:val="Normal"/>
    <w:rsid w:val="00987E68"/>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700338"/>
    <w:rPr>
      <w:rFonts w:ascii="Arial" w:hAnsi="Arial"/>
      <w:sz w:val="20"/>
      <w14:ligatures w14:val="standardContextual"/>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pPr>
      <w:pageBreakBefore w:val="0"/>
      <w:pBdr>
        <w:bottom w:val="none" w:sz="0" w:space="0" w:color="auto"/>
      </w:pBdr>
    </w:pPr>
    <w:rPr>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BE479F"/>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BE479F"/>
    <w:rPr>
      <w:b/>
      <w:bCs/>
      <w:sz w:val="20"/>
      <w:szCs w:val="20"/>
      <w14:ligatures w14:val="standardContextual"/>
    </w:r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7179BE"/>
    <w:pPr>
      <w:numPr>
        <w:numId w:val="9"/>
      </w:numPr>
      <w:ind w:left="1191" w:hanging="397"/>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ormal-morespaceafter">
    <w:name w:val="Normal - more space after"/>
    <w:basedOn w:val="Normal"/>
    <w:rsid w:val="00662078"/>
    <w:pPr>
      <w:spacing w:after="360"/>
    </w:pPr>
  </w:style>
  <w:style w:type="paragraph" w:customStyle="1" w:styleId="NumberedList1L1">
    <w:name w:val="Numbered List (1.) L1"/>
    <w:basedOn w:val="BodyText"/>
    <w:uiPriority w:val="99"/>
    <w:rsid w:val="00656BED"/>
    <w:pPr>
      <w:keepLines/>
      <w:suppressAutoHyphens/>
      <w:autoSpaceDE w:val="0"/>
      <w:autoSpaceDN w:val="0"/>
      <w:adjustRightInd w:val="0"/>
      <w:spacing w:before="142" w:after="0" w:line="250" w:lineRule="atLeast"/>
      <w:ind w:left="397" w:hanging="397"/>
      <w:textAlignment w:val="center"/>
    </w:pPr>
    <w:rPr>
      <w:rFonts w:ascii="HelveticaNeueLTPro-Roman" w:hAnsi="HelveticaNeueLTPro-Roman" w:cs="HelveticaNeueLTPro-Roman"/>
      <w:color w:val="000000"/>
      <w:sz w:val="20"/>
      <w:szCs w:val="20"/>
      <w:lang w:val="en-GB"/>
      <w14:ligatures w14:val="none"/>
    </w:rPr>
  </w:style>
  <w:style w:type="paragraph" w:customStyle="1" w:styleId="HeaderLeftFigures-Tables">
    <w:name w:val="Header Left (Figures-Tables)"/>
    <w:basedOn w:val="Normal"/>
    <w:uiPriority w:val="99"/>
    <w:rsid w:val="000B62CE"/>
    <w:pPr>
      <w:suppressAutoHyphens/>
      <w:autoSpaceDE w:val="0"/>
      <w:autoSpaceDN w:val="0"/>
      <w:adjustRightInd w:val="0"/>
      <w:spacing w:before="0" w:line="220" w:lineRule="atLeast"/>
      <w:textAlignment w:val="center"/>
    </w:pPr>
    <w:rPr>
      <w:rFonts w:ascii="HelveticaNeueLTPro-Bd" w:hAnsi="HelveticaNeueLTPro-Bd" w:cs="HelveticaNeueLTPro-Bd"/>
      <w:b/>
      <w:bCs/>
      <w:color w:val="FFFFFF"/>
      <w:sz w:val="18"/>
      <w:szCs w:val="18"/>
      <w:lang w:val="en-GB"/>
      <w14:ligatures w14:val="none"/>
    </w:rPr>
  </w:style>
  <w:style w:type="character" w:customStyle="1" w:styleId="Superscript">
    <w:name w:val="Superscript"/>
    <w:uiPriority w:val="99"/>
    <w:rsid w:val="001D719C"/>
    <w:rPr>
      <w:vertAlign w:val="superscript"/>
    </w:rPr>
  </w:style>
  <w:style w:type="paragraph" w:customStyle="1" w:styleId="NumberedList1L1-First">
    <w:name w:val="Numbered List (1.) L1 - First"/>
    <w:basedOn w:val="NumberedList1L1"/>
    <w:uiPriority w:val="99"/>
    <w:rsid w:val="00656BED"/>
    <w:pPr>
      <w:spacing w:before="340"/>
    </w:pPr>
  </w:style>
  <w:style w:type="character" w:customStyle="1" w:styleId="Bold">
    <w:name w:val="Bold"/>
    <w:uiPriority w:val="99"/>
    <w:rsid w:val="00F22124"/>
    <w:rPr>
      <w:b/>
      <w:bCs/>
    </w:rPr>
  </w:style>
  <w:style w:type="character" w:customStyle="1" w:styleId="BoldItalic">
    <w:name w:val="Bold Italic"/>
    <w:basedOn w:val="Bold"/>
    <w:uiPriority w:val="99"/>
    <w:rsid w:val="00AB1368"/>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3.xml"/><Relationship Id="rId21" Type="http://schemas.openxmlformats.org/officeDocument/2006/relationships/image" Target="media/image5.jpg"/><Relationship Id="rId42" Type="http://schemas.openxmlformats.org/officeDocument/2006/relationships/hyperlink" Target="http://immunisationhandbook.health.gov.au" TargetMode="External"/><Relationship Id="rId47" Type="http://schemas.openxmlformats.org/officeDocument/2006/relationships/hyperlink" Target="https://www.servicesaustralia.gov.au/individuals/services/medicare/australian-immunisation-register" TargetMode="External"/><Relationship Id="rId63" Type="http://schemas.openxmlformats.org/officeDocument/2006/relationships/hyperlink" Target="https://ncirs.org.au/sites/default/files/2019-12/Analysis%20of%20adult%20vaccination%20data%20on%20AIR_Nov%202019.pdf" TargetMode="External"/><Relationship Id="rId68" Type="http://schemas.openxmlformats.org/officeDocument/2006/relationships/hyperlink" Target="http://www.mbsonline.gov.au/internet/mbsonline/publishing.nsf/Content/Factsheet-TempBB" TargetMode="Externa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dc.gov.au/cdi" TargetMode="External"/><Relationship Id="rId29" Type="http://schemas.openxmlformats.org/officeDocument/2006/relationships/image" Target="media/image7.jpg"/><Relationship Id="rId11" Type="http://schemas.openxmlformats.org/officeDocument/2006/relationships/hyperlink" Target="https://creativecommons.org/licenses/by-nc-nd/4.0/legalcode" TargetMode="External"/><Relationship Id="rId24" Type="http://schemas.openxmlformats.org/officeDocument/2006/relationships/footer" Target="footer1.xml"/><Relationship Id="rId32" Type="http://schemas.openxmlformats.org/officeDocument/2006/relationships/hyperlink" Target="https://doi.org/10.33321/cdi.2021.45.23" TargetMode="External"/><Relationship Id="rId37" Type="http://schemas.openxmlformats.org/officeDocument/2006/relationships/hyperlink" Target="https://paeds.org.au/" TargetMode="External"/><Relationship Id="rId40" Type="http://schemas.openxmlformats.org/officeDocument/2006/relationships/hyperlink" Target="https://iris.who.int/bitstream/handle/10665/348966/9789240036963-eng.pdf" TargetMode="External"/><Relationship Id="rId45" Type="http://schemas.openxmlformats.org/officeDocument/2006/relationships/hyperlink" Target="https://www.abs.gov.au/statistics/people/population/regional-population-age-and-sex/2020" TargetMode="External"/><Relationship Id="rId53" Type="http://schemas.openxmlformats.org/officeDocument/2006/relationships/hyperlink" Target="https://doi.org/10.2807/1560-7917.Es.2017.22.20.30535" TargetMode="External"/><Relationship Id="rId58" Type="http://schemas.openxmlformats.org/officeDocument/2006/relationships/hyperlink" Target="https://mvec.mcri.edu.au/events/clinical-vaccinology-update-cvu-monday-7th-december-2020/" TargetMode="External"/><Relationship Id="rId66" Type="http://schemas.openxmlformats.org/officeDocument/2006/relationships/hyperlink" Target="https://www.health.gov.au/sites/default/files/documents/2020/11/vaccine-safety-in-australia-ausvaxsafety-summary-report-2019.pdf" TargetMode="External"/><Relationship Id="rId5" Type="http://schemas.openxmlformats.org/officeDocument/2006/relationships/settings" Target="settings.xml"/><Relationship Id="rId61" Type="http://schemas.openxmlformats.org/officeDocument/2006/relationships/hyperlink" Target="https://doi.org/10.33321/cdi.2022.46.47" TargetMode="External"/><Relationship Id="rId19" Type="http://schemas.openxmlformats.org/officeDocument/2006/relationships/image" Target="media/image3.jpg"/><Relationship Id="rId14" Type="http://schemas.openxmlformats.org/officeDocument/2006/relationships/hyperlink" Target="https://www.cdc.gov.au/resources/communicable-diseases-intelligence/guidelines-cdi-author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mailto:daneeta.hennessy%40mcri.edu.au?subject=" TargetMode="External"/><Relationship Id="rId35" Type="http://schemas.openxmlformats.org/officeDocument/2006/relationships/hyperlink" Target="https://doi.org/10.33321/cdi.2020.44.46" TargetMode="External"/><Relationship Id="rId43" Type="http://schemas.openxmlformats.org/officeDocument/2006/relationships/hyperlink" Target="https://who-umc.org/pharmacovigilance-communications/glossary/" TargetMode="External"/><Relationship Id="rId48" Type="http://schemas.openxmlformats.org/officeDocument/2006/relationships/hyperlink" Target="https://doi.org/10.1371/journal.pone.0224702" TargetMode="External"/><Relationship Id="rId56" Type="http://schemas.openxmlformats.org/officeDocument/2006/relationships/hyperlink" Target="https://doi.org/10.1016/j.lanwpc.2022.100616" TargetMode="External"/><Relationship Id="rId64" Type="http://schemas.openxmlformats.org/officeDocument/2006/relationships/hyperlink" Target="https://doi.org/10.1186/1471-2458-14-147" TargetMode="External"/><Relationship Id="rId69" Type="http://schemas.openxmlformats.org/officeDocument/2006/relationships/hyperlink" Target="https://www.health.gov.au/resources/publications/covid-19-vaccination-australias-covid-19-vaccine-national-roll-out-strategy" TargetMode="External"/><Relationship Id="rId8" Type="http://schemas.openxmlformats.org/officeDocument/2006/relationships/endnotes" Target="endnotes.xml"/><Relationship Id="rId51" Type="http://schemas.openxmlformats.org/officeDocument/2006/relationships/hyperlink" Target="https://immunisationhandbook.health.gov.au/vaccines/bexsero" TargetMode="External"/><Relationship Id="rId3" Type="http://schemas.openxmlformats.org/officeDocument/2006/relationships/numbering" Target="numbering.xml"/><Relationship Id="rId12" Type="http://schemas.openxmlformats.org/officeDocument/2006/relationships/hyperlink" Target="mailto:cdi.editor@cdc.gov.au" TargetMode="External"/><Relationship Id="rId17" Type="http://schemas.openxmlformats.org/officeDocument/2006/relationships/hyperlink" Target="mailto:cdi.editor@cdc.gov.au" TargetMode="External"/><Relationship Id="rId25" Type="http://schemas.openxmlformats.org/officeDocument/2006/relationships/footer" Target="footer2.xml"/><Relationship Id="rId33" Type="http://schemas.openxmlformats.org/officeDocument/2006/relationships/hyperlink" Target="https://doi.org/10.33321/cdi.2020.44.12" TargetMode="External"/><Relationship Id="rId38" Type="http://schemas.openxmlformats.org/officeDocument/2006/relationships/hyperlink" Target="https://ausvaxsafety.org.au/" TargetMode="External"/><Relationship Id="rId46" Type="http://schemas.openxmlformats.org/officeDocument/2006/relationships/hyperlink" Target="https://www.abs.gov.au/statistics/people/population/regional-population/2019-20" TargetMode="External"/><Relationship Id="rId59" Type="http://schemas.openxmlformats.org/officeDocument/2006/relationships/hyperlink" Target="https://mvec.mcri.edu.au/vicvax-victorian-immunisation-schedule-app-currently-undergoing-review/" TargetMode="External"/><Relationship Id="rId67" Type="http://schemas.openxmlformats.org/officeDocument/2006/relationships/hyperlink" Target="https://doi.org/10.1016/j.vaccine.2016.05.015" TargetMode="External"/><Relationship Id="rId20" Type="http://schemas.openxmlformats.org/officeDocument/2006/relationships/image" Target="media/image4.jpg"/><Relationship Id="rId41" Type="http://schemas.openxmlformats.org/officeDocument/2006/relationships/hyperlink" Target="https://brightoncollaboration.us/category/pubs-tools/case-definitions/" TargetMode="External"/><Relationship Id="rId54" Type="http://schemas.openxmlformats.org/officeDocument/2006/relationships/hyperlink" Target="https://doi.org/10.5694/j.1326-5377.2010.tb04029.x" TargetMode="External"/><Relationship Id="rId62" Type="http://schemas.openxmlformats.org/officeDocument/2006/relationships/hyperlink" Target="https://doi.org/10.33321/cdi.2020.45.18"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cdi.editor@cdc.gov.au" TargetMode="External"/><Relationship Id="rId23" Type="http://schemas.openxmlformats.org/officeDocument/2006/relationships/header" Target="header2.xml"/><Relationship Id="rId28" Type="http://schemas.openxmlformats.org/officeDocument/2006/relationships/image" Target="media/image6.jpg"/><Relationship Id="rId36" Type="http://schemas.openxmlformats.org/officeDocument/2006/relationships/hyperlink" Target="https://www.ncirs.org.au/health-professionals/vaccine-safety" TargetMode="External"/><Relationship Id="rId49" Type="http://schemas.openxmlformats.org/officeDocument/2006/relationships/hyperlink" Target="https://doi.org/10.1517/14740338.4.5.929" TargetMode="External"/><Relationship Id="rId57" Type="http://schemas.openxmlformats.org/officeDocument/2006/relationships/hyperlink" Target="https://doi.org/10.3389/fpubh.2022.1053637" TargetMode="External"/><Relationship Id="rId10" Type="http://schemas.openxmlformats.org/officeDocument/2006/relationships/hyperlink" Target="https://www.cdc.gov.au/cdi" TargetMode="External"/><Relationship Id="rId31" Type="http://schemas.openxmlformats.org/officeDocument/2006/relationships/hyperlink" Target="https://doi.org/10.33321/cdi.2011.35.28" TargetMode="External"/><Relationship Id="rId44" Type="http://schemas.openxmlformats.org/officeDocument/2006/relationships/hyperlink" Target="https://doi.org/10.1016/j.vaccine.2022.10.086" TargetMode="External"/><Relationship Id="rId52" Type="http://schemas.openxmlformats.org/officeDocument/2006/relationships/hyperlink" Target="https://doi.org/10.1016/j.lanwpc.2021.100297" TargetMode="External"/><Relationship Id="rId60" Type="http://schemas.openxmlformats.org/officeDocument/2006/relationships/hyperlink" Target="https://mvec.mcri.edu.au/podcasts/covid19-podcast-road-to-a-vaccine/" TargetMode="External"/><Relationship Id="rId65" Type="http://schemas.openxmlformats.org/officeDocument/2006/relationships/hyperlink" Target="https://doi.org/10.2165/00002018-200629050-00003" TargetMode="External"/><Relationship Id="rId4" Type="http://schemas.openxmlformats.org/officeDocument/2006/relationships/styles" Target="styles.xml"/><Relationship Id="rId9" Type="http://schemas.openxmlformats.org/officeDocument/2006/relationships/image" Target="media/image1.jpg"/><Relationship Id="rId13" Type="http://schemas.openxmlformats.org/officeDocument/2006/relationships/hyperlink" Target="https://www.cdc.gov.au/resources/communicable-diseases-intelligence/cdi-editorial-advisory-board-biographies" TargetMode="External"/><Relationship Id="rId18" Type="http://schemas.openxmlformats.org/officeDocument/2006/relationships/image" Target="media/image2.jpg"/><Relationship Id="rId39" Type="http://schemas.openxmlformats.org/officeDocument/2006/relationships/hyperlink" Target="https://doi.org/10.1007/s40264-017-0520-7" TargetMode="External"/><Relationship Id="rId34" Type="http://schemas.openxmlformats.org/officeDocument/2006/relationships/hyperlink" Target="https://mvec.mcri.edu.au/" TargetMode="External"/><Relationship Id="rId50" Type="http://schemas.openxmlformats.org/officeDocument/2006/relationships/hyperlink" Target="https://www.health.vic.gov.au/immunisation/vaccine-history-timeline" TargetMode="External"/><Relationship Id="rId55" Type="http://schemas.openxmlformats.org/officeDocument/2006/relationships/hyperlink" Target="https://www.tga.gov.au/committee-meeting-info/acv-meeting-statement-meeting-11-5-december-2018"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2026\CDI-long-report-template-2026.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CDI-long-report-template-2026.dotx</Template>
  <TotalTime>21</TotalTime>
  <Pages>35</Pages>
  <Words>8747</Words>
  <Characters>52308</Characters>
  <Application>Microsoft Office Word</Application>
  <DocSecurity>0</DocSecurity>
  <Lines>2013</Lines>
  <Paragraphs>1390</Paragraphs>
  <ScaleCrop>false</ScaleCrop>
  <HeadingPairs>
    <vt:vector size="2" baseType="variant">
      <vt:variant>
        <vt:lpstr>Title</vt:lpstr>
      </vt:variant>
      <vt:variant>
        <vt:i4>1</vt:i4>
      </vt:variant>
    </vt:vector>
  </HeadingPairs>
  <TitlesOfParts>
    <vt:vector size="1" baseType="lpstr">
      <vt:lpstr>Communicable Diseases Intelligence - SAEFVIC: Surveillance of adverse events following immunisation (AEFI) in Victoria, Australia, 2019–2020</vt:lpstr>
    </vt:vector>
  </TitlesOfParts>
  <Company/>
  <LinksUpToDate>false</LinksUpToDate>
  <CharactersWithSpaces>59569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SAEFVIC: Surveillance of adverse events following immunisation (AEFI) in Victoria, Australia, 2019–2020</dc:title>
  <dc:subject>SAEFVIC (Surveillance of Adverse Events Following Vaccination in the Community) was established in 2007 as Victoria’s vaccine safety service, funded by the Victorian Department of Health, and comprises of enhanced surveillance for adverse events following immunisation (AEFI) through different pathways of reporting, integrated with clinical services and an online immunisation education portal. This report summarises SAEFVIC’s pharmacovigilance activity on AEFI reporting, clinical services and educational resources in Victoria for 2019 and 2020 and compares that with the activity in 2015 to 2018.</dc:subject>
  <dc:creator>Jesse J Fryk; Hazel J Clothier; Daneeta Hennessy; Georgina Lewis; Emma Roney; Nigel W Crawford; Jim P Buttery</dc:creator>
  <cp:keywords>adverse events; vaccine safety; pharmacovigilance; surveillance; immunisation; post-licensure</cp:keywords>
  <dc:description>© 2026 Commonwealth of Australia as represented by the Australian Centre for Disease Control. This publication is licenced under a CC BY-NC-ND licence.</dc:description>
  <cp:revision>7</cp:revision>
  <cp:lastPrinted>2024-03-07T01:06:00Z</cp:lastPrinted>
  <dcterms:created xsi:type="dcterms:W3CDTF">2026-02-16T04:10:00Z</dcterms:created>
  <dcterms:modified xsi:type="dcterms:W3CDTF">2026-02-17T21:08:00Z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2026</vt:lpwstr>
  </property>
  <property fmtid="{D5CDD505-2E9C-101B-9397-08002B2CF9AE}" pid="3" name="Vol">
    <vt:i4>50</vt:i4>
  </property>
  <property fmtid="{D5CDD505-2E9C-101B-9397-08002B2CF9AE}" pid="4" name="ePubDate">
    <vt:lpwstr>24.02.2026</vt:lpwstr>
  </property>
  <property fmtid="{D5CDD505-2E9C-101B-9397-08002B2CF9AE}" pid="5" name="DOI">
    <vt:lpwstr>doi.org/10.33321/cdi.2026.50.012</vt:lpwstr>
  </property>
  <property fmtid="{D5CDD505-2E9C-101B-9397-08002B2CF9AE}" pid="6" name="ClassificationContentMarkingHeaderShapeIds">
    <vt:lpwstr>6520d1bd,1bbe1eff,6affb1e4</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3831110b,6df1f75b,3cfbd6bf</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2025-11-21T03:40:04Z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3d130504-3f00-4302-9cfc-b9df9a1005dc</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