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74150" w14:textId="57ADF415"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71F62C4D" wp14:editId="0C0E8AC0">
            <wp:simplePos x="0" y="0"/>
            <wp:positionH relativeFrom="page">
              <wp:posOffset>0</wp:posOffset>
            </wp:positionH>
            <wp:positionV relativeFrom="page">
              <wp:posOffset>0</wp:posOffset>
            </wp:positionV>
            <wp:extent cx="7560000" cy="1620000"/>
            <wp:effectExtent l="0" t="0" r="3175" b="0"/>
            <wp:wrapNone/>
            <wp:docPr id="1160445182" name="Picture 1" descr="Dark and light blue shapes displaying the logo of Communicable Diseases Intelligence and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and light blue shapes displaying the logo of Communicable Diseases Intelligence and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rcRect t="1315" b="1315"/>
                    <a:stretch>
                      <a:fillRect/>
                    </a:stretch>
                  </pic:blipFill>
                  <pic:spPr bwMode="auto">
                    <a:xfrm>
                      <a:off x="0" y="0"/>
                      <a:ext cx="75600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2A42DF">
          <w:t>2026</w:t>
        </w:r>
      </w:fldSimple>
      <w:r w:rsidR="00D22CC8" w:rsidRPr="00B652E8">
        <w:t xml:space="preserve"> • Volume </w:t>
      </w:r>
      <w:fldSimple w:instr=" DOCPROPERTY  Vol  \* MERGEFORMAT ">
        <w:r w:rsidR="002A42DF">
          <w:t>50</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293C38">
          <w:t>24.02.2026</w:t>
        </w:r>
      </w:fldSimple>
      <w:r w:rsidR="00700338" w:rsidRPr="00B652E8">
        <w:t xml:space="preserve"> • </w:t>
      </w:r>
      <w:fldSimple w:instr=" DOCPROPERTY  DOI  \* MERGEFORMAT ">
        <w:r w:rsidR="00293C38">
          <w:t>doi.org/10.33321/cdi.2026.50.011</w:t>
        </w:r>
      </w:fldSimple>
    </w:p>
    <w:p w14:paraId="60017134" w14:textId="077C73CB" w:rsidR="006B16A5" w:rsidRPr="00142578" w:rsidRDefault="00293C38" w:rsidP="00CE2CC7">
      <w:pPr>
        <w:pStyle w:val="Title"/>
      </w:pPr>
      <w:r w:rsidRPr="00293C38">
        <w:t xml:space="preserve">Transport time, not transport method, predicts </w:t>
      </w:r>
      <w:r w:rsidRPr="00293C38">
        <w:rPr>
          <w:i/>
          <w:iCs/>
        </w:rPr>
        <w:t>Neisseria gonorrhoeae</w:t>
      </w:r>
      <w:r w:rsidRPr="00293C38">
        <w:t xml:space="preserve"> culture yield in an urban setting</w:t>
      </w:r>
    </w:p>
    <w:p w14:paraId="3260BB3F" w14:textId="6B7A6768" w:rsidR="00112436" w:rsidRDefault="00293C38" w:rsidP="00BB3320">
      <w:pPr>
        <w:pStyle w:val="Subtitle"/>
      </w:pPr>
      <w:r w:rsidRPr="00293C38">
        <w:t>Arthur Wong, Tanya L Applegate, Alison Mahony, George Xu, Rebecca</w:t>
      </w:r>
      <w:r>
        <w:t> </w:t>
      </w:r>
      <w:r w:rsidRPr="00293C38">
        <w:t>Houghton, Tiffany Hogan, Monica Lahra</w:t>
      </w:r>
    </w:p>
    <w:p w14:paraId="3D6AAFD0" w14:textId="77777777" w:rsidR="00F25C00" w:rsidRDefault="0098426C" w:rsidP="0024018F">
      <w:pPr>
        <w:pStyle w:val="Heading1-noline"/>
      </w:pPr>
      <w:bookmarkStart w:id="0" w:name="_Toc195530498"/>
      <w:bookmarkStart w:id="1" w:name="_Toc201743688"/>
      <w:r>
        <w:t>Abstract</w:t>
      </w:r>
      <w:bookmarkEnd w:id="0"/>
      <w:bookmarkEnd w:id="1"/>
    </w:p>
    <w:p w14:paraId="4D4B901F" w14:textId="6A698B03" w:rsidR="00293C38" w:rsidRPr="00293C38" w:rsidRDefault="00293C38" w:rsidP="00293C38">
      <w:pPr>
        <w:pStyle w:val="Normal-morespaceafter"/>
        <w:rPr>
          <w:lang w:val="en-GB"/>
        </w:rPr>
      </w:pPr>
      <w:r w:rsidRPr="00293C38">
        <w:rPr>
          <w:lang w:val="en-GB"/>
        </w:rPr>
        <w:t xml:space="preserve">Antimicrobial resistance (AMR) in </w:t>
      </w:r>
      <w:r w:rsidRPr="00293C38">
        <w:rPr>
          <w:i/>
          <w:iCs/>
          <w:lang w:val="en-GB"/>
        </w:rPr>
        <w:t>Neisseria gonorrhoeae</w:t>
      </w:r>
      <w:r w:rsidRPr="00293C38">
        <w:rPr>
          <w:lang w:val="en-GB"/>
        </w:rPr>
        <w:t xml:space="preserve"> poses a pressing public health threat. Current surveillance programs via antimicrobial susceptibility testing (AST) depend on successfully cultivating the organism via bacterial culture. However, AST is more challenging in extragenital sites and in remote clinical settings where there is a delay between sample collection and testing. This study evaluated whether an enhanced specimen transport system involving direct plating of samples onto selective agar with carbon dioxide enrichment (Bio-</w:t>
      </w:r>
      <w:proofErr w:type="spellStart"/>
      <w:r w:rsidRPr="00293C38">
        <w:rPr>
          <w:lang w:val="en-GB"/>
        </w:rPr>
        <w:t>Bag</w:t>
      </w:r>
      <w:r w:rsidRPr="00293C38">
        <w:rPr>
          <w:vertAlign w:val="superscript"/>
          <w:lang w:val="en-GB"/>
        </w:rPr>
        <w:t>TM</w:t>
      </w:r>
      <w:proofErr w:type="spellEnd"/>
      <w:r w:rsidRPr="00293C38">
        <w:rPr>
          <w:lang w:val="en-GB"/>
        </w:rPr>
        <w:t xml:space="preserve"> Type C, Becton Dickinson) improved </w:t>
      </w:r>
      <w:r w:rsidRPr="00293C38">
        <w:rPr>
          <w:i/>
          <w:iCs/>
          <w:lang w:val="en-GB"/>
        </w:rPr>
        <w:t>N. gonorrhoeae</w:t>
      </w:r>
      <w:r w:rsidRPr="00293C38">
        <w:rPr>
          <w:lang w:val="en-GB"/>
        </w:rPr>
        <w:t xml:space="preserve"> recoverability compared to the standard method of rayon swabs in Amies gel (</w:t>
      </w:r>
      <w:proofErr w:type="spellStart"/>
      <w:r w:rsidRPr="00293C38">
        <w:rPr>
          <w:lang w:val="en-GB"/>
        </w:rPr>
        <w:t>Transystem</w:t>
      </w:r>
      <w:r w:rsidRPr="00293C38">
        <w:rPr>
          <w:vertAlign w:val="superscript"/>
          <w:lang w:val="en-GB"/>
        </w:rPr>
        <w:t>TM</w:t>
      </w:r>
      <w:proofErr w:type="spellEnd"/>
      <w:r w:rsidRPr="00293C38">
        <w:rPr>
          <w:lang w:val="en-GB"/>
        </w:rPr>
        <w:t>, Copan Diagnostics). Men with urethral or rectal gonorrhoea confirmed by nucleic acid amplification testing were consecutively recruited from an urban Sydney clinic. Among 33 rectal samples, enhanced transport yielded a slightly higher culture positivity rate (72.7%) than the standard method (69.7%), though this difference was not statistically significant (</w:t>
      </w:r>
      <w:proofErr w:type="gramStart"/>
      <w:r w:rsidRPr="00293C38">
        <w:rPr>
          <w:i/>
          <w:iCs/>
          <w:lang w:val="en-GB"/>
        </w:rPr>
        <w:t>p</w:t>
      </w:r>
      <w:r>
        <w:rPr>
          <w:i/>
          <w:iCs/>
          <w:lang w:val="en-GB"/>
        </w:rPr>
        <w:t xml:space="preserve">  </w:t>
      </w:r>
      <w:r w:rsidRPr="00293C38">
        <w:rPr>
          <w:lang w:val="en-GB"/>
        </w:rPr>
        <w:t>=</w:t>
      </w:r>
      <w:proofErr w:type="gramEnd"/>
      <w:r w:rsidRPr="00293C38">
        <w:rPr>
          <w:lang w:val="en-GB"/>
        </w:rPr>
        <w:t xml:space="preserve"> 0.790). Notably, rectal specimens arriving at the laboratory within five hours had significantly higher culture yields (100%) than those with longer transport times (61.5%; </w:t>
      </w:r>
      <w:r w:rsidRPr="00293C38">
        <w:rPr>
          <w:i/>
          <w:iCs/>
          <w:lang w:val="en-GB"/>
        </w:rPr>
        <w:t>p</w:t>
      </w:r>
      <w:r w:rsidRPr="00293C38">
        <w:rPr>
          <w:lang w:val="en-GB"/>
        </w:rPr>
        <w:t xml:space="preserve"> = 0.049). Future studies of the impact of enhanced transport in rural and remote settings are critical to enhance AMR surveillance.</w:t>
      </w:r>
    </w:p>
    <w:p w14:paraId="0F727D3B" w14:textId="783C8855" w:rsidR="00112436" w:rsidRDefault="00B73144" w:rsidP="00112436">
      <w:pPr>
        <w:pStyle w:val="CDIBoxText"/>
        <w:rPr>
          <w:lang w:val="en-GB"/>
        </w:rPr>
      </w:pPr>
      <w:r w:rsidRPr="00E61A68">
        <w:t>Keywords</w:t>
      </w:r>
      <w:r w:rsidR="0024018F">
        <w:t xml:space="preserve">: </w:t>
      </w:r>
      <w:r w:rsidR="00293C38" w:rsidRPr="00293C38">
        <w:rPr>
          <w:i/>
          <w:iCs/>
          <w:lang w:val="en-GB"/>
        </w:rPr>
        <w:t>Neisseria gonorrhoeae</w:t>
      </w:r>
      <w:r w:rsidR="00293C38" w:rsidRPr="00293C38">
        <w:rPr>
          <w:lang w:val="en-GB"/>
        </w:rPr>
        <w:t>; bacterial culture; antimicrobial resistance; antimicrobial susceptibility testing</w:t>
      </w:r>
      <w:r w:rsidR="00112436">
        <w:rPr>
          <w:lang w:val="en-GB"/>
        </w:rPr>
        <w:br w:type="page"/>
      </w:r>
    </w:p>
    <w:p w14:paraId="7735576C" w14:textId="77777777" w:rsidR="00293C38" w:rsidRPr="00293C38" w:rsidRDefault="00293C38" w:rsidP="00293C38">
      <w:pPr>
        <w:rPr>
          <w:lang w:val="en-GB"/>
        </w:rPr>
      </w:pPr>
      <w:r w:rsidRPr="00293C38">
        <w:rPr>
          <w:lang w:val="en-GB"/>
        </w:rPr>
        <w:lastRenderedPageBreak/>
        <w:t xml:space="preserve">Antimicrobial resistance (AMR) in </w:t>
      </w:r>
      <w:r w:rsidRPr="00293C38">
        <w:rPr>
          <w:i/>
          <w:iCs/>
          <w:lang w:val="en-GB"/>
        </w:rPr>
        <w:t>Neisseria gonorrhoeae</w:t>
      </w:r>
      <w:r w:rsidRPr="00293C38">
        <w:rPr>
          <w:lang w:val="en-GB"/>
        </w:rPr>
        <w:t xml:space="preserve"> is an urgent global threat with few alternate options, for which disease control is almost entirely reliant on effective treatment. Antimicrobial susceptibility testing (AST) is currently dependent on bacterial </w:t>
      </w:r>
      <w:proofErr w:type="gramStart"/>
      <w:r w:rsidRPr="00293C38">
        <w:rPr>
          <w:lang w:val="en-GB"/>
        </w:rPr>
        <w:t>culture, and</w:t>
      </w:r>
      <w:proofErr w:type="gramEnd"/>
      <w:r w:rsidRPr="00293C38">
        <w:rPr>
          <w:lang w:val="en-GB"/>
        </w:rPr>
        <w:t xml:space="preserve"> is critical for clinical and AMR surveillance data.</w:t>
      </w:r>
      <w:r w:rsidRPr="00293C38">
        <w:rPr>
          <w:vertAlign w:val="superscript"/>
          <w:lang w:val="en-GB"/>
        </w:rPr>
        <w:t>1</w:t>
      </w:r>
      <w:r w:rsidRPr="00293C38">
        <w:rPr>
          <w:lang w:val="en-GB"/>
        </w:rPr>
        <w:t xml:space="preserve"> However, fewer than 1% of infections globally have AST, limiting insights into the AMR landscape.</w:t>
      </w:r>
    </w:p>
    <w:p w14:paraId="5467BA40" w14:textId="77777777" w:rsidR="00293C38" w:rsidRPr="00293C38" w:rsidRDefault="00293C38" w:rsidP="00293C38">
      <w:pPr>
        <w:rPr>
          <w:lang w:val="en-GB"/>
        </w:rPr>
      </w:pPr>
      <w:r w:rsidRPr="00293C38">
        <w:rPr>
          <w:lang w:val="en-GB"/>
        </w:rPr>
        <w:t>In Australia, one in four gonococcal infections have AST,</w:t>
      </w:r>
      <w:r w:rsidRPr="00293C38">
        <w:rPr>
          <w:vertAlign w:val="superscript"/>
          <w:lang w:val="en-GB"/>
        </w:rPr>
        <w:t>2</w:t>
      </w:r>
      <w:r w:rsidRPr="00293C38">
        <w:rPr>
          <w:lang w:val="en-GB"/>
        </w:rPr>
        <w:t xml:space="preserve"> varying by jurisdiction, with less than 10% in one remote setting.</w:t>
      </w:r>
      <w:r w:rsidRPr="00293C38">
        <w:rPr>
          <w:vertAlign w:val="superscript"/>
          <w:lang w:val="en-GB"/>
        </w:rPr>
        <w:t>3</w:t>
      </w:r>
      <w:r w:rsidRPr="00293C38">
        <w:rPr>
          <w:lang w:val="en-GB"/>
        </w:rPr>
        <w:t xml:space="preserve"> Since 2022, in Australia and elsewhere, there have been increasing reports of ceftriaxone resistance and extensively drug-resistant (XDR) </w:t>
      </w:r>
      <w:r w:rsidRPr="00293C38">
        <w:rPr>
          <w:i/>
          <w:iCs/>
          <w:lang w:val="en-GB"/>
        </w:rPr>
        <w:t>N. gonorrhoeae</w:t>
      </w:r>
      <w:r w:rsidRPr="00293C38">
        <w:rPr>
          <w:lang w:val="en-GB"/>
        </w:rPr>
        <w:t>, including 14 XDR cases reported in Australia.</w:t>
      </w:r>
      <w:r w:rsidRPr="00293C38">
        <w:rPr>
          <w:vertAlign w:val="superscript"/>
          <w:lang w:val="en-GB"/>
        </w:rPr>
        <w:t>3</w:t>
      </w:r>
      <w:r w:rsidRPr="00293C38">
        <w:rPr>
          <w:lang w:val="en-GB"/>
        </w:rPr>
        <w:t xml:space="preserve"> In this context, improved gonococcal AMR surveillance is critical.</w:t>
      </w:r>
    </w:p>
    <w:p w14:paraId="2A61185F" w14:textId="77777777" w:rsidR="00293C38" w:rsidRPr="00293C38" w:rsidRDefault="00293C38" w:rsidP="00293C38">
      <w:pPr>
        <w:rPr>
          <w:lang w:val="en-GB"/>
        </w:rPr>
      </w:pPr>
      <w:r w:rsidRPr="00293C38">
        <w:rPr>
          <w:lang w:val="en-GB"/>
        </w:rPr>
        <w:t>Gonococcal culture yields are lower from extra-genital sites, and with delay from specimen collection to laboratory.</w:t>
      </w:r>
      <w:r w:rsidRPr="00293C38">
        <w:rPr>
          <w:vertAlign w:val="superscript"/>
          <w:lang w:val="en-GB"/>
        </w:rPr>
        <w:t>4</w:t>
      </w:r>
      <w:r w:rsidRPr="00293C38">
        <w:rPr>
          <w:lang w:val="en-GB"/>
        </w:rPr>
        <w:t xml:space="preserve"> Improved yield using an enhanced specimen transport method has been reported.</w:t>
      </w:r>
      <w:r w:rsidRPr="00293C38">
        <w:rPr>
          <w:vertAlign w:val="superscript"/>
          <w:lang w:val="en-GB"/>
        </w:rPr>
        <w:t>5</w:t>
      </w:r>
      <w:r w:rsidRPr="00293C38">
        <w:rPr>
          <w:lang w:val="en-GB"/>
        </w:rPr>
        <w:t xml:space="preserve"> We investigated whether a similar system improved recoverability of </w:t>
      </w:r>
      <w:r w:rsidRPr="00293C38">
        <w:rPr>
          <w:i/>
          <w:iCs/>
          <w:lang w:val="en-GB"/>
        </w:rPr>
        <w:t>N. gonorrhoeae</w:t>
      </w:r>
      <w:r w:rsidRPr="00293C38">
        <w:rPr>
          <w:lang w:val="en-GB"/>
        </w:rPr>
        <w:t xml:space="preserve"> and had potential utility in regional to remote areas with longer transport time to the laboratory.</w:t>
      </w:r>
    </w:p>
    <w:p w14:paraId="69F0B64C" w14:textId="77777777" w:rsidR="00293C38" w:rsidRPr="00293C38" w:rsidRDefault="00293C38" w:rsidP="00293C38">
      <w:pPr>
        <w:rPr>
          <w:lang w:val="en-GB"/>
        </w:rPr>
      </w:pPr>
      <w:r w:rsidRPr="00293C38">
        <w:rPr>
          <w:lang w:val="en-GB"/>
        </w:rPr>
        <w:t>Men with urethral and/or rectal gonorrhoea confirmed by nucleic acid amplification testing (</w:t>
      </w:r>
      <w:proofErr w:type="spellStart"/>
      <w:r w:rsidRPr="00293C38">
        <w:rPr>
          <w:lang w:val="en-GB"/>
        </w:rPr>
        <w:t>cobas</w:t>
      </w:r>
      <w:proofErr w:type="spellEnd"/>
      <w:r w:rsidRPr="00293C38">
        <w:rPr>
          <w:vertAlign w:val="superscript"/>
          <w:lang w:val="en-GB"/>
        </w:rPr>
        <w:t>®</w:t>
      </w:r>
      <w:r w:rsidRPr="00293C38">
        <w:rPr>
          <w:lang w:val="en-GB"/>
        </w:rPr>
        <w:t xml:space="preserve"> CT/NG Test, Roche Diagnostics) were consecutively recruited from a Sydney clinic. Swabs for culture were collected, and two specimen transport methods were compared, a standard rayon swab in Amies gel (</w:t>
      </w:r>
      <w:proofErr w:type="spellStart"/>
      <w:r w:rsidRPr="00293C38">
        <w:rPr>
          <w:lang w:val="en-GB"/>
        </w:rPr>
        <w:t>Transystem</w:t>
      </w:r>
      <w:r w:rsidRPr="00293C38">
        <w:rPr>
          <w:vertAlign w:val="superscript"/>
          <w:lang w:val="en-GB"/>
        </w:rPr>
        <w:t>TM</w:t>
      </w:r>
      <w:proofErr w:type="spellEnd"/>
      <w:r w:rsidRPr="00293C38">
        <w:rPr>
          <w:lang w:val="en-GB"/>
        </w:rPr>
        <w:t>, Copan Diagnostics) versus an enhanced method with direct plating of swabs in the clinic onto selective agar transported to the laboratory in a carbon dioxide-enriched bag (Bio-</w:t>
      </w:r>
      <w:proofErr w:type="spellStart"/>
      <w:r w:rsidRPr="00293C38">
        <w:rPr>
          <w:lang w:val="en-GB"/>
        </w:rPr>
        <w:t>Bag</w:t>
      </w:r>
      <w:r w:rsidRPr="00293C38">
        <w:rPr>
          <w:vertAlign w:val="superscript"/>
          <w:lang w:val="en-GB"/>
        </w:rPr>
        <w:t>TM</w:t>
      </w:r>
      <w:proofErr w:type="spellEnd"/>
      <w:r w:rsidRPr="00293C38">
        <w:rPr>
          <w:lang w:val="en-GB"/>
        </w:rPr>
        <w:t xml:space="preserve"> Type C, Becton Dickinson). Transport to the laboratory (approximately 8 kilometres) occurred three times daily. We also compared the impact of transport time for the standard swab (&lt; 5 hours versus &gt; 5 hours) and the presence or absence of symptoms on culture yield.</w:t>
      </w:r>
    </w:p>
    <w:p w14:paraId="528E6DE1" w14:textId="77777777" w:rsidR="00293C38" w:rsidRPr="00293C38" w:rsidRDefault="00293C38" w:rsidP="00293C38">
      <w:pPr>
        <w:rPr>
          <w:lang w:val="en-GB"/>
        </w:rPr>
      </w:pPr>
      <w:r w:rsidRPr="00293C38">
        <w:rPr>
          <w:lang w:val="en-GB"/>
        </w:rPr>
        <w:t xml:space="preserve">This study received ethical approval from the </w:t>
      </w:r>
      <w:proofErr w:type="gramStart"/>
      <w:r w:rsidRPr="00293C38">
        <w:rPr>
          <w:lang w:val="en-GB"/>
        </w:rPr>
        <w:t>South Eastern</w:t>
      </w:r>
      <w:proofErr w:type="gramEnd"/>
      <w:r w:rsidRPr="00293C38">
        <w:rPr>
          <w:lang w:val="en-GB"/>
        </w:rPr>
        <w:t xml:space="preserve"> Sydney Local Health District Human Research Ethics Committee (2023/ETH02474).</w:t>
      </w:r>
    </w:p>
    <w:p w14:paraId="2ED61642" w14:textId="3C1C8725" w:rsidR="00293C38" w:rsidRDefault="00293C38" w:rsidP="00293C38">
      <w:pPr>
        <w:rPr>
          <w:lang w:val="en-GB"/>
        </w:rPr>
      </w:pPr>
      <w:r w:rsidRPr="00293C38">
        <w:rPr>
          <w:lang w:val="en-GB"/>
        </w:rPr>
        <w:t xml:space="preserve">In the study, there were 24 participants with urethral gonorrhoea and 33 with rectal gonorrhoea. Patients with urethral gonorrhoea were all symptomatic (24/24; 100%) and </w:t>
      </w:r>
      <w:r w:rsidRPr="00293C38">
        <w:rPr>
          <w:i/>
          <w:iCs/>
          <w:lang w:val="en-GB"/>
        </w:rPr>
        <w:t>N. gonorrhoeae</w:t>
      </w:r>
      <w:r w:rsidRPr="00293C38">
        <w:rPr>
          <w:lang w:val="en-GB"/>
        </w:rPr>
        <w:t xml:space="preserve"> was isolated from all symptomatic patients transported by standard and enhanced specimen methods. Patients with rectal gonorrhoea were mostly asymptomatic (29/33; 88%), with 12% (4/33) symptomatic. </w:t>
      </w:r>
      <w:r w:rsidRPr="00293C38">
        <w:rPr>
          <w:i/>
          <w:iCs/>
          <w:lang w:val="en-GB"/>
        </w:rPr>
        <w:t>N. gonorrhoeae</w:t>
      </w:r>
      <w:r w:rsidRPr="00293C38">
        <w:rPr>
          <w:lang w:val="en-GB"/>
        </w:rPr>
        <w:t xml:space="preserve"> was isolated from all symptomatic patients (4/4; 100%), whereas asymptomatic patients had a lower positive culture rate (19/29; 66%) but the difference was not statistically significant (</w:t>
      </w:r>
      <w:r w:rsidRPr="00293C38">
        <w:rPr>
          <w:i/>
          <w:iCs/>
          <w:lang w:val="en-GB"/>
        </w:rPr>
        <w:t>p</w:t>
      </w:r>
      <w:r w:rsidRPr="00293C38">
        <w:rPr>
          <w:lang w:val="en-GB"/>
        </w:rPr>
        <w:t xml:space="preserve"> = 0.159). In rectal samples, enhanced transport had a slightly higher culture positive rate (72.7%; 24/33) when compared to the standard method (69.7%; 23/33) but this was not significant (</w:t>
      </w:r>
      <w:r w:rsidRPr="00293C38">
        <w:rPr>
          <w:i/>
          <w:iCs/>
          <w:lang w:val="en-GB"/>
        </w:rPr>
        <w:t>p</w:t>
      </w:r>
      <w:r w:rsidRPr="00293C38">
        <w:rPr>
          <w:lang w:val="en-GB"/>
        </w:rPr>
        <w:t xml:space="preserve"> = 0.790). Rectal specimens transported in &lt; 5 hours were more likely to yield growth compared to those transported in &gt; 5 hours (100% versus 61.5%; </w:t>
      </w:r>
      <w:r w:rsidRPr="00293C38">
        <w:rPr>
          <w:i/>
          <w:iCs/>
          <w:lang w:val="en-GB"/>
        </w:rPr>
        <w:t>p</w:t>
      </w:r>
      <w:r w:rsidRPr="00293C38">
        <w:rPr>
          <w:lang w:val="en-GB"/>
        </w:rPr>
        <w:t xml:space="preserve"> = 0.049) (Table 1). </w:t>
      </w:r>
      <w:r>
        <w:rPr>
          <w:lang w:val="en-GB"/>
        </w:rPr>
        <w:br w:type="page"/>
      </w:r>
    </w:p>
    <w:p w14:paraId="76833432" w14:textId="77777777" w:rsidR="00293C38" w:rsidRPr="00293C38" w:rsidRDefault="00293C38" w:rsidP="00293C38">
      <w:pPr>
        <w:pStyle w:val="CDITable-Title"/>
        <w:rPr>
          <w:lang w:val="en-GB"/>
        </w:rPr>
      </w:pPr>
      <w:r w:rsidRPr="00293C38">
        <w:rPr>
          <w:lang w:val="en-GB"/>
        </w:rPr>
        <w:t>Table 1: Associations between culture positivity and transport method, rectal symptoms and time for the inoculated rectal sample swab in Amies transport media (standard transport method) to arrive in the laboratory</w:t>
      </w:r>
    </w:p>
    <w:tbl>
      <w:tblPr>
        <w:tblW w:w="0" w:type="auto"/>
        <w:tblLayout w:type="fixed"/>
        <w:tblCellMar>
          <w:left w:w="0" w:type="dxa"/>
          <w:right w:w="0" w:type="dxa"/>
        </w:tblCellMar>
        <w:tblLook w:val="0000" w:firstRow="0" w:lastRow="0" w:firstColumn="0" w:lastColumn="0" w:noHBand="0" w:noVBand="0"/>
        <w:tblCaption w:val="Table 1: Associations between culture positivity and transport method, rectal symptoms and time for the inoculated rectal sample swab in Amies transport media (standard transport method) to arrive in the laboratory"/>
        <w:tblDescription w:val="Rectal samples: associations between culture positivity and transport method, rectal symptoms and time for the inoculated swab in Amies transport media (standard transport method) to arrive in the laboratory in rectal samples."/>
      </w:tblPr>
      <w:tblGrid>
        <w:gridCol w:w="3175"/>
        <w:gridCol w:w="1247"/>
        <w:gridCol w:w="1134"/>
        <w:gridCol w:w="1701"/>
        <w:gridCol w:w="1134"/>
        <w:gridCol w:w="1247"/>
      </w:tblGrid>
      <w:tr w:rsidR="00293C38" w:rsidRPr="00293C38" w14:paraId="14D4E9A7" w14:textId="77777777" w:rsidTr="00293C38">
        <w:tblPrEx>
          <w:tblCellMar>
            <w:top w:w="0" w:type="dxa"/>
            <w:left w:w="0" w:type="dxa"/>
            <w:bottom w:w="0" w:type="dxa"/>
            <w:right w:w="0" w:type="dxa"/>
          </w:tblCellMar>
        </w:tblPrEx>
        <w:trPr>
          <w:trHeight w:val="60"/>
          <w:tblHeader/>
        </w:trPr>
        <w:tc>
          <w:tcPr>
            <w:tcW w:w="3175" w:type="dxa"/>
            <w:shd w:val="clear" w:color="auto" w:fill="1E4496" w:themeFill="text2"/>
            <w:tcMar>
              <w:top w:w="113" w:type="dxa"/>
              <w:left w:w="113" w:type="dxa"/>
              <w:bottom w:w="113" w:type="dxa"/>
              <w:right w:w="113" w:type="dxa"/>
            </w:tcMar>
            <w:vAlign w:val="bottom"/>
          </w:tcPr>
          <w:p w14:paraId="554FDB11" w14:textId="77777777" w:rsidR="00293C38" w:rsidRPr="00293C38" w:rsidRDefault="00293C38" w:rsidP="00293C38">
            <w:pPr>
              <w:pStyle w:val="CDITable-HeaderRowLeft"/>
            </w:pPr>
            <w:r w:rsidRPr="00293C38">
              <w:t>Category</w:t>
            </w:r>
          </w:p>
        </w:tc>
        <w:tc>
          <w:tcPr>
            <w:tcW w:w="1247" w:type="dxa"/>
            <w:shd w:val="clear" w:color="auto" w:fill="1E4496" w:themeFill="text2"/>
            <w:tcMar>
              <w:top w:w="113" w:type="dxa"/>
              <w:left w:w="113" w:type="dxa"/>
              <w:bottom w:w="113" w:type="dxa"/>
              <w:right w:w="113" w:type="dxa"/>
            </w:tcMar>
            <w:vAlign w:val="bottom"/>
          </w:tcPr>
          <w:p w14:paraId="7393FC6E" w14:textId="77777777" w:rsidR="00293C38" w:rsidRPr="00293C38" w:rsidRDefault="00293C38" w:rsidP="00293C38">
            <w:pPr>
              <w:pStyle w:val="CDITable-HeaderRowCentre"/>
            </w:pPr>
            <w:r w:rsidRPr="00293C38">
              <w:t>Value</w:t>
            </w:r>
          </w:p>
        </w:tc>
        <w:tc>
          <w:tcPr>
            <w:tcW w:w="1134" w:type="dxa"/>
            <w:shd w:val="clear" w:color="auto" w:fill="1E4496" w:themeFill="text2"/>
            <w:tcMar>
              <w:top w:w="113" w:type="dxa"/>
              <w:left w:w="113" w:type="dxa"/>
              <w:bottom w:w="113" w:type="dxa"/>
              <w:right w:w="113" w:type="dxa"/>
            </w:tcMar>
            <w:vAlign w:val="bottom"/>
          </w:tcPr>
          <w:p w14:paraId="0F47FF53" w14:textId="77777777" w:rsidR="00293C38" w:rsidRPr="00293C38" w:rsidRDefault="00293C38" w:rsidP="00293C38">
            <w:pPr>
              <w:pStyle w:val="CDITable-HeaderRowCentre"/>
            </w:pPr>
            <w:r w:rsidRPr="00293C38">
              <w:t>Total</w:t>
            </w:r>
          </w:p>
        </w:tc>
        <w:tc>
          <w:tcPr>
            <w:tcW w:w="1701" w:type="dxa"/>
            <w:shd w:val="clear" w:color="auto" w:fill="1E4496" w:themeFill="text2"/>
            <w:tcMar>
              <w:top w:w="113" w:type="dxa"/>
              <w:left w:w="113" w:type="dxa"/>
              <w:bottom w:w="113" w:type="dxa"/>
              <w:right w:w="113" w:type="dxa"/>
            </w:tcMar>
            <w:vAlign w:val="bottom"/>
          </w:tcPr>
          <w:p w14:paraId="581AD444" w14:textId="77777777" w:rsidR="00293C38" w:rsidRPr="00293C38" w:rsidRDefault="00293C38" w:rsidP="00293C38">
            <w:pPr>
              <w:pStyle w:val="CDITable-HeaderRowCentre"/>
            </w:pPr>
            <w:r w:rsidRPr="00293C38">
              <w:t>Culture positive</w:t>
            </w:r>
          </w:p>
        </w:tc>
        <w:tc>
          <w:tcPr>
            <w:tcW w:w="1134" w:type="dxa"/>
            <w:shd w:val="clear" w:color="auto" w:fill="1E4496" w:themeFill="text2"/>
            <w:tcMar>
              <w:top w:w="113" w:type="dxa"/>
              <w:left w:w="113" w:type="dxa"/>
              <w:bottom w:w="113" w:type="dxa"/>
              <w:right w:w="113" w:type="dxa"/>
            </w:tcMar>
            <w:vAlign w:val="bottom"/>
          </w:tcPr>
          <w:p w14:paraId="184E08A0" w14:textId="77777777" w:rsidR="00293C38" w:rsidRPr="00293C38" w:rsidRDefault="00293C38" w:rsidP="00293C38">
            <w:pPr>
              <w:pStyle w:val="CDITable-HeaderRowCentre"/>
            </w:pPr>
            <w:r w:rsidRPr="00293C38">
              <w:t>%</w:t>
            </w:r>
          </w:p>
        </w:tc>
        <w:tc>
          <w:tcPr>
            <w:tcW w:w="1247" w:type="dxa"/>
            <w:shd w:val="clear" w:color="auto" w:fill="1E4496" w:themeFill="text2"/>
            <w:tcMar>
              <w:top w:w="113" w:type="dxa"/>
              <w:left w:w="113" w:type="dxa"/>
              <w:bottom w:w="113" w:type="dxa"/>
              <w:right w:w="113" w:type="dxa"/>
            </w:tcMar>
            <w:vAlign w:val="bottom"/>
          </w:tcPr>
          <w:p w14:paraId="04ADA663" w14:textId="77777777" w:rsidR="00293C38" w:rsidRPr="00293C38" w:rsidRDefault="00293C38" w:rsidP="00293C38">
            <w:pPr>
              <w:pStyle w:val="CDITable-HeaderRowCentre"/>
            </w:pPr>
            <w:r w:rsidRPr="005E3D78">
              <w:rPr>
                <w:i/>
                <w:iCs/>
              </w:rPr>
              <w:t>p</w:t>
            </w:r>
            <w:r w:rsidRPr="00293C38">
              <w:t xml:space="preserve"> value (χ</w:t>
            </w:r>
            <w:r w:rsidRPr="00B371E1">
              <w:rPr>
                <w:vertAlign w:val="superscript"/>
              </w:rPr>
              <w:t>2</w:t>
            </w:r>
            <w:r w:rsidRPr="00293C38">
              <w:t>)</w:t>
            </w:r>
          </w:p>
        </w:tc>
      </w:tr>
      <w:tr w:rsidR="00293C38" w:rsidRPr="00293C38" w14:paraId="528F2D31" w14:textId="77777777" w:rsidTr="00293C38">
        <w:tblPrEx>
          <w:tblCellMar>
            <w:top w:w="0" w:type="dxa"/>
            <w:left w:w="0" w:type="dxa"/>
            <w:bottom w:w="0" w:type="dxa"/>
            <w:right w:w="0" w:type="dxa"/>
          </w:tblCellMar>
        </w:tblPrEx>
        <w:trPr>
          <w:trHeight w:val="355"/>
        </w:trPr>
        <w:tc>
          <w:tcPr>
            <w:tcW w:w="3175" w:type="dxa"/>
            <w:vMerge w:val="restart"/>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7145C4C" w14:textId="77777777" w:rsidR="00293C38" w:rsidRPr="00293C38" w:rsidRDefault="00293C38" w:rsidP="00293C38">
            <w:pPr>
              <w:pStyle w:val="CDITable-RowLeft"/>
            </w:pPr>
            <w:r w:rsidRPr="00293C38">
              <w:t>Transport method</w:t>
            </w:r>
          </w:p>
        </w:tc>
        <w:tc>
          <w:tcPr>
            <w:tcW w:w="1247" w:type="dxa"/>
            <w:tcBorders>
              <w:bottom w:val="single" w:sz="6" w:space="0" w:color="1E4496" w:themeColor="text2"/>
            </w:tcBorders>
            <w:tcMar>
              <w:top w:w="113" w:type="dxa"/>
              <w:left w:w="113" w:type="dxa"/>
              <w:bottom w:w="113" w:type="dxa"/>
              <w:right w:w="113" w:type="dxa"/>
            </w:tcMar>
            <w:vAlign w:val="center"/>
          </w:tcPr>
          <w:p w14:paraId="7325A506" w14:textId="77777777" w:rsidR="00293C38" w:rsidRPr="00293C38" w:rsidRDefault="00293C38" w:rsidP="00293C38">
            <w:pPr>
              <w:pStyle w:val="CDITable-RowCentre"/>
            </w:pPr>
            <w:r w:rsidRPr="00293C38">
              <w:t>Standard</w:t>
            </w:r>
          </w:p>
        </w:tc>
        <w:tc>
          <w:tcPr>
            <w:tcW w:w="1134" w:type="dxa"/>
            <w:tcBorders>
              <w:bottom w:val="single" w:sz="6" w:space="0" w:color="1E4496" w:themeColor="text2"/>
            </w:tcBorders>
            <w:tcMar>
              <w:top w:w="113" w:type="dxa"/>
              <w:left w:w="113" w:type="dxa"/>
              <w:bottom w:w="113" w:type="dxa"/>
              <w:right w:w="113" w:type="dxa"/>
            </w:tcMar>
            <w:vAlign w:val="center"/>
          </w:tcPr>
          <w:p w14:paraId="0638DA15" w14:textId="77777777" w:rsidR="00293C38" w:rsidRPr="00293C38" w:rsidRDefault="00293C38" w:rsidP="00293C38">
            <w:pPr>
              <w:pStyle w:val="CDITable-RowCentre"/>
            </w:pPr>
            <w:r w:rsidRPr="00293C38">
              <w:t>33</w:t>
            </w:r>
          </w:p>
        </w:tc>
        <w:tc>
          <w:tcPr>
            <w:tcW w:w="1701" w:type="dxa"/>
            <w:tcBorders>
              <w:bottom w:val="single" w:sz="6" w:space="0" w:color="1E4496" w:themeColor="text2"/>
            </w:tcBorders>
            <w:tcMar>
              <w:top w:w="113" w:type="dxa"/>
              <w:left w:w="113" w:type="dxa"/>
              <w:bottom w:w="113" w:type="dxa"/>
              <w:right w:w="113" w:type="dxa"/>
            </w:tcMar>
            <w:vAlign w:val="center"/>
          </w:tcPr>
          <w:p w14:paraId="4E1317B1" w14:textId="77777777" w:rsidR="00293C38" w:rsidRPr="00293C38" w:rsidRDefault="00293C38" w:rsidP="00293C38">
            <w:pPr>
              <w:pStyle w:val="CDITable-RowCentre"/>
            </w:pPr>
            <w:r w:rsidRPr="00293C38">
              <w:t>23</w:t>
            </w:r>
          </w:p>
        </w:tc>
        <w:tc>
          <w:tcPr>
            <w:tcW w:w="1134" w:type="dxa"/>
            <w:tcBorders>
              <w:bottom w:val="single" w:sz="6" w:space="0" w:color="1E4496" w:themeColor="text2"/>
            </w:tcBorders>
            <w:tcMar>
              <w:top w:w="113" w:type="dxa"/>
              <w:left w:w="113" w:type="dxa"/>
              <w:bottom w:w="113" w:type="dxa"/>
              <w:right w:w="113" w:type="dxa"/>
            </w:tcMar>
            <w:vAlign w:val="center"/>
          </w:tcPr>
          <w:p w14:paraId="4D80C6C1" w14:textId="77777777" w:rsidR="00293C38" w:rsidRPr="00293C38" w:rsidRDefault="00293C38" w:rsidP="00293C38">
            <w:pPr>
              <w:pStyle w:val="CDITable-RowCentre"/>
            </w:pPr>
            <w:r w:rsidRPr="00293C38">
              <w:t>69.7%</w:t>
            </w:r>
          </w:p>
        </w:tc>
        <w:tc>
          <w:tcPr>
            <w:tcW w:w="1247" w:type="dxa"/>
            <w:vMerge w:val="restart"/>
            <w:tcBorders>
              <w:bottom w:val="single" w:sz="6" w:space="0" w:color="1E4496" w:themeColor="text2"/>
            </w:tcBorders>
            <w:tcMar>
              <w:top w:w="113" w:type="dxa"/>
              <w:left w:w="113" w:type="dxa"/>
              <w:bottom w:w="113" w:type="dxa"/>
              <w:right w:w="113" w:type="dxa"/>
            </w:tcMar>
            <w:vAlign w:val="center"/>
          </w:tcPr>
          <w:p w14:paraId="6055B1B4" w14:textId="77777777" w:rsidR="00293C38" w:rsidRPr="00293C38" w:rsidRDefault="00293C38" w:rsidP="00293C38">
            <w:pPr>
              <w:pStyle w:val="CDITable-RowCentre"/>
            </w:pPr>
            <w:r w:rsidRPr="00293C38">
              <w:t>0.790</w:t>
            </w:r>
          </w:p>
        </w:tc>
      </w:tr>
      <w:tr w:rsidR="00293C38" w:rsidRPr="00293C38" w14:paraId="14B7E2F2" w14:textId="77777777" w:rsidTr="00293C38">
        <w:tblPrEx>
          <w:tblCellMar>
            <w:top w:w="0" w:type="dxa"/>
            <w:left w:w="0" w:type="dxa"/>
            <w:bottom w:w="0" w:type="dxa"/>
            <w:right w:w="0" w:type="dxa"/>
          </w:tblCellMar>
        </w:tblPrEx>
        <w:trPr>
          <w:trHeight w:val="355"/>
        </w:trPr>
        <w:tc>
          <w:tcPr>
            <w:tcW w:w="3175" w:type="dxa"/>
            <w:vMerge/>
            <w:tcBorders>
              <w:bottom w:val="single" w:sz="6" w:space="0" w:color="1E4496" w:themeColor="text2"/>
            </w:tcBorders>
            <w:shd w:val="clear" w:color="auto" w:fill="DCF4FC" w:themeFill="background2" w:themeFillTint="33"/>
          </w:tcPr>
          <w:p w14:paraId="59C592BB" w14:textId="77777777" w:rsidR="00293C38" w:rsidRPr="00293C38" w:rsidRDefault="00293C38" w:rsidP="00293C38"/>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9AF949" w14:textId="77777777" w:rsidR="00293C38" w:rsidRPr="00293C38" w:rsidRDefault="00293C38" w:rsidP="00293C38">
            <w:pPr>
              <w:pStyle w:val="CDITable-RowCentre"/>
            </w:pPr>
            <w:r w:rsidRPr="00293C38">
              <w:t>Enhanced</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5A27D5" w14:textId="77777777" w:rsidR="00293C38" w:rsidRPr="00293C38" w:rsidRDefault="00293C38" w:rsidP="00293C38">
            <w:pPr>
              <w:pStyle w:val="CDITable-RowCentre"/>
            </w:pPr>
            <w:r w:rsidRPr="00293C38">
              <w:t>33</w:t>
            </w:r>
          </w:p>
        </w:tc>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B6E6B4" w14:textId="77777777" w:rsidR="00293C38" w:rsidRPr="00293C38" w:rsidRDefault="00293C38" w:rsidP="00293C38">
            <w:pPr>
              <w:pStyle w:val="CDITable-RowCentre"/>
            </w:pPr>
            <w:r w:rsidRPr="00293C38">
              <w:t>24</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BD5671" w14:textId="77777777" w:rsidR="00293C38" w:rsidRPr="00293C38" w:rsidRDefault="00293C38" w:rsidP="00293C38">
            <w:pPr>
              <w:pStyle w:val="CDITable-RowCentre"/>
            </w:pPr>
            <w:r w:rsidRPr="00293C38">
              <w:t>72.7%</w:t>
            </w:r>
          </w:p>
        </w:tc>
        <w:tc>
          <w:tcPr>
            <w:tcW w:w="1247" w:type="dxa"/>
            <w:vMerge/>
            <w:tcBorders>
              <w:bottom w:val="single" w:sz="6" w:space="0" w:color="1E4496" w:themeColor="text2"/>
            </w:tcBorders>
          </w:tcPr>
          <w:p w14:paraId="75A9F8BA" w14:textId="77777777" w:rsidR="00293C38" w:rsidRPr="00293C38" w:rsidRDefault="00293C38" w:rsidP="00293C38"/>
        </w:tc>
      </w:tr>
      <w:tr w:rsidR="00293C38" w:rsidRPr="00293C38" w14:paraId="638C922E" w14:textId="77777777" w:rsidTr="00293C38">
        <w:tblPrEx>
          <w:tblCellMar>
            <w:top w:w="0" w:type="dxa"/>
            <w:left w:w="0" w:type="dxa"/>
            <w:bottom w:w="0" w:type="dxa"/>
            <w:right w:w="0" w:type="dxa"/>
          </w:tblCellMar>
        </w:tblPrEx>
        <w:trPr>
          <w:trHeight w:val="60"/>
        </w:trPr>
        <w:tc>
          <w:tcPr>
            <w:tcW w:w="3175"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D8A1CA0" w14:textId="77777777" w:rsidR="00293C38" w:rsidRPr="00293C38" w:rsidRDefault="00293C38" w:rsidP="00293C38">
            <w:pPr>
              <w:pStyle w:val="CDITable-RowLeft"/>
            </w:pPr>
            <w:r w:rsidRPr="00293C38">
              <w:t>Rectal symptoms</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792799" w14:textId="77777777" w:rsidR="00293C38" w:rsidRPr="00293C38" w:rsidRDefault="00293C38" w:rsidP="00293C38">
            <w:pPr>
              <w:pStyle w:val="CDITable-RowCentre"/>
            </w:pPr>
            <w:r w:rsidRPr="00293C38">
              <w:t>No</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F113FD" w14:textId="77777777" w:rsidR="00293C38" w:rsidRPr="00293C38" w:rsidRDefault="00293C38" w:rsidP="00293C38">
            <w:pPr>
              <w:pStyle w:val="CDITable-RowCentre"/>
            </w:pPr>
            <w:r w:rsidRPr="00293C38">
              <w:t>29</w:t>
            </w:r>
          </w:p>
        </w:tc>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98B0F8" w14:textId="77777777" w:rsidR="00293C38" w:rsidRPr="00293C38" w:rsidRDefault="00293C38" w:rsidP="00293C38">
            <w:pPr>
              <w:pStyle w:val="CDITable-RowCentre"/>
            </w:pPr>
            <w:r w:rsidRPr="00293C38">
              <w:t>19</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C9EEB0" w14:textId="77777777" w:rsidR="00293C38" w:rsidRPr="00293C38" w:rsidRDefault="00293C38" w:rsidP="00293C38">
            <w:pPr>
              <w:pStyle w:val="CDITable-RowCentre"/>
            </w:pPr>
            <w:r w:rsidRPr="00293C38">
              <w:t>66.0%</w:t>
            </w:r>
          </w:p>
        </w:tc>
        <w:tc>
          <w:tcPr>
            <w:tcW w:w="1247"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D6B28C" w14:textId="77777777" w:rsidR="00293C38" w:rsidRPr="00293C38" w:rsidRDefault="00293C38" w:rsidP="00293C38">
            <w:pPr>
              <w:pStyle w:val="CDITable-RowCentre"/>
            </w:pPr>
            <w:r w:rsidRPr="00293C38">
              <w:t>0.159</w:t>
            </w:r>
          </w:p>
        </w:tc>
      </w:tr>
      <w:tr w:rsidR="00293C38" w:rsidRPr="00293C38" w14:paraId="1FFB6F19" w14:textId="77777777" w:rsidTr="00293C38">
        <w:tblPrEx>
          <w:tblCellMar>
            <w:top w:w="0" w:type="dxa"/>
            <w:left w:w="0" w:type="dxa"/>
            <w:bottom w:w="0" w:type="dxa"/>
            <w:right w:w="0" w:type="dxa"/>
          </w:tblCellMar>
        </w:tblPrEx>
        <w:trPr>
          <w:trHeight w:val="60"/>
        </w:trPr>
        <w:tc>
          <w:tcPr>
            <w:tcW w:w="3175" w:type="dxa"/>
            <w:vMerge/>
            <w:tcBorders>
              <w:bottom w:val="single" w:sz="6" w:space="0" w:color="1E4496" w:themeColor="text2"/>
            </w:tcBorders>
            <w:shd w:val="clear" w:color="auto" w:fill="DCF4FC" w:themeFill="background2" w:themeFillTint="33"/>
          </w:tcPr>
          <w:p w14:paraId="22D0C914" w14:textId="77777777" w:rsidR="00293C38" w:rsidRPr="00293C38" w:rsidRDefault="00293C38" w:rsidP="00293C38">
            <w:pPr>
              <w:pStyle w:val="CDITable-RowLeft"/>
            </w:pP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BEB9FD" w14:textId="77777777" w:rsidR="00293C38" w:rsidRPr="00293C38" w:rsidRDefault="00293C38" w:rsidP="00293C38">
            <w:pPr>
              <w:pStyle w:val="CDITable-RowCentre"/>
            </w:pPr>
            <w:r w:rsidRPr="00293C38">
              <w:t>Yes</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F201D1" w14:textId="77777777" w:rsidR="00293C38" w:rsidRPr="00293C38" w:rsidRDefault="00293C38" w:rsidP="00293C38">
            <w:pPr>
              <w:pStyle w:val="CDITable-RowCentre"/>
            </w:pPr>
            <w:r w:rsidRPr="00293C38">
              <w:t>4</w:t>
            </w:r>
          </w:p>
        </w:tc>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3C7FC7" w14:textId="77777777" w:rsidR="00293C38" w:rsidRPr="00293C38" w:rsidRDefault="00293C38" w:rsidP="00293C38">
            <w:pPr>
              <w:pStyle w:val="CDITable-RowCentre"/>
            </w:pPr>
            <w:r w:rsidRPr="00293C38">
              <w:t>4</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FEA865" w14:textId="77777777" w:rsidR="00293C38" w:rsidRPr="00293C38" w:rsidRDefault="00293C38" w:rsidP="00293C38">
            <w:pPr>
              <w:pStyle w:val="CDITable-RowCentre"/>
            </w:pPr>
            <w:r w:rsidRPr="00293C38">
              <w:t>100.0%</w:t>
            </w:r>
          </w:p>
        </w:tc>
        <w:tc>
          <w:tcPr>
            <w:tcW w:w="1247" w:type="dxa"/>
            <w:vMerge/>
            <w:tcBorders>
              <w:bottom w:val="single" w:sz="6" w:space="0" w:color="1E4496" w:themeColor="text2"/>
            </w:tcBorders>
          </w:tcPr>
          <w:p w14:paraId="038EFFE4" w14:textId="77777777" w:rsidR="00293C38" w:rsidRPr="00293C38" w:rsidRDefault="00293C38" w:rsidP="00293C38">
            <w:pPr>
              <w:pStyle w:val="CDITable-RowCentre"/>
            </w:pPr>
          </w:p>
        </w:tc>
      </w:tr>
      <w:tr w:rsidR="00293C38" w:rsidRPr="00293C38" w14:paraId="7EE406B0" w14:textId="77777777" w:rsidTr="00293C38">
        <w:tblPrEx>
          <w:tblCellMar>
            <w:top w:w="0" w:type="dxa"/>
            <w:left w:w="0" w:type="dxa"/>
            <w:bottom w:w="0" w:type="dxa"/>
            <w:right w:w="0" w:type="dxa"/>
          </w:tblCellMar>
        </w:tblPrEx>
        <w:trPr>
          <w:trHeight w:val="60"/>
        </w:trPr>
        <w:tc>
          <w:tcPr>
            <w:tcW w:w="3175"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BE1DE70" w14:textId="77777777" w:rsidR="00293C38" w:rsidRPr="00293C38" w:rsidRDefault="00293C38" w:rsidP="00293C38">
            <w:pPr>
              <w:pStyle w:val="CDITable-RowLeft"/>
            </w:pPr>
            <w:r w:rsidRPr="00293C38">
              <w:t>Time from collection to laboratory</w:t>
            </w:r>
          </w:p>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1F25AF" w14:textId="77777777" w:rsidR="00293C38" w:rsidRPr="00293C38" w:rsidRDefault="00293C38" w:rsidP="00293C38">
            <w:pPr>
              <w:pStyle w:val="CDITable-RowCentre"/>
            </w:pPr>
            <w:r w:rsidRPr="00293C38">
              <w:t>&lt; 5 hours</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F590DB" w14:textId="77777777" w:rsidR="00293C38" w:rsidRPr="00293C38" w:rsidRDefault="00293C38" w:rsidP="00293C38">
            <w:pPr>
              <w:pStyle w:val="CDITable-RowCentre"/>
            </w:pPr>
            <w:r w:rsidRPr="00293C38">
              <w:t>7</w:t>
            </w:r>
          </w:p>
        </w:tc>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C2D2C9" w14:textId="77777777" w:rsidR="00293C38" w:rsidRPr="00293C38" w:rsidRDefault="00293C38" w:rsidP="00293C38">
            <w:pPr>
              <w:pStyle w:val="CDITable-RowCentre"/>
            </w:pPr>
            <w:r w:rsidRPr="00293C38">
              <w:t>7</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1D4FD3" w14:textId="77777777" w:rsidR="00293C38" w:rsidRPr="00293C38" w:rsidRDefault="00293C38" w:rsidP="00293C38">
            <w:pPr>
              <w:pStyle w:val="CDITable-RowCentre"/>
            </w:pPr>
            <w:r w:rsidRPr="00293C38">
              <w:t>100.0%</w:t>
            </w:r>
          </w:p>
        </w:tc>
        <w:tc>
          <w:tcPr>
            <w:tcW w:w="1247"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8C0D39" w14:textId="77777777" w:rsidR="00293C38" w:rsidRPr="00293C38" w:rsidRDefault="00293C38" w:rsidP="00293C38">
            <w:pPr>
              <w:pStyle w:val="CDITable-RowCentre"/>
            </w:pPr>
            <w:r w:rsidRPr="00293C38">
              <w:t>0.049</w:t>
            </w:r>
          </w:p>
        </w:tc>
      </w:tr>
      <w:tr w:rsidR="00293C38" w:rsidRPr="00293C38" w14:paraId="347E0B40" w14:textId="77777777" w:rsidTr="00293C38">
        <w:tblPrEx>
          <w:tblCellMar>
            <w:top w:w="0" w:type="dxa"/>
            <w:left w:w="0" w:type="dxa"/>
            <w:bottom w:w="0" w:type="dxa"/>
            <w:right w:w="0" w:type="dxa"/>
          </w:tblCellMar>
        </w:tblPrEx>
        <w:trPr>
          <w:trHeight w:val="60"/>
        </w:trPr>
        <w:tc>
          <w:tcPr>
            <w:tcW w:w="3175" w:type="dxa"/>
            <w:vMerge/>
            <w:tcBorders>
              <w:bottom w:val="single" w:sz="6" w:space="0" w:color="1E4496" w:themeColor="text2"/>
            </w:tcBorders>
            <w:shd w:val="clear" w:color="auto" w:fill="DCF4FC" w:themeFill="background2" w:themeFillTint="33"/>
          </w:tcPr>
          <w:p w14:paraId="0CE19CFB" w14:textId="77777777" w:rsidR="00293C38" w:rsidRPr="00293C38" w:rsidRDefault="00293C38" w:rsidP="00293C38"/>
        </w:tc>
        <w:tc>
          <w:tcPr>
            <w:tcW w:w="124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4FF338" w14:textId="77777777" w:rsidR="00293C38" w:rsidRPr="00293C38" w:rsidRDefault="00293C38" w:rsidP="00293C38">
            <w:pPr>
              <w:pStyle w:val="CDITable-RowCentre"/>
            </w:pPr>
            <w:r w:rsidRPr="00293C38">
              <w:t>≥ 5 hours</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32815E" w14:textId="77777777" w:rsidR="00293C38" w:rsidRPr="00293C38" w:rsidRDefault="00293C38" w:rsidP="00293C38">
            <w:pPr>
              <w:pStyle w:val="CDITable-RowCentre"/>
            </w:pPr>
            <w:r w:rsidRPr="00293C38">
              <w:t>26</w:t>
            </w:r>
          </w:p>
        </w:tc>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999458" w14:textId="77777777" w:rsidR="00293C38" w:rsidRPr="00293C38" w:rsidRDefault="00293C38" w:rsidP="00293C38">
            <w:pPr>
              <w:pStyle w:val="CDITable-RowCentre"/>
            </w:pPr>
            <w:r w:rsidRPr="00293C38">
              <w:t>16</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DCB95A" w14:textId="77777777" w:rsidR="00293C38" w:rsidRPr="00293C38" w:rsidRDefault="00293C38" w:rsidP="00293C38">
            <w:pPr>
              <w:pStyle w:val="CDITable-RowCentre"/>
            </w:pPr>
            <w:r w:rsidRPr="00293C38">
              <w:t>61.5%</w:t>
            </w:r>
          </w:p>
        </w:tc>
        <w:tc>
          <w:tcPr>
            <w:tcW w:w="1247" w:type="dxa"/>
            <w:vMerge/>
            <w:tcBorders>
              <w:bottom w:val="single" w:sz="6" w:space="0" w:color="1E4496" w:themeColor="text2"/>
            </w:tcBorders>
          </w:tcPr>
          <w:p w14:paraId="34BF932E" w14:textId="77777777" w:rsidR="00293C38" w:rsidRPr="00293C38" w:rsidRDefault="00293C38" w:rsidP="00293C38"/>
        </w:tc>
      </w:tr>
    </w:tbl>
    <w:p w14:paraId="1FE8B165" w14:textId="476C2AB9" w:rsidR="005E3D78" w:rsidRDefault="00293C38" w:rsidP="005E3D78">
      <w:pPr>
        <w:pStyle w:val="Normal-morespacebefore"/>
        <w:rPr>
          <w:vertAlign w:val="superscript"/>
          <w:lang w:val="en-GB"/>
        </w:rPr>
      </w:pPr>
      <w:r w:rsidRPr="00293C38">
        <w:rPr>
          <w:lang w:val="en-GB"/>
        </w:rPr>
        <w:t>Higher culture yield from urethral samples was anticipated, as all patients were symptomatic.</w:t>
      </w:r>
      <w:r w:rsidRPr="00293C38">
        <w:rPr>
          <w:vertAlign w:val="superscript"/>
          <w:lang w:val="en-GB"/>
        </w:rPr>
        <w:t>6</w:t>
      </w:r>
      <w:r w:rsidRPr="00293C38">
        <w:rPr>
          <w:lang w:val="en-GB"/>
        </w:rPr>
        <w:t xml:space="preserve"> Enhanced transport slightly improved rectal culture yield compared to standard; however, the difference was smaller than reported,</w:t>
      </w:r>
      <w:r w:rsidRPr="00293C38">
        <w:rPr>
          <w:vertAlign w:val="superscript"/>
          <w:lang w:val="en-GB"/>
        </w:rPr>
        <w:t>5,7</w:t>
      </w:r>
      <w:r w:rsidRPr="00293C38">
        <w:rPr>
          <w:lang w:val="en-GB"/>
        </w:rPr>
        <w:t xml:space="preserve"> possibly due to the proximity of the laboratory. With standard transport method, expedited time to laboratory was a significant predictor of culture yield, further highlighting the advantage of short sample transport time. Future studies of the impact of enhanced transport in rural and remote settings are critical to enhance AMR surveillance.</w:t>
      </w:r>
      <w:r w:rsidRPr="00293C38">
        <w:rPr>
          <w:vertAlign w:val="superscript"/>
          <w:lang w:val="en-GB"/>
        </w:rPr>
        <w:t>8,9</w:t>
      </w:r>
      <w:r w:rsidR="005E3D78">
        <w:rPr>
          <w:vertAlign w:val="superscript"/>
          <w:lang w:val="en-GB"/>
        </w:rPr>
        <w:br w:type="page"/>
      </w:r>
    </w:p>
    <w:p w14:paraId="7D036843" w14:textId="77777777" w:rsidR="008A0736" w:rsidRDefault="008A0736" w:rsidP="00112436">
      <w:pPr>
        <w:pStyle w:val="Heading1-noline"/>
      </w:pPr>
      <w:bookmarkStart w:id="2" w:name="_Toc195530508"/>
      <w:bookmarkStart w:id="3" w:name="_Toc201743697"/>
      <w:r>
        <w:t>Author details</w:t>
      </w:r>
      <w:bookmarkEnd w:id="2"/>
      <w:bookmarkEnd w:id="3"/>
    </w:p>
    <w:p w14:paraId="320DED37" w14:textId="77777777" w:rsidR="005E3D78" w:rsidRPr="005E3D78" w:rsidRDefault="005E3D78" w:rsidP="005E3D78">
      <w:pPr>
        <w:rPr>
          <w:lang w:val="en-GB"/>
        </w:rPr>
      </w:pPr>
      <w:r w:rsidRPr="005E3D78">
        <w:rPr>
          <w:lang w:val="en-GB"/>
        </w:rPr>
        <w:t>Arthur Wong,</w:t>
      </w:r>
      <w:r w:rsidRPr="005E3D78">
        <w:rPr>
          <w:vertAlign w:val="superscript"/>
          <w:lang w:val="en-GB"/>
        </w:rPr>
        <w:t>1,2</w:t>
      </w:r>
    </w:p>
    <w:p w14:paraId="5B5224E8" w14:textId="77777777" w:rsidR="005E3D78" w:rsidRPr="005E3D78" w:rsidRDefault="005E3D78" w:rsidP="005E3D78">
      <w:pPr>
        <w:pStyle w:val="Normal-lessspace"/>
      </w:pPr>
      <w:r w:rsidRPr="005E3D78">
        <w:t>Tanya L Applegate,</w:t>
      </w:r>
      <w:r w:rsidRPr="005E3D78">
        <w:rPr>
          <w:vertAlign w:val="superscript"/>
        </w:rPr>
        <w:t>2</w:t>
      </w:r>
    </w:p>
    <w:p w14:paraId="795EAE85" w14:textId="77777777" w:rsidR="005E3D78" w:rsidRPr="005E3D78" w:rsidRDefault="005E3D78" w:rsidP="005E3D78">
      <w:pPr>
        <w:pStyle w:val="Normal-lessspace"/>
      </w:pPr>
      <w:r w:rsidRPr="005E3D78">
        <w:t>Alison Mahony,</w:t>
      </w:r>
      <w:r w:rsidRPr="005E3D78">
        <w:rPr>
          <w:vertAlign w:val="superscript"/>
        </w:rPr>
        <w:t>1</w:t>
      </w:r>
    </w:p>
    <w:p w14:paraId="405A2724" w14:textId="77777777" w:rsidR="005E3D78" w:rsidRPr="005E3D78" w:rsidRDefault="005E3D78" w:rsidP="005E3D78">
      <w:pPr>
        <w:pStyle w:val="Normal-lessspace"/>
      </w:pPr>
      <w:r w:rsidRPr="005E3D78">
        <w:t>George Xu,</w:t>
      </w:r>
      <w:r w:rsidRPr="005E3D78">
        <w:rPr>
          <w:vertAlign w:val="superscript"/>
        </w:rPr>
        <w:t>1</w:t>
      </w:r>
    </w:p>
    <w:p w14:paraId="5D9C6F9C" w14:textId="77777777" w:rsidR="005E3D78" w:rsidRPr="005E3D78" w:rsidRDefault="005E3D78" w:rsidP="005E3D78">
      <w:pPr>
        <w:pStyle w:val="Normal-lessspace"/>
      </w:pPr>
      <w:r w:rsidRPr="005E3D78">
        <w:t>Rebecca Houghton,</w:t>
      </w:r>
      <w:r w:rsidRPr="005E3D78">
        <w:rPr>
          <w:vertAlign w:val="superscript"/>
        </w:rPr>
        <w:t>1</w:t>
      </w:r>
    </w:p>
    <w:p w14:paraId="5572A437" w14:textId="77777777" w:rsidR="005E3D78" w:rsidRPr="005E3D78" w:rsidRDefault="005E3D78" w:rsidP="005E3D78">
      <w:pPr>
        <w:pStyle w:val="Normal-lessspace"/>
      </w:pPr>
      <w:r w:rsidRPr="005E3D78">
        <w:t>Tiffany Hogan,</w:t>
      </w:r>
      <w:r w:rsidRPr="005E3D78">
        <w:rPr>
          <w:vertAlign w:val="superscript"/>
        </w:rPr>
        <w:t>3,4</w:t>
      </w:r>
    </w:p>
    <w:p w14:paraId="2A12A514" w14:textId="77777777" w:rsidR="005E3D78" w:rsidRPr="005E3D78" w:rsidRDefault="005E3D78" w:rsidP="005E3D78">
      <w:pPr>
        <w:pStyle w:val="Normal-lessspace"/>
      </w:pPr>
      <w:r w:rsidRPr="005E3D78">
        <w:t>Monica Lahra</w:t>
      </w:r>
      <w:r w:rsidRPr="005E3D78">
        <w:rPr>
          <w:vertAlign w:val="superscript"/>
        </w:rPr>
        <w:t>3,4</w:t>
      </w:r>
    </w:p>
    <w:p w14:paraId="2853B49A" w14:textId="77777777" w:rsidR="005E3D78" w:rsidRPr="005E3D78" w:rsidRDefault="005E3D78" w:rsidP="005E3D78">
      <w:pPr>
        <w:pStyle w:val="CDINumberedList1L1"/>
        <w:rPr>
          <w:lang w:val="en-GB"/>
        </w:rPr>
      </w:pPr>
      <w:r w:rsidRPr="005E3D78">
        <w:rPr>
          <w:lang w:val="en-GB"/>
        </w:rPr>
        <w:t xml:space="preserve">Sydney Sexual Health Centre, Sexual Health &amp; Bloodborne Viruses Service, </w:t>
      </w:r>
      <w:proofErr w:type="gramStart"/>
      <w:r w:rsidRPr="005E3D78">
        <w:rPr>
          <w:lang w:val="en-GB"/>
        </w:rPr>
        <w:t>South Eastern</w:t>
      </w:r>
      <w:proofErr w:type="gramEnd"/>
      <w:r w:rsidRPr="005E3D78">
        <w:rPr>
          <w:lang w:val="en-GB"/>
        </w:rPr>
        <w:t xml:space="preserve"> Sydney Local Health District, Sydney, New South Wales, Australia</w:t>
      </w:r>
    </w:p>
    <w:p w14:paraId="2E444499" w14:textId="77777777" w:rsidR="005E3D78" w:rsidRPr="005E3D78" w:rsidRDefault="005E3D78" w:rsidP="005E3D78">
      <w:pPr>
        <w:pStyle w:val="CDINumberedList1L1"/>
        <w:rPr>
          <w:lang w:val="en-GB"/>
        </w:rPr>
      </w:pPr>
      <w:r w:rsidRPr="005E3D78">
        <w:rPr>
          <w:lang w:val="en-GB"/>
        </w:rPr>
        <w:t>The Kirby Institute, University of New South Wales, Sydney, New South Wales, Australia</w:t>
      </w:r>
    </w:p>
    <w:p w14:paraId="0C087475" w14:textId="77777777" w:rsidR="005E3D78" w:rsidRPr="005E3D78" w:rsidRDefault="005E3D78" w:rsidP="005E3D78">
      <w:pPr>
        <w:pStyle w:val="CDINumberedList1L1"/>
        <w:rPr>
          <w:lang w:val="en-GB"/>
        </w:rPr>
      </w:pPr>
      <w:r w:rsidRPr="005E3D78">
        <w:rPr>
          <w:lang w:val="en-GB"/>
        </w:rPr>
        <w:t xml:space="preserve">WHO Collaborating Centre for STI and AMR, Sydney, New South Wales, Australia </w:t>
      </w:r>
    </w:p>
    <w:p w14:paraId="3B685BEF" w14:textId="77777777" w:rsidR="005E3D78" w:rsidRPr="005E3D78" w:rsidRDefault="005E3D78" w:rsidP="005E3D78">
      <w:pPr>
        <w:pStyle w:val="CDINumberedList1L1"/>
        <w:rPr>
          <w:lang w:val="en-GB"/>
        </w:rPr>
      </w:pPr>
      <w:r w:rsidRPr="005E3D78">
        <w:rPr>
          <w:lang w:val="en-GB"/>
        </w:rPr>
        <w:t>Department of Microbiology, NSW Health Pathology Randwick, Sydney, New South Wales, Australia</w:t>
      </w:r>
    </w:p>
    <w:p w14:paraId="2100D537" w14:textId="77777777" w:rsidR="00423436" w:rsidRDefault="00423436" w:rsidP="00423436">
      <w:pPr>
        <w:pStyle w:val="CDICorrespondingauthor"/>
      </w:pPr>
      <w:r>
        <w:t>Corresponding author</w:t>
      </w:r>
    </w:p>
    <w:p w14:paraId="2C31070B" w14:textId="77777777" w:rsidR="005E3D78" w:rsidRPr="005E3D78" w:rsidRDefault="005E3D78" w:rsidP="005E3D78">
      <w:pPr>
        <w:rPr>
          <w:lang w:val="en-GB"/>
        </w:rPr>
      </w:pPr>
      <w:r w:rsidRPr="005E3D78">
        <w:rPr>
          <w:lang w:val="en-GB"/>
        </w:rPr>
        <w:t>Dr Arthur Wong</w:t>
      </w:r>
    </w:p>
    <w:p w14:paraId="6FE7F614" w14:textId="77777777" w:rsidR="005E3D78" w:rsidRPr="005E3D78" w:rsidRDefault="005E3D78" w:rsidP="005E3D78">
      <w:pPr>
        <w:rPr>
          <w:lang w:val="en-GB"/>
        </w:rPr>
      </w:pPr>
      <w:r w:rsidRPr="005E3D78">
        <w:rPr>
          <w:lang w:val="en-GB"/>
        </w:rPr>
        <w:t xml:space="preserve">Sydney Sexual Health Centre, Sexual Health &amp; Bloodborne Viruses Service, </w:t>
      </w:r>
      <w:proofErr w:type="gramStart"/>
      <w:r w:rsidRPr="005E3D78">
        <w:rPr>
          <w:lang w:val="en-GB"/>
        </w:rPr>
        <w:t>South Eastern</w:t>
      </w:r>
      <w:proofErr w:type="gramEnd"/>
      <w:r w:rsidRPr="005E3D78">
        <w:rPr>
          <w:lang w:val="en-GB"/>
        </w:rPr>
        <w:t xml:space="preserve"> Sydney Local Health District, Sydney, New South Wales, Australia</w:t>
      </w:r>
    </w:p>
    <w:p w14:paraId="527C8E5B" w14:textId="63C52F2B" w:rsidR="005E3D78" w:rsidRDefault="005E3D78" w:rsidP="005E3D78">
      <w:r w:rsidRPr="005E3D78">
        <w:rPr>
          <w:lang w:val="en-GB"/>
        </w:rPr>
        <w:t xml:space="preserve">Email: </w:t>
      </w:r>
      <w:hyperlink r:id="rId11" w:history="1">
        <w:r w:rsidRPr="005E3D78">
          <w:rPr>
            <w:rStyle w:val="Hyperlink"/>
            <w:lang w:val="en-GB"/>
          </w:rPr>
          <w:t>Arthur.wong@health.nsw.gov.au</w:t>
        </w:r>
      </w:hyperlink>
      <w:r>
        <w:br w:type="page"/>
      </w:r>
    </w:p>
    <w:p w14:paraId="006DB869" w14:textId="77777777" w:rsidR="008A0736" w:rsidRDefault="008A0736" w:rsidP="00112436">
      <w:pPr>
        <w:pStyle w:val="Heading1-noline"/>
      </w:pPr>
      <w:bookmarkStart w:id="4" w:name="_Toc195530511"/>
      <w:bookmarkStart w:id="5" w:name="_Toc201743698"/>
      <w:r>
        <w:t>References</w:t>
      </w:r>
      <w:bookmarkEnd w:id="4"/>
      <w:bookmarkEnd w:id="5"/>
    </w:p>
    <w:p w14:paraId="0F1BDB39" w14:textId="77777777" w:rsidR="005E3D78" w:rsidRDefault="005E3D78" w:rsidP="005E3D78">
      <w:pPr>
        <w:pStyle w:val="CDINumberedList1L1"/>
        <w:numPr>
          <w:ilvl w:val="0"/>
          <w:numId w:val="10"/>
        </w:numPr>
        <w:ind w:left="397" w:hanging="397"/>
      </w:pPr>
      <w:r>
        <w:t xml:space="preserve">World Health Organization (WHO). WHO Gonococcal AMR Surveillance Programme. [Webpage.] Geneva: WHO; 2025. Available from: </w:t>
      </w:r>
      <w:hyperlink r:id="rId12" w:history="1">
        <w:r>
          <w:rPr>
            <w:rStyle w:val="Hyperlink"/>
          </w:rPr>
          <w:t>https://www.who.int/data/gho/data/themes/topics/who-gonococcal-amr-surveillance-programme-who-gasp</w:t>
        </w:r>
      </w:hyperlink>
      <w:r>
        <w:t>.</w:t>
      </w:r>
    </w:p>
    <w:p w14:paraId="3AB5C88A" w14:textId="433259ED" w:rsidR="005E3D78" w:rsidRDefault="005E3D78" w:rsidP="005E3D78">
      <w:pPr>
        <w:pStyle w:val="CDINumberedList1L1"/>
        <w:ind w:left="397" w:hanging="397"/>
      </w:pPr>
      <w:r>
        <w:t xml:space="preserve">Lahra MM, van Hal S, Hogan TR. Australian Gonococcal Surveillance Programme Annual Report, 2024. </w:t>
      </w:r>
      <w:r w:rsidRPr="005E3D78">
        <w:rPr>
          <w:i/>
          <w:iCs/>
        </w:rPr>
        <w:t>Commun Dis Intell (2018)</w:t>
      </w:r>
      <w:r w:rsidRPr="005E3D78">
        <w:t xml:space="preserve">. </w:t>
      </w:r>
      <w:r>
        <w:t>2025:49. doi:</w:t>
      </w:r>
      <w:r>
        <w:t> </w:t>
      </w:r>
      <w:hyperlink r:id="rId13" w:history="1">
        <w:r>
          <w:rPr>
            <w:rStyle w:val="Hyperlink"/>
          </w:rPr>
          <w:t>https://doi.org/10.33321/cdi.2025.49.056</w:t>
        </w:r>
      </w:hyperlink>
      <w:r>
        <w:t>.</w:t>
      </w:r>
    </w:p>
    <w:p w14:paraId="6ADB1DC3" w14:textId="77777777" w:rsidR="005E3D78" w:rsidRDefault="005E3D78" w:rsidP="005E3D78">
      <w:pPr>
        <w:pStyle w:val="CDINumberedList1L1"/>
        <w:ind w:left="397" w:hanging="397"/>
      </w:pPr>
      <w:r>
        <w:t xml:space="preserve">Selvey C, New South Wales State Government Ministry of Health (NSW Health). </w:t>
      </w:r>
      <w:r w:rsidRPr="005E3D78">
        <w:rPr>
          <w:i/>
          <w:iCs/>
        </w:rPr>
        <w:t>Antimicrobial resistant gonorrhoea</w:t>
      </w:r>
      <w:r>
        <w:t xml:space="preserve">. [Safety information document.] Sydney: NSW Health; 24 April 2025. Available from: </w:t>
      </w:r>
      <w:hyperlink r:id="rId14" w:history="1">
        <w:r>
          <w:rPr>
            <w:rStyle w:val="Hyperlink"/>
          </w:rPr>
          <w:t>https://www.health.nsw.gov.au/sabs/Documents/2025-si-007.pdf</w:t>
        </w:r>
      </w:hyperlink>
      <w:r>
        <w:t>.</w:t>
      </w:r>
    </w:p>
    <w:p w14:paraId="7311B48D" w14:textId="7BFED330" w:rsidR="005E3D78" w:rsidRDefault="005E3D78" w:rsidP="005E3D78">
      <w:pPr>
        <w:pStyle w:val="CDINumberedList1L1"/>
        <w:ind w:left="397" w:hanging="397"/>
      </w:pPr>
      <w:r>
        <w:t xml:space="preserve">Nadal-Baron P, </w:t>
      </w:r>
      <w:proofErr w:type="spellStart"/>
      <w:r>
        <w:t>Salmerón</w:t>
      </w:r>
      <w:proofErr w:type="spellEnd"/>
      <w:r>
        <w:t xml:space="preserve"> P, García JN, Trejo-</w:t>
      </w:r>
      <w:proofErr w:type="spellStart"/>
      <w:r>
        <w:t>Zahinos</w:t>
      </w:r>
      <w:proofErr w:type="spellEnd"/>
      <w:r>
        <w:t xml:space="preserve"> J, </w:t>
      </w:r>
      <w:proofErr w:type="spellStart"/>
      <w:r>
        <w:t>Sulleiro</w:t>
      </w:r>
      <w:proofErr w:type="spellEnd"/>
      <w:r>
        <w:t xml:space="preserve"> E, Lopez L et al. </w:t>
      </w:r>
      <w:r w:rsidRPr="005E3D78">
        <w:rPr>
          <w:i/>
          <w:iCs/>
        </w:rPr>
        <w:t>Neisseria gonorrhoeae</w:t>
      </w:r>
      <w:r>
        <w:t xml:space="preserve"> culture growth rates from asymptomatic individuals with a positive nucleic acid amplification test. </w:t>
      </w:r>
      <w:r w:rsidRPr="005E3D78">
        <w:rPr>
          <w:i/>
          <w:iCs/>
        </w:rPr>
        <w:t>Lett Appl Microbiol</w:t>
      </w:r>
      <w:r>
        <w:t>. 2022;75(5):1215–24. doi:</w:t>
      </w:r>
      <w:r>
        <w:t> </w:t>
      </w:r>
      <w:hyperlink r:id="rId15" w:history="1">
        <w:r>
          <w:rPr>
            <w:rStyle w:val="Hyperlink"/>
          </w:rPr>
          <w:t>https://doi.org/10.1111/lam.13789</w:t>
        </w:r>
      </w:hyperlink>
      <w:r>
        <w:t>.</w:t>
      </w:r>
    </w:p>
    <w:p w14:paraId="09488906" w14:textId="59B5E7AB" w:rsidR="005E3D78" w:rsidRDefault="005E3D78" w:rsidP="005E3D78">
      <w:pPr>
        <w:pStyle w:val="CDINumberedList1L1"/>
        <w:ind w:left="397" w:hanging="397"/>
      </w:pPr>
      <w:proofErr w:type="spellStart"/>
      <w:r>
        <w:t>Brendefur</w:t>
      </w:r>
      <w:proofErr w:type="spellEnd"/>
      <w:r>
        <w:t xml:space="preserve"> Corwin LM, Campbell P, Jakobsen K, Müller F, Lai X, </w:t>
      </w:r>
      <w:proofErr w:type="spellStart"/>
      <w:r>
        <w:t>Unemo</w:t>
      </w:r>
      <w:proofErr w:type="spellEnd"/>
      <w:r>
        <w:t xml:space="preserve"> M et al. Improvement in </w:t>
      </w:r>
      <w:r w:rsidRPr="005E3D78">
        <w:rPr>
          <w:i/>
          <w:iCs/>
        </w:rPr>
        <w:t>Neisseria gonorrhoeae</w:t>
      </w:r>
      <w:r>
        <w:t xml:space="preserve"> culture rates by bedside inoculation and incubation at a clinic for sexually transmitted infections. </w:t>
      </w:r>
      <w:r w:rsidRPr="005E3D78">
        <w:rPr>
          <w:i/>
          <w:iCs/>
        </w:rPr>
        <w:t>Ann Clin Microbiol Antimicrob</w:t>
      </w:r>
      <w:r>
        <w:t>. 2023;22(1):27. d</w:t>
      </w:r>
      <w:r>
        <w:t>oi: </w:t>
      </w:r>
      <w:hyperlink r:id="rId16" w:history="1">
        <w:r>
          <w:rPr>
            <w:rStyle w:val="Hyperlink"/>
          </w:rPr>
          <w:t>https://doi.org/10.1186/s12941-023-00576-0</w:t>
        </w:r>
      </w:hyperlink>
      <w:r>
        <w:t>.</w:t>
      </w:r>
    </w:p>
    <w:p w14:paraId="3EBD7223" w14:textId="46E5D058" w:rsidR="005E3D78" w:rsidRDefault="005E3D78" w:rsidP="005E3D78">
      <w:pPr>
        <w:pStyle w:val="CDINumberedList1L1"/>
        <w:ind w:left="397" w:hanging="397"/>
      </w:pPr>
      <w:r>
        <w:t xml:space="preserve">van der Veer BMJW, </w:t>
      </w:r>
      <w:proofErr w:type="spellStart"/>
      <w:r>
        <w:t>Hoebe</w:t>
      </w:r>
      <w:proofErr w:type="spellEnd"/>
      <w:r>
        <w:t xml:space="preserve"> CJPA, </w:t>
      </w:r>
      <w:proofErr w:type="spellStart"/>
      <w:r>
        <w:t>Dukers-Muijrers</w:t>
      </w:r>
      <w:proofErr w:type="spellEnd"/>
      <w:r>
        <w:t xml:space="preserve"> NHTM, van Alphen LB, </w:t>
      </w:r>
      <w:proofErr w:type="spellStart"/>
      <w:r>
        <w:t>Wolffs</w:t>
      </w:r>
      <w:proofErr w:type="spellEnd"/>
      <w:r>
        <w:t xml:space="preserve"> PFG. Men and women have similar </w:t>
      </w:r>
      <w:r w:rsidRPr="005E3D78">
        <w:rPr>
          <w:i/>
          <w:iCs/>
        </w:rPr>
        <w:t>Neisseria gonorrhoeae</w:t>
      </w:r>
      <w:r>
        <w:t xml:space="preserve"> bacterial loads: a comparison of three anatomical sites. </w:t>
      </w:r>
      <w:r w:rsidRPr="00B371E1">
        <w:rPr>
          <w:i/>
          <w:iCs/>
        </w:rPr>
        <w:t>J Clin Microbiol</w:t>
      </w:r>
      <w:r>
        <w:t>. 2020;58(11</w:t>
      </w:r>
      <w:proofErr w:type="gramStart"/>
      <w:r>
        <w:t>):e</w:t>
      </w:r>
      <w:proofErr w:type="gramEnd"/>
      <w:r>
        <w:t>01171-20. doi:</w:t>
      </w:r>
      <w:r>
        <w:t> </w:t>
      </w:r>
      <w:hyperlink r:id="rId17" w:history="1">
        <w:r>
          <w:rPr>
            <w:rStyle w:val="Hyperlink"/>
          </w:rPr>
          <w:t>https://doi.org/10.1128/JCM.01171-20</w:t>
        </w:r>
      </w:hyperlink>
      <w:r>
        <w:t>.</w:t>
      </w:r>
    </w:p>
    <w:p w14:paraId="04D08315" w14:textId="77777777" w:rsidR="005E3D78" w:rsidRDefault="005E3D78" w:rsidP="005E3D78">
      <w:pPr>
        <w:pStyle w:val="CDINumberedList1L1"/>
        <w:ind w:left="397" w:hanging="397"/>
      </w:pPr>
      <w:r>
        <w:t xml:space="preserve">Sivaraj V, Ahamed A, </w:t>
      </w:r>
      <w:proofErr w:type="spellStart"/>
      <w:r>
        <w:t>Artykov</w:t>
      </w:r>
      <w:proofErr w:type="spellEnd"/>
      <w:r>
        <w:t xml:space="preserve"> R, Menon-Johansson A, Thomas S. P013 Performance of </w:t>
      </w:r>
      <w:proofErr w:type="spellStart"/>
      <w:r>
        <w:t>Gonorrhea</w:t>
      </w:r>
      <w:proofErr w:type="spellEnd"/>
      <w:r>
        <w:t xml:space="preserve"> culture using Amies swab and culture plates: in-house comparison. [Conference poster.] Birmingham: British Association for Sexual Health and HIV Annual Conference; June/July 2019. d</w:t>
      </w:r>
      <w:r>
        <w:t xml:space="preserve">oi: </w:t>
      </w:r>
      <w:hyperlink r:id="rId18" w:history="1">
        <w:r>
          <w:rPr>
            <w:rStyle w:val="Hyperlink"/>
          </w:rPr>
          <w:t>https://doi.org/10.13140/RG.2.2.32901.70888</w:t>
        </w:r>
      </w:hyperlink>
      <w:r>
        <w:t>.</w:t>
      </w:r>
    </w:p>
    <w:p w14:paraId="4E41725A" w14:textId="4226F968" w:rsidR="005E3D78" w:rsidRDefault="005E3D78" w:rsidP="005E3D78">
      <w:pPr>
        <w:pStyle w:val="CDINumberedList1L1"/>
        <w:ind w:left="397" w:hanging="397"/>
      </w:pPr>
      <w:r>
        <w:t xml:space="preserve">Al Suwayyid BA, Haese EC, Mowlaboccus S, Pearson JC, Whiley DM, Armstrong PK et al. Travel-associated lineages and unique endemic antimicrobial-susceptible lineages of </w:t>
      </w:r>
      <w:r w:rsidRPr="005E3D78">
        <w:rPr>
          <w:i/>
          <w:iCs/>
        </w:rPr>
        <w:t>Neisseria gonorrhoeae</w:t>
      </w:r>
      <w:r>
        <w:t xml:space="preserve"> predominate in Western Australia. </w:t>
      </w:r>
      <w:proofErr w:type="spellStart"/>
      <w:r w:rsidRPr="005E3D78">
        <w:rPr>
          <w:i/>
          <w:iCs/>
        </w:rPr>
        <w:t>Microb</w:t>
      </w:r>
      <w:proofErr w:type="spellEnd"/>
      <w:r w:rsidRPr="005E3D78">
        <w:rPr>
          <w:i/>
          <w:iCs/>
        </w:rPr>
        <w:t xml:space="preserve"> </w:t>
      </w:r>
      <w:proofErr w:type="spellStart"/>
      <w:r w:rsidRPr="005E3D78">
        <w:rPr>
          <w:i/>
          <w:iCs/>
        </w:rPr>
        <w:t>Genom</w:t>
      </w:r>
      <w:proofErr w:type="spellEnd"/>
      <w:r>
        <w:t>. 2023;9(3</w:t>
      </w:r>
      <w:proofErr w:type="gramStart"/>
      <w:r>
        <w:t>):mgen</w:t>
      </w:r>
      <w:proofErr w:type="gramEnd"/>
      <w:r>
        <w:t>000969. d</w:t>
      </w:r>
      <w:r>
        <w:t>oi: </w:t>
      </w:r>
      <w:hyperlink r:id="rId19" w:history="1">
        <w:r w:rsidRPr="006B1080">
          <w:rPr>
            <w:rStyle w:val="Hyperlink"/>
          </w:rPr>
          <w:t>https://doi.org/10.1099/mgen.0.000969</w:t>
        </w:r>
      </w:hyperlink>
      <w:r>
        <w:t>.</w:t>
      </w:r>
    </w:p>
    <w:p w14:paraId="70CF3BEA" w14:textId="17BC8A02" w:rsidR="00CC05A5" w:rsidRPr="00B652E8" w:rsidRDefault="005E3D78" w:rsidP="00E2358C">
      <w:pPr>
        <w:pStyle w:val="CDINumberedList1L1"/>
        <w:ind w:left="397" w:hanging="397"/>
      </w:pPr>
      <w:r>
        <w:t xml:space="preserve">Ouk V, Heng LS, Virak M, Deng S, Lahra MM, Frankson R et al. High prevalence of ceftriaxone-resistant and XDR </w:t>
      </w:r>
      <w:r w:rsidRPr="005E3D78">
        <w:rPr>
          <w:i/>
          <w:iCs/>
        </w:rPr>
        <w:t>Neisseria gonorrhoeae</w:t>
      </w:r>
      <w:r>
        <w:t xml:space="preserve"> in several cities of Cambodia, 2022–23: WHO Enhanced Gonococcal Antimicrobial Surveillance Programme (EGASP). </w:t>
      </w:r>
      <w:r w:rsidRPr="005E3D78">
        <w:rPr>
          <w:i/>
          <w:iCs/>
        </w:rPr>
        <w:t>JAC Antimicrob Resist</w:t>
      </w:r>
      <w:r>
        <w:t>. 2024;6(2</w:t>
      </w:r>
      <w:proofErr w:type="gramStart"/>
      <w:r>
        <w:t>):dlae</w:t>
      </w:r>
      <w:proofErr w:type="gramEnd"/>
      <w:r>
        <w:t xml:space="preserve">053. doi: </w:t>
      </w:r>
      <w:hyperlink r:id="rId20" w:history="1">
        <w:r>
          <w:rPr>
            <w:rStyle w:val="Hyperlink"/>
          </w:rPr>
          <w:t>https://doi.org/10.1093/jacamr/dlae053</w:t>
        </w:r>
      </w:hyperlink>
      <w:r>
        <w:t>.</w:t>
      </w:r>
      <w:r w:rsidR="00CC05A5" w:rsidRPr="00B652E8">
        <w:br w:type="page"/>
      </w:r>
    </w:p>
    <w:p w14:paraId="593A8202" w14:textId="77777777" w:rsidR="00CC05A5" w:rsidRPr="0089025E" w:rsidRDefault="00CC05A5" w:rsidP="00CC05A5">
      <w:pPr>
        <w:pStyle w:val="CDICopyright"/>
      </w:pPr>
      <w:bookmarkStart w:id="6" w:name="_Hlk185172676"/>
      <w:r w:rsidRPr="0089025E">
        <w:t xml:space="preserve">© </w:t>
      </w:r>
      <w:fldSimple w:instr=" DOCPROPERTY  Year  \* MERGEFORMAT ">
        <w:r w:rsidR="002A42DF">
          <w:t>2026</w:t>
        </w:r>
      </w:fldSimple>
      <w:r w:rsidRPr="0089025E">
        <w:t xml:space="preserve"> Commonwealth of Australia as represented by the </w:t>
      </w:r>
      <w:r w:rsidR="00B071B0">
        <w:t>Australian Centre for Disease Control</w:t>
      </w:r>
    </w:p>
    <w:p w14:paraId="349A6643" w14:textId="77777777" w:rsidR="00CC05A5" w:rsidRPr="0089025E" w:rsidRDefault="00CC05A5" w:rsidP="00CC05A5">
      <w:pPr>
        <w:pStyle w:val="CDICopyright"/>
      </w:pPr>
      <w:r w:rsidRPr="0089025E">
        <w:t>ISSN: 2209-6051 Online</w:t>
      </w:r>
    </w:p>
    <w:p w14:paraId="2251E285" w14:textId="77777777" w:rsidR="00CC05A5" w:rsidRDefault="00CC05A5" w:rsidP="00CC05A5">
      <w:pPr>
        <w:pStyle w:val="CDICopyright"/>
      </w:pPr>
      <w:r w:rsidRPr="0089025E">
        <w:t>This journal is indexed by Index Medicus and Medline.</w:t>
      </w:r>
    </w:p>
    <w:p w14:paraId="3A6BDB6A" w14:textId="77777777" w:rsidR="00CC05A5" w:rsidRPr="007F2B27" w:rsidRDefault="00CC05A5" w:rsidP="00CC05A5">
      <w:pPr>
        <w:pStyle w:val="CDICopyrightHeading"/>
      </w:pPr>
      <w:r w:rsidRPr="007F2B27">
        <w:t>Creative Commons Licence</w:t>
      </w:r>
    </w:p>
    <w:p w14:paraId="56CD35D7" w14:textId="77777777" w:rsidR="00CC05A5" w:rsidRPr="0089025E" w:rsidRDefault="00CC05A5" w:rsidP="00CC05A5">
      <w:pPr>
        <w:pStyle w:val="CDICopyright"/>
      </w:pPr>
      <w:r w:rsidRPr="0089025E">
        <w:t xml:space="preserve">This publication is licensed under a Creative Commons </w:t>
      </w:r>
      <w:hyperlink r:id="rId21"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6"/>
    <w:p w14:paraId="19976C20" w14:textId="77777777" w:rsidR="00CC05A5" w:rsidRPr="007F2B27" w:rsidRDefault="00CC05A5" w:rsidP="00CC05A5">
      <w:pPr>
        <w:pStyle w:val="CDICopyrightHeading"/>
      </w:pPr>
      <w:r w:rsidRPr="007F2B27">
        <w:t>Restrictions</w:t>
      </w:r>
    </w:p>
    <w:p w14:paraId="611BB421"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7EDA5224"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B071B0">
        <w:t>)</w:t>
      </w:r>
      <w:r w:rsidRPr="00E9313B">
        <w:t>;</w:t>
      </w:r>
    </w:p>
    <w:p w14:paraId="188E2E75" w14:textId="77777777" w:rsidR="00CC05A5" w:rsidRPr="003C23C9" w:rsidRDefault="00CC05A5" w:rsidP="00CC05A5">
      <w:pPr>
        <w:pStyle w:val="CDICopyrightBullets"/>
      </w:pPr>
      <w:r w:rsidRPr="0022524E">
        <w:t>any logos (including the Australian Centre for Disease Control’s logo) and trademarks</w:t>
      </w:r>
      <w:r w:rsidRPr="003C23C9">
        <w:t>;</w:t>
      </w:r>
    </w:p>
    <w:p w14:paraId="21991041" w14:textId="77777777" w:rsidR="00CC05A5" w:rsidRPr="00E9313B" w:rsidRDefault="00CC05A5" w:rsidP="00CC05A5">
      <w:pPr>
        <w:pStyle w:val="CDICopyrightBullets"/>
      </w:pPr>
      <w:r w:rsidRPr="00E9313B">
        <w:t xml:space="preserve">any photographs and images; </w:t>
      </w:r>
    </w:p>
    <w:p w14:paraId="0811479D" w14:textId="77777777" w:rsidR="00CC05A5" w:rsidRPr="00E9313B" w:rsidRDefault="00CC05A5" w:rsidP="00CC05A5">
      <w:pPr>
        <w:pStyle w:val="CDICopyrightBullets"/>
      </w:pPr>
      <w:r w:rsidRPr="00E9313B">
        <w:t>any signatures; and</w:t>
      </w:r>
    </w:p>
    <w:p w14:paraId="19F4F5C7" w14:textId="77777777" w:rsidR="00CC05A5" w:rsidRPr="003C23C9" w:rsidRDefault="00CC05A5" w:rsidP="00CC05A5">
      <w:pPr>
        <w:pStyle w:val="CDICopyrightBullets"/>
      </w:pPr>
      <w:r w:rsidRPr="00E9313B">
        <w:t>any</w:t>
      </w:r>
      <w:r w:rsidRPr="003C23C9">
        <w:t xml:space="preserve"> material belonging to third parties.</w:t>
      </w:r>
    </w:p>
    <w:p w14:paraId="65859F6B" w14:textId="77777777" w:rsidR="00CC05A5" w:rsidRPr="00CC3648" w:rsidRDefault="00CC05A5" w:rsidP="00CC05A5">
      <w:pPr>
        <w:pStyle w:val="CDICopyrightHeading"/>
      </w:pPr>
      <w:r w:rsidRPr="00CC3648">
        <w:t>Disclaimer</w:t>
      </w:r>
    </w:p>
    <w:p w14:paraId="5241BAB0"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w:t>
      </w:r>
      <w:r w:rsidR="00B071B0">
        <w:t xml:space="preserve"> or </w:t>
      </w:r>
      <w:r w:rsidRPr="0022524E">
        <w:t>the Australian Centre for Disease Control</w:t>
      </w:r>
      <w:r w:rsidRPr="0089025E">
        <w:t>. Data may be subject to revision.</w:t>
      </w:r>
    </w:p>
    <w:p w14:paraId="3EA3E494" w14:textId="77777777" w:rsidR="00CC05A5" w:rsidRPr="007F2B27" w:rsidRDefault="00CC05A5" w:rsidP="00CC05A5">
      <w:pPr>
        <w:pStyle w:val="CDICopyrightHeading"/>
      </w:pPr>
      <w:r w:rsidRPr="007F2B27">
        <w:t>Enquiries</w:t>
      </w:r>
    </w:p>
    <w:p w14:paraId="3084D829"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22" w:history="1">
        <w:r w:rsidRPr="00E9313B">
          <w:rPr>
            <w:rStyle w:val="Hyperlink"/>
          </w:rPr>
          <w:t>CDI Editor</w:t>
        </w:r>
      </w:hyperlink>
      <w:r>
        <w:t>.</w:t>
      </w:r>
    </w:p>
    <w:p w14:paraId="736560ED" w14:textId="77777777" w:rsidR="00CC05A5" w:rsidRPr="00A65DFA" w:rsidRDefault="00CC05A5" w:rsidP="00CC05A5">
      <w:pPr>
        <w:pStyle w:val="CDIAbout"/>
      </w:pPr>
      <w:bookmarkStart w:id="7" w:name="_Toc190257376"/>
      <w:r>
        <w:t xml:space="preserve">About </w:t>
      </w:r>
      <w:bookmarkEnd w:id="7"/>
      <w:r>
        <w:t>CDI</w:t>
      </w:r>
    </w:p>
    <w:p w14:paraId="1344619B"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Australian Centre for Disease Control.</w:t>
      </w:r>
    </w:p>
    <w:p w14:paraId="41613460" w14:textId="77777777" w:rsidR="00CC05A5" w:rsidRDefault="00CC05A5" w:rsidP="00B071B0">
      <w:pPr>
        <w:pStyle w:val="CDIAbouttextLess"/>
        <w:spacing w:before="120"/>
      </w:pPr>
      <w:r w:rsidRPr="009572C6">
        <w:t>The journal aims to disseminate information on the epidemiology, surveillance, prevention and control of communicable diseases of relevance to Australia and the near region.</w:t>
      </w:r>
    </w:p>
    <w:p w14:paraId="49232223" w14:textId="77777777" w:rsidR="00CC05A5" w:rsidRPr="00D8087F" w:rsidRDefault="00CC05A5" w:rsidP="00CC05A5">
      <w:pPr>
        <w:pStyle w:val="CDIAbouttext"/>
      </w:pPr>
      <w:r w:rsidRPr="00D8087F">
        <w:rPr>
          <w:b/>
          <w:bCs/>
        </w:rPr>
        <w:t>Editor</w:t>
      </w:r>
      <w:r w:rsidRPr="00D8087F">
        <w:t xml:space="preserve">: </w:t>
      </w:r>
      <w:r w:rsidR="00934A24">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63E17BB1" w14:textId="77777777" w:rsidR="00CC05A5" w:rsidRPr="00D8087F" w:rsidRDefault="00CC05A5" w:rsidP="00CC05A5">
      <w:pPr>
        <w:pStyle w:val="CDIAbouttext"/>
      </w:pPr>
      <w:hyperlink r:id="rId23" w:history="1">
        <w:r w:rsidRPr="00C97898">
          <w:rPr>
            <w:rStyle w:val="Hyperlink"/>
            <w:b/>
            <w:bCs/>
          </w:rPr>
          <w:t>Editorial Advisory Board</w:t>
        </w:r>
      </w:hyperlink>
      <w:r w:rsidRPr="00D8087F">
        <w:t>: David Durrheim, Mark Ferson, Clare Huppatz, John Kaldor, Martyn Kirk and Meru Sheel</w:t>
      </w:r>
    </w:p>
    <w:p w14:paraId="5C53337B"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7EEACB06" w14:textId="77777777" w:rsidR="00CC05A5" w:rsidRPr="0089025E" w:rsidRDefault="00CC05A5" w:rsidP="00CC05A5">
      <w:pPr>
        <w:pStyle w:val="CDIAbouttextLess"/>
      </w:pPr>
      <w:hyperlink r:id="rId24" w:history="1">
        <w:r w:rsidRPr="009572C6">
          <w:rPr>
            <w:rStyle w:val="Hyperlink"/>
          </w:rPr>
          <w:t>Guidelines for authors</w:t>
        </w:r>
      </w:hyperlink>
      <w:r w:rsidRPr="009572C6">
        <w:t xml:space="preserve"> and details on how to submit your publication is available on our website, or by email to the</w:t>
      </w:r>
      <w:r>
        <w:br/>
      </w:r>
      <w:hyperlink r:id="rId25" w:history="1">
        <w:r w:rsidRPr="00E9313B">
          <w:rPr>
            <w:rStyle w:val="Hyperlink"/>
          </w:rPr>
          <w:t>CDI Editor</w:t>
        </w:r>
      </w:hyperlink>
      <w:r>
        <w:t>.</w:t>
      </w:r>
    </w:p>
    <w:p w14:paraId="107BA11D" w14:textId="77777777" w:rsidR="00CC05A5" w:rsidRPr="00B87589" w:rsidRDefault="00CC05A5" w:rsidP="00CC05A5">
      <w:pPr>
        <w:pStyle w:val="CDIAbouttext"/>
        <w:rPr>
          <w:b/>
          <w:bCs/>
        </w:rPr>
      </w:pPr>
      <w:r w:rsidRPr="00B87589">
        <w:rPr>
          <w:b/>
          <w:bCs/>
        </w:rPr>
        <w:t>Contact us</w:t>
      </w:r>
    </w:p>
    <w:p w14:paraId="71E099CB" w14:textId="77777777" w:rsidR="00CC05A5" w:rsidRPr="00087CC4" w:rsidRDefault="00CC05A5" w:rsidP="00CC05A5">
      <w:pPr>
        <w:pStyle w:val="CDIAbouttextLess"/>
      </w:pPr>
      <w:r w:rsidRPr="009572C6">
        <w:t>Communicable Diseases Intelligence</w:t>
      </w:r>
      <w:r w:rsidRPr="00087CC4">
        <w:t xml:space="preserve"> (CDI)</w:t>
      </w:r>
    </w:p>
    <w:p w14:paraId="5078ECCB" w14:textId="77777777" w:rsidR="00CC05A5" w:rsidRPr="00087CC4" w:rsidRDefault="00CC05A5" w:rsidP="00CC05A5">
      <w:pPr>
        <w:pStyle w:val="CDIAbouttextLess"/>
      </w:pPr>
      <w:r>
        <w:t>Australian Centre for Disease Control</w:t>
      </w:r>
    </w:p>
    <w:p w14:paraId="4A20FEE3" w14:textId="77777777" w:rsidR="00CC05A5" w:rsidRPr="0089025E" w:rsidRDefault="00CC05A5" w:rsidP="00CC05A5">
      <w:pPr>
        <w:pStyle w:val="CDIAbouttextLess"/>
      </w:pPr>
      <w:r w:rsidRPr="00087CC4">
        <w:t xml:space="preserve">GPO Box </w:t>
      </w:r>
      <w:r w:rsidR="003814F5">
        <w:t>79</w:t>
      </w:r>
      <w:r w:rsidRPr="00087CC4">
        <w:t>8, CANBERRA</w:t>
      </w:r>
      <w:r w:rsidRPr="0089025E">
        <w:t xml:space="preserve"> ACT 2601</w:t>
      </w:r>
    </w:p>
    <w:p w14:paraId="6EDF2DD1" w14:textId="77777777" w:rsidR="00CC05A5" w:rsidRDefault="00CC05A5" w:rsidP="00CC05A5">
      <w:pPr>
        <w:pStyle w:val="CDIAbouttextLess"/>
      </w:pPr>
      <w:r w:rsidRPr="0089025E">
        <w:t xml:space="preserve">Website: </w:t>
      </w:r>
      <w:hyperlink r:id="rId26" w:history="1">
        <w:r>
          <w:rPr>
            <w:rStyle w:val="Hyperlink"/>
          </w:rPr>
          <w:t>cdc.gov.au/cdi</w:t>
        </w:r>
      </w:hyperlink>
    </w:p>
    <w:p w14:paraId="02EDA596" w14:textId="77777777" w:rsidR="00CC05A5" w:rsidRPr="00CA2A15" w:rsidRDefault="00CC05A5" w:rsidP="00CC05A5">
      <w:pPr>
        <w:pStyle w:val="CDIAbouttextLess"/>
      </w:pPr>
      <w:r w:rsidRPr="0089025E">
        <w:t xml:space="preserve">Email: </w:t>
      </w:r>
      <w:hyperlink r:id="rId27" w:history="1">
        <w:r w:rsidR="00C20A97">
          <w:rPr>
            <w:rStyle w:val="Hyperlink"/>
          </w:rPr>
          <w:t>cdi.editor@cdc.gov.au</w:t>
        </w:r>
      </w:hyperlink>
    </w:p>
    <w:sectPr w:rsidR="00CC05A5" w:rsidRPr="00CA2A15" w:rsidSect="00256B63">
      <w:headerReference w:type="even" r:id="rId28"/>
      <w:headerReference w:type="default" r:id="rId29"/>
      <w:footerReference w:type="even" r:id="rId30"/>
      <w:footerReference w:type="default" r:id="rId31"/>
      <w:headerReference w:type="first" r:id="rId32"/>
      <w:footerReference w:type="first" r:id="rId33"/>
      <w:footnotePr>
        <w:numFmt w:val="lowerRoman"/>
      </w:footnotePr>
      <w:pgSz w:w="11907" w:h="16840"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5699" w14:textId="77777777" w:rsidR="002A42DF" w:rsidRDefault="002A42DF" w:rsidP="00E54DBA">
      <w:r>
        <w:separator/>
      </w:r>
    </w:p>
    <w:p w14:paraId="7A001394" w14:textId="77777777" w:rsidR="002A42DF" w:rsidRDefault="002A42DF"/>
    <w:p w14:paraId="6FFC1976" w14:textId="77777777" w:rsidR="002A42DF" w:rsidRDefault="002A42DF" w:rsidP="008714B0"/>
  </w:endnote>
  <w:endnote w:type="continuationSeparator" w:id="0">
    <w:p w14:paraId="33C7CCFB" w14:textId="77777777" w:rsidR="002A42DF" w:rsidRDefault="002A42DF" w:rsidP="00E54DBA">
      <w:r>
        <w:continuationSeparator/>
      </w:r>
    </w:p>
    <w:p w14:paraId="130F7A60" w14:textId="77777777" w:rsidR="002A42DF" w:rsidRDefault="002A42DF"/>
    <w:p w14:paraId="53D66966" w14:textId="77777777" w:rsidR="002A42DF" w:rsidRDefault="002A42D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DB33"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6FB79C9E" wp14:editId="7200478A">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B6C05C9"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B79C9E"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5B6C05C9"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E633" w14:textId="4AF58C3F"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2A42DF">
        <w:t>2026</w:t>
      </w:r>
    </w:fldSimple>
    <w:r w:rsidR="009B78A9">
      <w:t>;</w:t>
    </w:r>
    <w:fldSimple w:instr=" DOCPROPERTY  Vol  \* MERGEFORMAT ">
      <w:r w:rsidR="002A42DF">
        <w:t>50</w:t>
      </w:r>
    </w:fldSimple>
    <w:r w:rsidR="00385655" w:rsidRPr="001D0612">
      <w:t xml:space="preserve"> </w:t>
    </w:r>
    <w:r w:rsidR="00385655" w:rsidRPr="00B85B74">
      <w:t>•</w:t>
    </w:r>
    <w:r w:rsidR="00385655">
      <w:t xml:space="preserve"> </w:t>
    </w:r>
    <w:fldSimple w:instr=" DOCPROPERTY  DOI  \* MERGEFORMAT ">
      <w:r w:rsidR="00293C38">
        <w:t>doi.org/10.33321/cdi.2026.50.011</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293C38">
        <w:t>24.02.2026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D511"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B2B4" w14:textId="77777777" w:rsidR="002A42DF" w:rsidRPr="00B91FB5" w:rsidRDefault="002A42DF" w:rsidP="00B91FB5">
      <w:pPr>
        <w:spacing w:line="240" w:lineRule="auto"/>
        <w:rPr>
          <w:sz w:val="18"/>
          <w:szCs w:val="18"/>
        </w:rPr>
      </w:pPr>
      <w:r w:rsidRPr="00B91FB5">
        <w:rPr>
          <w:sz w:val="18"/>
          <w:szCs w:val="18"/>
        </w:rPr>
        <w:separator/>
      </w:r>
    </w:p>
  </w:footnote>
  <w:footnote w:type="continuationSeparator" w:id="0">
    <w:p w14:paraId="706FC465" w14:textId="77777777" w:rsidR="002A42DF" w:rsidRDefault="002A42DF" w:rsidP="00E54DBA">
      <w:r>
        <w:continuationSeparator/>
      </w:r>
    </w:p>
  </w:footnote>
  <w:footnote w:type="continuationNotice" w:id="1">
    <w:p w14:paraId="269DFB53" w14:textId="77777777" w:rsidR="002A42DF" w:rsidRPr="00224EFF" w:rsidRDefault="002A42DF"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B803"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447F10F8" wp14:editId="59BAD62F">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2710311"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7F10F8"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12710311"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7D57"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63D6" w14:textId="77777777" w:rsidR="00B87589" w:rsidRDefault="00256B63">
    <w:pPr>
      <w:pStyle w:val="Header"/>
    </w:pPr>
    <w:r>
      <w:rPr>
        <w:noProof/>
        <w14:ligatures w14:val="none"/>
      </w:rPr>
      <mc:AlternateContent>
        <mc:Choice Requires="wps">
          <w:drawing>
            <wp:anchor distT="0" distB="0" distL="0" distR="0" simplePos="0" relativeHeight="251658240" behindDoc="0" locked="0" layoutInCell="1" allowOverlap="1" wp14:anchorId="0FC579F0" wp14:editId="25E3A8F5">
              <wp:simplePos x="635" y="635"/>
              <wp:positionH relativeFrom="page">
                <wp:align>center</wp:align>
              </wp:positionH>
              <wp:positionV relativeFrom="page">
                <wp:align>top</wp:align>
              </wp:positionV>
              <wp:extent cx="551815" cy="518795"/>
              <wp:effectExtent l="0" t="0" r="635" b="14605"/>
              <wp:wrapNone/>
              <wp:docPr id="15166745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E797ED1"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C579F0"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1E797ED1"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11A42298"/>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0165252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DF"/>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436"/>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4C4B"/>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018F"/>
    <w:rsid w:val="00242659"/>
    <w:rsid w:val="002428F7"/>
    <w:rsid w:val="00242A9E"/>
    <w:rsid w:val="0024315F"/>
    <w:rsid w:val="00245439"/>
    <w:rsid w:val="0024631C"/>
    <w:rsid w:val="00252C9A"/>
    <w:rsid w:val="00254E56"/>
    <w:rsid w:val="00256309"/>
    <w:rsid w:val="00256B63"/>
    <w:rsid w:val="00257484"/>
    <w:rsid w:val="00260636"/>
    <w:rsid w:val="00262EA6"/>
    <w:rsid w:val="00264B29"/>
    <w:rsid w:val="00271AFA"/>
    <w:rsid w:val="00275C5C"/>
    <w:rsid w:val="00275C78"/>
    <w:rsid w:val="00275F5D"/>
    <w:rsid w:val="00280594"/>
    <w:rsid w:val="00281EE3"/>
    <w:rsid w:val="00282B56"/>
    <w:rsid w:val="00284E4A"/>
    <w:rsid w:val="00290E04"/>
    <w:rsid w:val="00293C38"/>
    <w:rsid w:val="002A3799"/>
    <w:rsid w:val="002A3BCC"/>
    <w:rsid w:val="002A42DF"/>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4F5"/>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D78"/>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24A"/>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5709F"/>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4312"/>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4A24"/>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A81"/>
    <w:rsid w:val="00AA075C"/>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5276"/>
    <w:rsid w:val="00B0666B"/>
    <w:rsid w:val="00B071B0"/>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371E1"/>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389"/>
    <w:rsid w:val="00C06DA4"/>
    <w:rsid w:val="00C07606"/>
    <w:rsid w:val="00C12542"/>
    <w:rsid w:val="00C130EE"/>
    <w:rsid w:val="00C20A97"/>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B4A67"/>
    <w:rsid w:val="00DB5461"/>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64843"/>
  <w15:docId w15:val="{AD7584CB-CACC-4FA8-A478-FCF4733E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112436"/>
    <w:pPr>
      <w:spacing w:before="400"/>
    </w:pPr>
    <w:rPr>
      <w:rFonts w:asciiTheme="majorHAnsi" w:hAnsiTheme="majorHAnsi" w:cs="Arial"/>
      <w:b/>
      <w:bCs/>
      <w:sz w:val="52"/>
      <w:szCs w:val="54"/>
    </w:rPr>
  </w:style>
  <w:style w:type="character" w:customStyle="1" w:styleId="TitleChar">
    <w:name w:val="Title Char"/>
    <w:basedOn w:val="DefaultParagraphFont"/>
    <w:link w:val="Title"/>
    <w:uiPriority w:val="10"/>
    <w:rsid w:val="00112436"/>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11243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11243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24018F"/>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24018F"/>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154C4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54C4B"/>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24018F"/>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umberedList1L1">
    <w:name w:val="Numbered List (1.) L1"/>
    <w:basedOn w:val="BodyText"/>
    <w:uiPriority w:val="99"/>
    <w:rsid w:val="005E3D78"/>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321/cdi.2025.49.056" TargetMode="External"/><Relationship Id="rId18" Type="http://schemas.openxmlformats.org/officeDocument/2006/relationships/hyperlink" Target="https://doi.org/10.13140/RG.2.2.32901.70888" TargetMode="External"/><Relationship Id="rId26" Type="http://schemas.openxmlformats.org/officeDocument/2006/relationships/hyperlink" Target="https://www.cdc.gov.au/cdi" TargetMode="External"/><Relationship Id="rId3" Type="http://schemas.openxmlformats.org/officeDocument/2006/relationships/numbering" Target="numbering.xml"/><Relationship Id="rId21" Type="http://schemas.openxmlformats.org/officeDocument/2006/relationships/hyperlink" Target="https://creativecommons.org/licenses/by-nc-nd/4.0/legalcode"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who.int/data/gho/data/themes/topics/who-gonococcal-amr-surveillance-programme-who-gasp" TargetMode="External"/><Relationship Id="rId17" Type="http://schemas.openxmlformats.org/officeDocument/2006/relationships/hyperlink" Target="https://doi.org/10.1128/JCM.01171-20" TargetMode="External"/><Relationship Id="rId25" Type="http://schemas.openxmlformats.org/officeDocument/2006/relationships/hyperlink" Target="mailto:cdi.editor@cdc.gov.a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186/s12941-023-00576-0" TargetMode="External"/><Relationship Id="rId20" Type="http://schemas.openxmlformats.org/officeDocument/2006/relationships/hyperlink" Target="https://doi.org/10.1093/jacamr/dlae05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thur.wong%40health.nsw.gov.au?subject=" TargetMode="External"/><Relationship Id="rId24" Type="http://schemas.openxmlformats.org/officeDocument/2006/relationships/hyperlink" Target="https://www.cdc.gov.au/resources/communicable-diseases-intelligence/guidelines-cdi-authors"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111/lam.13789" TargetMode="External"/><Relationship Id="rId23" Type="http://schemas.openxmlformats.org/officeDocument/2006/relationships/hyperlink" Target="https://www.cdc.gov.au/resources/communicable-diseases-intelligence/cdi-editorial-advisory-board-biographies" TargetMode="External"/><Relationship Id="rId28" Type="http://schemas.openxmlformats.org/officeDocument/2006/relationships/header" Target="header1.xml"/><Relationship Id="rId10" Type="http://schemas.openxmlformats.org/officeDocument/2006/relationships/hyperlink" Target="https://www.cdc.gov.au/cdi" TargetMode="External"/><Relationship Id="rId19" Type="http://schemas.openxmlformats.org/officeDocument/2006/relationships/hyperlink" Target="https://doi.org/10.1099/mgen.0.000969"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health.nsw.gov.au/sabs/Documents/2025-si-007.pdf" TargetMode="External"/><Relationship Id="rId22" Type="http://schemas.openxmlformats.org/officeDocument/2006/relationships/hyperlink" Target="mailto:cdi.editor@cdc.gov.au" TargetMode="External"/><Relationship Id="rId27" Type="http://schemas.openxmlformats.org/officeDocument/2006/relationships/hyperlink" Target="mailto:cdi.editor@cdc.gov.a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banner-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CDI-banner-template-2026.dotx</Template>
  <TotalTime>38</TotalTime>
  <Pages>6</Pages>
  <Words>1557</Words>
  <Characters>11056</Characters>
  <Application>Microsoft Office Word</Application>
  <DocSecurity>0</DocSecurity>
  <Lines>216</Lines>
  <Paragraphs>153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Communicable Diseases Intelligence - Transport time, not transport method, predicts Neisseria gonorrhoeae culture yield in an urban setting</vt:lpstr>
      <vt:lpstr>Abstract</vt:lpstr>
      <vt:lpstr>Author details</vt:lpstr>
      <vt:lpstr>    Corresponding author</vt:lpstr>
      <vt:lpstr>References</vt:lpstr>
    </vt:vector>
  </TitlesOfParts>
  <Company/>
  <LinksUpToDate>false</LinksUpToDate>
  <CharactersWithSpaces>12460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Transport time, not transport method, predicts Neisseria gonorrhoeae culture yield in an urban setting</dc:title>
  <dc:subject>We conducted a study to evaluate whether an enhanced specimen transport system involving direct plating of samples onto selective agar with carbon dioxide enrichment (Bio-BagTM Type C, Becton Dickinson) improved N. gonorrhoeae recoverability compared to the standard method of rayon swabs in Amies gel (TransystemTM, Copan Diagnostics). We found the enhanced system and quicker sample delivery were both associated with better culture yield – this should guide improvement in AST Programs in places where culture yield is a challenge (such as regional &amp; remote clinical settings) and the current climate of rising N. gonorrhoeae resistance and reducing culture rate means now is an important time to explore this.</dc:subject>
  <dc:creator>Arthur Wong; Tanya L Applegate; Alison Mahony; George Xu; Rebecca Houghton; Tiffany Hogan; Monica Lahra</dc:creator>
  <cp:keywords>Neisseria gonorrhoeae; Bacterial culture; Antimicrobial resistance Antibiotic susceptibility testing</cp:keywords>
  <dc:description>© 2026 Commonwealth of Australia as represented by the Australian Centre for Disease Control. This publication is licenced under a CC BY-NC-ND licence.</dc:description>
  <cp:revision>2</cp:revision>
  <cp:lastPrinted>2024-03-07T01:06:00Z</cp:lastPrinted>
  <dcterms:created xsi:type="dcterms:W3CDTF">2026-02-15T23:34:00Z</dcterms:created>
  <dcterms:modified xsi:type="dcterms:W3CDTF">2026-02-16T00:12:00Z</dcterms:modified>
  <cp:category>Letter to the Editor</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24.02.2026</vt:lpwstr>
  </property>
  <property fmtid="{D5CDD505-2E9C-101B-9397-08002B2CF9AE}" pid="5" name="DOI">
    <vt:lpwstr>doi.org/10.33321/cdi.2026.50.011</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