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D84B" w14:textId="40621806"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264E876F" wp14:editId="2DAE6C31">
            <wp:simplePos x="0" y="0"/>
            <wp:positionH relativeFrom="page">
              <wp:posOffset>0</wp:posOffset>
            </wp:positionH>
            <wp:positionV relativeFrom="page">
              <wp:posOffset>0</wp:posOffset>
            </wp:positionV>
            <wp:extent cx="7560000" cy="1630800"/>
            <wp:effectExtent l="0" t="0" r="3175" b="7620"/>
            <wp:wrapNone/>
            <wp:docPr id="1160445182" name="Picture 1" descr="Dark blue shape displaying the logo of Communicable Diseases Intelligence, alongside light and dark blue shapes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blue shape displaying the logo of Communicable Diseases Intelligence, alongside light and dark blue shapes displaying the logos of the interim Australian Centre for Disease Control and the Department of Health, Disability and Ageing"/>
                    <pic:cNvPicPr/>
                  </pic:nvPicPr>
                  <pic:blipFill>
                    <a:blip r:embed="rId9">
                      <a:extLst>
                        <a:ext uri="{28A0092B-C50C-407E-A947-70E740481C1C}">
                          <a14:useLocalDpi xmlns:a14="http://schemas.microsoft.com/office/drawing/2010/main" val="0"/>
                        </a:ext>
                      </a:extLst>
                    </a:blip>
                    <a:srcRect t="990" b="990"/>
                    <a:stretch>
                      <a:fillRect/>
                    </a:stretch>
                  </pic:blipFill>
                  <pic:spPr bwMode="auto">
                    <a:xfrm>
                      <a:off x="0" y="0"/>
                      <a:ext cx="7560000" cy="163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504CAD">
          <w:t>2025</w:t>
        </w:r>
      </w:fldSimple>
      <w:r w:rsidR="00D22CC8" w:rsidRPr="00B652E8">
        <w:t xml:space="preserve"> • Volume </w:t>
      </w:r>
      <w:fldSimple w:instr=" DOCPROPERTY  Vol  \* MERGEFORMAT ">
        <w:r w:rsidR="00504CAD">
          <w:t>49</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8728DB">
          <w:t>17.12.2025</w:t>
        </w:r>
      </w:fldSimple>
      <w:r w:rsidR="00700338" w:rsidRPr="00B652E8">
        <w:t xml:space="preserve"> • </w:t>
      </w:r>
      <w:fldSimple w:instr=" DOCPROPERTY  DOI  \* MERGEFORMAT ">
        <w:r w:rsidR="008728DB">
          <w:t>doi.org/10.33321/cdi.2025.49.067</w:t>
        </w:r>
      </w:fldSimple>
    </w:p>
    <w:p w14:paraId="6F4C97B3" w14:textId="7EC5BC0E" w:rsidR="006B16A5" w:rsidRPr="00142578" w:rsidRDefault="008728DB" w:rsidP="00CE2CC7">
      <w:pPr>
        <w:pStyle w:val="Title"/>
      </w:pPr>
      <w:r w:rsidRPr="008728DB">
        <w:t xml:space="preserve">2025 Review of Public Health Laboratory Network Australia </w:t>
      </w:r>
      <w:r w:rsidRPr="008728DB">
        <w:rPr>
          <w:i/>
          <w:iCs/>
          <w:spacing w:val="-6"/>
        </w:rPr>
        <w:t>Neisseria gonorrhoeae</w:t>
      </w:r>
      <w:r w:rsidRPr="008728DB">
        <w:rPr>
          <w:spacing w:val="-6"/>
        </w:rPr>
        <w:t xml:space="preserve"> National Nucleic</w:t>
      </w:r>
      <w:r w:rsidRPr="008728DB">
        <w:t xml:space="preserve"> Acid Amplification Testing Guidelines</w:t>
      </w:r>
    </w:p>
    <w:p w14:paraId="6864A1CA" w14:textId="3A8AAEE9" w:rsidR="00112436" w:rsidRDefault="008728DB" w:rsidP="00BB3320">
      <w:pPr>
        <w:pStyle w:val="Subtitle"/>
      </w:pPr>
      <w:r w:rsidRPr="00B75CC5">
        <w:rPr>
          <w:spacing w:val="-4"/>
        </w:rPr>
        <w:t>David M Whiley, Sebastiaan van Hal, Todd M Pryce, Monica M Lahra, on</w:t>
      </w:r>
      <w:r w:rsidR="00B75CC5">
        <w:rPr>
          <w:spacing w:val="-4"/>
        </w:rPr>
        <w:t xml:space="preserve"> </w:t>
      </w:r>
      <w:r w:rsidRPr="00B75CC5">
        <w:rPr>
          <w:spacing w:val="-4"/>
        </w:rPr>
        <w:t>behalf</w:t>
      </w:r>
      <w:r w:rsidRPr="008728DB">
        <w:t xml:space="preserve"> of the National Neisseria Network and the Public Health Laboratory Network</w:t>
      </w:r>
    </w:p>
    <w:p w14:paraId="44E21E38" w14:textId="77777777" w:rsidR="00F25C00" w:rsidRDefault="0098426C" w:rsidP="00112436">
      <w:pPr>
        <w:pStyle w:val="Heading1-noline"/>
      </w:pPr>
      <w:bookmarkStart w:id="0" w:name="_Toc195530498"/>
      <w:bookmarkStart w:id="1" w:name="_Toc201743688"/>
      <w:r>
        <w:t>Abstract</w:t>
      </w:r>
      <w:bookmarkEnd w:id="0"/>
      <w:bookmarkEnd w:id="1"/>
    </w:p>
    <w:p w14:paraId="7715690A" w14:textId="77777777" w:rsidR="008728DB" w:rsidRPr="008728DB" w:rsidRDefault="008728DB" w:rsidP="008728DB">
      <w:pPr>
        <w:rPr>
          <w:lang w:val="en-GB"/>
        </w:rPr>
      </w:pPr>
      <w:r w:rsidRPr="008728DB">
        <w:rPr>
          <w:lang w:val="en-GB"/>
        </w:rPr>
        <w:t xml:space="preserve">Since the introduction of </w:t>
      </w:r>
      <w:r w:rsidRPr="008728DB">
        <w:rPr>
          <w:i/>
          <w:iCs/>
          <w:lang w:val="en-GB"/>
        </w:rPr>
        <w:t>Neisseria gonorrhoeae</w:t>
      </w:r>
      <w:r w:rsidRPr="008728DB">
        <w:rPr>
          <w:lang w:val="en-GB"/>
        </w:rPr>
        <w:t xml:space="preserve"> nucleic acid amplification tests (NG-NAATs) into routine clinical use, false-positive results caused by cross-reaction with non-gonococcal </w:t>
      </w:r>
      <w:r w:rsidRPr="008728DB">
        <w:rPr>
          <w:i/>
          <w:iCs/>
          <w:lang w:val="en-GB"/>
        </w:rPr>
        <w:t>Neisseria</w:t>
      </w:r>
      <w:r w:rsidRPr="008728DB">
        <w:rPr>
          <w:lang w:val="en-GB"/>
        </w:rPr>
        <w:t xml:space="preserve"> species have been an issue, particularly in specimens from the pharynx. Therefore, since 2005 in Australia, a confirmatory assay has been recommended, with a positive result issued only when both assays are concordant. </w:t>
      </w:r>
    </w:p>
    <w:p w14:paraId="0B6B981A" w14:textId="77777777" w:rsidR="008728DB" w:rsidRPr="008728DB" w:rsidRDefault="008728DB" w:rsidP="008728DB">
      <w:pPr>
        <w:rPr>
          <w:lang w:val="en-GB"/>
        </w:rPr>
      </w:pPr>
      <w:r w:rsidRPr="008728DB">
        <w:rPr>
          <w:lang w:val="en-GB"/>
        </w:rPr>
        <w:t xml:space="preserve">At the request of the Public Health Laboratory Network (PHLN) Australia, the National Neisseria Network (NNN) met to review the 2015 PHLN NG-NAATs Guidelines in October 2024, in the context that some later generation </w:t>
      </w:r>
      <w:r w:rsidRPr="008728DB">
        <w:rPr>
          <w:i/>
          <w:iCs/>
          <w:lang w:val="en-GB"/>
        </w:rPr>
        <w:t>N. gonorrhoeae</w:t>
      </w:r>
      <w:r w:rsidRPr="008728DB">
        <w:rPr>
          <w:lang w:val="en-GB"/>
        </w:rPr>
        <w:t xml:space="preserve"> NAATs have claims for testing pharyngeal samples without the need for supplemental testing for confirmation. Adequacy of performance in this context was considered by the NNN as a positive predictive value of 95% in line with World Health Organization guidance.</w:t>
      </w:r>
    </w:p>
    <w:p w14:paraId="39B6CD7A" w14:textId="77777777" w:rsidR="008728DB" w:rsidRPr="008728DB" w:rsidRDefault="008728DB" w:rsidP="008728DB">
      <w:pPr>
        <w:rPr>
          <w:lang w:val="en-GB"/>
        </w:rPr>
      </w:pPr>
      <w:r w:rsidRPr="008728DB">
        <w:rPr>
          <w:lang w:val="en-GB"/>
        </w:rPr>
        <w:t xml:space="preserve">Based on the 2024 review, it is recommended that: </w:t>
      </w:r>
    </w:p>
    <w:p w14:paraId="34F5855B" w14:textId="77777777" w:rsidR="008728DB" w:rsidRPr="008728DB" w:rsidRDefault="008728DB" w:rsidP="008728DB">
      <w:pPr>
        <w:pStyle w:val="CDINumberedList1L1"/>
        <w:rPr>
          <w:lang w:val="en-GB"/>
        </w:rPr>
      </w:pPr>
      <w:r w:rsidRPr="008728DB">
        <w:rPr>
          <w:lang w:val="en-GB"/>
        </w:rPr>
        <w:t xml:space="preserve">Supplementary testing </w:t>
      </w:r>
      <w:proofErr w:type="gramStart"/>
      <w:r w:rsidRPr="008728DB">
        <w:rPr>
          <w:lang w:val="en-GB"/>
        </w:rPr>
        <w:t>continue</w:t>
      </w:r>
      <w:proofErr w:type="gramEnd"/>
      <w:r w:rsidRPr="008728DB">
        <w:rPr>
          <w:lang w:val="en-GB"/>
        </w:rPr>
        <w:t xml:space="preserve"> to be performed for all non-urogenital (pharyngeal and rectal) samples.</w:t>
      </w:r>
    </w:p>
    <w:p w14:paraId="4A09CB33" w14:textId="77777777" w:rsidR="008728DB" w:rsidRPr="008728DB" w:rsidRDefault="008728DB" w:rsidP="00B75CC5">
      <w:pPr>
        <w:pStyle w:val="CDINumberedList1L1"/>
        <w:spacing w:before="120"/>
        <w:rPr>
          <w:lang w:val="en-GB"/>
        </w:rPr>
      </w:pPr>
      <w:r w:rsidRPr="008728DB">
        <w:rPr>
          <w:lang w:val="en-GB"/>
        </w:rPr>
        <w:t>Supplementary testing be at the discretion of individual laboratories, based on local validation data demonstrating adequate performance based on WHO recommendations, for urogenital samples. Additional testing should continue to be considered when testing low-risk populations.</w:t>
      </w:r>
    </w:p>
    <w:p w14:paraId="0080F2D2" w14:textId="5E7FFF7C" w:rsidR="00112436" w:rsidRDefault="00B73144" w:rsidP="00B75CC5">
      <w:pPr>
        <w:pStyle w:val="CDIBoxText"/>
        <w:spacing w:before="240"/>
        <w:rPr>
          <w:lang w:val="en-GB"/>
        </w:rPr>
      </w:pPr>
      <w:r w:rsidRPr="00E61A68">
        <w:t>Keywords</w:t>
      </w:r>
      <w:r w:rsidRPr="00A24E95">
        <w:rPr>
          <w:lang w:val="en-GB"/>
        </w:rPr>
        <w:t xml:space="preserve">: </w:t>
      </w:r>
      <w:r w:rsidR="008728DB" w:rsidRPr="008728DB">
        <w:rPr>
          <w:lang w:val="en-GB"/>
        </w:rPr>
        <w:t>gonorrhoea; NAAT; supplementary; comment</w:t>
      </w:r>
      <w:r w:rsidR="00112436">
        <w:rPr>
          <w:lang w:val="en-GB"/>
        </w:rPr>
        <w:br w:type="page"/>
      </w:r>
    </w:p>
    <w:p w14:paraId="0316A91D" w14:textId="77777777" w:rsidR="00B75CC5" w:rsidRPr="00B75CC5" w:rsidRDefault="00B75CC5" w:rsidP="00B75CC5">
      <w:pPr>
        <w:rPr>
          <w:lang w:val="en-GB"/>
        </w:rPr>
      </w:pPr>
      <w:r w:rsidRPr="00B75CC5">
        <w:rPr>
          <w:lang w:val="en-GB"/>
        </w:rPr>
        <w:lastRenderedPageBreak/>
        <w:t xml:space="preserve">Nucleic acid amplification tests (NAATs) for </w:t>
      </w:r>
      <w:r w:rsidRPr="00B75CC5">
        <w:rPr>
          <w:i/>
          <w:iCs/>
          <w:lang w:val="en-GB"/>
        </w:rPr>
        <w:t>Neisseria gonorrhoeae</w:t>
      </w:r>
      <w:r w:rsidRPr="00B75CC5">
        <w:rPr>
          <w:lang w:val="en-GB"/>
        </w:rPr>
        <w:t xml:space="preserve"> are the primary method for diagnosing gonorrhoea. In 2024, NAATs accounted for 86% of diagnosis in Australia.</w:t>
      </w:r>
      <w:r w:rsidRPr="00B75CC5">
        <w:rPr>
          <w:vertAlign w:val="superscript"/>
          <w:lang w:val="en-GB"/>
        </w:rPr>
        <w:t>1</w:t>
      </w:r>
      <w:r w:rsidRPr="00B75CC5">
        <w:rPr>
          <w:lang w:val="en-GB"/>
        </w:rPr>
        <w:t xml:space="preserve"> Whilst bacterial culture-based diagnostic methods are encouraged in the context of escalating antimicrobial resistance (AMR), the proportion diagnosed by culture remains relatively unchanged in Australia.</w:t>
      </w:r>
      <w:r w:rsidRPr="00B75CC5">
        <w:rPr>
          <w:vertAlign w:val="superscript"/>
          <w:lang w:val="en-GB"/>
        </w:rPr>
        <w:t>1</w:t>
      </w:r>
      <w:r w:rsidRPr="00B75CC5">
        <w:rPr>
          <w:lang w:val="en-GB"/>
        </w:rPr>
        <w:t xml:space="preserve"> </w:t>
      </w:r>
    </w:p>
    <w:p w14:paraId="17625DD5" w14:textId="77777777" w:rsidR="00B75CC5" w:rsidRPr="00B75CC5" w:rsidRDefault="00B75CC5" w:rsidP="00B75CC5">
      <w:pPr>
        <w:rPr>
          <w:lang w:val="en-GB"/>
        </w:rPr>
      </w:pPr>
      <w:r w:rsidRPr="00B75CC5">
        <w:rPr>
          <w:lang w:val="en-GB"/>
        </w:rPr>
        <w:t>It is important that NG diagnostic techniques exhibit a reliability consistent with World Health Organization (WHO) guidance on testing performance.</w:t>
      </w:r>
      <w:r w:rsidRPr="00B75CC5">
        <w:rPr>
          <w:vertAlign w:val="superscript"/>
          <w:lang w:val="en-GB"/>
        </w:rPr>
        <w:t>2</w:t>
      </w:r>
      <w:r w:rsidRPr="00B75CC5">
        <w:rPr>
          <w:lang w:val="en-GB"/>
        </w:rPr>
        <w:t xml:space="preserve"> Since the introduction of </w:t>
      </w:r>
      <w:r w:rsidRPr="00B75CC5">
        <w:rPr>
          <w:i/>
          <w:iCs/>
          <w:lang w:val="en-GB"/>
        </w:rPr>
        <w:t>N. gonorrhoeae</w:t>
      </w:r>
      <w:r w:rsidRPr="00B75CC5">
        <w:rPr>
          <w:lang w:val="en-GB"/>
        </w:rPr>
        <w:t xml:space="preserve"> NAATs (NG-NAATs) into routine clinical use, false-positive results caused by cross-reaction with non-gonococcal </w:t>
      </w:r>
      <w:r w:rsidRPr="00B75CC5">
        <w:rPr>
          <w:i/>
          <w:iCs/>
          <w:lang w:val="en-GB"/>
        </w:rPr>
        <w:t>Neisseria</w:t>
      </w:r>
      <w:r w:rsidRPr="00B75CC5">
        <w:rPr>
          <w:lang w:val="en-GB"/>
        </w:rPr>
        <w:t xml:space="preserve"> species have been detected, particularly in pharyngeal samples.</w:t>
      </w:r>
      <w:r w:rsidRPr="00B75CC5">
        <w:rPr>
          <w:vertAlign w:val="superscript"/>
          <w:lang w:val="en-GB"/>
        </w:rPr>
        <w:t>3–5</w:t>
      </w:r>
      <w:r w:rsidRPr="00B75CC5">
        <w:rPr>
          <w:lang w:val="en-GB"/>
        </w:rPr>
        <w:t xml:space="preserve"> This problem arises because of frequent genetic exchange between </w:t>
      </w:r>
      <w:r w:rsidRPr="00B75CC5">
        <w:rPr>
          <w:i/>
          <w:iCs/>
          <w:lang w:val="en-GB"/>
        </w:rPr>
        <w:t>N. gonorrhoeae</w:t>
      </w:r>
      <w:r w:rsidRPr="00B75CC5">
        <w:rPr>
          <w:lang w:val="en-GB"/>
        </w:rPr>
        <w:t xml:space="preserve"> and commensal </w:t>
      </w:r>
      <w:r w:rsidRPr="00B75CC5">
        <w:rPr>
          <w:i/>
          <w:iCs/>
          <w:lang w:val="en-GB"/>
        </w:rPr>
        <w:t>Neisseria</w:t>
      </w:r>
      <w:r w:rsidRPr="00B75CC5">
        <w:rPr>
          <w:lang w:val="en-GB"/>
        </w:rPr>
        <w:t xml:space="preserve"> species colonising human urogenital and pharyngeal sites.</w:t>
      </w:r>
      <w:r w:rsidRPr="00B75CC5">
        <w:rPr>
          <w:vertAlign w:val="superscript"/>
          <w:lang w:val="en-GB"/>
        </w:rPr>
        <w:t>6–7</w:t>
      </w:r>
      <w:r w:rsidRPr="00B75CC5">
        <w:rPr>
          <w:lang w:val="en-GB"/>
        </w:rPr>
        <w:t xml:space="preserve"> </w:t>
      </w:r>
    </w:p>
    <w:p w14:paraId="33B672DF" w14:textId="77777777" w:rsidR="00B75CC5" w:rsidRPr="00B75CC5" w:rsidRDefault="00B75CC5" w:rsidP="00B75CC5">
      <w:pPr>
        <w:rPr>
          <w:lang w:val="en-GB"/>
        </w:rPr>
      </w:pPr>
      <w:r w:rsidRPr="00B75CC5">
        <w:rPr>
          <w:lang w:val="en-GB"/>
        </w:rPr>
        <w:t xml:space="preserve">Early generation NG-NAATs demonstrated false-positive </w:t>
      </w:r>
      <w:r w:rsidRPr="00B75CC5">
        <w:rPr>
          <w:i/>
          <w:iCs/>
          <w:lang w:val="en-GB"/>
        </w:rPr>
        <w:t>N. gonorrhoeae</w:t>
      </w:r>
      <w:r w:rsidRPr="00B75CC5">
        <w:rPr>
          <w:lang w:val="en-GB"/>
        </w:rPr>
        <w:t xml:space="preserve"> rates as high as 94–95% for pharyngeal samples.</w:t>
      </w:r>
      <w:r w:rsidRPr="00B75CC5">
        <w:rPr>
          <w:vertAlign w:val="superscript"/>
          <w:lang w:val="en-GB"/>
        </w:rPr>
        <w:t>8</w:t>
      </w:r>
      <w:r w:rsidRPr="00B75CC5">
        <w:rPr>
          <w:lang w:val="en-GB"/>
        </w:rPr>
        <w:t xml:space="preserve"> This led to the publication of the Australian Public Health Laboratory Network’s ‘</w:t>
      </w:r>
      <w:r w:rsidRPr="00B75CC5">
        <w:rPr>
          <w:i/>
          <w:iCs/>
          <w:lang w:val="en-GB"/>
        </w:rPr>
        <w:t>Guidelines for the use and interpretation of nucleic acid detection tests for Neisseria gonorrhoeae in Australia</w:t>
      </w:r>
      <w:r w:rsidRPr="00B75CC5">
        <w:rPr>
          <w:lang w:val="en-GB"/>
        </w:rPr>
        <w:t>’ in 2005.</w:t>
      </w:r>
      <w:r w:rsidRPr="00B75CC5">
        <w:rPr>
          <w:vertAlign w:val="superscript"/>
          <w:lang w:val="en-GB"/>
        </w:rPr>
        <w:t>9</w:t>
      </w:r>
      <w:r w:rsidRPr="00B75CC5">
        <w:rPr>
          <w:lang w:val="en-GB"/>
        </w:rPr>
        <w:t xml:space="preserve"> Based on local assay performance data, the 2005 Guidelines recommended that all NG-NAAT positive results (urogenital and extragenital samples) should also test positive on a reliable supplemental assay before a </w:t>
      </w:r>
      <w:r w:rsidRPr="00B75CC5">
        <w:rPr>
          <w:i/>
          <w:iCs/>
          <w:lang w:val="en-GB"/>
        </w:rPr>
        <w:t>N. gonorrhoeae</w:t>
      </w:r>
      <w:r w:rsidRPr="00B75CC5">
        <w:rPr>
          <w:lang w:val="en-GB"/>
        </w:rPr>
        <w:t xml:space="preserve">-detected result is reported. As a result, this strategy was adopted by clinical diagnostic laboratories in Australia, despite the increased burden of testing and rebate to support the supplementary testing. </w:t>
      </w:r>
    </w:p>
    <w:p w14:paraId="7961B238" w14:textId="77777777" w:rsidR="00B75CC5" w:rsidRPr="00B75CC5" w:rsidRDefault="00B75CC5" w:rsidP="00B75CC5">
      <w:pPr>
        <w:rPr>
          <w:lang w:val="en-GB"/>
        </w:rPr>
      </w:pPr>
      <w:r w:rsidRPr="00B75CC5">
        <w:rPr>
          <w:lang w:val="en-GB"/>
        </w:rPr>
        <w:t>The 2005 guidelines were reviewed in consultation with the National Neisseria Network (NNN), endorsed by the PHLN, and published in 2015.</w:t>
      </w:r>
      <w:r w:rsidRPr="00B75CC5">
        <w:rPr>
          <w:vertAlign w:val="superscript"/>
          <w:lang w:val="en-GB"/>
        </w:rPr>
        <w:t>3</w:t>
      </w:r>
      <w:r w:rsidRPr="00B75CC5">
        <w:rPr>
          <w:lang w:val="en-GB"/>
        </w:rPr>
        <w:t xml:space="preserve"> The review focused on two key points. Firstly, the substantial improvement in the specificity of commercial NG-NAATs since 2005, raising questions about whether supplemental testing remained warranted, particularly for urogenital sites that are less likely to be colonised with non-gonococcal </w:t>
      </w:r>
      <w:r w:rsidRPr="00B75CC5">
        <w:rPr>
          <w:i/>
          <w:iCs/>
          <w:lang w:val="en-GB"/>
        </w:rPr>
        <w:t>Neisseria</w:t>
      </w:r>
      <w:r w:rsidRPr="00B75CC5">
        <w:rPr>
          <w:lang w:val="en-GB"/>
        </w:rPr>
        <w:t xml:space="preserve"> strains. Secondly, negative results from supplemental assays may represent false negatives. This can occur due to variability in the sequence of supplemental targets or when samples contain low levels of </w:t>
      </w:r>
      <w:r w:rsidRPr="00B75CC5">
        <w:rPr>
          <w:i/>
          <w:iCs/>
          <w:lang w:val="en-GB"/>
        </w:rPr>
        <w:t>N. gonorrhoeae</w:t>
      </w:r>
      <w:r w:rsidRPr="00B75CC5">
        <w:rPr>
          <w:lang w:val="en-GB"/>
        </w:rPr>
        <w:t xml:space="preserve"> DNA, which may fail to amplify in the supplemental assay.</w:t>
      </w:r>
      <w:r w:rsidRPr="00B75CC5">
        <w:rPr>
          <w:vertAlign w:val="superscript"/>
          <w:lang w:val="en-GB"/>
        </w:rPr>
        <w:t>3</w:t>
      </w:r>
      <w:r w:rsidRPr="00B75CC5">
        <w:rPr>
          <w:lang w:val="en-GB"/>
        </w:rPr>
        <w:t xml:space="preserve"> The consensus opinion continued to recommend supplementary testing for NG-NAAT testing, even for urogenital samples.</w:t>
      </w:r>
      <w:r w:rsidRPr="00B75CC5">
        <w:rPr>
          <w:vertAlign w:val="superscript"/>
          <w:lang w:val="en-GB"/>
        </w:rPr>
        <w:t>3</w:t>
      </w:r>
      <w:r w:rsidRPr="00B75CC5">
        <w:rPr>
          <w:lang w:val="en-GB"/>
        </w:rPr>
        <w:t xml:space="preserve"> In the setting of discordant results, adding an appropriate comment (highlighting possible false negative supplementary results) was recommended. </w:t>
      </w:r>
    </w:p>
    <w:p w14:paraId="33FF0D0C" w14:textId="77777777" w:rsidR="00B75CC5" w:rsidRPr="00B75CC5" w:rsidRDefault="00B75CC5" w:rsidP="00B75CC5">
      <w:pPr>
        <w:rPr>
          <w:lang w:val="en-GB"/>
        </w:rPr>
      </w:pPr>
      <w:r w:rsidRPr="00B75CC5">
        <w:rPr>
          <w:lang w:val="en-GB"/>
        </w:rPr>
        <w:t>In 2024, these guidelines were again reviewed by the NNN, with a focus on the performance of newer assays testing specimens at different anatomical sites. It was noted that manufacturer-led evaluations of newer commercial assays include performance claims for non-urogenital samples,</w:t>
      </w:r>
      <w:r w:rsidRPr="00B75CC5">
        <w:rPr>
          <w:vertAlign w:val="superscript"/>
          <w:lang w:val="en-GB"/>
        </w:rPr>
        <w:t>10</w:t>
      </w:r>
      <w:r w:rsidRPr="00B75CC5">
        <w:rPr>
          <w:lang w:val="en-GB"/>
        </w:rPr>
        <w:t xml:space="preserve"> challenging the need for supplemental testing. </w:t>
      </w:r>
    </w:p>
    <w:p w14:paraId="5AA46531" w14:textId="77777777" w:rsidR="00B75CC5" w:rsidRPr="00B75CC5" w:rsidRDefault="00B75CC5" w:rsidP="00B75CC5">
      <w:pPr>
        <w:rPr>
          <w:lang w:val="en-GB"/>
        </w:rPr>
      </w:pPr>
      <w:r w:rsidRPr="00B75CC5">
        <w:rPr>
          <w:lang w:val="en-GB"/>
        </w:rPr>
        <w:t xml:space="preserve">Jurisdictional stakeholders discussed paired screening and supplemental NG-NAAT test results, where available. </w:t>
      </w:r>
      <w:proofErr w:type="gramStart"/>
      <w:r w:rsidRPr="00B75CC5">
        <w:rPr>
          <w:lang w:val="en-GB"/>
        </w:rPr>
        <w:t>Similar to</w:t>
      </w:r>
      <w:proofErr w:type="gramEnd"/>
      <w:r w:rsidRPr="00B75CC5">
        <w:rPr>
          <w:lang w:val="en-GB"/>
        </w:rPr>
        <w:t xml:space="preserve"> previous reviews, the highest concordance for screening and supplementary testing continued to be observed for urogenital samples, whilst rectal and pharyngeal samples showed the lowest rates of agreement. </w:t>
      </w:r>
    </w:p>
    <w:p w14:paraId="6FCAEEDA" w14:textId="77777777" w:rsidR="00B75CC5" w:rsidRPr="00B75CC5" w:rsidRDefault="00B75CC5" w:rsidP="00B75CC5">
      <w:pPr>
        <w:rPr>
          <w:lang w:val="en-GB"/>
        </w:rPr>
      </w:pPr>
      <w:r w:rsidRPr="00B75CC5">
        <w:rPr>
          <w:lang w:val="en-GB"/>
        </w:rPr>
        <w:t xml:space="preserve">The NNN and PHLN acknowledge: </w:t>
      </w:r>
    </w:p>
    <w:p w14:paraId="573A0A2B" w14:textId="77777777" w:rsidR="00B75CC5" w:rsidRPr="00B75CC5" w:rsidRDefault="00B75CC5" w:rsidP="00B75CC5">
      <w:pPr>
        <w:pStyle w:val="CDINumberedList1L1"/>
        <w:numPr>
          <w:ilvl w:val="0"/>
          <w:numId w:val="10"/>
        </w:numPr>
        <w:rPr>
          <w:lang w:val="en-GB"/>
        </w:rPr>
      </w:pPr>
      <w:r w:rsidRPr="00B75CC5">
        <w:rPr>
          <w:lang w:val="en-GB"/>
        </w:rPr>
        <w:t>Ongoing challenges with NG-NAATs:</w:t>
      </w:r>
    </w:p>
    <w:p w14:paraId="68A4FFE4" w14:textId="77777777" w:rsidR="00B75CC5" w:rsidRPr="00B75CC5" w:rsidRDefault="00B75CC5" w:rsidP="00B75CC5">
      <w:pPr>
        <w:ind w:left="397"/>
        <w:rPr>
          <w:lang w:val="en-GB"/>
        </w:rPr>
      </w:pPr>
      <w:r w:rsidRPr="00B75CC5">
        <w:rPr>
          <w:lang w:val="en-GB"/>
        </w:rPr>
        <w:t xml:space="preserve">The high rate of intraspecies genetic exchange within the </w:t>
      </w:r>
      <w:r w:rsidRPr="00B75CC5">
        <w:rPr>
          <w:i/>
          <w:iCs/>
          <w:lang w:val="en-GB"/>
        </w:rPr>
        <w:t>Neisseria</w:t>
      </w:r>
      <w:r w:rsidRPr="00B75CC5">
        <w:rPr>
          <w:lang w:val="en-GB"/>
        </w:rPr>
        <w:t xml:space="preserve"> genus continues to pose challenges for NG-NAAT testing. As a result, decisions regarding the use of supplementary NG-NAATs should </w:t>
      </w:r>
      <w:proofErr w:type="gramStart"/>
      <w:r w:rsidRPr="00B75CC5">
        <w:rPr>
          <w:lang w:val="en-GB"/>
        </w:rPr>
        <w:t>take into account</w:t>
      </w:r>
      <w:proofErr w:type="gramEnd"/>
      <w:r w:rsidRPr="00B75CC5">
        <w:rPr>
          <w:lang w:val="en-GB"/>
        </w:rPr>
        <w:t xml:space="preserve"> assay performance, the risk profile of the tested population, and the anatomical site of the sample.</w:t>
      </w:r>
    </w:p>
    <w:p w14:paraId="1CF9B9BA" w14:textId="77777777" w:rsidR="00B75CC5" w:rsidRPr="00B75CC5" w:rsidRDefault="00B75CC5" w:rsidP="00B75CC5">
      <w:pPr>
        <w:pStyle w:val="CDINumberedList1L1"/>
        <w:rPr>
          <w:lang w:val="en-GB"/>
        </w:rPr>
      </w:pPr>
      <w:r w:rsidRPr="00B75CC5">
        <w:rPr>
          <w:lang w:val="en-GB"/>
        </w:rPr>
        <w:t>Lack of a gold standard for NG detection by NAAT:</w:t>
      </w:r>
    </w:p>
    <w:p w14:paraId="3356DDA0" w14:textId="77777777" w:rsidR="00B75CC5" w:rsidRPr="00B75CC5" w:rsidRDefault="00B75CC5" w:rsidP="00B75CC5">
      <w:pPr>
        <w:ind w:left="397"/>
        <w:rPr>
          <w:lang w:val="en-GB"/>
        </w:rPr>
      </w:pPr>
      <w:r w:rsidRPr="00B75CC5">
        <w:rPr>
          <w:lang w:val="en-GB"/>
        </w:rPr>
        <w:t>There is no universally accepted gold standard NG detection by NAAT. This makes it difficult to resolve discordant results between the screening and supplemental assays. Discrepancies may arise due to cross-reactivity in the screening assay (leading to false positives) or reduced sensitivity in the supplemental assay (leading to false negatives).</w:t>
      </w:r>
    </w:p>
    <w:p w14:paraId="0231FA34" w14:textId="77777777" w:rsidR="00B75CC5" w:rsidRPr="00B75CC5" w:rsidRDefault="00B75CC5" w:rsidP="00B75CC5">
      <w:pPr>
        <w:rPr>
          <w:lang w:val="en-GB"/>
        </w:rPr>
      </w:pPr>
      <w:r w:rsidRPr="00B75CC5">
        <w:rPr>
          <w:lang w:val="en-GB"/>
        </w:rPr>
        <w:t xml:space="preserve">Based on the 2024 NNN review: </w:t>
      </w:r>
    </w:p>
    <w:p w14:paraId="52586113" w14:textId="77777777" w:rsidR="00B75CC5" w:rsidRPr="00B75CC5" w:rsidRDefault="00B75CC5" w:rsidP="00B75CC5">
      <w:pPr>
        <w:pStyle w:val="CDINumberedList1L1"/>
        <w:numPr>
          <w:ilvl w:val="0"/>
          <w:numId w:val="11"/>
        </w:numPr>
        <w:rPr>
          <w:lang w:val="en-GB"/>
        </w:rPr>
      </w:pPr>
      <w:r w:rsidRPr="00B75CC5">
        <w:rPr>
          <w:lang w:val="en-GB"/>
        </w:rPr>
        <w:t>Supplemental testing for NG-NAAT is recommended for non-urogenital samples.</w:t>
      </w:r>
    </w:p>
    <w:p w14:paraId="2390FAFC" w14:textId="77777777" w:rsidR="00B75CC5" w:rsidRPr="00B75CC5" w:rsidRDefault="00B75CC5" w:rsidP="00B75CC5">
      <w:pPr>
        <w:pStyle w:val="CDINumberedList1L1"/>
        <w:rPr>
          <w:lang w:val="en-GB"/>
        </w:rPr>
      </w:pPr>
      <w:r w:rsidRPr="00B75CC5">
        <w:rPr>
          <w:lang w:val="en-GB"/>
        </w:rPr>
        <w:t xml:space="preserve">The need for supplementary NG-NAAT for urogenital samples is at the discretion of individual laboratories. Decisions should be supported by local validation data demonstrating adequate performance (based on WHO recommendations for urogenital samples). Additional testing should continue to be considered when testing low-risk populations. </w:t>
      </w:r>
    </w:p>
    <w:p w14:paraId="0BF9614E" w14:textId="77777777" w:rsidR="00B75CC5" w:rsidRPr="00B75CC5" w:rsidRDefault="00B75CC5" w:rsidP="00B75CC5">
      <w:pPr>
        <w:rPr>
          <w:lang w:val="en-GB"/>
        </w:rPr>
      </w:pPr>
      <w:r w:rsidRPr="00B75CC5">
        <w:rPr>
          <w:lang w:val="en-GB"/>
        </w:rPr>
        <w:t>Further review of the guidelines is scheduled for 2028.</w:t>
      </w:r>
    </w:p>
    <w:p w14:paraId="3EEE6D92" w14:textId="77777777" w:rsidR="00F216F0" w:rsidRDefault="00F216F0" w:rsidP="00112436">
      <w:pPr>
        <w:pStyle w:val="Heading1-noline"/>
      </w:pPr>
      <w:bookmarkStart w:id="2" w:name="_Toc195530510"/>
      <w:bookmarkStart w:id="3" w:name="_Toc201743696"/>
      <w:bookmarkStart w:id="4" w:name="_Toc195530508"/>
      <w:r>
        <w:t>Acknowledgments</w:t>
      </w:r>
      <w:bookmarkEnd w:id="2"/>
      <w:bookmarkEnd w:id="3"/>
    </w:p>
    <w:p w14:paraId="276218E1" w14:textId="77777777" w:rsidR="00B75CC5" w:rsidRPr="00B75CC5" w:rsidRDefault="00B75CC5" w:rsidP="00B75CC5">
      <w:pPr>
        <w:rPr>
          <w:lang w:val="en-GB"/>
        </w:rPr>
      </w:pPr>
      <w:r w:rsidRPr="00B75CC5">
        <w:rPr>
          <w:lang w:val="en-GB"/>
        </w:rPr>
        <w:t>We acknowledge the following attendees at the National Neisseria Network meeting (Canberra, November 2024):</w:t>
      </w:r>
    </w:p>
    <w:p w14:paraId="7961289B" w14:textId="77777777" w:rsidR="00B75CC5" w:rsidRPr="00B75CC5" w:rsidRDefault="00B75CC5" w:rsidP="00B75CC5">
      <w:pPr>
        <w:pStyle w:val="CDIBullets"/>
      </w:pPr>
      <w:r w:rsidRPr="00B75CC5">
        <w:t>Yvonne Kwok (New South Wales)</w:t>
      </w:r>
    </w:p>
    <w:p w14:paraId="1F5FBD58" w14:textId="77777777" w:rsidR="00B75CC5" w:rsidRPr="00B75CC5" w:rsidRDefault="00B75CC5" w:rsidP="00B75CC5">
      <w:pPr>
        <w:pStyle w:val="CDIBullets"/>
        <w:spacing w:before="60"/>
        <w:ind w:left="714" w:hanging="357"/>
      </w:pPr>
      <w:r w:rsidRPr="00B75CC5">
        <w:t>Lex Leong (South Australia)</w:t>
      </w:r>
    </w:p>
    <w:p w14:paraId="36EF9656" w14:textId="77777777" w:rsidR="00B75CC5" w:rsidRPr="00B75CC5" w:rsidRDefault="00B75CC5" w:rsidP="00B75CC5">
      <w:pPr>
        <w:pStyle w:val="CDIBullets"/>
        <w:spacing w:before="60"/>
        <w:ind w:left="714" w:hanging="357"/>
      </w:pPr>
      <w:r w:rsidRPr="00B75CC5">
        <w:t>Max Cummins (Northern Territory)</w:t>
      </w:r>
    </w:p>
    <w:p w14:paraId="20673204" w14:textId="77777777" w:rsidR="00B75CC5" w:rsidRPr="00B75CC5" w:rsidRDefault="00B75CC5" w:rsidP="00B75CC5">
      <w:pPr>
        <w:pStyle w:val="CDIBullets"/>
        <w:spacing w:before="60"/>
        <w:ind w:left="714" w:hanging="357"/>
      </w:pPr>
      <w:r w:rsidRPr="00B75CC5">
        <w:t xml:space="preserve">Jaimee Rose </w:t>
      </w:r>
      <w:proofErr w:type="spellStart"/>
      <w:r w:rsidRPr="00B75CC5">
        <w:t>Harbidge</w:t>
      </w:r>
      <w:proofErr w:type="spellEnd"/>
      <w:r w:rsidRPr="00B75CC5">
        <w:t xml:space="preserve"> (Northern Territory)</w:t>
      </w:r>
    </w:p>
    <w:p w14:paraId="31F695F3" w14:textId="77777777" w:rsidR="00B75CC5" w:rsidRPr="00B75CC5" w:rsidRDefault="00B75CC5" w:rsidP="00B75CC5">
      <w:pPr>
        <w:pStyle w:val="CDIBullets"/>
        <w:spacing w:before="60"/>
        <w:ind w:left="714" w:hanging="357"/>
      </w:pPr>
      <w:r w:rsidRPr="00B75CC5">
        <w:t>Hui-Leen Tan (Western Australia)</w:t>
      </w:r>
    </w:p>
    <w:p w14:paraId="5BE36497" w14:textId="77777777" w:rsidR="00B75CC5" w:rsidRPr="00B75CC5" w:rsidRDefault="00B75CC5" w:rsidP="00B75CC5">
      <w:pPr>
        <w:pStyle w:val="CDIBullets"/>
        <w:spacing w:before="60"/>
        <w:ind w:left="714" w:hanging="357"/>
      </w:pPr>
      <w:r w:rsidRPr="00B75CC5">
        <w:t>Rebecca Ferdinand (Western Australia)</w:t>
      </w:r>
    </w:p>
    <w:p w14:paraId="3D96E27A" w14:textId="77777777" w:rsidR="00B75CC5" w:rsidRPr="00B75CC5" w:rsidRDefault="00B75CC5" w:rsidP="00B75CC5">
      <w:pPr>
        <w:pStyle w:val="CDIBullets"/>
        <w:spacing w:before="60"/>
        <w:ind w:left="714" w:hanging="357"/>
      </w:pPr>
      <w:r w:rsidRPr="00B75CC5">
        <w:t>Todd Pryce (Western Australia)</w:t>
      </w:r>
    </w:p>
    <w:p w14:paraId="607B3231" w14:textId="77777777" w:rsidR="00B75CC5" w:rsidRPr="00B75CC5" w:rsidRDefault="00B75CC5" w:rsidP="00B75CC5">
      <w:pPr>
        <w:pStyle w:val="CDIBullets"/>
        <w:spacing w:before="60"/>
        <w:ind w:left="714" w:hanging="357"/>
      </w:pPr>
      <w:r w:rsidRPr="00B75CC5">
        <w:t>Megan Hodgson (South Australia)</w:t>
      </w:r>
    </w:p>
    <w:p w14:paraId="714173C4" w14:textId="77777777" w:rsidR="00B75CC5" w:rsidRPr="00B75CC5" w:rsidRDefault="00B75CC5" w:rsidP="00B75CC5">
      <w:pPr>
        <w:pStyle w:val="CDIBullets"/>
        <w:spacing w:before="60"/>
        <w:ind w:left="714" w:hanging="357"/>
      </w:pPr>
      <w:r w:rsidRPr="00B75CC5">
        <w:t>Susan Bradbury (Australian Capital Territory)</w:t>
      </w:r>
    </w:p>
    <w:p w14:paraId="77030A9B" w14:textId="77777777" w:rsidR="00B75CC5" w:rsidRPr="00B75CC5" w:rsidRDefault="00B75CC5" w:rsidP="00B75CC5">
      <w:pPr>
        <w:pStyle w:val="CDIBullets"/>
        <w:spacing w:before="60"/>
        <w:ind w:left="714" w:hanging="357"/>
      </w:pPr>
      <w:r w:rsidRPr="00B75CC5">
        <w:t>Michelle McKeown (Australian Capital Territory)</w:t>
      </w:r>
    </w:p>
    <w:p w14:paraId="4ABAC56F" w14:textId="77777777" w:rsidR="00B75CC5" w:rsidRPr="00B75CC5" w:rsidRDefault="00B75CC5" w:rsidP="00B75CC5">
      <w:pPr>
        <w:pStyle w:val="CDIBullets"/>
        <w:spacing w:before="60"/>
        <w:ind w:left="714" w:hanging="357"/>
      </w:pPr>
      <w:r w:rsidRPr="00B75CC5">
        <w:t>Michaela Bryce (Australian Capital Territory)</w:t>
      </w:r>
    </w:p>
    <w:p w14:paraId="7A35072A" w14:textId="77777777" w:rsidR="00B75CC5" w:rsidRPr="00B75CC5" w:rsidRDefault="00B75CC5" w:rsidP="00B75CC5">
      <w:pPr>
        <w:pStyle w:val="CDIBullets"/>
        <w:spacing w:before="60"/>
        <w:ind w:left="714" w:hanging="357"/>
      </w:pPr>
      <w:r w:rsidRPr="00B75CC5">
        <w:t>Belinda McEwan (Tasmania)</w:t>
      </w:r>
    </w:p>
    <w:p w14:paraId="5F60E046" w14:textId="77777777" w:rsidR="00B75CC5" w:rsidRPr="00B75CC5" w:rsidRDefault="00B75CC5" w:rsidP="00B75CC5">
      <w:pPr>
        <w:pStyle w:val="CDIBullets"/>
        <w:spacing w:before="60"/>
        <w:ind w:left="714" w:hanging="357"/>
      </w:pPr>
      <w:r w:rsidRPr="00B75CC5">
        <w:t>David Whiley (Queensland)</w:t>
      </w:r>
    </w:p>
    <w:p w14:paraId="2288CDC0" w14:textId="77777777" w:rsidR="00B75CC5" w:rsidRPr="00B75CC5" w:rsidRDefault="00B75CC5" w:rsidP="00B75CC5">
      <w:pPr>
        <w:pStyle w:val="CDIBullets"/>
        <w:spacing w:before="60"/>
        <w:ind w:left="714" w:hanging="357"/>
      </w:pPr>
      <w:r w:rsidRPr="00B75CC5">
        <w:t>Sumeet Sandhu (Queensland)</w:t>
      </w:r>
    </w:p>
    <w:p w14:paraId="7549FCF0" w14:textId="77777777" w:rsidR="00B75CC5" w:rsidRPr="00B75CC5" w:rsidRDefault="00B75CC5" w:rsidP="00B75CC5">
      <w:pPr>
        <w:pStyle w:val="CDIBullets"/>
        <w:spacing w:before="60"/>
        <w:ind w:left="714" w:hanging="357"/>
      </w:pPr>
      <w:r w:rsidRPr="00B75CC5">
        <w:t>Kerri Le (Queensland)</w:t>
      </w:r>
    </w:p>
    <w:p w14:paraId="32797A40" w14:textId="77777777" w:rsidR="00B75CC5" w:rsidRPr="00B75CC5" w:rsidRDefault="00B75CC5" w:rsidP="00B75CC5">
      <w:pPr>
        <w:pStyle w:val="CDIBullets"/>
        <w:spacing w:before="60"/>
        <w:ind w:left="714" w:hanging="357"/>
      </w:pPr>
      <w:r w:rsidRPr="00B75CC5">
        <w:t xml:space="preserve">Paula Maree </w:t>
      </w:r>
      <w:proofErr w:type="spellStart"/>
      <w:r w:rsidRPr="00B75CC5">
        <w:t>Roydhouse</w:t>
      </w:r>
      <w:proofErr w:type="spellEnd"/>
      <w:r w:rsidRPr="00B75CC5">
        <w:t xml:space="preserve"> (Victoria)</w:t>
      </w:r>
    </w:p>
    <w:p w14:paraId="7953B4D9" w14:textId="77777777" w:rsidR="00B75CC5" w:rsidRPr="00B75CC5" w:rsidRDefault="00B75CC5" w:rsidP="00B75CC5">
      <w:pPr>
        <w:pStyle w:val="CDIBullets"/>
        <w:spacing w:before="60"/>
        <w:ind w:left="714" w:hanging="357"/>
      </w:pPr>
      <w:r w:rsidRPr="00B75CC5">
        <w:t>Norelle Sherry (Victoria)</w:t>
      </w:r>
    </w:p>
    <w:p w14:paraId="1B4DF39A" w14:textId="77777777" w:rsidR="00B75CC5" w:rsidRPr="00B75CC5" w:rsidRDefault="00B75CC5" w:rsidP="00B75CC5">
      <w:pPr>
        <w:pStyle w:val="CDIBullets"/>
        <w:spacing w:before="60"/>
        <w:ind w:left="714" w:hanging="357"/>
      </w:pPr>
      <w:r w:rsidRPr="00B75CC5">
        <w:t>Monica Lahra (New South Wales)</w:t>
      </w:r>
    </w:p>
    <w:p w14:paraId="18871DB6" w14:textId="77777777" w:rsidR="00B75CC5" w:rsidRPr="00B75CC5" w:rsidRDefault="00B75CC5" w:rsidP="00B75CC5">
      <w:pPr>
        <w:pStyle w:val="CDIBullets"/>
        <w:spacing w:before="60"/>
        <w:ind w:left="714" w:hanging="357"/>
      </w:pPr>
      <w:r w:rsidRPr="00B75CC5">
        <w:t>Tiffany Hogan (New South Wales)</w:t>
      </w:r>
    </w:p>
    <w:p w14:paraId="128B7C87" w14:textId="77777777" w:rsidR="00B75CC5" w:rsidRPr="00B75CC5" w:rsidRDefault="00B75CC5" w:rsidP="00B75CC5">
      <w:pPr>
        <w:pStyle w:val="CDIBullets"/>
        <w:spacing w:before="60"/>
        <w:ind w:left="714" w:hanging="357"/>
      </w:pPr>
      <w:r w:rsidRPr="00B75CC5">
        <w:t>Sebastiaan van Hal (New South Wales).</w:t>
      </w:r>
    </w:p>
    <w:p w14:paraId="62849FDB" w14:textId="77777777" w:rsidR="008A0736" w:rsidRDefault="008A0736" w:rsidP="00112436">
      <w:pPr>
        <w:pStyle w:val="Heading1-noline"/>
      </w:pPr>
      <w:bookmarkStart w:id="5" w:name="_Toc201743697"/>
      <w:r>
        <w:t>Author details</w:t>
      </w:r>
      <w:bookmarkEnd w:id="4"/>
      <w:bookmarkEnd w:id="5"/>
    </w:p>
    <w:p w14:paraId="489424B3" w14:textId="77777777" w:rsidR="00B75CC5" w:rsidRPr="00B75CC5" w:rsidRDefault="00B75CC5" w:rsidP="00B75CC5">
      <w:pPr>
        <w:rPr>
          <w:lang w:val="en-GB"/>
        </w:rPr>
      </w:pPr>
      <w:r w:rsidRPr="00B75CC5">
        <w:rPr>
          <w:lang w:val="en-GB"/>
        </w:rPr>
        <w:t>David M Whiley,</w:t>
      </w:r>
      <w:r w:rsidRPr="00B75CC5">
        <w:rPr>
          <w:vertAlign w:val="superscript"/>
          <w:lang w:val="en-GB"/>
        </w:rPr>
        <w:t>1,2</w:t>
      </w:r>
      <w:r w:rsidRPr="00B75CC5">
        <w:rPr>
          <w:lang w:val="en-GB"/>
        </w:rPr>
        <w:t xml:space="preserve"> </w:t>
      </w:r>
    </w:p>
    <w:p w14:paraId="7650BF4A" w14:textId="77777777" w:rsidR="00B75CC5" w:rsidRPr="00B75CC5" w:rsidRDefault="00B75CC5" w:rsidP="00B75CC5">
      <w:pPr>
        <w:rPr>
          <w:lang w:val="en-GB"/>
        </w:rPr>
      </w:pPr>
      <w:r w:rsidRPr="00B75CC5">
        <w:rPr>
          <w:lang w:val="en-GB"/>
        </w:rPr>
        <w:t>Sebastiaan van Hal,</w:t>
      </w:r>
      <w:r w:rsidRPr="00B75CC5">
        <w:rPr>
          <w:vertAlign w:val="superscript"/>
          <w:lang w:val="en-GB"/>
        </w:rPr>
        <w:t>3,4</w:t>
      </w:r>
      <w:r w:rsidRPr="00B75CC5">
        <w:rPr>
          <w:lang w:val="en-GB"/>
        </w:rPr>
        <w:t xml:space="preserve"> </w:t>
      </w:r>
    </w:p>
    <w:p w14:paraId="12C7790A" w14:textId="77777777" w:rsidR="00B75CC5" w:rsidRPr="00B75CC5" w:rsidRDefault="00B75CC5" w:rsidP="00B75CC5">
      <w:pPr>
        <w:rPr>
          <w:lang w:val="en-GB"/>
        </w:rPr>
      </w:pPr>
      <w:r w:rsidRPr="00B75CC5">
        <w:rPr>
          <w:lang w:val="en-GB"/>
        </w:rPr>
        <w:t>Todd M Pryce,</w:t>
      </w:r>
      <w:r w:rsidRPr="00B75CC5">
        <w:rPr>
          <w:vertAlign w:val="superscript"/>
          <w:lang w:val="en-GB"/>
        </w:rPr>
        <w:t>5</w:t>
      </w:r>
      <w:r w:rsidRPr="00B75CC5">
        <w:rPr>
          <w:lang w:val="en-GB"/>
        </w:rPr>
        <w:t xml:space="preserve"> </w:t>
      </w:r>
    </w:p>
    <w:p w14:paraId="097B318E" w14:textId="77777777" w:rsidR="00B75CC5" w:rsidRPr="00B75CC5" w:rsidRDefault="00B75CC5" w:rsidP="00B75CC5">
      <w:pPr>
        <w:rPr>
          <w:lang w:val="en-GB"/>
        </w:rPr>
      </w:pPr>
      <w:r w:rsidRPr="00B75CC5">
        <w:rPr>
          <w:lang w:val="en-GB"/>
        </w:rPr>
        <w:t>Monica M Lahra,</w:t>
      </w:r>
      <w:r w:rsidRPr="00B75CC5">
        <w:rPr>
          <w:vertAlign w:val="superscript"/>
          <w:lang w:val="en-GB"/>
        </w:rPr>
        <w:t>6,7</w:t>
      </w:r>
    </w:p>
    <w:p w14:paraId="5628BB8C" w14:textId="77777777" w:rsidR="00B75CC5" w:rsidRPr="00B75CC5" w:rsidRDefault="00B75CC5" w:rsidP="00B75CC5">
      <w:pPr>
        <w:rPr>
          <w:lang w:val="en-GB"/>
        </w:rPr>
      </w:pPr>
      <w:r w:rsidRPr="00B75CC5">
        <w:rPr>
          <w:lang w:val="en-GB"/>
        </w:rPr>
        <w:t xml:space="preserve">on behalf of the National Neisseria Network and the Public Health Laboratory Network. </w:t>
      </w:r>
    </w:p>
    <w:p w14:paraId="73AFD514" w14:textId="77777777" w:rsidR="00B75CC5" w:rsidRPr="00B75CC5" w:rsidRDefault="00B75CC5" w:rsidP="00B75CC5">
      <w:pPr>
        <w:pStyle w:val="CDINumberedList1L1"/>
        <w:numPr>
          <w:ilvl w:val="0"/>
          <w:numId w:val="12"/>
        </w:numPr>
        <w:rPr>
          <w:lang w:val="en-GB"/>
        </w:rPr>
      </w:pPr>
      <w:r w:rsidRPr="00B75CC5">
        <w:rPr>
          <w:lang w:val="en-GB"/>
        </w:rPr>
        <w:t xml:space="preserve">UQ Centre for Clinical Research, Faculty of Medicine, The University of Queensland, Brisbane, Queensland, Australia </w:t>
      </w:r>
    </w:p>
    <w:p w14:paraId="3B8E5DB2" w14:textId="77777777" w:rsidR="00B75CC5" w:rsidRPr="00B75CC5" w:rsidRDefault="00B75CC5" w:rsidP="00B75CC5">
      <w:pPr>
        <w:pStyle w:val="CDINumberedList1L1"/>
        <w:rPr>
          <w:lang w:val="en-GB"/>
        </w:rPr>
      </w:pPr>
      <w:r w:rsidRPr="00B75CC5">
        <w:rPr>
          <w:lang w:val="en-GB"/>
        </w:rPr>
        <w:t>Pathology Queensland, Queensland Health, Brisbane, Queensland, Australia</w:t>
      </w:r>
    </w:p>
    <w:p w14:paraId="5FAD5233" w14:textId="77777777" w:rsidR="00B75CC5" w:rsidRPr="00B75CC5" w:rsidRDefault="00B75CC5" w:rsidP="00B75CC5">
      <w:pPr>
        <w:pStyle w:val="CDINumberedList1L1"/>
        <w:rPr>
          <w:lang w:val="en-GB"/>
        </w:rPr>
      </w:pPr>
      <w:r w:rsidRPr="00B75CC5">
        <w:rPr>
          <w:lang w:val="en-GB"/>
        </w:rPr>
        <w:t xml:space="preserve">New South Wales Health Pathology, Microbiology, Royal Prince Alfred Hospital, Camperdown, New South Wales, Australia </w:t>
      </w:r>
    </w:p>
    <w:p w14:paraId="173754E2" w14:textId="77777777" w:rsidR="00B75CC5" w:rsidRPr="00B75CC5" w:rsidRDefault="00B75CC5" w:rsidP="00B75CC5">
      <w:pPr>
        <w:pStyle w:val="CDINumberedList1L1"/>
        <w:rPr>
          <w:lang w:val="en-GB"/>
        </w:rPr>
      </w:pPr>
      <w:r w:rsidRPr="00B75CC5">
        <w:rPr>
          <w:lang w:val="en-GB"/>
        </w:rPr>
        <w:t>School of Medicine, University of Sydney, Sydney, New South Wales, Australia</w:t>
      </w:r>
    </w:p>
    <w:p w14:paraId="40C01A39" w14:textId="77777777" w:rsidR="00B75CC5" w:rsidRPr="00B75CC5" w:rsidRDefault="00B75CC5" w:rsidP="00B75CC5">
      <w:pPr>
        <w:pStyle w:val="CDINumberedList1L1"/>
        <w:rPr>
          <w:lang w:val="en-GB"/>
        </w:rPr>
      </w:pPr>
      <w:r w:rsidRPr="00B75CC5">
        <w:rPr>
          <w:lang w:val="en-GB"/>
        </w:rPr>
        <w:t>PathWest Laboratory Medicine WA, Department of Clinical Microbiology, Fiona Stanley Hospital, Murdoch, Western Australia, Australia</w:t>
      </w:r>
    </w:p>
    <w:p w14:paraId="24BAD86C" w14:textId="77777777" w:rsidR="00B75CC5" w:rsidRPr="00B75CC5" w:rsidRDefault="00B75CC5" w:rsidP="00B75CC5">
      <w:pPr>
        <w:pStyle w:val="CDINumberedList1L1"/>
        <w:rPr>
          <w:lang w:val="en-GB"/>
        </w:rPr>
      </w:pPr>
      <w:r w:rsidRPr="00B75CC5">
        <w:rPr>
          <w:lang w:val="en-GB"/>
        </w:rPr>
        <w:t>World Health Organization Collaborating Centre for STI and AMR, New South Wales Health Pathology Microbiology, The Prince of Wales Hospital, Randwick, New South Wales, Australia</w:t>
      </w:r>
    </w:p>
    <w:p w14:paraId="2F0D674D" w14:textId="77777777" w:rsidR="00B75CC5" w:rsidRPr="00B75CC5" w:rsidRDefault="00B75CC5" w:rsidP="00B75CC5">
      <w:pPr>
        <w:pStyle w:val="CDINumberedList1L1"/>
        <w:rPr>
          <w:lang w:val="en-GB"/>
        </w:rPr>
      </w:pPr>
      <w:r w:rsidRPr="00B75CC5">
        <w:rPr>
          <w:lang w:val="en-GB"/>
        </w:rPr>
        <w:t xml:space="preserve">Faculty of Medicine, The University of New South Wales, Sydney, New South Wales, Australia </w:t>
      </w:r>
    </w:p>
    <w:p w14:paraId="27F7C0F3" w14:textId="77777777" w:rsidR="00423436" w:rsidRDefault="00423436" w:rsidP="00423436">
      <w:pPr>
        <w:pStyle w:val="CDICorrespondingauthor"/>
      </w:pPr>
      <w:r>
        <w:t>Corresponding author</w:t>
      </w:r>
    </w:p>
    <w:p w14:paraId="6BA52385" w14:textId="77777777" w:rsidR="00B75CC5" w:rsidRPr="00B75CC5" w:rsidRDefault="00B75CC5" w:rsidP="00B75CC5">
      <w:pPr>
        <w:rPr>
          <w:lang w:val="en-GB"/>
        </w:rPr>
      </w:pPr>
      <w:r w:rsidRPr="00B75CC5">
        <w:rPr>
          <w:lang w:val="en-GB"/>
        </w:rPr>
        <w:t>David M Whiley</w:t>
      </w:r>
    </w:p>
    <w:p w14:paraId="395098A2" w14:textId="77777777" w:rsidR="00B75CC5" w:rsidRPr="00B75CC5" w:rsidRDefault="00B75CC5" w:rsidP="00B75CC5">
      <w:pPr>
        <w:rPr>
          <w:lang w:val="en-GB"/>
        </w:rPr>
      </w:pPr>
      <w:r w:rsidRPr="00B75CC5">
        <w:rPr>
          <w:lang w:val="en-GB"/>
        </w:rPr>
        <w:t xml:space="preserve">UQ Centre for Clinical Research, Faculty of Medicine, The University of Queensland, Brisbane, Queensland, Australia </w:t>
      </w:r>
    </w:p>
    <w:p w14:paraId="72D7194C" w14:textId="10D4DD04" w:rsidR="00B75CC5" w:rsidRDefault="00B75CC5" w:rsidP="00B75CC5">
      <w:pPr>
        <w:rPr>
          <w:lang w:val="en-GB"/>
        </w:rPr>
      </w:pPr>
      <w:r w:rsidRPr="00B75CC5">
        <w:rPr>
          <w:lang w:val="en-GB"/>
        </w:rPr>
        <w:t xml:space="preserve">Email: </w:t>
      </w:r>
      <w:hyperlink r:id="rId11" w:history="1">
        <w:r w:rsidRPr="00B75CC5">
          <w:rPr>
            <w:rStyle w:val="Hyperlink"/>
            <w:lang w:val="en-GB"/>
          </w:rPr>
          <w:t>d.whiley@uq.edu.au</w:t>
        </w:r>
      </w:hyperlink>
      <w:r>
        <w:rPr>
          <w:lang w:val="en-GB"/>
        </w:rPr>
        <w:t xml:space="preserve"> </w:t>
      </w:r>
      <w:r>
        <w:rPr>
          <w:lang w:val="en-GB"/>
        </w:rPr>
        <w:br w:type="page"/>
      </w:r>
    </w:p>
    <w:p w14:paraId="55A84C54" w14:textId="77777777" w:rsidR="008A0736" w:rsidRDefault="008A0736" w:rsidP="00112436">
      <w:pPr>
        <w:pStyle w:val="Heading1-noline"/>
      </w:pPr>
      <w:bookmarkStart w:id="6" w:name="_Toc195530511"/>
      <w:bookmarkStart w:id="7" w:name="_Toc201743698"/>
      <w:r>
        <w:t>References</w:t>
      </w:r>
      <w:bookmarkEnd w:id="6"/>
      <w:bookmarkEnd w:id="7"/>
    </w:p>
    <w:p w14:paraId="66583013" w14:textId="6AD7AD19" w:rsidR="00B75CC5" w:rsidRDefault="00B75CC5" w:rsidP="00B75CC5">
      <w:pPr>
        <w:pStyle w:val="CDINumberedList1L1"/>
        <w:numPr>
          <w:ilvl w:val="0"/>
          <w:numId w:val="13"/>
        </w:numPr>
        <w:ind w:left="397" w:hanging="397"/>
      </w:pPr>
      <w:r>
        <w:t xml:space="preserve">Lahra M, Hurley S, Van Hal S, Hogan T. Australian Gonococcal Surveillance Annual Report 2024. Com Dis Intell (2018). 2025;49. doi: </w:t>
      </w:r>
      <w:hyperlink r:id="rId12" w:history="1">
        <w:r w:rsidRPr="00915912">
          <w:rPr>
            <w:rStyle w:val="Hyperlink"/>
          </w:rPr>
          <w:t>https://doi.org/10.33321/cdi.2025.49.056</w:t>
        </w:r>
      </w:hyperlink>
      <w:r>
        <w:t>.</w:t>
      </w:r>
    </w:p>
    <w:p w14:paraId="60392A9B" w14:textId="52A1C455" w:rsidR="00B75CC5" w:rsidRDefault="00B75CC5" w:rsidP="00B75CC5">
      <w:pPr>
        <w:pStyle w:val="CDINumberedList1L1"/>
        <w:ind w:left="397" w:hanging="397"/>
      </w:pPr>
      <w:r>
        <w:t xml:space="preserve">Ferreyra C, Osborn J, </w:t>
      </w:r>
      <w:proofErr w:type="spellStart"/>
      <w:r>
        <w:t>Moussy</w:t>
      </w:r>
      <w:proofErr w:type="spellEnd"/>
      <w:r>
        <w:t xml:space="preserve"> F, </w:t>
      </w:r>
      <w:proofErr w:type="spellStart"/>
      <w:r>
        <w:t>Alirol</w:t>
      </w:r>
      <w:proofErr w:type="spellEnd"/>
      <w:r>
        <w:t xml:space="preserve"> E, Lahra M, Whiley D et al. Developing target product profiles for </w:t>
      </w:r>
      <w:r w:rsidRPr="00B75CC5">
        <w:rPr>
          <w:i/>
          <w:iCs/>
        </w:rPr>
        <w:t>Neisseria gonorrhoeae</w:t>
      </w:r>
      <w:r>
        <w:t xml:space="preserve"> diagnostics in the context of antimicrobial resistance: an expert consensus. </w:t>
      </w:r>
      <w:r w:rsidRPr="00B75CC5">
        <w:rPr>
          <w:i/>
          <w:iCs/>
        </w:rPr>
        <w:t>PLoS One</w:t>
      </w:r>
      <w:r>
        <w:t>. 2020;15(9</w:t>
      </w:r>
      <w:proofErr w:type="gramStart"/>
      <w:r>
        <w:t>):e</w:t>
      </w:r>
      <w:proofErr w:type="gramEnd"/>
      <w:r>
        <w:t>0237424. doi: </w:t>
      </w:r>
      <w:hyperlink r:id="rId13" w:history="1">
        <w:r w:rsidRPr="00915912">
          <w:rPr>
            <w:rStyle w:val="Hyperlink"/>
          </w:rPr>
          <w:t>https://doi.org/10.1371/journal.pone.0237424</w:t>
        </w:r>
      </w:hyperlink>
      <w:r>
        <w:t>.</w:t>
      </w:r>
    </w:p>
    <w:p w14:paraId="0C24771F" w14:textId="5179501C" w:rsidR="00B75CC5" w:rsidRDefault="00B75CC5" w:rsidP="00B75CC5">
      <w:pPr>
        <w:pStyle w:val="CDINumberedList1L1"/>
        <w:ind w:left="397" w:hanging="397"/>
      </w:pPr>
      <w:r>
        <w:t xml:space="preserve">Whiley DM, Lahra MM, National Neisseria Network. Review of 2005 Public Health Laboratory Network </w:t>
      </w:r>
      <w:r w:rsidRPr="00B75CC5">
        <w:rPr>
          <w:i/>
          <w:iCs/>
        </w:rPr>
        <w:t>Neisseria gonorrhoeae</w:t>
      </w:r>
      <w:r>
        <w:t xml:space="preserve"> nucleic acid amplification tests guidelines. </w:t>
      </w:r>
      <w:r w:rsidRPr="00B75CC5">
        <w:rPr>
          <w:i/>
          <w:iCs/>
        </w:rPr>
        <w:t>Commun Dis Intell Q Rep</w:t>
      </w:r>
      <w:r>
        <w:t>. 2015;39(1</w:t>
      </w:r>
      <w:proofErr w:type="gramStart"/>
      <w:r>
        <w:t>):E</w:t>
      </w:r>
      <w:proofErr w:type="gramEnd"/>
      <w:r>
        <w:t xml:space="preserve">42–5. doi: </w:t>
      </w:r>
      <w:hyperlink r:id="rId14" w:history="1">
        <w:r w:rsidRPr="00915912">
          <w:rPr>
            <w:rStyle w:val="Hyperlink"/>
          </w:rPr>
          <w:t>https://doi.org/10.33321/cdi.2015.39.6</w:t>
        </w:r>
      </w:hyperlink>
      <w:r>
        <w:t>.</w:t>
      </w:r>
    </w:p>
    <w:p w14:paraId="6DFA8892" w14:textId="0E252176" w:rsidR="00B75CC5" w:rsidRDefault="00B75CC5" w:rsidP="00B75CC5">
      <w:pPr>
        <w:pStyle w:val="CDINumberedList1L1"/>
        <w:ind w:left="397" w:hanging="397"/>
      </w:pPr>
      <w:r>
        <w:t xml:space="preserve">Upton A, </w:t>
      </w:r>
      <w:proofErr w:type="spellStart"/>
      <w:r>
        <w:t>Bromhead</w:t>
      </w:r>
      <w:proofErr w:type="spellEnd"/>
      <w:r>
        <w:t xml:space="preserve"> C, Whiley DM. </w:t>
      </w:r>
      <w:r w:rsidRPr="00B75CC5">
        <w:rPr>
          <w:i/>
          <w:iCs/>
        </w:rPr>
        <w:t>Neisseria gonorrhoeae</w:t>
      </w:r>
      <w:r>
        <w:t xml:space="preserve"> false-positive result obtained from a pharyngeal swab by using the Roche </w:t>
      </w:r>
      <w:proofErr w:type="spellStart"/>
      <w:r>
        <w:t>cobas</w:t>
      </w:r>
      <w:proofErr w:type="spellEnd"/>
      <w:r>
        <w:t xml:space="preserve"> 4800 CT/NG assay in New Zealand in 2012. J Clin Microbiol. 2013;51(5):1609–10. doi: </w:t>
      </w:r>
      <w:hyperlink r:id="rId15" w:history="1">
        <w:r w:rsidRPr="00915912">
          <w:rPr>
            <w:rStyle w:val="Hyperlink"/>
          </w:rPr>
          <w:t>https://doi.org/10.1128/jcm.00485-13</w:t>
        </w:r>
      </w:hyperlink>
      <w:r>
        <w:t>.</w:t>
      </w:r>
    </w:p>
    <w:p w14:paraId="3F563E9A" w14:textId="6D329BAC" w:rsidR="00B75CC5" w:rsidRDefault="00B75CC5" w:rsidP="00B75CC5">
      <w:pPr>
        <w:pStyle w:val="CDINumberedList1L1"/>
        <w:ind w:left="397" w:hanging="397"/>
      </w:pPr>
      <w:r>
        <w:t xml:space="preserve">Pryce TM, Foti OR, </w:t>
      </w:r>
      <w:proofErr w:type="spellStart"/>
      <w:r>
        <w:t>Haygarth</w:t>
      </w:r>
      <w:proofErr w:type="spellEnd"/>
      <w:r>
        <w:t xml:space="preserve"> EJ, Whiley DM. Maximizing the </w:t>
      </w:r>
      <w:r w:rsidRPr="00B75CC5">
        <w:rPr>
          <w:i/>
          <w:iCs/>
        </w:rPr>
        <w:t>Neisseria gonorrhoeae</w:t>
      </w:r>
      <w:r>
        <w:t xml:space="preserve"> confirmatory rate and the genotypic detection of ciprofloxacin resistance for samples screened with </w:t>
      </w:r>
      <w:proofErr w:type="spellStart"/>
      <w:r>
        <w:t>cobas</w:t>
      </w:r>
      <w:proofErr w:type="spellEnd"/>
      <w:r>
        <w:t xml:space="preserve"> CT/NG. J Clin Microbiol. 2024;62(1</w:t>
      </w:r>
      <w:proofErr w:type="gramStart"/>
      <w:r>
        <w:t>):e</w:t>
      </w:r>
      <w:proofErr w:type="gramEnd"/>
      <w:r>
        <w:t>0103923. doi: </w:t>
      </w:r>
      <w:hyperlink r:id="rId16" w:history="1">
        <w:r w:rsidRPr="00915912">
          <w:rPr>
            <w:rStyle w:val="Hyperlink"/>
          </w:rPr>
          <w:t>https://doi.org/10.1128/jcm.01039-23</w:t>
        </w:r>
      </w:hyperlink>
      <w:r>
        <w:t>.</w:t>
      </w:r>
    </w:p>
    <w:p w14:paraId="6AAC73A2" w14:textId="2CB4DC27" w:rsidR="00B75CC5" w:rsidRDefault="00B75CC5" w:rsidP="00B75CC5">
      <w:pPr>
        <w:pStyle w:val="CDINumberedList1L1"/>
        <w:ind w:left="397" w:hanging="397"/>
      </w:pPr>
      <w:r>
        <w:t xml:space="preserve">Whiley DM, </w:t>
      </w:r>
      <w:proofErr w:type="spellStart"/>
      <w:r>
        <w:t>Tapsall</w:t>
      </w:r>
      <w:proofErr w:type="spellEnd"/>
      <w:r>
        <w:t xml:space="preserve"> JW, Sloots TP. Nucleic acid amplification testing for </w:t>
      </w:r>
      <w:r w:rsidRPr="00B75CC5">
        <w:rPr>
          <w:i/>
          <w:iCs/>
        </w:rPr>
        <w:t>Neisseria gonorrhoeae</w:t>
      </w:r>
      <w:r>
        <w:t xml:space="preserve">: an ongoing challenge. </w:t>
      </w:r>
      <w:r w:rsidRPr="00B75CC5">
        <w:rPr>
          <w:i/>
          <w:iCs/>
        </w:rPr>
        <w:t>J Mol Diagn</w:t>
      </w:r>
      <w:r>
        <w:t>. 2006;8(1);3–15. doi: </w:t>
      </w:r>
      <w:hyperlink r:id="rId17" w:history="1">
        <w:r w:rsidRPr="00915912">
          <w:rPr>
            <w:rStyle w:val="Hyperlink"/>
          </w:rPr>
          <w:t>https://doi.org/10.2353/jmoldx.2006.050045</w:t>
        </w:r>
      </w:hyperlink>
      <w:r>
        <w:t>.</w:t>
      </w:r>
    </w:p>
    <w:p w14:paraId="74DCF7F2" w14:textId="4B8BA62B" w:rsidR="00B75CC5" w:rsidRDefault="00B75CC5" w:rsidP="00B75CC5">
      <w:pPr>
        <w:pStyle w:val="CDINumberedList1L1"/>
        <w:ind w:left="397" w:hanging="397"/>
      </w:pPr>
      <w:r>
        <w:t xml:space="preserve">Whiley DM, </w:t>
      </w:r>
      <w:proofErr w:type="spellStart"/>
      <w:r>
        <w:t>Tapsall</w:t>
      </w:r>
      <w:proofErr w:type="spellEnd"/>
      <w:r>
        <w:t xml:space="preserve"> JW, Nissen MD, Sloots TP. </w:t>
      </w:r>
      <w:r w:rsidRPr="00B75CC5">
        <w:rPr>
          <w:i/>
          <w:iCs/>
        </w:rPr>
        <w:t>Neisseria gonorrhoeae</w:t>
      </w:r>
      <w:r>
        <w:t xml:space="preserve"> NAAT? A problem down under. </w:t>
      </w:r>
      <w:r w:rsidRPr="00B75CC5">
        <w:rPr>
          <w:i/>
          <w:iCs/>
        </w:rPr>
        <w:t>Microbiol Aust</w:t>
      </w:r>
      <w:r>
        <w:t xml:space="preserve">. 2007;28(1);9–11. doi: </w:t>
      </w:r>
      <w:hyperlink r:id="rId18" w:history="1">
        <w:r w:rsidRPr="00915912">
          <w:rPr>
            <w:rStyle w:val="Hyperlink"/>
          </w:rPr>
          <w:t>https://doi.org/10.1071/MA07007</w:t>
        </w:r>
      </w:hyperlink>
      <w:r>
        <w:t>.</w:t>
      </w:r>
    </w:p>
    <w:p w14:paraId="5C2106E8" w14:textId="0D034AD8" w:rsidR="00B75CC5" w:rsidRDefault="00B75CC5" w:rsidP="00B75CC5">
      <w:pPr>
        <w:pStyle w:val="CDINumberedList1L1"/>
        <w:ind w:left="397" w:hanging="397"/>
      </w:pPr>
      <w:r>
        <w:t xml:space="preserve">Leslie DE, Azzato F, Ryan N, Fyfe J. An assessment of the Roche </w:t>
      </w:r>
      <w:proofErr w:type="spellStart"/>
      <w:r>
        <w:t>Amplicor</w:t>
      </w:r>
      <w:proofErr w:type="spellEnd"/>
      <w:r>
        <w:t xml:space="preserve"> </w:t>
      </w:r>
      <w:r w:rsidRPr="00B75CC5">
        <w:rPr>
          <w:i/>
          <w:iCs/>
        </w:rPr>
        <w:t>Chlamydia trachomatis/Neisseria gonorrhoeae</w:t>
      </w:r>
      <w:r>
        <w:t xml:space="preserve"> multiplex PCR assay in routine diagnostic use on a variety of specimen types. </w:t>
      </w:r>
      <w:r w:rsidRPr="00B75CC5">
        <w:rPr>
          <w:i/>
          <w:iCs/>
        </w:rPr>
        <w:t xml:space="preserve">Commun Dis </w:t>
      </w:r>
      <w:proofErr w:type="spellStart"/>
      <w:r w:rsidRPr="00B75CC5">
        <w:rPr>
          <w:i/>
          <w:iCs/>
        </w:rPr>
        <w:t>intell</w:t>
      </w:r>
      <w:proofErr w:type="spellEnd"/>
      <w:r w:rsidRPr="00B75CC5">
        <w:rPr>
          <w:i/>
          <w:iCs/>
        </w:rPr>
        <w:t xml:space="preserve"> Q Rep</w:t>
      </w:r>
      <w:r>
        <w:t>. 2003;27(3):373–9. doi: </w:t>
      </w:r>
      <w:hyperlink r:id="rId19" w:history="1">
        <w:r w:rsidRPr="00915912">
          <w:rPr>
            <w:rStyle w:val="Hyperlink"/>
          </w:rPr>
          <w:t>https://doi.org/10.33321/cdi.2003.27.64</w:t>
        </w:r>
      </w:hyperlink>
      <w:r>
        <w:t>.</w:t>
      </w:r>
    </w:p>
    <w:p w14:paraId="7A12E631" w14:textId="4FC4FAEF" w:rsidR="00B75CC5" w:rsidRDefault="00B75CC5" w:rsidP="00B75CC5">
      <w:pPr>
        <w:pStyle w:val="CDINumberedList1L1"/>
        <w:ind w:left="397" w:hanging="397"/>
      </w:pPr>
      <w:r>
        <w:t xml:space="preserve">Smith DW, </w:t>
      </w:r>
      <w:proofErr w:type="spellStart"/>
      <w:r>
        <w:t>Tapsall</w:t>
      </w:r>
      <w:proofErr w:type="spellEnd"/>
      <w:r>
        <w:t xml:space="preserve"> JW, Lum G. Guidelines for the use and interpretation of nucleic acid detection tests for </w:t>
      </w:r>
      <w:r w:rsidRPr="00B75CC5">
        <w:rPr>
          <w:i/>
          <w:iCs/>
        </w:rPr>
        <w:t>Neisseria gonorrhoeae</w:t>
      </w:r>
      <w:r>
        <w:t xml:space="preserve"> in Australia: a position paper on behalf of the Public Health Laboratory Network. </w:t>
      </w:r>
      <w:r w:rsidRPr="00B75CC5">
        <w:rPr>
          <w:i/>
          <w:iCs/>
        </w:rPr>
        <w:t>Commun Dis Intell Q Rep</w:t>
      </w:r>
      <w:r>
        <w:t>. 2005;29(4):358–65. doi: </w:t>
      </w:r>
      <w:hyperlink r:id="rId20" w:history="1">
        <w:r w:rsidRPr="00915912">
          <w:rPr>
            <w:rStyle w:val="Hyperlink"/>
          </w:rPr>
          <w:t>https://doi.org/10.33321/cdi.2005.29.39</w:t>
        </w:r>
      </w:hyperlink>
      <w:r>
        <w:t>.</w:t>
      </w:r>
    </w:p>
    <w:p w14:paraId="1D9C1E78" w14:textId="719009D5" w:rsidR="00CC05A5" w:rsidRPr="00B652E8" w:rsidRDefault="00B75CC5" w:rsidP="00C12166">
      <w:pPr>
        <w:pStyle w:val="CDINumberedList1L1"/>
        <w:ind w:left="397" w:hanging="397"/>
      </w:pPr>
      <w:r>
        <w:t xml:space="preserve">Pryce TM. The past, present and future of molecular testing for </w:t>
      </w:r>
      <w:r w:rsidRPr="00B75CC5">
        <w:rPr>
          <w:i/>
          <w:iCs/>
        </w:rPr>
        <w:t>Neisseria gonorrhoeae</w:t>
      </w:r>
      <w:r>
        <w:t xml:space="preserve"> in Australia: still challenging. </w:t>
      </w:r>
      <w:r w:rsidRPr="00B75CC5">
        <w:rPr>
          <w:i/>
          <w:iCs/>
        </w:rPr>
        <w:t>Microbiol Aust</w:t>
      </w:r>
      <w:r>
        <w:t xml:space="preserve">. </w:t>
      </w:r>
      <w:proofErr w:type="gramStart"/>
      <w:r>
        <w:t>2024;45:132</w:t>
      </w:r>
      <w:proofErr w:type="gramEnd"/>
      <w:r>
        <w:t>–7. doi: </w:t>
      </w:r>
      <w:hyperlink r:id="rId21" w:history="1">
        <w:r w:rsidRPr="00915912">
          <w:rPr>
            <w:rStyle w:val="Hyperlink"/>
          </w:rPr>
          <w:t>https://doi.org/10.1071/MA24037</w:t>
        </w:r>
      </w:hyperlink>
      <w:r>
        <w:t>.</w:t>
      </w:r>
      <w:r w:rsidR="00CC05A5" w:rsidRPr="00B652E8">
        <w:br w:type="page"/>
      </w:r>
    </w:p>
    <w:p w14:paraId="0949A5DB" w14:textId="77777777" w:rsidR="00CC05A5" w:rsidRPr="0089025E" w:rsidRDefault="00CC05A5" w:rsidP="00CC05A5">
      <w:pPr>
        <w:pStyle w:val="CDICopyright"/>
      </w:pPr>
      <w:bookmarkStart w:id="8" w:name="_Hlk185172676"/>
      <w:r w:rsidRPr="0089025E">
        <w:t xml:space="preserve">© </w:t>
      </w:r>
      <w:fldSimple w:instr=" DOCPROPERTY  Year  \* MERGEFORMAT ">
        <w:r w:rsidR="00504CAD">
          <w:t>2025</w:t>
        </w:r>
      </w:fldSimple>
      <w:r w:rsidRPr="0089025E">
        <w:t xml:space="preserve"> Commonwealth of Australia as represented by the </w:t>
      </w:r>
      <w:r>
        <w:t>Department of Health, Disability and Ageing</w:t>
      </w:r>
    </w:p>
    <w:p w14:paraId="696C883D" w14:textId="77777777" w:rsidR="00CC05A5" w:rsidRPr="0089025E" w:rsidRDefault="00CC05A5" w:rsidP="00CC05A5">
      <w:pPr>
        <w:pStyle w:val="CDICopyright"/>
      </w:pPr>
      <w:r w:rsidRPr="0089025E">
        <w:t>ISSN: 2209-6051 Online</w:t>
      </w:r>
    </w:p>
    <w:p w14:paraId="03B38985" w14:textId="77777777" w:rsidR="00CC05A5" w:rsidRDefault="00CC05A5" w:rsidP="00CC05A5">
      <w:pPr>
        <w:pStyle w:val="CDICopyright"/>
      </w:pPr>
      <w:r w:rsidRPr="0089025E">
        <w:t>This journal is indexed by Index Medicus and Medline.</w:t>
      </w:r>
    </w:p>
    <w:p w14:paraId="19AF6260" w14:textId="77777777" w:rsidR="00CC05A5" w:rsidRPr="007F2B27" w:rsidRDefault="00CC05A5" w:rsidP="00CC05A5">
      <w:pPr>
        <w:pStyle w:val="CDICopyrightHeading"/>
      </w:pPr>
      <w:r w:rsidRPr="007F2B27">
        <w:t>Creative Commons Licence</w:t>
      </w:r>
    </w:p>
    <w:p w14:paraId="785DB30C" w14:textId="77777777" w:rsidR="00CC05A5" w:rsidRPr="0089025E" w:rsidRDefault="00CC05A5" w:rsidP="00CC05A5">
      <w:pPr>
        <w:pStyle w:val="CDICopyright"/>
      </w:pPr>
      <w:r w:rsidRPr="0089025E">
        <w:t xml:space="preserve">This publication is licensed under a Creative Commons </w:t>
      </w:r>
      <w:hyperlink r:id="rId22"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8"/>
    <w:p w14:paraId="3DAAB9B6" w14:textId="77777777" w:rsidR="00CC05A5" w:rsidRPr="007F2B27" w:rsidRDefault="00CC05A5" w:rsidP="00CC05A5">
      <w:pPr>
        <w:pStyle w:val="CDICopyrightHeading"/>
      </w:pPr>
      <w:r w:rsidRPr="007F2B27">
        <w:t>Restrictions</w:t>
      </w:r>
    </w:p>
    <w:p w14:paraId="59A359C0"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6AB70466"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p>
    <w:p w14:paraId="0A309B3E" w14:textId="77777777" w:rsidR="00CC05A5" w:rsidRPr="003C23C9" w:rsidRDefault="00CC05A5" w:rsidP="00CC05A5">
      <w:pPr>
        <w:pStyle w:val="CDICopyrightBullets"/>
      </w:pPr>
      <w:r w:rsidRPr="0022524E">
        <w:t>any logos (including the interim Australian Centre for Disease Control and the Department of Health, Disability and Ageing’s logos) and trademarks</w:t>
      </w:r>
      <w:r w:rsidRPr="003C23C9">
        <w:t>;</w:t>
      </w:r>
    </w:p>
    <w:p w14:paraId="05C0595E" w14:textId="77777777" w:rsidR="00CC05A5" w:rsidRPr="00E9313B" w:rsidRDefault="00CC05A5" w:rsidP="00CC05A5">
      <w:pPr>
        <w:pStyle w:val="CDICopyrightBullets"/>
      </w:pPr>
      <w:r w:rsidRPr="00E9313B">
        <w:t xml:space="preserve">any photographs and images; </w:t>
      </w:r>
    </w:p>
    <w:p w14:paraId="3F311555" w14:textId="77777777" w:rsidR="00CC05A5" w:rsidRPr="00E9313B" w:rsidRDefault="00CC05A5" w:rsidP="00CC05A5">
      <w:pPr>
        <w:pStyle w:val="CDICopyrightBullets"/>
      </w:pPr>
      <w:r w:rsidRPr="00E9313B">
        <w:t>any signatures; and</w:t>
      </w:r>
    </w:p>
    <w:p w14:paraId="590C41D5" w14:textId="77777777" w:rsidR="00CC05A5" w:rsidRPr="003C23C9" w:rsidRDefault="00CC05A5" w:rsidP="00CC05A5">
      <w:pPr>
        <w:pStyle w:val="CDICopyrightBullets"/>
      </w:pPr>
      <w:r w:rsidRPr="00E9313B">
        <w:t>any</w:t>
      </w:r>
      <w:r w:rsidRPr="003C23C9">
        <w:t xml:space="preserve"> material belonging to third parties.</w:t>
      </w:r>
    </w:p>
    <w:p w14:paraId="46466E0E" w14:textId="77777777" w:rsidR="00CC05A5" w:rsidRPr="00CC3648" w:rsidRDefault="00CC05A5" w:rsidP="00CC05A5">
      <w:pPr>
        <w:pStyle w:val="CDICopyrightHeading"/>
      </w:pPr>
      <w:r w:rsidRPr="00CC3648">
        <w:t>Disclaimer</w:t>
      </w:r>
    </w:p>
    <w:p w14:paraId="16F8FB96"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 the interim Australian Centre for Disease Control or the Department of Health, Disability and Ageing</w:t>
      </w:r>
      <w:r w:rsidRPr="0089025E">
        <w:t>. Data may be subject to revision.</w:t>
      </w:r>
    </w:p>
    <w:p w14:paraId="68D85D91" w14:textId="77777777" w:rsidR="00CC05A5" w:rsidRPr="007F2B27" w:rsidRDefault="00CC05A5" w:rsidP="00CC05A5">
      <w:pPr>
        <w:pStyle w:val="CDICopyrightHeading"/>
      </w:pPr>
      <w:r w:rsidRPr="007F2B27">
        <w:t>Enquiries</w:t>
      </w:r>
    </w:p>
    <w:p w14:paraId="4F8A66BB"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23" w:history="1">
        <w:r w:rsidRPr="00E9313B">
          <w:rPr>
            <w:rStyle w:val="Hyperlink"/>
          </w:rPr>
          <w:t>CDI Editor</w:t>
        </w:r>
      </w:hyperlink>
      <w:r>
        <w:t>.</w:t>
      </w:r>
    </w:p>
    <w:p w14:paraId="0B93F2B9" w14:textId="77777777" w:rsidR="00CC05A5" w:rsidRPr="00A65DFA" w:rsidRDefault="00CC05A5" w:rsidP="00CC05A5">
      <w:pPr>
        <w:pStyle w:val="CDIAbout"/>
      </w:pPr>
      <w:bookmarkStart w:id="9" w:name="_Toc190257376"/>
      <w:r>
        <w:t xml:space="preserve">About </w:t>
      </w:r>
      <w:bookmarkEnd w:id="9"/>
      <w:r>
        <w:t>CDI</w:t>
      </w:r>
    </w:p>
    <w:p w14:paraId="45D34E11"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5666B81E" w14:textId="77777777" w:rsidR="00CC05A5" w:rsidRDefault="00CC05A5" w:rsidP="00CC05A5">
      <w:pPr>
        <w:pStyle w:val="CDIAbouttextLess"/>
      </w:pPr>
      <w:r w:rsidRPr="009572C6">
        <w:t>The journal aims to disseminate information on the epidemiology, surveillance, prevention and control of communicable diseases of relevance to Australia and the near region.</w:t>
      </w:r>
    </w:p>
    <w:p w14:paraId="3DB23DDA" w14:textId="77777777" w:rsidR="00CC05A5" w:rsidRPr="00D8087F" w:rsidRDefault="00CC05A5" w:rsidP="00CC05A5">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79FB9DB2" w14:textId="77777777" w:rsidR="00CC05A5" w:rsidRPr="00D8087F" w:rsidRDefault="00CC05A5" w:rsidP="00CC05A5">
      <w:pPr>
        <w:pStyle w:val="CDIAbouttext"/>
      </w:pPr>
      <w:hyperlink r:id="rId24" w:history="1">
        <w:r w:rsidRPr="00C97898">
          <w:rPr>
            <w:rStyle w:val="Hyperlink"/>
            <w:b/>
            <w:bCs/>
          </w:rPr>
          <w:t>Editorial Advisory Board</w:t>
        </w:r>
      </w:hyperlink>
      <w:r w:rsidRPr="00D8087F">
        <w:t>: David Durrheim, Mark Ferson, Clare Huppatz, John Kaldor, Martyn Kirk and Meru Sheel</w:t>
      </w:r>
    </w:p>
    <w:p w14:paraId="44DDBD22"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09ADAAC8" w14:textId="77777777" w:rsidR="00CC05A5" w:rsidRPr="0089025E" w:rsidRDefault="00CC05A5" w:rsidP="00CC05A5">
      <w:pPr>
        <w:pStyle w:val="CDIAbouttextLess"/>
      </w:pPr>
      <w:hyperlink r:id="rId25" w:history="1">
        <w:r w:rsidRPr="009572C6">
          <w:rPr>
            <w:rStyle w:val="Hyperlink"/>
          </w:rPr>
          <w:t>Guidelines for authors</w:t>
        </w:r>
      </w:hyperlink>
      <w:r w:rsidRPr="009572C6">
        <w:t xml:space="preserve"> and details on how to submit your publication is available on our website, or by email to the</w:t>
      </w:r>
      <w:r>
        <w:br/>
      </w:r>
      <w:hyperlink r:id="rId26" w:history="1">
        <w:r w:rsidRPr="00E9313B">
          <w:rPr>
            <w:rStyle w:val="Hyperlink"/>
          </w:rPr>
          <w:t>CDI Editor</w:t>
        </w:r>
      </w:hyperlink>
      <w:r>
        <w:t>.</w:t>
      </w:r>
    </w:p>
    <w:p w14:paraId="667D5D92" w14:textId="77777777" w:rsidR="00CC05A5" w:rsidRPr="00B87589" w:rsidRDefault="00CC05A5" w:rsidP="00CC05A5">
      <w:pPr>
        <w:pStyle w:val="CDIAbouttext"/>
        <w:rPr>
          <w:b/>
          <w:bCs/>
        </w:rPr>
      </w:pPr>
      <w:r w:rsidRPr="00B87589">
        <w:rPr>
          <w:b/>
          <w:bCs/>
        </w:rPr>
        <w:t>Contact us</w:t>
      </w:r>
    </w:p>
    <w:p w14:paraId="727B9C9A" w14:textId="77777777" w:rsidR="00CC05A5" w:rsidRPr="00087CC4" w:rsidRDefault="00CC05A5" w:rsidP="00CC05A5">
      <w:pPr>
        <w:pStyle w:val="CDIAbouttextLess"/>
      </w:pPr>
      <w:r w:rsidRPr="009572C6">
        <w:t>Communicable Diseases Intelligence</w:t>
      </w:r>
      <w:r w:rsidRPr="00087CC4">
        <w:t xml:space="preserve"> (CDI)</w:t>
      </w:r>
    </w:p>
    <w:p w14:paraId="0B33B5BC" w14:textId="77777777" w:rsidR="00CC05A5" w:rsidRPr="00087CC4" w:rsidRDefault="00CC05A5" w:rsidP="00CC05A5">
      <w:pPr>
        <w:pStyle w:val="CDIAbouttextLess"/>
      </w:pPr>
      <w:r>
        <w:t>interim Australian Centre for Disease Control, Department of Health, Disability and Ageing</w:t>
      </w:r>
    </w:p>
    <w:p w14:paraId="59CFB574" w14:textId="77777777" w:rsidR="00CC05A5" w:rsidRPr="0089025E" w:rsidRDefault="00CC05A5" w:rsidP="00CC05A5">
      <w:pPr>
        <w:pStyle w:val="CDIAbouttextLess"/>
      </w:pPr>
      <w:r w:rsidRPr="00087CC4">
        <w:t>GPO Box 9848, CANBERRA</w:t>
      </w:r>
      <w:r w:rsidRPr="0089025E">
        <w:t xml:space="preserve"> ACT 2601</w:t>
      </w:r>
    </w:p>
    <w:p w14:paraId="1070F9E9" w14:textId="77777777" w:rsidR="00CC05A5" w:rsidRDefault="00CC05A5" w:rsidP="00CC05A5">
      <w:pPr>
        <w:pStyle w:val="CDIAbouttextLess"/>
      </w:pPr>
      <w:r w:rsidRPr="0089025E">
        <w:t xml:space="preserve">Website: </w:t>
      </w:r>
      <w:hyperlink r:id="rId27" w:history="1">
        <w:r>
          <w:rPr>
            <w:rStyle w:val="Hyperlink"/>
          </w:rPr>
          <w:t>cdc.gov.au/cdi</w:t>
        </w:r>
      </w:hyperlink>
    </w:p>
    <w:p w14:paraId="59302028" w14:textId="77777777" w:rsidR="00CC05A5" w:rsidRPr="00CA2A15" w:rsidRDefault="00CC05A5" w:rsidP="00CC05A5">
      <w:pPr>
        <w:pStyle w:val="CDIAbouttextLess"/>
      </w:pPr>
      <w:r w:rsidRPr="0089025E">
        <w:t xml:space="preserve">Email: </w:t>
      </w:r>
      <w:hyperlink r:id="rId28" w:history="1">
        <w:r w:rsidRPr="000C6EB5">
          <w:rPr>
            <w:rStyle w:val="Hyperlink"/>
          </w:rPr>
          <w:t>cdi.editor@health.gov.au</w:t>
        </w:r>
      </w:hyperlink>
    </w:p>
    <w:sectPr w:rsidR="00CC05A5" w:rsidRPr="00CA2A15" w:rsidSect="00256B63">
      <w:headerReference w:type="even" r:id="rId29"/>
      <w:headerReference w:type="default" r:id="rId30"/>
      <w:footerReference w:type="even" r:id="rId31"/>
      <w:footerReference w:type="default" r:id="rId32"/>
      <w:headerReference w:type="first" r:id="rId33"/>
      <w:footerReference w:type="first" r:id="rId34"/>
      <w:footnotePr>
        <w:numFmt w:val="lowerRoman"/>
      </w:footnotePr>
      <w:pgSz w:w="11907" w:h="16840"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0E9F" w14:textId="77777777" w:rsidR="00504CAD" w:rsidRDefault="00504CAD" w:rsidP="00E54DBA">
      <w:r>
        <w:separator/>
      </w:r>
    </w:p>
    <w:p w14:paraId="37CDB909" w14:textId="77777777" w:rsidR="00504CAD" w:rsidRDefault="00504CAD"/>
    <w:p w14:paraId="6A406EDA" w14:textId="77777777" w:rsidR="00504CAD" w:rsidRDefault="00504CAD" w:rsidP="008714B0"/>
  </w:endnote>
  <w:endnote w:type="continuationSeparator" w:id="0">
    <w:p w14:paraId="4CE83104" w14:textId="77777777" w:rsidR="00504CAD" w:rsidRDefault="00504CAD" w:rsidP="00E54DBA">
      <w:r>
        <w:continuationSeparator/>
      </w:r>
    </w:p>
    <w:p w14:paraId="02AD5666" w14:textId="77777777" w:rsidR="00504CAD" w:rsidRDefault="00504CAD"/>
    <w:p w14:paraId="4ED848C4" w14:textId="77777777" w:rsidR="00504CAD" w:rsidRDefault="00504CA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233B"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302B6C5F" wp14:editId="0CE94145">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D2889D7"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2B6C5F"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2D2889D7"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BADA" w14:textId="25271FC3"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504CAD">
        <w:t>2025</w:t>
      </w:r>
    </w:fldSimple>
    <w:r w:rsidR="009B78A9">
      <w:t>;</w:t>
    </w:r>
    <w:fldSimple w:instr=" DOCPROPERTY  Vol  \* MERGEFORMAT ">
      <w:r w:rsidR="00504CAD">
        <w:t>49</w:t>
      </w:r>
    </w:fldSimple>
    <w:r w:rsidR="00385655" w:rsidRPr="001D0612">
      <w:t xml:space="preserve"> </w:t>
    </w:r>
    <w:r w:rsidR="00385655" w:rsidRPr="00B85B74">
      <w:t>•</w:t>
    </w:r>
    <w:r w:rsidR="00385655">
      <w:t xml:space="preserve"> </w:t>
    </w:r>
    <w:fldSimple w:instr=" DOCPROPERTY  DOI  \* MERGEFORMAT ">
      <w:r w:rsidR="008728DB">
        <w:t>doi.org/10.33321/cdi.2025.49.067</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8728DB">
        <w:t>17.12.2025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5186"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C637" w14:textId="77777777" w:rsidR="00504CAD" w:rsidRPr="00B91FB5" w:rsidRDefault="00504CAD" w:rsidP="00B91FB5">
      <w:pPr>
        <w:spacing w:line="240" w:lineRule="auto"/>
        <w:rPr>
          <w:sz w:val="18"/>
          <w:szCs w:val="18"/>
        </w:rPr>
      </w:pPr>
      <w:r w:rsidRPr="00B91FB5">
        <w:rPr>
          <w:sz w:val="18"/>
          <w:szCs w:val="18"/>
        </w:rPr>
        <w:separator/>
      </w:r>
    </w:p>
  </w:footnote>
  <w:footnote w:type="continuationSeparator" w:id="0">
    <w:p w14:paraId="3C43B126" w14:textId="77777777" w:rsidR="00504CAD" w:rsidRDefault="00504CAD" w:rsidP="00E54DBA">
      <w:r>
        <w:continuationSeparator/>
      </w:r>
    </w:p>
  </w:footnote>
  <w:footnote w:type="continuationNotice" w:id="1">
    <w:p w14:paraId="0B5423BF" w14:textId="77777777" w:rsidR="00504CAD" w:rsidRPr="00224EFF" w:rsidRDefault="00504CAD"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97E3"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409B6050" wp14:editId="23CAA512">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0361D8B"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9B6050"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70361D8B"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A445"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DF16" w14:textId="77777777" w:rsidR="00B87589" w:rsidRDefault="00256B63">
    <w:pPr>
      <w:pStyle w:val="Header"/>
    </w:pPr>
    <w:r>
      <w:rPr>
        <w:noProof/>
        <w14:ligatures w14:val="none"/>
      </w:rPr>
      <mc:AlternateContent>
        <mc:Choice Requires="wps">
          <w:drawing>
            <wp:anchor distT="0" distB="0" distL="0" distR="0" simplePos="0" relativeHeight="251658240" behindDoc="0" locked="0" layoutInCell="1" allowOverlap="1" wp14:anchorId="6B79B5DA" wp14:editId="37425878">
              <wp:simplePos x="635" y="635"/>
              <wp:positionH relativeFrom="page">
                <wp:align>center</wp:align>
              </wp:positionH>
              <wp:positionV relativeFrom="page">
                <wp:align>top</wp:align>
              </wp:positionV>
              <wp:extent cx="551815" cy="518795"/>
              <wp:effectExtent l="0" t="0" r="635" b="14605"/>
              <wp:wrapNone/>
              <wp:docPr id="15166745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42E722A"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79B5DA"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442E722A"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0DA6EFF0"/>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785885903">
    <w:abstractNumId w:val="1"/>
    <w:lvlOverride w:ilvl="0">
      <w:startOverride w:val="1"/>
    </w:lvlOverride>
  </w:num>
  <w:num w:numId="11" w16cid:durableId="926769880">
    <w:abstractNumId w:val="1"/>
    <w:lvlOverride w:ilvl="0">
      <w:startOverride w:val="1"/>
    </w:lvlOverride>
  </w:num>
  <w:num w:numId="12" w16cid:durableId="1813017589">
    <w:abstractNumId w:val="1"/>
    <w:lvlOverride w:ilvl="0">
      <w:startOverride w:val="1"/>
    </w:lvlOverride>
  </w:num>
  <w:num w:numId="13" w16cid:durableId="1126502886">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AD"/>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6B63"/>
    <w:rsid w:val="00257484"/>
    <w:rsid w:val="00260636"/>
    <w:rsid w:val="00262EA6"/>
    <w:rsid w:val="00264B29"/>
    <w:rsid w:val="00271AFA"/>
    <w:rsid w:val="00275C5C"/>
    <w:rsid w:val="00275C78"/>
    <w:rsid w:val="00275F5D"/>
    <w:rsid w:val="002802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4CAD"/>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E2B"/>
    <w:rsid w:val="00854079"/>
    <w:rsid w:val="00856FF3"/>
    <w:rsid w:val="0086228F"/>
    <w:rsid w:val="00862C50"/>
    <w:rsid w:val="00863F8D"/>
    <w:rsid w:val="008673F6"/>
    <w:rsid w:val="00867976"/>
    <w:rsid w:val="008714B0"/>
    <w:rsid w:val="008728DB"/>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75CC5"/>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1206"/>
    <w:rsid w:val="00D05837"/>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396"/>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98B03"/>
  <w15:docId w15:val="{1EC5A1C4-C1F8-4140-A2A7-5254FF85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112436"/>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112436"/>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11243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11243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BB3320"/>
    <w:pPr>
      <w:numPr>
        <w:numId w:val="2"/>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75CC5"/>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75CC5"/>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5138AF"/>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umberedList1L1">
    <w:name w:val="Numbered List (1.) L1"/>
    <w:basedOn w:val="BodyText"/>
    <w:uiPriority w:val="99"/>
    <w:rsid w:val="00B75CC5"/>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237424" TargetMode="External"/><Relationship Id="rId18" Type="http://schemas.openxmlformats.org/officeDocument/2006/relationships/hyperlink" Target="https://doi.org/10.1071/MA07007" TargetMode="External"/><Relationship Id="rId26"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https://doi.org/10.1071/MA24037"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i.org/10.33321/cdi.2025.49.056" TargetMode="External"/><Relationship Id="rId17" Type="http://schemas.openxmlformats.org/officeDocument/2006/relationships/hyperlink" Target="https://doi.org/10.2353/jmoldx.2006.050045" TargetMode="External"/><Relationship Id="rId25" Type="http://schemas.openxmlformats.org/officeDocument/2006/relationships/hyperlink" Target="https://www.cdc.gov.au/topics/communicable-diseases/cdi/author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1128/jcm.01039-23" TargetMode="External"/><Relationship Id="rId20" Type="http://schemas.openxmlformats.org/officeDocument/2006/relationships/hyperlink" Target="https://doi.org/10.33321/cdi.2005.29.3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whiley@uq.edu.au" TargetMode="External"/><Relationship Id="rId24" Type="http://schemas.openxmlformats.org/officeDocument/2006/relationships/hyperlink" Target="https://www.cdc.gov.au/topics/communicable-diseases/cdi/eab"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1128/jcm.00485-13" TargetMode="External"/><Relationship Id="rId23" Type="http://schemas.openxmlformats.org/officeDocument/2006/relationships/hyperlink" Target="mailto:cdi.editor@health.gov.au" TargetMode="External"/><Relationship Id="rId28" Type="http://schemas.openxmlformats.org/officeDocument/2006/relationships/hyperlink" Target="mailto:cdi.editor@health.gov.au" TargetMode="External"/><Relationship Id="rId36" Type="http://schemas.openxmlformats.org/officeDocument/2006/relationships/theme" Target="theme/theme1.xml"/><Relationship Id="rId10" Type="http://schemas.openxmlformats.org/officeDocument/2006/relationships/hyperlink" Target="https://www.cdc.gov.au/topics/communicable-diseases/cdi" TargetMode="External"/><Relationship Id="rId19" Type="http://schemas.openxmlformats.org/officeDocument/2006/relationships/hyperlink" Target="https://doi.org/10.33321/cdi.2003.27.64"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33321/cdi.2015.39.6" TargetMode="External"/><Relationship Id="rId22" Type="http://schemas.openxmlformats.org/officeDocument/2006/relationships/hyperlink" Target="https://creativecommons.org/licenses/by-nc-nd/4.0/legalcode" TargetMode="External"/><Relationship Id="rId27" Type="http://schemas.openxmlformats.org/officeDocument/2006/relationships/hyperlink" Target="https://www.cdc.gov.au/topics/communicable-diseases/cdi"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banner-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CDI-banner-template-2025.dotx</Template>
  <TotalTime>4</TotalTime>
  <Pages>6</Pages>
  <Words>1801</Words>
  <Characters>12554</Characters>
  <Application>Microsoft Office Word</Application>
  <DocSecurity>0</DocSecurity>
  <Lines>209</Lines>
  <Paragraphs>63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Communicable Diseases Intelligence - 2025 Review of Public Health Laboratory Network Australia Neisseria gonorrhoeae National Nucleic Acid Amplification Testing Guidelines</vt:lpstr>
      <vt:lpstr>Abstract</vt:lpstr>
      <vt:lpstr>Acknowledgments</vt:lpstr>
      <vt:lpstr>Author details</vt:lpstr>
      <vt:lpstr>    Corresponding author</vt:lpstr>
      <vt:lpstr>References</vt:lpstr>
      <vt:lpstr>Appendix A</vt:lpstr>
    </vt:vector>
  </TitlesOfParts>
  <Company>interim Australian Centre for Disease Control within the Department of Health, Disability and Ageing</Company>
  <LinksUpToDate>false</LinksUpToDate>
  <CharactersWithSpaces>14292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- 2025 Review of Public Health Laboratory Network Australia Neisseria gonorrhoeae National Nucleic Acid Amplification Testing Guidelines</dc:title>
  <dc:subject>This review of the Public Health Laboratory Network (PHLN) Australia guidelines for national Neisseria gonorrhoeae Nucleic Acid Amplification Testing (NAAT) updates the guidelines previously provided in 2015, in light of the availability of newer NAATs for which improved reliability has been claimed. Based on a 2024 appraisal by the National Neisseria Network, and with a goal of attaining a positive predictive value of 95% for applied testing, to meet World Health Organization guidelines, it is recommended that supplementary testing (a requirement for a confirmatory assay following NAAT) continue on pharyngeal and rectal samples; and that such supplementary testing be discretionary for urogenital samples, but recommended when testing low-risk populations. </dc:subject>
  <dc:creator>David M Whiley; Sebastiaan van Hal; Todd M Pryce; Monica M Lahra; National Neisseria Network; Public Health Laboratory Network</dc:creator>
  <cp:keywords>gonorrhoea; NAAT; supplementary; comment</cp:keywords>
  <dc:description>© 2025 Commonwealth of Australia as represented by the Department of Health, Disability and Ageing. This publication is licenced under a CC BY-NC-ND licence.</dc:description>
  <cp:revision>3</cp:revision>
  <cp:lastPrinted>2024-03-07T01:06:00Z</cp:lastPrinted>
  <dcterms:created xsi:type="dcterms:W3CDTF">2025-12-01T22:21:00Z</dcterms:created>
  <dcterms:modified xsi:type="dcterms:W3CDTF">2025-12-02T03:54:00Z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17.12.2025</vt:lpwstr>
  </property>
  <property fmtid="{D5CDD505-2E9C-101B-9397-08002B2CF9AE}" pid="5" name="DOI">
    <vt:lpwstr>doi.org/10.33321/cdi.2025.49.067</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