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397" w:rsidRDefault="00AB0397" w:rsidP="00AB0397">
      <w:pPr>
        <w:pStyle w:val="Title"/>
        <w:rPr>
          <w:rFonts w:eastAsia="Times New Roman"/>
          <w:sz w:val="48"/>
          <w:szCs w:val="48"/>
        </w:rPr>
      </w:pPr>
      <w:r>
        <w:rPr>
          <w:rFonts w:eastAsia="Times New Roman"/>
        </w:rPr>
        <w:t xml:space="preserve">COVID-19 Australia: Epidemiology Report 38 </w:t>
      </w:r>
    </w:p>
    <w:p w:rsidR="00AB0397" w:rsidRDefault="00AB0397" w:rsidP="00C47EEC">
      <w:pPr>
        <w:pStyle w:val="Subtitle"/>
        <w:spacing w:after="0"/>
        <w:rPr>
          <w:rFonts w:eastAsia="Times New Roman"/>
        </w:rPr>
      </w:pPr>
      <w:r>
        <w:rPr>
          <w:rFonts w:eastAsia="Times New Roman"/>
        </w:rPr>
        <w:t xml:space="preserve">Reporting period ending 28 March 2021 </w:t>
      </w:r>
    </w:p>
    <w:p w:rsidR="00AB0397" w:rsidRDefault="00AB0397" w:rsidP="00C47EEC">
      <w:pPr>
        <w:spacing w:before="100" w:after="100"/>
      </w:pPr>
      <w:r>
        <w:t xml:space="preserve">COVID-19 National Incident Room Surveillance Team </w:t>
      </w:r>
    </w:p>
    <w:p w:rsidR="00AB0397" w:rsidRPr="00AB0397" w:rsidRDefault="00AB0397" w:rsidP="00C47EEC">
      <w:pPr>
        <w:pStyle w:val="Heading1"/>
        <w:spacing w:before="100"/>
      </w:pPr>
      <w:r w:rsidRPr="00AB0397">
        <w:t xml:space="preserve">Summary </w:t>
      </w:r>
    </w:p>
    <w:bookmarkStart w:id="0" w:name="_GoBack"/>
    <w:p w:rsidR="004C749C" w:rsidRDefault="004C749C" w:rsidP="00AB0397">
      <w:pPr>
        <w:rPr>
          <w:rStyle w:val="Strong"/>
          <w:rFonts w:eastAsia="Times New Roman"/>
          <w:bCs w:val="0"/>
        </w:rPr>
      </w:pPr>
      <w:r w:rsidRPr="004C749C">
        <w:rPr>
          <w:rStyle w:val="Strong"/>
          <w:rFonts w:eastAsia="Times New Roman"/>
          <w:bCs w:val="0"/>
          <w:noProof/>
        </w:rPr>
        <mc:AlternateContent>
          <mc:Choice Requires="wps">
            <w:drawing>
              <wp:inline distT="0" distB="0" distL="0" distR="0">
                <wp:extent cx="6625424" cy="7609399"/>
                <wp:effectExtent l="0" t="0" r="23495" b="1079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7609399"/>
                        </a:xfrm>
                        <a:prstGeom prst="rect">
                          <a:avLst/>
                        </a:prstGeom>
                        <a:solidFill>
                          <a:srgbClr val="FEFBF8"/>
                        </a:solidFill>
                        <a:ln w="6350">
                          <a:solidFill>
                            <a:schemeClr val="accent6">
                              <a:lumMod val="20000"/>
                              <a:lumOff val="80000"/>
                            </a:schemeClr>
                          </a:solidFill>
                          <a:miter lim="800000"/>
                          <a:headEnd/>
                          <a:tailEnd/>
                        </a:ln>
                      </wps:spPr>
                      <wps:txbx>
                        <w:txbxContent>
                          <w:p w:rsidR="001A5340" w:rsidRPr="00AB0397" w:rsidRDefault="001A5340" w:rsidP="004C749C">
                            <w:pPr>
                              <w:rPr>
                                <w:rFonts w:eastAsia="Times New Roman"/>
                              </w:rPr>
                            </w:pPr>
                            <w:r w:rsidRPr="00AB0397">
                              <w:rPr>
                                <w:rStyle w:val="Strong"/>
                                <w:rFonts w:eastAsia="Times New Roman"/>
                                <w:bCs w:val="0"/>
                              </w:rPr>
                              <w:t xml:space="preserve">Two-week reporting period: </w:t>
                            </w:r>
                          </w:p>
                          <w:p w:rsidR="001A5340" w:rsidRDefault="001A5340" w:rsidP="004C749C">
                            <w:pPr>
                              <w:pStyle w:val="NormalWeb"/>
                            </w:pPr>
                            <w:r>
                              <w:rPr>
                                <w:rStyle w:val="Strong"/>
                              </w:rPr>
                              <w:t>Trends</w:t>
                            </w:r>
                            <w:r>
                              <w:t xml:space="preserve"> – The number of COVID-19 cases reported in Australia remains relatively low. The daily average number of cases for this reporting period was nine, similar to the previous fortnight. There were 125 cases of COVID-19 and no deaths this fortnight, bringing the cumulative case count to 29,192 with 909 deaths. </w:t>
                            </w:r>
                          </w:p>
                          <w:p w:rsidR="001A5340" w:rsidRDefault="001A5340" w:rsidP="004C749C">
                            <w:pPr>
                              <w:pStyle w:val="NormalWeb"/>
                            </w:pPr>
                            <w:r>
                              <w:rPr>
                                <w:rStyle w:val="Strong"/>
                              </w:rPr>
                              <w:t xml:space="preserve">Local cases </w:t>
                            </w:r>
                            <w:r>
                              <w:t xml:space="preserve">– There were 11 </w:t>
                            </w:r>
                            <w:proofErr w:type="gramStart"/>
                            <w:r>
                              <w:t>locally-acquired</w:t>
                            </w:r>
                            <w:proofErr w:type="gramEnd"/>
                            <w:r>
                              <w:t xml:space="preserve"> cases reported in Australia this fortnight, ten from Queensland and one from New South Wales. </w:t>
                            </w:r>
                          </w:p>
                          <w:p w:rsidR="001A5340" w:rsidRDefault="001A5340" w:rsidP="004C749C">
                            <w:pPr>
                              <w:pStyle w:val="NormalWeb"/>
                            </w:pPr>
                            <w:r>
                              <w:rPr>
                                <w:rStyle w:val="Strong"/>
                              </w:rPr>
                              <w:t xml:space="preserve">Overseas cases </w:t>
                            </w:r>
                            <w:r>
                              <w:t xml:space="preserve">– There were 113 overseas-acquired cases this reporting period. Of these, almost half (47%; 53/113) were reported from Queensland. Of the Queensland overseas-acquired cases with a known country of acquisition, 70% (28/40) were reported as from Papua New Guinea. </w:t>
                            </w:r>
                          </w:p>
                          <w:p w:rsidR="001A5340" w:rsidRDefault="001A5340" w:rsidP="004C749C">
                            <w:pPr>
                              <w:pStyle w:val="NormalWeb"/>
                            </w:pPr>
                            <w:r>
                              <w:rPr>
                                <w:rStyle w:val="Strong"/>
                              </w:rPr>
                              <w:t xml:space="preserve">Testing </w:t>
                            </w:r>
                            <w:r>
                              <w:t xml:space="preserve">– Testing rates decreased by 11% compared to the previous fortnight. The cumulative positivity rate remains low at 0.02%. </w:t>
                            </w:r>
                          </w:p>
                          <w:p w:rsidR="001A5340" w:rsidRDefault="001A5340" w:rsidP="004C749C">
                            <w:pPr>
                              <w:pStyle w:val="NormalWeb"/>
                            </w:pPr>
                            <w:r>
                              <w:rPr>
                                <w:rStyle w:val="Strong"/>
                              </w:rPr>
                              <w:t xml:space="preserve">Vaccinations </w:t>
                            </w:r>
                            <w:r>
                              <w:t xml:space="preserve">–As at 28 March 2021, 541,761 doses of COVID-19 vaccine have been administered to Australians. </w:t>
                            </w:r>
                          </w:p>
                          <w:p w:rsidR="001A5340" w:rsidRDefault="001A5340" w:rsidP="004C749C">
                            <w:pPr>
                              <w:pStyle w:val="NormalWeb"/>
                            </w:pPr>
                            <w:r>
                              <w:rPr>
                                <w:rStyle w:val="Strong"/>
                              </w:rPr>
                              <w:t xml:space="preserve">Four-week reporting period: </w:t>
                            </w:r>
                          </w:p>
                          <w:p w:rsidR="001A5340" w:rsidRDefault="001A5340" w:rsidP="004C749C">
                            <w:pPr>
                              <w:pStyle w:val="NormalWeb"/>
                            </w:pPr>
                            <w:r>
                              <w:rPr>
                                <w:rStyle w:val="Strong"/>
                              </w:rPr>
                              <w:t>Virology</w:t>
                            </w:r>
                            <w:r>
                              <w:t xml:space="preserve"> – Nationally, SARS-CoV-2 strains from 58% of COVID-19 cases have been sequenced during the pandemic. During 2021, there has been an increase in the number of cases infected with SARS-CoV-2 variants of concern (VOC) in Australia. </w:t>
                            </w:r>
                            <w:proofErr w:type="spellStart"/>
                            <w:r>
                              <w:t>AusTrakka</w:t>
                            </w:r>
                            <w:proofErr w:type="spellEnd"/>
                            <w:r>
                              <w:t xml:space="preserve"> is actively monitoring and reporting on these variants and has so far identified 200 samples of B.1.1.7 (a.k.a. VOC-202012/01 or 20I/501Y.V1); 35 samples of B.1.351 (a.k.a. VOC-202012/02 or 20H/501Y.V2)</w:t>
                            </w:r>
                            <w:proofErr w:type="gramStart"/>
                            <w:r>
                              <w:t>;</w:t>
                            </w:r>
                            <w:proofErr w:type="gramEnd"/>
                            <w:r>
                              <w:t xml:space="preserve"> and two samples of P.1 (a.k.a. VOC-202101/02 or 20J/501Y.V3) in Australia. </w:t>
                            </w:r>
                          </w:p>
                          <w:p w:rsidR="001A5340" w:rsidRDefault="001A5340" w:rsidP="004C749C">
                            <w:pPr>
                              <w:pStyle w:val="NormalWeb"/>
                            </w:pPr>
                            <w:r>
                              <w:rPr>
                                <w:rStyle w:val="Strong"/>
                              </w:rPr>
                              <w:t>Severity</w:t>
                            </w:r>
                            <w:r>
                              <w:t xml:space="preserve"> – For all cases since the beginning of the pandemic, 14% have been admitted to hospital. According to sentinel surveillance data, 19% of hospitalised patients were admitted to an intensive care unit. Australia’s case fatality rate has remained stable at 3.1%, with no COVID-19 related deaths occurring in the past four weeks. </w:t>
                            </w:r>
                          </w:p>
                          <w:p w:rsidR="001A5340" w:rsidRDefault="001A5340" w:rsidP="004C749C">
                            <w:pPr>
                              <w:pStyle w:val="NormalWeb"/>
                            </w:pPr>
                            <w:r>
                              <w:rPr>
                                <w:rStyle w:val="Strong"/>
                              </w:rPr>
                              <w:t>Hospital occupancy</w:t>
                            </w:r>
                            <w:r>
                              <w:t xml:space="preserve"> – The average daily number of COVID-19 cases in hospital across Australia for the reporting period was 47, a four-fold increase compared to the daily average from the previous reporting period of 12. </w:t>
                            </w:r>
                          </w:p>
                          <w:p w:rsidR="001A5340" w:rsidRDefault="001A5340" w:rsidP="004C749C">
                            <w:pPr>
                              <w:pStyle w:val="NormalWeb"/>
                            </w:pPr>
                            <w:r>
                              <w:rPr>
                                <w:rStyle w:val="Strong"/>
                              </w:rPr>
                              <w:t>Public health measures</w:t>
                            </w:r>
                            <w:r>
                              <w:t xml:space="preserve"> – An overall easing of restrictions was experienced across most jurisdictions in the reporting period. </w:t>
                            </w:r>
                          </w:p>
                          <w:p w:rsidR="001A5340" w:rsidRDefault="001A5340" w:rsidP="004C749C">
                            <w:pPr>
                              <w:pStyle w:val="NormalWeb"/>
                            </w:pPr>
                            <w:r>
                              <w:rPr>
                                <w:rStyle w:val="Strong"/>
                              </w:rPr>
                              <w:t>International situation</w:t>
                            </w:r>
                            <w:r>
                              <w:t xml:space="preserve"> – Cumulative global COVID-19 cases and deaths now exceed 126 million and 2.7 million respectively. Papua New Guinea and Timor-Leste both experienced rapidly increasing rates of COVID-19 cases during this reporting period.</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21.7pt;height:59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uGHSgIAAIUEAAAOAAAAZHJzL2Uyb0RvYy54bWysVNuO2jAQfa/Uf7D8XhKywEJEWO2yS1Vp&#10;e5F2+wHGcYhV25PahoR+/Y6dQKF9q/oSeS4+PjNnJsu7TityENZJMAUdj1JKhOFQSrMr6PfXzYc5&#10;Jc4zUzIFRhT0KBy9W71/t2ybXGRQgyqFJQhiXN42Ba29b/IkcbwWmrkRNMJgsAKrmUfT7pLSshbR&#10;tUqyNJ0lLdiyscCFc+h97IN0FfGrSnD/taqc8EQVFLn5+LXxuw3fZLVk+c6yppZ8oMH+gYVm0uCj&#10;Z6hH5hnZW/kXlJbcgoPKjzjoBKpKchFrwGrG6R/VvNSsEbEWbI5rzm1y/w+Wfzl8s0SWBc3Gt5QY&#10;plGkV9F58gAdyUJ/2sblmPbSYKLv0I06x1pd8wz8hyMG1jUzO3FvLbS1YCXyG4ebycXVHscFkG37&#10;GUp8hu09RKCusjo0D9tBEB11Op61CVQ4OmezbDrJJpRwjN3O0sXNYhHfYPnpemOd/yhAk3AoqEXx&#10;Izw7PDsf6LD8lBJec6BkuZFKRcPutmtlyYHhoGyeNg+b+YB+laYMaZHLzTTtO3AFEWZWnEEY58L4&#10;WcxTe40l9+A4tekwd+jG6ezd85MbWcbpD0iR8xUBLT3ui5K6oPHGgBS6/mTKOM2eSdWfEUqZQYbQ&#10;+V4D3227QdYtlEcUxEK/F7jHeKjB/qKkxZ0oqPu5Z1ZQoj4ZFHUxnkzCEkVjMr3N0LCXke1lhBmO&#10;UAX1lPTHtY+LF9pt4B7Fr2SUJUxJz2TgirMeKx/2MizTpR2zfv89Vm8AAAD//wMAUEsDBBQABgAI&#10;AAAAIQBTRG2u3wAAAAcBAAAPAAAAZHJzL2Rvd25yZXYueG1sTI/NTsMwEITvSLyDtUhcELVDKigh&#10;ToWQuJQ/0YLEcRsvSYS9DrHbBp4elwtcVrOa1cy35Xx0VmxpCJ1nDdlEgSCuvem40fCyuj2dgQgR&#10;2aD1TBq+KMC8OjwosTB+x8+0XcZGpBAOBWpoY+wLKUPdksMw8T1x8t794DCmdWikGXCXwp2VZ0qd&#10;S4cdp4YWe7ppqf5YbpwGyh/Gb7moP+/t2+PTSr1enCyyO62Pj8brKxCRxvh3DHv8hA5VYlr7DZsg&#10;rIb0SPyde09N8ymIdVLZ5SwHWZXyP3/1AwAA//8DAFBLAQItABQABgAIAAAAIQC2gziS/gAAAOEB&#10;AAATAAAAAAAAAAAAAAAAAAAAAABbQ29udGVudF9UeXBlc10ueG1sUEsBAi0AFAAGAAgAAAAhADj9&#10;If/WAAAAlAEAAAsAAAAAAAAAAAAAAAAALwEAAF9yZWxzLy5yZWxzUEsBAi0AFAAGAAgAAAAhACu6&#10;4YdKAgAAhQQAAA4AAAAAAAAAAAAAAAAALgIAAGRycy9lMm9Eb2MueG1sUEsBAi0AFAAGAAgAAAAh&#10;AFNEba7fAAAABwEAAA8AAAAAAAAAAAAAAAAApAQAAGRycy9kb3ducmV2LnhtbFBLBQYAAAAABAAE&#10;APMAAACwBQAAAAA=&#10;" fillcolor="#fefbf8" strokecolor="#fde9d9 [665]" strokeweight=".5pt">
                <v:textbox>
                  <w:txbxContent>
                    <w:p w:rsidR="001A5340" w:rsidRPr="00AB0397" w:rsidRDefault="001A5340" w:rsidP="004C749C">
                      <w:pPr>
                        <w:rPr>
                          <w:rFonts w:eastAsia="Times New Roman"/>
                        </w:rPr>
                      </w:pPr>
                      <w:r w:rsidRPr="00AB0397">
                        <w:rPr>
                          <w:rStyle w:val="Strong"/>
                          <w:rFonts w:eastAsia="Times New Roman"/>
                          <w:bCs w:val="0"/>
                        </w:rPr>
                        <w:t xml:space="preserve">Two-week reporting period: </w:t>
                      </w:r>
                    </w:p>
                    <w:p w:rsidR="001A5340" w:rsidRDefault="001A5340" w:rsidP="004C749C">
                      <w:pPr>
                        <w:pStyle w:val="NormalWeb"/>
                      </w:pPr>
                      <w:r>
                        <w:rPr>
                          <w:rStyle w:val="Strong"/>
                        </w:rPr>
                        <w:t>Trends</w:t>
                      </w:r>
                      <w:r>
                        <w:t xml:space="preserve"> – The number of COVID-19 cases reported in Australia remains relatively low. The daily average number of cases for this reporting period was nine, similar to the previous fortnight. There were 125 cases of COVID-19 and no deaths this fortnight, bringing the cumulative case count to 29,192 with 909 deaths. </w:t>
                      </w:r>
                    </w:p>
                    <w:p w:rsidR="001A5340" w:rsidRDefault="001A5340" w:rsidP="004C749C">
                      <w:pPr>
                        <w:pStyle w:val="NormalWeb"/>
                      </w:pPr>
                      <w:r>
                        <w:rPr>
                          <w:rStyle w:val="Strong"/>
                        </w:rPr>
                        <w:t xml:space="preserve">Local cases </w:t>
                      </w:r>
                      <w:r>
                        <w:t xml:space="preserve">– There were 11 locally-acquired cases reported in Australia this fortnight, ten from Queensland and one from New South Wales. </w:t>
                      </w:r>
                    </w:p>
                    <w:p w:rsidR="001A5340" w:rsidRDefault="001A5340" w:rsidP="004C749C">
                      <w:pPr>
                        <w:pStyle w:val="NormalWeb"/>
                      </w:pPr>
                      <w:r>
                        <w:rPr>
                          <w:rStyle w:val="Strong"/>
                        </w:rPr>
                        <w:t xml:space="preserve">Overseas cases </w:t>
                      </w:r>
                      <w:r>
                        <w:t xml:space="preserve">– There were 113 overseas-acquired cases this reporting period. Of these, almost half (47%; 53/113) were reported from Queensland. Of the Queensland overseas-acquired cases with a known country of acquisition, 70% (28/40) were reported as from Papua New Guinea. </w:t>
                      </w:r>
                    </w:p>
                    <w:p w:rsidR="001A5340" w:rsidRDefault="001A5340" w:rsidP="004C749C">
                      <w:pPr>
                        <w:pStyle w:val="NormalWeb"/>
                      </w:pPr>
                      <w:r>
                        <w:rPr>
                          <w:rStyle w:val="Strong"/>
                        </w:rPr>
                        <w:t xml:space="preserve">Testing </w:t>
                      </w:r>
                      <w:r>
                        <w:t xml:space="preserve">– Testing rates decreased by 11% compared to the previous fortnight. The cumulative positivity rate remains low at 0.02%. </w:t>
                      </w:r>
                    </w:p>
                    <w:p w:rsidR="001A5340" w:rsidRDefault="001A5340" w:rsidP="004C749C">
                      <w:pPr>
                        <w:pStyle w:val="NormalWeb"/>
                      </w:pPr>
                      <w:r>
                        <w:rPr>
                          <w:rStyle w:val="Strong"/>
                        </w:rPr>
                        <w:t xml:space="preserve">Vaccinations </w:t>
                      </w:r>
                      <w:r>
                        <w:t xml:space="preserve">–As at 28 March 2021, 541,761 doses of COVID-19 vaccine have been administered to Australians. </w:t>
                      </w:r>
                    </w:p>
                    <w:p w:rsidR="001A5340" w:rsidRDefault="001A5340" w:rsidP="004C749C">
                      <w:pPr>
                        <w:pStyle w:val="NormalWeb"/>
                      </w:pPr>
                      <w:r>
                        <w:rPr>
                          <w:rStyle w:val="Strong"/>
                        </w:rPr>
                        <w:t xml:space="preserve">Four-week reporting period: </w:t>
                      </w:r>
                    </w:p>
                    <w:p w:rsidR="001A5340" w:rsidRDefault="001A5340" w:rsidP="004C749C">
                      <w:pPr>
                        <w:pStyle w:val="NormalWeb"/>
                      </w:pPr>
                      <w:r>
                        <w:rPr>
                          <w:rStyle w:val="Strong"/>
                        </w:rPr>
                        <w:t>Virology</w:t>
                      </w:r>
                      <w:r>
                        <w:t xml:space="preserve"> – Nationally, SARS-CoV-2 strains from 58% of COVID-19 cases have been sequenced during the pandemic. During 2021, there has been an increase in the number of cases infected with SARS-CoV-2 variants of concern (VOC) in Australia. AusTrakka is actively monitoring and reporting on these variants and has so far identified 200 samples of B.1.1.7 (a.k.a. VOC-202012/01 or 20I/501Y.V1); 35 samples of B.1.351 (a.k.a. VOC-202012/02 or 20H/501Y.V2); and two samples of P.1 (a.k.a. VOC-202101/02 or 20J/501Y.V3) in Australia. </w:t>
                      </w:r>
                    </w:p>
                    <w:p w:rsidR="001A5340" w:rsidRDefault="001A5340" w:rsidP="004C749C">
                      <w:pPr>
                        <w:pStyle w:val="NormalWeb"/>
                      </w:pPr>
                      <w:r>
                        <w:rPr>
                          <w:rStyle w:val="Strong"/>
                        </w:rPr>
                        <w:t>Severity</w:t>
                      </w:r>
                      <w:r>
                        <w:t xml:space="preserve"> – For all cases since the beginning of the pandemic, 14% have been admitted to hospital. According to sentinel surveillance data, 19% of hospitalised patients were admitted to an intensive care unit. Australia’s case fatality rate has remained stable at 3.1%, with no COVID-19 related deaths occurring in the past four weeks. </w:t>
                      </w:r>
                    </w:p>
                    <w:p w:rsidR="001A5340" w:rsidRDefault="001A5340" w:rsidP="004C749C">
                      <w:pPr>
                        <w:pStyle w:val="NormalWeb"/>
                      </w:pPr>
                      <w:r>
                        <w:rPr>
                          <w:rStyle w:val="Strong"/>
                        </w:rPr>
                        <w:t>Hospital occupancy</w:t>
                      </w:r>
                      <w:r>
                        <w:t xml:space="preserve"> – The average daily number of COVID-19 cases in hospital across Australia for the reporting period was 47, a four-fold increase compared to the daily average from the previous reporting period of 12. </w:t>
                      </w:r>
                    </w:p>
                    <w:p w:rsidR="001A5340" w:rsidRDefault="001A5340" w:rsidP="004C749C">
                      <w:pPr>
                        <w:pStyle w:val="NormalWeb"/>
                      </w:pPr>
                      <w:r>
                        <w:rPr>
                          <w:rStyle w:val="Strong"/>
                        </w:rPr>
                        <w:t>Public health measures</w:t>
                      </w:r>
                      <w:r>
                        <w:t xml:space="preserve"> – An overall easing of restrictions was experienced across most jurisdictions in the reporting period. </w:t>
                      </w:r>
                    </w:p>
                    <w:p w:rsidR="001A5340" w:rsidRDefault="001A5340" w:rsidP="004C749C">
                      <w:pPr>
                        <w:pStyle w:val="NormalWeb"/>
                      </w:pPr>
                      <w:r>
                        <w:rPr>
                          <w:rStyle w:val="Strong"/>
                        </w:rPr>
                        <w:t>International situation</w:t>
                      </w:r>
                      <w:r>
                        <w:t xml:space="preserve"> – Cumulative global COVID-19 cases and deaths now exceed 126 million and 2.7 million respectively. Papua New Guinea and Timor-Leste both experienced rapidly increasing rates of COVID-19 cases during this reporting period.</w:t>
                      </w:r>
                    </w:p>
                  </w:txbxContent>
                </v:textbox>
                <w10:anchorlock/>
              </v:shape>
            </w:pict>
          </mc:Fallback>
        </mc:AlternateContent>
      </w:r>
      <w:bookmarkEnd w:id="0"/>
    </w:p>
    <w:p w:rsidR="00AB0397" w:rsidRDefault="00AB0397">
      <w:pPr>
        <w:pStyle w:val="NormalWeb"/>
      </w:pPr>
      <w:r>
        <w:lastRenderedPageBreak/>
        <w:t xml:space="preserve">This reporting period covers the last two weeks (15–28 March 2021), with data for this period compared to that from the previous two-week reporting period (1–14 March 2021). As Australia continues to experience low numbers of COVID-19 cases, this report has transitioned to a brief update on case numbers each fortnight and a more detailed analysis every four weeks. From this report forward, there will also be a focus on the epidemiological situation in Australia since the beginning of this year, 2021. Readers are encouraged to consult prior reports for information on the epidemiology of cases in Australia in 2020. Included in this report with a reporting period of four weeks are sections on genomic surveillance and virology, acute respiratory illness, severity, public health response measures, and the international situation. The reporting period for these topics covers 1–28 March 2021. For comparability, the previous reporting period is the preceding four weeks (1–28 February 2021). </w:t>
      </w:r>
    </w:p>
    <w:p w:rsidR="00AB0397" w:rsidRDefault="00AB0397">
      <w:pPr>
        <w:pStyle w:val="NormalWeb"/>
      </w:pPr>
      <w:r>
        <w:t>Keywords:</w:t>
      </w:r>
      <w:r w:rsidRPr="00C47EEC">
        <w:rPr>
          <w:rStyle w:val="Emphasis"/>
          <w:b w:val="0"/>
        </w:rPr>
        <w:t xml:space="preserve"> SARS-CoV-2; novel coronavirus; 2019-nCoV; coronavirus disease 2019; COVID-19; acute respiratory disease; epidemiology; Australia</w:t>
      </w:r>
    </w:p>
    <w:p w:rsidR="00AB0397" w:rsidRDefault="009E7DA9">
      <w:pPr>
        <w:pStyle w:val="Heading1"/>
        <w:rPr>
          <w:rFonts w:eastAsia="Times New Roman"/>
        </w:rPr>
      </w:pPr>
      <w:r w:rsidRPr="009E7DA9">
        <w:rPr>
          <w:rFonts w:eastAsia="Times New Roman"/>
          <w:noProof/>
        </w:rPr>
        <mc:AlternateContent>
          <mc:Choice Requires="wps">
            <w:drawing>
              <wp:inline distT="0" distB="0" distL="0" distR="0">
                <wp:extent cx="6625424" cy="1365637"/>
                <wp:effectExtent l="0" t="0" r="23495" b="13335"/>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1365637"/>
                        </a:xfrm>
                        <a:prstGeom prst="rect">
                          <a:avLst/>
                        </a:prstGeom>
                        <a:solidFill>
                          <a:schemeClr val="bg1">
                            <a:lumMod val="95000"/>
                          </a:schemeClr>
                        </a:solidFill>
                        <a:ln w="3175">
                          <a:solidFill>
                            <a:srgbClr val="000000"/>
                          </a:solidFill>
                          <a:miter lim="800000"/>
                          <a:headEnd/>
                          <a:tailEnd/>
                        </a:ln>
                      </wps:spPr>
                      <wps:txbx>
                        <w:txbxContent>
                          <w:p w:rsidR="001A5340" w:rsidRDefault="001A5340" w:rsidP="00012C0A">
                            <w:pPr>
                              <w:pStyle w:val="Heading1"/>
                              <w:spacing w:before="0" w:after="0"/>
                            </w:pPr>
                            <w:r w:rsidRPr="009E7DA9">
                              <w:t>In focus: COVID-19 vaccines</w:t>
                            </w:r>
                          </w:p>
                        </w:txbxContent>
                      </wps:txbx>
                      <wps:bodyPr rot="0" vert="horz" wrap="square" lIns="91440" tIns="45720" rIns="91440" bIns="45720" anchor="t" anchorCtr="0">
                        <a:spAutoFit/>
                      </wps:bodyPr>
                    </wps:wsp>
                  </a:graphicData>
                </a:graphic>
              </wp:inline>
            </w:drawing>
          </mc:Choice>
          <mc:Fallback>
            <w:pict>
              <v:shape id="_x0000_s1027" type="#_x0000_t202" style="width:521.7pt;height:10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U37PAIAAHAEAAAOAAAAZHJzL2Uyb0RvYy54bWysVNtu2zAMfR+wfxD0vviSW2vEKbp0GQZ0&#10;F6DdB8iybAvTbZISO/v6UnKSudvbsBdBFOnDw0PSm7tBCnRk1nGtSpzNUoyYorrmqi3x9+f9uxuM&#10;nCeqJkIrVuITc/hu+/bNpjcFy3WnRc0sAhDlit6UuPPeFEniaMckcTNtmAJno60kHkzbJrUlPaBL&#10;keRpukp6bWtjNWXOwevD6MTbiN80jPqvTeOYR6LEwM3H08azCmey3ZCitcR0nJ5pkH9gIQlXkPQK&#10;9UA8QQfL/4KSnFrtdONnVMtENw2nLNYA1WTpH9U8dcSwWAuI48xVJvf/YOmX4zeLeA29A3kUkdCj&#10;ZzZ49F4PKA/y9MYVEPVkIM4P8AyhsVRnHjX94ZDSu46olt1bq/uOkRroZeHLZPLpiOMCSNV/1jWk&#10;IQevI9DQWBm0AzUQoAOP07U1gQqFx9UqXy7yBUYUfNl8tVzN1zEHKS6fG+v8R6YlCpcSW+h9hCfH&#10;R+cDHVJcQkI2pwWv91yIaIR5Yzth0ZHApFTtWKI4SOA6vt0u0zTOC+DE8QzhEfUVklCoL/E8Wy9H&#10;kV5lsW11zQFoE8BpmOQedkJwWeKbaxApgrQfVB0n1hMuxjuwEeqsdZB3FNoP1TB29dLCStcnEN/q&#10;cQVgZeHSafsLox7Gv8Tu54FYhpH4pKCBt9liEfYlGovlOgfDTj3V1EMUBagSe4zG687HHYvSmnto&#10;9J7HFoSJGJmcKcNYRw3PKxj2ZmrHqN8/iu0LAAAA//8DAFBLAwQUAAYACAAAACEAloN5uN0AAAAG&#10;AQAADwAAAGRycy9kb3ducmV2LnhtbEyPzU7DMBCE70i8g7VIXBB1UlKo0jgVf+XGoQF6duNtEhGv&#10;o3ibJm+PywUuK41mNPNtth5tKwbsfeNIQTyLQCCVzjRUKfj82NwuQXjWZHTrCBVM6GGdX15kOjXu&#10;RFscCq5EKCGfagU1c5dK6csarfYz1yEF7+B6qznIvpKm16dQbls5j6J7aXVDYaHWHT7XWH4XR6sg&#10;wSf+enu42SzdLp4G+zrt3l8Kpa6vxscVCMaR/8Jwxg/okAemvTuS8aJVEB7h33v2ouQuAbFXMI8X&#10;Mcg8k//x8x8AAAD//wMAUEsBAi0AFAAGAAgAAAAhALaDOJL+AAAA4QEAABMAAAAAAAAAAAAAAAAA&#10;AAAAAFtDb250ZW50X1R5cGVzXS54bWxQSwECLQAUAAYACAAAACEAOP0h/9YAAACUAQAACwAAAAAA&#10;AAAAAAAAAAAvAQAAX3JlbHMvLnJlbHNQSwECLQAUAAYACAAAACEAcnVN+zwCAABwBAAADgAAAAAA&#10;AAAAAAAAAAAuAgAAZHJzL2Uyb0RvYy54bWxQSwECLQAUAAYACAAAACEAloN5uN0AAAAGAQAADwAA&#10;AAAAAAAAAAAAAACWBAAAZHJzL2Rvd25yZXYueG1sUEsFBgAAAAAEAAQA8wAAAKAFAAAAAA==&#10;" fillcolor="#f2f2f2 [3052]" strokeweight=".25pt">
                <v:textbox style="mso-fit-shape-to-text:t">
                  <w:txbxContent>
                    <w:p w:rsidR="001A5340" w:rsidRDefault="001A5340" w:rsidP="00012C0A">
                      <w:pPr>
                        <w:pStyle w:val="Heading1"/>
                        <w:spacing w:before="0" w:after="0"/>
                      </w:pPr>
                      <w:r w:rsidRPr="009E7DA9">
                        <w:t>In focus: COVID-19 vaccines</w:t>
                      </w:r>
                    </w:p>
                  </w:txbxContent>
                </v:textbox>
                <w10:anchorlock/>
              </v:shape>
            </w:pict>
          </mc:Fallback>
        </mc:AlternateContent>
      </w:r>
      <w:r w:rsidR="00AB0397">
        <w:rPr>
          <w:rFonts w:eastAsia="Times New Roman"/>
        </w:rPr>
        <w:t xml:space="preserve"> </w:t>
      </w:r>
    </w:p>
    <w:p w:rsidR="00AB0397" w:rsidRDefault="00AB0397">
      <w:pPr>
        <w:pStyle w:val="NormalWeb"/>
      </w:pPr>
      <w:r>
        <w:t xml:space="preserve">As Australia implements its COVID-19 vaccination program, this section describes the characteristics of </w:t>
      </w:r>
      <w:proofErr w:type="gramStart"/>
      <w:r>
        <w:t>the main COVID-19 vaccines, the current rollout schedule in Australia, and how vaccinations are having an effect in countries and territories in our near region</w:t>
      </w:r>
      <w:proofErr w:type="gramEnd"/>
      <w:r>
        <w:t xml:space="preserve">. </w:t>
      </w:r>
    </w:p>
    <w:p w:rsidR="00AB0397" w:rsidRDefault="00AB0397">
      <w:pPr>
        <w:pStyle w:val="Heading2"/>
        <w:rPr>
          <w:rFonts w:eastAsia="Times New Roman"/>
        </w:rPr>
      </w:pPr>
      <w:r>
        <w:rPr>
          <w:rFonts w:eastAsia="Times New Roman"/>
        </w:rPr>
        <w:t xml:space="preserve">Current COVID-19 vaccines </w:t>
      </w:r>
    </w:p>
    <w:p w:rsidR="00AB0397" w:rsidRDefault="00AB0397">
      <w:pPr>
        <w:pStyle w:val="NormalWeb"/>
      </w:pPr>
      <w:proofErr w:type="gramStart"/>
      <w:r>
        <w:t>The World Health Organization’s vaccine advisory group SAGE (Strategic Advisory Group of Experts on Immunization) has reviewed the evidence and provided recommendations on four vaccines to date (the Pfizer-</w:t>
      </w:r>
      <w:proofErr w:type="spellStart"/>
      <w:r>
        <w:t>BioNTech</w:t>
      </w:r>
      <w:proofErr w:type="spellEnd"/>
      <w:r>
        <w:t xml:space="preserve"> BNT162b2 vaccine, the </w:t>
      </w:r>
      <w:proofErr w:type="spellStart"/>
      <w:r>
        <w:t>Moderna</w:t>
      </w:r>
      <w:proofErr w:type="spellEnd"/>
      <w:r>
        <w:t xml:space="preserve"> mRNA-1273 vaccine, the AstraZeneca – Oxford University AZD1222 vaccine, and the Janssen Ad26.COV2.S vaccine), with all four vaccines determined to be effective and safe.</w:t>
      </w:r>
      <w:r>
        <w:rPr>
          <w:vertAlign w:val="superscript"/>
        </w:rPr>
        <w:t>1,2</w:t>
      </w:r>
      <w:r>
        <w:t xml:space="preserve"> SAGE noted that all of these vaccines will have a beneficial effect on severe disease, and that it is likely there will be some level of protection against transmission.</w:t>
      </w:r>
      <w:r>
        <w:rPr>
          <w:vertAlign w:val="superscript"/>
        </w:rPr>
        <w:t>1</w:t>
      </w:r>
      <w:r>
        <w:t xml:space="preserve"> Furthermore, SAGE has recommended these vaccines are prioritised for frontline health workers and older people, who are at a higher risk of being exposed to COVID-19 and having severe disease.</w:t>
      </w:r>
      <w:r>
        <w:rPr>
          <w:vertAlign w:val="superscript"/>
        </w:rPr>
        <w:t>1</w:t>
      </w:r>
      <w:r>
        <w:t xml:space="preserve"> The advisory group also assessed the safety of these vaccines in various population groups, including children, pregnant women and those with a compromised immune system, and provided recommendations accordingly.</w:t>
      </w:r>
      <w:r>
        <w:rPr>
          <w:vertAlign w:val="superscript"/>
        </w:rPr>
        <w:t>1</w:t>
      </w:r>
      <w:proofErr w:type="gramEnd"/>
      <w:r>
        <w:t xml:space="preserve"> </w:t>
      </w:r>
    </w:p>
    <w:p w:rsidR="00AB0397" w:rsidRDefault="00AB0397">
      <w:pPr>
        <w:pStyle w:val="Heading2"/>
        <w:rPr>
          <w:rFonts w:eastAsia="Times New Roman"/>
        </w:rPr>
      </w:pPr>
      <w:r>
        <w:rPr>
          <w:rFonts w:eastAsia="Times New Roman"/>
        </w:rPr>
        <w:t xml:space="preserve">Australia’s vaccination program </w:t>
      </w:r>
    </w:p>
    <w:p w:rsidR="00AB0397" w:rsidRDefault="00AB0397">
      <w:pPr>
        <w:pStyle w:val="NormalWeb"/>
      </w:pPr>
      <w:r>
        <w:t xml:space="preserve">Australia’s vaccination program began on 22 February 2021. As at 28 March 2021, </w:t>
      </w:r>
      <w:proofErr w:type="gramStart"/>
      <w:r>
        <w:t>a total of 541,761</w:t>
      </w:r>
      <w:proofErr w:type="gramEnd"/>
      <w:r>
        <w:t xml:space="preserve"> vaccine doses had been administered to Australians, with 82,542 doses provided to aged care and disability residents.</w:t>
      </w:r>
      <w:r>
        <w:rPr>
          <w:vertAlign w:val="superscript"/>
        </w:rPr>
        <w:t>3</w:t>
      </w:r>
      <w:r>
        <w:t xml:space="preserve"> </w:t>
      </w:r>
    </w:p>
    <w:p w:rsidR="00AB0397" w:rsidRDefault="00AB0397">
      <w:pPr>
        <w:pStyle w:val="NormalWeb"/>
      </w:pPr>
      <w:r>
        <w:t>Australia’s vaccination program includes two of the four vaccines recommended by WHO: Pfizer and AstraZeneca. These vaccines have been approved by Australia’s Therapeutic Goods Administration (TGA).</w:t>
      </w:r>
      <w:r>
        <w:rPr>
          <w:vertAlign w:val="superscript"/>
        </w:rPr>
        <w:t>4</w:t>
      </w:r>
      <w:r>
        <w:t xml:space="preserve"> The TGA has also approved the manufacture of 50 million doses of the AstraZeneca vaccine locally within Australia.</w:t>
      </w:r>
      <w:r>
        <w:rPr>
          <w:vertAlign w:val="superscript"/>
        </w:rPr>
        <w:t>5</w:t>
      </w:r>
      <w:r>
        <w:t xml:space="preserve"> On 23 March 2021, the TGA approved the first four batches of locally-manufactured AstraZeneca vaccine (832,200 doses) for release.</w:t>
      </w:r>
      <w:r>
        <w:rPr>
          <w:vertAlign w:val="superscript"/>
        </w:rPr>
        <w:t>6</w:t>
      </w:r>
      <w:r>
        <w:t xml:space="preserve"> </w:t>
      </w:r>
    </w:p>
    <w:p w:rsidR="00AB0397" w:rsidRDefault="00AB0397">
      <w:pPr>
        <w:pStyle w:val="NormalWeb"/>
      </w:pPr>
      <w:r>
        <w:t>COVID-19 vaccines in Australia are being delivered as per the National Rollout Strategy, which prioritises the vaccine according to high-risk groups, and reflects the advice of SAGE.</w:t>
      </w:r>
      <w:r>
        <w:rPr>
          <w:vertAlign w:val="superscript"/>
        </w:rPr>
        <w:t>7</w:t>
      </w:r>
      <w:r>
        <w:t xml:space="preserve"> Quarantine and border workers, frontline health care </w:t>
      </w:r>
      <w:r>
        <w:lastRenderedPageBreak/>
        <w:t>workers and aged care and disability residents and staff were the first population groups to receive the vaccine in Australia.</w:t>
      </w:r>
      <w:r>
        <w:rPr>
          <w:vertAlign w:val="superscript"/>
        </w:rPr>
        <w:t>7</w:t>
      </w:r>
      <w:r>
        <w:t xml:space="preserve"> </w:t>
      </w:r>
    </w:p>
    <w:p w:rsidR="00AB0397" w:rsidRDefault="00AB0397">
      <w:pPr>
        <w:pStyle w:val="Heading2"/>
        <w:rPr>
          <w:rFonts w:eastAsia="Times New Roman"/>
        </w:rPr>
      </w:pPr>
      <w:r>
        <w:rPr>
          <w:rFonts w:eastAsia="Times New Roman"/>
        </w:rPr>
        <w:t xml:space="preserve">COVID-19 vaccines in Australia’s near region </w:t>
      </w:r>
    </w:p>
    <w:p w:rsidR="00AB0397" w:rsidRDefault="00AB0397">
      <w:pPr>
        <w:pStyle w:val="NormalWeb"/>
      </w:pPr>
      <w:r>
        <w:t>Vaccines have been rolled out in a number of countries in Australia’s near region, depending on the local epidemiology, vaccine availability, resources and capacity.</w:t>
      </w:r>
      <w:r>
        <w:rPr>
          <w:vertAlign w:val="superscript"/>
        </w:rPr>
        <w:t>8</w:t>
      </w:r>
      <w:r>
        <w:t xml:space="preserve"> Cambodia, China, India, Indonesia, Japan, Myanmar, Nepal, New Zealand, Singapore and Sri Lanka have all begun vaccination programs. The Australian Government has joined the COVAX Facility as part of a global effort to support rapid, fair and equitable access to COVID-19 vaccines.</w:t>
      </w:r>
      <w:r>
        <w:rPr>
          <w:vertAlign w:val="superscript"/>
        </w:rPr>
        <w:t>9</w:t>
      </w:r>
      <w:r>
        <w:t xml:space="preserve"> Australia is currently supporting efforts to supply and deliver vaccines to Papua New Guinea, where a recent outbreak is straining local resources.</w:t>
      </w:r>
      <w:r>
        <w:rPr>
          <w:vertAlign w:val="superscript"/>
        </w:rPr>
        <w:t>10</w:t>
      </w:r>
    </w:p>
    <w:p w:rsidR="00B951A6" w:rsidRPr="00B951A6" w:rsidRDefault="00B951A6" w:rsidP="00B951A6">
      <w:r w:rsidRPr="009E7DA9">
        <w:rPr>
          <w:rFonts w:eastAsia="Times New Roman"/>
          <w:noProof/>
        </w:rPr>
        <mc:AlternateContent>
          <mc:Choice Requires="wps">
            <w:drawing>
              <wp:inline distT="0" distB="0" distL="0" distR="0" wp14:anchorId="4D2EFA8B" wp14:editId="1E4E79D2">
                <wp:extent cx="6625424" cy="1365637"/>
                <wp:effectExtent l="0" t="0" r="23495" b="13335"/>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1365637"/>
                        </a:xfrm>
                        <a:prstGeom prst="rect">
                          <a:avLst/>
                        </a:prstGeom>
                        <a:solidFill>
                          <a:schemeClr val="bg1">
                            <a:lumMod val="95000"/>
                          </a:schemeClr>
                        </a:solidFill>
                        <a:ln w="3175">
                          <a:solidFill>
                            <a:srgbClr val="000000"/>
                          </a:solidFill>
                          <a:miter lim="800000"/>
                          <a:headEnd/>
                          <a:tailEnd/>
                        </a:ln>
                      </wps:spPr>
                      <wps:txbx>
                        <w:txbxContent>
                          <w:p w:rsidR="001A5340" w:rsidRPr="00B951A6" w:rsidRDefault="001A5340" w:rsidP="00827CB9">
                            <w:pPr>
                              <w:pStyle w:val="Heading1"/>
                              <w:spacing w:before="0" w:after="0"/>
                            </w:pPr>
                            <w:r w:rsidRPr="00B951A6">
                              <w:t>Two-week reporting period (15–28 March 2021):</w:t>
                            </w:r>
                          </w:p>
                        </w:txbxContent>
                      </wps:txbx>
                      <wps:bodyPr rot="0" vert="horz" wrap="square" lIns="91440" tIns="45720" rIns="91440" bIns="45720" anchor="t" anchorCtr="0">
                        <a:spAutoFit/>
                      </wps:bodyPr>
                    </wps:wsp>
                  </a:graphicData>
                </a:graphic>
              </wp:inline>
            </w:drawing>
          </mc:Choice>
          <mc:Fallback>
            <w:pict>
              <v:shape w14:anchorId="4D2EFA8B" id="_x0000_s1028" type="#_x0000_t202" style="width:521.7pt;height:10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OwRPAIAAHAEAAAOAAAAZHJzL2Uyb0RvYy54bWysVNtu2zAMfR+wfxD0vviSS1sjTtGlyzCg&#10;uwDtPkCWZVuYbpOU2NnXl5JTz93ehr0IokgfkueQ3t4OUqATs45rVeJskWLEFNU1V22Jvz8d3l1j&#10;5DxRNRFasRKfmcO3u7dvtr0pWK47LWpmEYAoV/SmxJ33pkgSRzsmiVtowxQ4G20l8WDaNqkt6QFd&#10;iiRP003Sa1sbqylzDl7vRyfeRfymYdR/bRrHPBIlhtp8PG08q3Amuy0pWktMx+mlDPIPVUjCFSSd&#10;oO6JJ+ho+V9QklOrnW78gmqZ6KbhlMUeoJss/aObx44YFnsBcpyZaHL/D5Z+OX2ziNegXYaRIhI0&#10;emKDR+/1gPJAT29cAVGPBuL8AM8QGlt15kHTHw4pve+IatmdtbrvGKmhvCx8mcw+HXFcAKn6z7qG&#10;NOTodQQaGisDd8AGAnSQ6TxJE0qh8LjZ5OtVvsKIgi9bbtab5VXMQYqXz411/iPTEoVLiS1oH+HJ&#10;6cH5UA4pXkJCNqcFrw9ciGiEeWN7YdGJwKRU7diiOEqodXy7WadpnBfAieMZwiPqKyShUF/iZXa1&#10;Hkl6lcW21ZQD0GaA8zDJPeyE4LLE11MQKQK1H1QdJ9YTLsY7VCPUhetA70i0H6ohqjpJWOn6DORb&#10;Pa4ArCxcOm1/YdTD+JfY/TwSyzASnxQIeJOtVmFforFaX+Vg2LmnmnuIogBVYo/ReN37uGORWnMH&#10;Qh94lCBMxFjJpWQY68jhZQXD3sztGPX7R7F7BgAA//8DAFBLAwQUAAYACAAAACEAloN5uN0AAAAG&#10;AQAADwAAAGRycy9kb3ducmV2LnhtbEyPzU7DMBCE70i8g7VIXBB1UlKo0jgVf+XGoQF6duNtEhGv&#10;o3ibJm+PywUuK41mNPNtth5tKwbsfeNIQTyLQCCVzjRUKfj82NwuQXjWZHTrCBVM6GGdX15kOjXu&#10;RFscCq5EKCGfagU1c5dK6csarfYz1yEF7+B6qznIvpKm16dQbls5j6J7aXVDYaHWHT7XWH4XR6sg&#10;wSf+enu42SzdLp4G+zrt3l8Kpa6vxscVCMaR/8Jwxg/okAemvTuS8aJVEB7h33v2ouQuAbFXMI8X&#10;Mcg8k//x8x8AAAD//wMAUEsBAi0AFAAGAAgAAAAhALaDOJL+AAAA4QEAABMAAAAAAAAAAAAAAAAA&#10;AAAAAFtDb250ZW50X1R5cGVzXS54bWxQSwECLQAUAAYACAAAACEAOP0h/9YAAACUAQAACwAAAAAA&#10;AAAAAAAAAAAvAQAAX3JlbHMvLnJlbHNQSwECLQAUAAYACAAAACEAD/TsETwCAABwBAAADgAAAAAA&#10;AAAAAAAAAAAuAgAAZHJzL2Uyb0RvYy54bWxQSwECLQAUAAYACAAAACEAloN5uN0AAAAGAQAADwAA&#10;AAAAAAAAAAAAAACWBAAAZHJzL2Rvd25yZXYueG1sUEsFBgAAAAAEAAQA8wAAAKAFAAAAAA==&#10;" fillcolor="#f2f2f2 [3052]" strokeweight=".25pt">
                <v:textbox style="mso-fit-shape-to-text:t">
                  <w:txbxContent>
                    <w:p w:rsidR="001A5340" w:rsidRPr="00B951A6" w:rsidRDefault="001A5340" w:rsidP="00827CB9">
                      <w:pPr>
                        <w:pStyle w:val="Heading1"/>
                        <w:spacing w:before="0" w:after="0"/>
                      </w:pPr>
                      <w:r w:rsidRPr="00B951A6">
                        <w:t>Two-week reporting period (15–28 March 2021):</w:t>
                      </w:r>
                    </w:p>
                  </w:txbxContent>
                </v:textbox>
                <w10:anchorlock/>
              </v:shape>
            </w:pict>
          </mc:Fallback>
        </mc:AlternateContent>
      </w:r>
    </w:p>
    <w:p w:rsidR="00AB0397" w:rsidRDefault="00AB0397">
      <w:pPr>
        <w:pStyle w:val="Heading2"/>
        <w:rPr>
          <w:rFonts w:eastAsia="Times New Roman"/>
        </w:rPr>
      </w:pPr>
      <w:r>
        <w:rPr>
          <w:rFonts w:eastAsia="Times New Roman"/>
        </w:rPr>
        <w:t xml:space="preserve">Background and data sources </w:t>
      </w:r>
    </w:p>
    <w:p w:rsidR="00AB0397" w:rsidRDefault="00AB0397">
      <w:pPr>
        <w:pStyle w:val="NormalWeb"/>
      </w:pPr>
      <w:r>
        <w:t>See the Technical Supplement for information on coronavirus disease 19 (COVID-19) including modes of transmission, common symptoms and severity.</w:t>
      </w:r>
      <w:r>
        <w:rPr>
          <w:vertAlign w:val="superscript"/>
        </w:rPr>
        <w:t xml:space="preserve">11 </w:t>
      </w:r>
    </w:p>
    <w:p w:rsidR="00AB0397" w:rsidRDefault="00AB0397" w:rsidP="00E85EE1">
      <w:pPr>
        <w:pStyle w:val="Heading3"/>
        <w:rPr>
          <w:rFonts w:eastAsia="Times New Roman"/>
        </w:rPr>
      </w:pPr>
      <w:r>
        <w:rPr>
          <w:rFonts w:eastAsia="Times New Roman"/>
        </w:rPr>
        <w:t xml:space="preserve">Activity </w:t>
      </w:r>
    </w:p>
    <w:p w:rsidR="00AB0397" w:rsidRDefault="00AB0397" w:rsidP="00E85EE1">
      <w:pPr>
        <w:pStyle w:val="Heading4"/>
        <w:rPr>
          <w:rFonts w:eastAsia="Times New Roman"/>
        </w:rPr>
      </w:pPr>
      <w:r>
        <w:rPr>
          <w:rFonts w:eastAsia="Times New Roman"/>
        </w:rPr>
        <w:t xml:space="preserve">COVID-19 trends (NNDSS and jurisdictional reporting to NIR) </w:t>
      </w:r>
    </w:p>
    <w:p w:rsidR="00AB0397" w:rsidRDefault="00AB0397">
      <w:pPr>
        <w:pStyle w:val="NormalWeb"/>
      </w:pPr>
      <w:r>
        <w:t>In the year to date, from 1 January 2021 to the end of this reporting period 28 March 2021, there have been 724 COVID-19 cases and no deaths reported nationally. The epidemiological curve for COVID-19 cases this year, by source of acquisition, is presented in Figure 1. For comparison, the epidemiological curve for cumulative COVID-19 cases since the beginning of the pandemic in Australia is presented in Figure 2.</w:t>
      </w:r>
    </w:p>
    <w:p w:rsidR="00E11D70" w:rsidRDefault="00E11D70">
      <w:pPr>
        <w:rPr>
          <w:b/>
        </w:rPr>
      </w:pPr>
      <w:r>
        <w:br w:type="page"/>
      </w:r>
    </w:p>
    <w:p w:rsidR="00AB0397" w:rsidRDefault="00AB0397" w:rsidP="00E85EE1">
      <w:pPr>
        <w:pStyle w:val="CDIFigures"/>
      </w:pPr>
      <w:r>
        <w:lastRenderedPageBreak/>
        <w:t>Figure 1: COVID-19 notified cases by source of acquisition and diagnosis date, 1 January – 28 March 2021</w:t>
      </w:r>
      <w:r w:rsidRPr="00E85EE1">
        <w:rPr>
          <w:vertAlign w:val="superscript"/>
        </w:rPr>
        <w:t>a</w:t>
      </w:r>
    </w:p>
    <w:p w:rsidR="00AB0397" w:rsidRDefault="00AB0397">
      <w:pPr>
        <w:pStyle w:val="NormalWeb"/>
      </w:pPr>
      <w:r>
        <w:rPr>
          <w:noProof/>
        </w:rPr>
        <w:drawing>
          <wp:inline distT="0" distB="0" distL="0" distR="0">
            <wp:extent cx="6625424" cy="4159459"/>
            <wp:effectExtent l="0" t="0" r="4445" b="0"/>
            <wp:docPr id="9" name="Picture 9" descr="A bar chart of new case notifications in Australia, by week of illness diagnosis and source of acquisition, for the calendar year to date. Notified cases for each week have consistently been dominated by those acquired overseas. A small peak in notified cases, of approximately 90 cases per week, is evident in mid-January; otherwise, new cases have remained at an average of approximately 50 (mostly overseas-acquired) new cases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ar chart of new case notifications in Australia, by week of illness diagnosis and source of acquisition, for the calendar year to date. Notified cases for each week have consistently been dominated by those acquired overseas. A small peak in notified cases, of approximately 90 cases per week, is evident in mid-January; otherwise, new cases have remained at an average of approximately 50 (mostly overseas-acquired) new cases per week."/>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4167" cy="4164948"/>
                    </a:xfrm>
                    <a:prstGeom prst="rect">
                      <a:avLst/>
                    </a:prstGeom>
                  </pic:spPr>
                </pic:pic>
              </a:graphicData>
            </a:graphic>
          </wp:inline>
        </w:drawing>
      </w:r>
    </w:p>
    <w:p w:rsidR="00AB0397" w:rsidRDefault="00AB0397" w:rsidP="00E11D70">
      <w:pPr>
        <w:pStyle w:val="CDIfootnotes"/>
      </w:pPr>
      <w:proofErr w:type="gramStart"/>
      <w:r>
        <w:t>a</w:t>
      </w:r>
      <w:proofErr w:type="gramEnd"/>
      <w:r>
        <w:tab/>
        <w:t>Source: NNDSS, extract from 1 April 2021, based on diagnosis date.</w:t>
      </w:r>
    </w:p>
    <w:p w:rsidR="00F12FF2" w:rsidRDefault="00F12FF2">
      <w:pPr>
        <w:rPr>
          <w:b/>
        </w:rPr>
      </w:pPr>
      <w:r>
        <w:br w:type="page"/>
      </w:r>
    </w:p>
    <w:p w:rsidR="00AB0397" w:rsidRDefault="00AB0397" w:rsidP="00E11D70">
      <w:pPr>
        <w:pStyle w:val="CDIFigures"/>
      </w:pPr>
      <w:r>
        <w:lastRenderedPageBreak/>
        <w:t>Figure 2: Cumulative COVID-19 notified cases by source of acquisition and diagnosis date, 1 March 2020 – 28</w:t>
      </w:r>
      <w:r w:rsidR="00E11D70">
        <w:t> </w:t>
      </w:r>
      <w:r>
        <w:t>March 2021</w:t>
      </w:r>
      <w:r w:rsidRPr="00E11D70">
        <w:rPr>
          <w:vertAlign w:val="superscript"/>
        </w:rPr>
        <w:t>a</w:t>
      </w:r>
    </w:p>
    <w:p w:rsidR="00AB0397" w:rsidRDefault="00AB0397">
      <w:pPr>
        <w:pStyle w:val="NormalWeb"/>
      </w:pPr>
      <w:r>
        <w:rPr>
          <w:noProof/>
        </w:rPr>
        <w:drawing>
          <wp:inline distT="0" distB="0" distL="0" distR="0">
            <wp:extent cx="6645002" cy="4118776"/>
            <wp:effectExtent l="0" t="0" r="3810" b="0"/>
            <wp:docPr id="2" name="Picture 2"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showed a slight increase again in mid-December; throughout 2021 to date, overseas-acquired cases have remained domin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showed a slight increase again in mid-December; throughout 2021 to date, overseas-acquired cases have remained dominant."/>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46894" cy="4119949"/>
                    </a:xfrm>
                    <a:prstGeom prst="rect">
                      <a:avLst/>
                    </a:prstGeom>
                  </pic:spPr>
                </pic:pic>
              </a:graphicData>
            </a:graphic>
          </wp:inline>
        </w:drawing>
      </w:r>
    </w:p>
    <w:p w:rsidR="00AB0397" w:rsidRDefault="00AB0397" w:rsidP="00F12FF2">
      <w:pPr>
        <w:pStyle w:val="CDIfootnotes"/>
      </w:pPr>
      <w:proofErr w:type="gramStart"/>
      <w:r>
        <w:t>a</w:t>
      </w:r>
      <w:proofErr w:type="gramEnd"/>
      <w:r>
        <w:tab/>
        <w:t>Source: NNDSS, extract from 1 April 2021, based on diagnosis date.</w:t>
      </w:r>
    </w:p>
    <w:p w:rsidR="00AB0397" w:rsidRDefault="00AB0397" w:rsidP="00F12FF2">
      <w:r>
        <w:t>In this two-week reporting period, from 15 to 28 March 2021, there were 125 cases and no deaths reported. On average, nine cases were notified each day over this reporting period. This is similar to the previous reporting period, in which eight cases were notified on average each day. The largest number of cases diagnosed this fortnight was from Queensland with approximately half of all cases (51%; 64/125), followed by New South Wales (28%; 35/125) (Table 1).</w:t>
      </w:r>
    </w:p>
    <w:p w:rsidR="00674EFB" w:rsidRDefault="00674EFB">
      <w:pPr>
        <w:rPr>
          <w:b/>
        </w:rPr>
      </w:pPr>
      <w:r>
        <w:br w:type="page"/>
      </w:r>
    </w:p>
    <w:p w:rsidR="00AB0397" w:rsidRDefault="00AB0397" w:rsidP="00F12FF2">
      <w:pPr>
        <w:pStyle w:val="CDIFigures"/>
      </w:pPr>
      <w:r>
        <w:lastRenderedPageBreak/>
        <w:t>Table 1: COVID-19 notifications by jurisdiction and source of acquisition, 15–28 March 2021</w:t>
      </w:r>
      <w:r w:rsidRPr="00F12FF2">
        <w:rPr>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COVID-19 notifications by jurisdiction and by source of acquisition, for the current fortnightly reporting period. The largest number of new COVID-19 notifications (64/125) has been reported in Queensland, comprising 53 overseas-acquired cases, ten acquired locally (eight of known source, two of unknown source) and one case for which the source of acquisition was listed as 'missing'.  New South Wales reported 35 cases, with one of these a locally-acquired case of known source and the remainder acquired overseas. Western Australia reported 13 cases, South Australia 12 cases and Victoria one case, with all cases in these jurisdictions overseas acquired. Tasmania, the Northern Territory and the Australian Capital Territory did not report any cases in this reporting period.&#10;"/>
      </w:tblPr>
      <w:tblGrid>
        <w:gridCol w:w="3060"/>
        <w:gridCol w:w="790"/>
        <w:gridCol w:w="790"/>
        <w:gridCol w:w="791"/>
        <w:gridCol w:w="790"/>
        <w:gridCol w:w="790"/>
        <w:gridCol w:w="791"/>
        <w:gridCol w:w="790"/>
        <w:gridCol w:w="791"/>
        <w:gridCol w:w="1080"/>
      </w:tblGrid>
      <w:tr w:rsidR="00674EFB" w:rsidRPr="00674EFB" w:rsidTr="001A604D">
        <w:trPr>
          <w:cnfStyle w:val="100000000000" w:firstRow="1" w:lastRow="0" w:firstColumn="0" w:lastColumn="0" w:oddVBand="0" w:evenVBand="0" w:oddHBand="0" w:evenHBand="0" w:firstRowFirstColumn="0" w:firstRowLastColumn="0" w:lastRowFirstColumn="0" w:lastRowLastColumn="0"/>
          <w:tblHeader/>
        </w:trPr>
        <w:tc>
          <w:tcPr>
            <w:tcW w:w="3060" w:type="dxa"/>
            <w:tcBorders>
              <w:right w:val="single" w:sz="2" w:space="0" w:color="FFFFFF" w:themeColor="background1"/>
            </w:tcBorders>
            <w:hideMark/>
          </w:tcPr>
          <w:p w:rsidR="00AB0397" w:rsidRPr="00674EFB" w:rsidRDefault="00AB0397">
            <w:pPr>
              <w:pStyle w:val="NormalWeb"/>
              <w:rPr>
                <w:color w:val="FFFFFF" w:themeColor="background1"/>
              </w:rPr>
            </w:pPr>
            <w:r w:rsidRPr="00674EFB">
              <w:rPr>
                <w:color w:val="FFFFFF" w:themeColor="background1"/>
              </w:rPr>
              <w:t>Source</w:t>
            </w:r>
          </w:p>
        </w:tc>
        <w:tc>
          <w:tcPr>
            <w:tcW w:w="790" w:type="dxa"/>
            <w:tcBorders>
              <w:left w:val="single" w:sz="2" w:space="0" w:color="FFFFFF" w:themeColor="background1"/>
              <w:right w:val="single" w:sz="2" w:space="0" w:color="FFFFFF" w:themeColor="background1"/>
            </w:tcBorders>
            <w:hideMark/>
          </w:tcPr>
          <w:p w:rsidR="00AB0397" w:rsidRPr="00674EFB" w:rsidRDefault="00AB0397" w:rsidP="00674EFB">
            <w:pPr>
              <w:pStyle w:val="NormalWeb"/>
              <w:jc w:val="center"/>
              <w:rPr>
                <w:color w:val="FFFFFF" w:themeColor="background1"/>
              </w:rPr>
            </w:pPr>
            <w:r w:rsidRPr="00674EFB">
              <w:rPr>
                <w:color w:val="FFFFFF" w:themeColor="background1"/>
              </w:rPr>
              <w:t>NSW</w:t>
            </w:r>
          </w:p>
        </w:tc>
        <w:tc>
          <w:tcPr>
            <w:tcW w:w="790" w:type="dxa"/>
            <w:tcBorders>
              <w:left w:val="single" w:sz="2" w:space="0" w:color="FFFFFF" w:themeColor="background1"/>
              <w:right w:val="single" w:sz="2" w:space="0" w:color="FFFFFF" w:themeColor="background1"/>
            </w:tcBorders>
            <w:hideMark/>
          </w:tcPr>
          <w:p w:rsidR="00AB0397" w:rsidRPr="00674EFB" w:rsidRDefault="00AB0397" w:rsidP="00674EFB">
            <w:pPr>
              <w:pStyle w:val="NormalWeb"/>
              <w:jc w:val="center"/>
              <w:rPr>
                <w:color w:val="FFFFFF" w:themeColor="background1"/>
              </w:rPr>
            </w:pPr>
            <w:r w:rsidRPr="00674EFB">
              <w:rPr>
                <w:color w:val="FFFFFF" w:themeColor="background1"/>
              </w:rPr>
              <w:t>Vic.</w:t>
            </w:r>
          </w:p>
        </w:tc>
        <w:tc>
          <w:tcPr>
            <w:tcW w:w="791" w:type="dxa"/>
            <w:tcBorders>
              <w:left w:val="single" w:sz="2" w:space="0" w:color="FFFFFF" w:themeColor="background1"/>
              <w:right w:val="single" w:sz="2" w:space="0" w:color="FFFFFF" w:themeColor="background1"/>
            </w:tcBorders>
            <w:hideMark/>
          </w:tcPr>
          <w:p w:rsidR="00AB0397" w:rsidRPr="00674EFB" w:rsidRDefault="00AB0397" w:rsidP="00674EFB">
            <w:pPr>
              <w:pStyle w:val="NormalWeb"/>
              <w:jc w:val="center"/>
              <w:rPr>
                <w:color w:val="FFFFFF" w:themeColor="background1"/>
              </w:rPr>
            </w:pPr>
            <w:r w:rsidRPr="00674EFB">
              <w:rPr>
                <w:color w:val="FFFFFF" w:themeColor="background1"/>
              </w:rPr>
              <w:t>Qld</w:t>
            </w:r>
          </w:p>
        </w:tc>
        <w:tc>
          <w:tcPr>
            <w:tcW w:w="790" w:type="dxa"/>
            <w:tcBorders>
              <w:left w:val="single" w:sz="2" w:space="0" w:color="FFFFFF" w:themeColor="background1"/>
              <w:right w:val="single" w:sz="2" w:space="0" w:color="FFFFFF" w:themeColor="background1"/>
            </w:tcBorders>
            <w:hideMark/>
          </w:tcPr>
          <w:p w:rsidR="00AB0397" w:rsidRPr="00674EFB" w:rsidRDefault="00AB0397" w:rsidP="00674EFB">
            <w:pPr>
              <w:pStyle w:val="NormalWeb"/>
              <w:jc w:val="center"/>
              <w:rPr>
                <w:color w:val="FFFFFF" w:themeColor="background1"/>
              </w:rPr>
            </w:pPr>
            <w:r w:rsidRPr="00674EFB">
              <w:rPr>
                <w:color w:val="FFFFFF" w:themeColor="background1"/>
              </w:rPr>
              <w:t>WA</w:t>
            </w:r>
          </w:p>
        </w:tc>
        <w:tc>
          <w:tcPr>
            <w:tcW w:w="790" w:type="dxa"/>
            <w:tcBorders>
              <w:left w:val="single" w:sz="2" w:space="0" w:color="FFFFFF" w:themeColor="background1"/>
              <w:right w:val="single" w:sz="2" w:space="0" w:color="FFFFFF" w:themeColor="background1"/>
            </w:tcBorders>
            <w:hideMark/>
          </w:tcPr>
          <w:p w:rsidR="00AB0397" w:rsidRPr="00674EFB" w:rsidRDefault="00AB0397" w:rsidP="00674EFB">
            <w:pPr>
              <w:pStyle w:val="NormalWeb"/>
              <w:jc w:val="center"/>
              <w:rPr>
                <w:color w:val="FFFFFF" w:themeColor="background1"/>
              </w:rPr>
            </w:pPr>
            <w:r w:rsidRPr="00674EFB">
              <w:rPr>
                <w:color w:val="FFFFFF" w:themeColor="background1"/>
              </w:rPr>
              <w:t>SA</w:t>
            </w:r>
          </w:p>
        </w:tc>
        <w:tc>
          <w:tcPr>
            <w:tcW w:w="791" w:type="dxa"/>
            <w:tcBorders>
              <w:left w:val="single" w:sz="2" w:space="0" w:color="FFFFFF" w:themeColor="background1"/>
              <w:right w:val="single" w:sz="2" w:space="0" w:color="FFFFFF" w:themeColor="background1"/>
            </w:tcBorders>
            <w:hideMark/>
          </w:tcPr>
          <w:p w:rsidR="00AB0397" w:rsidRPr="00674EFB" w:rsidRDefault="00AB0397" w:rsidP="00674EFB">
            <w:pPr>
              <w:pStyle w:val="NormalWeb"/>
              <w:jc w:val="center"/>
              <w:rPr>
                <w:color w:val="FFFFFF" w:themeColor="background1"/>
              </w:rPr>
            </w:pPr>
            <w:r w:rsidRPr="00674EFB">
              <w:rPr>
                <w:color w:val="FFFFFF" w:themeColor="background1"/>
              </w:rPr>
              <w:t>Tas.</w:t>
            </w:r>
          </w:p>
        </w:tc>
        <w:tc>
          <w:tcPr>
            <w:tcW w:w="790" w:type="dxa"/>
            <w:tcBorders>
              <w:left w:val="single" w:sz="2" w:space="0" w:color="FFFFFF" w:themeColor="background1"/>
              <w:right w:val="single" w:sz="2" w:space="0" w:color="FFFFFF" w:themeColor="background1"/>
            </w:tcBorders>
            <w:hideMark/>
          </w:tcPr>
          <w:p w:rsidR="00AB0397" w:rsidRPr="00674EFB" w:rsidRDefault="00AB0397" w:rsidP="00674EFB">
            <w:pPr>
              <w:pStyle w:val="NormalWeb"/>
              <w:jc w:val="center"/>
              <w:rPr>
                <w:color w:val="FFFFFF" w:themeColor="background1"/>
              </w:rPr>
            </w:pPr>
            <w:r w:rsidRPr="00674EFB">
              <w:rPr>
                <w:color w:val="FFFFFF" w:themeColor="background1"/>
              </w:rPr>
              <w:t>NT</w:t>
            </w:r>
          </w:p>
        </w:tc>
        <w:tc>
          <w:tcPr>
            <w:tcW w:w="791" w:type="dxa"/>
            <w:tcBorders>
              <w:left w:val="single" w:sz="2" w:space="0" w:color="FFFFFF" w:themeColor="background1"/>
              <w:right w:val="single" w:sz="2" w:space="0" w:color="FFFFFF" w:themeColor="background1"/>
            </w:tcBorders>
            <w:hideMark/>
          </w:tcPr>
          <w:p w:rsidR="00AB0397" w:rsidRPr="00674EFB" w:rsidRDefault="00AB0397" w:rsidP="00674EFB">
            <w:pPr>
              <w:pStyle w:val="NormalWeb"/>
              <w:jc w:val="center"/>
              <w:rPr>
                <w:color w:val="FFFFFF" w:themeColor="background1"/>
              </w:rPr>
            </w:pPr>
            <w:r w:rsidRPr="00674EFB">
              <w:rPr>
                <w:color w:val="FFFFFF" w:themeColor="background1"/>
              </w:rPr>
              <w:t>ACT</w:t>
            </w:r>
          </w:p>
        </w:tc>
        <w:tc>
          <w:tcPr>
            <w:tcW w:w="1080" w:type="dxa"/>
            <w:tcBorders>
              <w:left w:val="single" w:sz="2" w:space="0" w:color="FFFFFF" w:themeColor="background1"/>
            </w:tcBorders>
            <w:hideMark/>
          </w:tcPr>
          <w:p w:rsidR="00AB0397" w:rsidRPr="00674EFB" w:rsidRDefault="00AB0397" w:rsidP="00674EFB">
            <w:pPr>
              <w:pStyle w:val="NormalWeb"/>
              <w:jc w:val="center"/>
              <w:rPr>
                <w:color w:val="FFFFFF" w:themeColor="background1"/>
              </w:rPr>
            </w:pPr>
            <w:r w:rsidRPr="00674EFB">
              <w:rPr>
                <w:color w:val="FFFFFF" w:themeColor="background1"/>
              </w:rPr>
              <w:t>Australia</w:t>
            </w:r>
          </w:p>
        </w:tc>
      </w:tr>
      <w:tr w:rsidR="00AB0397" w:rsidTr="00674EFB">
        <w:tc>
          <w:tcPr>
            <w:tcW w:w="3060" w:type="dxa"/>
            <w:hideMark/>
          </w:tcPr>
          <w:p w:rsidR="00AB0397" w:rsidRDefault="00AB0397">
            <w:pPr>
              <w:pStyle w:val="NormalWeb"/>
            </w:pPr>
            <w:r>
              <w:t>Overseas</w:t>
            </w:r>
          </w:p>
        </w:tc>
        <w:tc>
          <w:tcPr>
            <w:tcW w:w="790" w:type="dxa"/>
            <w:hideMark/>
          </w:tcPr>
          <w:p w:rsidR="00AB0397" w:rsidRDefault="00AB0397" w:rsidP="00674EFB">
            <w:pPr>
              <w:pStyle w:val="NormalWeb"/>
              <w:jc w:val="center"/>
            </w:pPr>
            <w:r>
              <w:t>34</w:t>
            </w:r>
          </w:p>
        </w:tc>
        <w:tc>
          <w:tcPr>
            <w:tcW w:w="790" w:type="dxa"/>
            <w:hideMark/>
          </w:tcPr>
          <w:p w:rsidR="00AB0397" w:rsidRDefault="00AB0397" w:rsidP="00674EFB">
            <w:pPr>
              <w:pStyle w:val="NormalWeb"/>
              <w:jc w:val="center"/>
            </w:pPr>
            <w:r>
              <w:t>1</w:t>
            </w:r>
          </w:p>
        </w:tc>
        <w:tc>
          <w:tcPr>
            <w:tcW w:w="791" w:type="dxa"/>
            <w:hideMark/>
          </w:tcPr>
          <w:p w:rsidR="00AB0397" w:rsidRDefault="00AB0397" w:rsidP="00674EFB">
            <w:pPr>
              <w:pStyle w:val="NormalWeb"/>
              <w:jc w:val="center"/>
            </w:pPr>
            <w:r>
              <w:t>53</w:t>
            </w:r>
          </w:p>
        </w:tc>
        <w:tc>
          <w:tcPr>
            <w:tcW w:w="790" w:type="dxa"/>
            <w:hideMark/>
          </w:tcPr>
          <w:p w:rsidR="00AB0397" w:rsidRDefault="00AB0397" w:rsidP="00674EFB">
            <w:pPr>
              <w:pStyle w:val="NormalWeb"/>
              <w:jc w:val="center"/>
            </w:pPr>
            <w:r>
              <w:t>13</w:t>
            </w:r>
          </w:p>
        </w:tc>
        <w:tc>
          <w:tcPr>
            <w:tcW w:w="790" w:type="dxa"/>
            <w:hideMark/>
          </w:tcPr>
          <w:p w:rsidR="00AB0397" w:rsidRDefault="00AB0397" w:rsidP="00674EFB">
            <w:pPr>
              <w:pStyle w:val="NormalWeb"/>
              <w:jc w:val="center"/>
            </w:pPr>
            <w:r>
              <w:t>12</w:t>
            </w:r>
          </w:p>
        </w:tc>
        <w:tc>
          <w:tcPr>
            <w:tcW w:w="791"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0</w:t>
            </w:r>
          </w:p>
        </w:tc>
        <w:tc>
          <w:tcPr>
            <w:tcW w:w="1080" w:type="dxa"/>
            <w:hideMark/>
          </w:tcPr>
          <w:p w:rsidR="00AB0397" w:rsidRDefault="00AB0397" w:rsidP="00674EFB">
            <w:pPr>
              <w:pStyle w:val="NormalWeb"/>
              <w:jc w:val="center"/>
            </w:pPr>
            <w:r>
              <w:t>113</w:t>
            </w:r>
          </w:p>
        </w:tc>
      </w:tr>
      <w:tr w:rsidR="00674EFB" w:rsidTr="00674EFB">
        <w:trPr>
          <w:cnfStyle w:val="000000010000" w:firstRow="0" w:lastRow="0" w:firstColumn="0" w:lastColumn="0" w:oddVBand="0" w:evenVBand="0" w:oddHBand="0" w:evenHBand="1" w:firstRowFirstColumn="0" w:firstRowLastColumn="0" w:lastRowFirstColumn="0" w:lastRowLastColumn="0"/>
        </w:trPr>
        <w:tc>
          <w:tcPr>
            <w:tcW w:w="3060" w:type="dxa"/>
            <w:hideMark/>
          </w:tcPr>
          <w:p w:rsidR="00AB0397" w:rsidRDefault="00AB0397">
            <w:pPr>
              <w:pStyle w:val="NormalWeb"/>
            </w:pPr>
            <w:r>
              <w:t>Local</w:t>
            </w:r>
          </w:p>
        </w:tc>
        <w:tc>
          <w:tcPr>
            <w:tcW w:w="790" w:type="dxa"/>
            <w:hideMark/>
          </w:tcPr>
          <w:p w:rsidR="00AB0397" w:rsidRDefault="00AB0397" w:rsidP="00674EFB">
            <w:pPr>
              <w:pStyle w:val="NormalWeb"/>
              <w:jc w:val="center"/>
            </w:pPr>
            <w:r>
              <w:t>1</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10</w:t>
            </w:r>
          </w:p>
        </w:tc>
        <w:tc>
          <w:tcPr>
            <w:tcW w:w="790"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0</w:t>
            </w:r>
          </w:p>
        </w:tc>
        <w:tc>
          <w:tcPr>
            <w:tcW w:w="1080" w:type="dxa"/>
            <w:hideMark/>
          </w:tcPr>
          <w:p w:rsidR="00AB0397" w:rsidRDefault="00AB0397" w:rsidP="00674EFB">
            <w:pPr>
              <w:pStyle w:val="NormalWeb"/>
              <w:jc w:val="center"/>
            </w:pPr>
            <w:r>
              <w:t>11</w:t>
            </w:r>
          </w:p>
        </w:tc>
      </w:tr>
      <w:tr w:rsidR="00AB0397" w:rsidTr="00674EFB">
        <w:tc>
          <w:tcPr>
            <w:tcW w:w="3060" w:type="dxa"/>
            <w:hideMark/>
          </w:tcPr>
          <w:p w:rsidR="00AB0397" w:rsidRDefault="00AB0397">
            <w:pPr>
              <w:pStyle w:val="NormalWeb"/>
            </w:pPr>
            <w:r>
              <w:t>source known</w:t>
            </w:r>
          </w:p>
        </w:tc>
        <w:tc>
          <w:tcPr>
            <w:tcW w:w="790" w:type="dxa"/>
            <w:hideMark/>
          </w:tcPr>
          <w:p w:rsidR="00AB0397" w:rsidRDefault="00AB0397" w:rsidP="00674EFB">
            <w:pPr>
              <w:pStyle w:val="NormalWeb"/>
              <w:jc w:val="center"/>
            </w:pPr>
            <w:r>
              <w:t>1</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8</w:t>
            </w:r>
          </w:p>
        </w:tc>
        <w:tc>
          <w:tcPr>
            <w:tcW w:w="790"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0</w:t>
            </w:r>
          </w:p>
        </w:tc>
        <w:tc>
          <w:tcPr>
            <w:tcW w:w="1080" w:type="dxa"/>
            <w:hideMark/>
          </w:tcPr>
          <w:p w:rsidR="00AB0397" w:rsidRDefault="00AB0397" w:rsidP="00674EFB">
            <w:pPr>
              <w:pStyle w:val="NormalWeb"/>
              <w:jc w:val="center"/>
            </w:pPr>
            <w:r>
              <w:t>9</w:t>
            </w:r>
          </w:p>
        </w:tc>
      </w:tr>
      <w:tr w:rsidR="00674EFB" w:rsidTr="00674EFB">
        <w:trPr>
          <w:cnfStyle w:val="000000010000" w:firstRow="0" w:lastRow="0" w:firstColumn="0" w:lastColumn="0" w:oddVBand="0" w:evenVBand="0" w:oddHBand="0" w:evenHBand="1" w:firstRowFirstColumn="0" w:firstRowLastColumn="0" w:lastRowFirstColumn="0" w:lastRowLastColumn="0"/>
        </w:trPr>
        <w:tc>
          <w:tcPr>
            <w:tcW w:w="3060" w:type="dxa"/>
            <w:hideMark/>
          </w:tcPr>
          <w:p w:rsidR="00AB0397" w:rsidRDefault="00AB0397">
            <w:pPr>
              <w:pStyle w:val="NormalWeb"/>
            </w:pPr>
            <w:r>
              <w:t>source unknown</w:t>
            </w:r>
          </w:p>
        </w:tc>
        <w:tc>
          <w:tcPr>
            <w:tcW w:w="790"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2</w:t>
            </w:r>
          </w:p>
        </w:tc>
        <w:tc>
          <w:tcPr>
            <w:tcW w:w="790"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0</w:t>
            </w:r>
          </w:p>
        </w:tc>
        <w:tc>
          <w:tcPr>
            <w:tcW w:w="1080" w:type="dxa"/>
            <w:hideMark/>
          </w:tcPr>
          <w:p w:rsidR="00AB0397" w:rsidRDefault="00AB0397" w:rsidP="00674EFB">
            <w:pPr>
              <w:pStyle w:val="NormalWeb"/>
              <w:jc w:val="center"/>
            </w:pPr>
            <w:r>
              <w:t>2</w:t>
            </w:r>
          </w:p>
        </w:tc>
      </w:tr>
      <w:tr w:rsidR="00AB0397" w:rsidTr="00674EFB">
        <w:tc>
          <w:tcPr>
            <w:tcW w:w="3060" w:type="dxa"/>
            <w:hideMark/>
          </w:tcPr>
          <w:p w:rsidR="00AB0397" w:rsidRDefault="00AB0397">
            <w:pPr>
              <w:pStyle w:val="NormalWeb"/>
            </w:pPr>
            <w:r>
              <w:t>interstate, source known</w:t>
            </w:r>
          </w:p>
        </w:tc>
        <w:tc>
          <w:tcPr>
            <w:tcW w:w="790"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0</w:t>
            </w:r>
          </w:p>
        </w:tc>
        <w:tc>
          <w:tcPr>
            <w:tcW w:w="1080" w:type="dxa"/>
            <w:hideMark/>
          </w:tcPr>
          <w:p w:rsidR="00AB0397" w:rsidRDefault="00AB0397" w:rsidP="00674EFB">
            <w:pPr>
              <w:pStyle w:val="NormalWeb"/>
              <w:jc w:val="center"/>
            </w:pPr>
            <w:r>
              <w:t>0</w:t>
            </w:r>
          </w:p>
        </w:tc>
      </w:tr>
      <w:tr w:rsidR="00674EFB" w:rsidTr="00674EFB">
        <w:trPr>
          <w:cnfStyle w:val="000000010000" w:firstRow="0" w:lastRow="0" w:firstColumn="0" w:lastColumn="0" w:oddVBand="0" w:evenVBand="0" w:oddHBand="0" w:evenHBand="1" w:firstRowFirstColumn="0" w:firstRowLastColumn="0" w:lastRowFirstColumn="0" w:lastRowLastColumn="0"/>
        </w:trPr>
        <w:tc>
          <w:tcPr>
            <w:tcW w:w="3060" w:type="dxa"/>
            <w:hideMark/>
          </w:tcPr>
          <w:p w:rsidR="00AB0397" w:rsidRDefault="00AB0397">
            <w:pPr>
              <w:pStyle w:val="NormalWeb"/>
            </w:pPr>
            <w:r>
              <w:t>interstate, source unknown</w:t>
            </w:r>
          </w:p>
        </w:tc>
        <w:tc>
          <w:tcPr>
            <w:tcW w:w="790"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0</w:t>
            </w:r>
          </w:p>
        </w:tc>
        <w:tc>
          <w:tcPr>
            <w:tcW w:w="1080" w:type="dxa"/>
            <w:hideMark/>
          </w:tcPr>
          <w:p w:rsidR="00AB0397" w:rsidRDefault="00AB0397" w:rsidP="00674EFB">
            <w:pPr>
              <w:pStyle w:val="NormalWeb"/>
              <w:jc w:val="center"/>
            </w:pPr>
            <w:r>
              <w:t>0</w:t>
            </w:r>
          </w:p>
        </w:tc>
      </w:tr>
      <w:tr w:rsidR="00AB0397" w:rsidTr="00674EFB">
        <w:tc>
          <w:tcPr>
            <w:tcW w:w="3060" w:type="dxa"/>
            <w:hideMark/>
          </w:tcPr>
          <w:p w:rsidR="00AB0397" w:rsidRDefault="00AB0397">
            <w:pPr>
              <w:pStyle w:val="NormalWeb"/>
            </w:pPr>
            <w:r>
              <w:t>investigation ongoing</w:t>
            </w:r>
          </w:p>
        </w:tc>
        <w:tc>
          <w:tcPr>
            <w:tcW w:w="790"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0</w:t>
            </w:r>
          </w:p>
        </w:tc>
        <w:tc>
          <w:tcPr>
            <w:tcW w:w="1080" w:type="dxa"/>
            <w:hideMark/>
          </w:tcPr>
          <w:p w:rsidR="00AB0397" w:rsidRDefault="00AB0397" w:rsidP="00674EFB">
            <w:pPr>
              <w:pStyle w:val="NormalWeb"/>
              <w:jc w:val="center"/>
            </w:pPr>
            <w:r>
              <w:t>0</w:t>
            </w:r>
          </w:p>
        </w:tc>
      </w:tr>
      <w:tr w:rsidR="00674EFB" w:rsidTr="00674EFB">
        <w:trPr>
          <w:cnfStyle w:val="000000010000" w:firstRow="0" w:lastRow="0" w:firstColumn="0" w:lastColumn="0" w:oddVBand="0" w:evenVBand="0" w:oddHBand="0" w:evenHBand="1" w:firstRowFirstColumn="0" w:firstRowLastColumn="0" w:lastRowFirstColumn="0" w:lastRowLastColumn="0"/>
        </w:trPr>
        <w:tc>
          <w:tcPr>
            <w:tcW w:w="3060" w:type="dxa"/>
            <w:hideMark/>
          </w:tcPr>
          <w:p w:rsidR="00AB0397" w:rsidRDefault="00AB0397">
            <w:pPr>
              <w:pStyle w:val="NormalWeb"/>
            </w:pPr>
            <w:r>
              <w:t>Under initial investigation</w:t>
            </w:r>
          </w:p>
        </w:tc>
        <w:tc>
          <w:tcPr>
            <w:tcW w:w="790"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0</w:t>
            </w:r>
          </w:p>
        </w:tc>
        <w:tc>
          <w:tcPr>
            <w:tcW w:w="1080" w:type="dxa"/>
            <w:hideMark/>
          </w:tcPr>
          <w:p w:rsidR="00AB0397" w:rsidRDefault="00AB0397" w:rsidP="00674EFB">
            <w:pPr>
              <w:pStyle w:val="NormalWeb"/>
              <w:jc w:val="center"/>
            </w:pPr>
            <w:r>
              <w:t>0</w:t>
            </w:r>
          </w:p>
        </w:tc>
      </w:tr>
      <w:tr w:rsidR="00AB0397" w:rsidTr="00674EFB">
        <w:tc>
          <w:tcPr>
            <w:tcW w:w="3060" w:type="dxa"/>
            <w:hideMark/>
          </w:tcPr>
          <w:p w:rsidR="00AB0397" w:rsidRDefault="00AB0397">
            <w:pPr>
              <w:pStyle w:val="NormalWeb"/>
            </w:pPr>
            <w:r>
              <w:t>Missing source of acquisition</w:t>
            </w:r>
          </w:p>
        </w:tc>
        <w:tc>
          <w:tcPr>
            <w:tcW w:w="790"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1</w:t>
            </w:r>
          </w:p>
        </w:tc>
        <w:tc>
          <w:tcPr>
            <w:tcW w:w="790"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0</w:t>
            </w:r>
          </w:p>
        </w:tc>
        <w:tc>
          <w:tcPr>
            <w:tcW w:w="790" w:type="dxa"/>
            <w:hideMark/>
          </w:tcPr>
          <w:p w:rsidR="00AB0397" w:rsidRDefault="00AB0397" w:rsidP="00674EFB">
            <w:pPr>
              <w:pStyle w:val="NormalWeb"/>
              <w:jc w:val="center"/>
            </w:pPr>
            <w:r>
              <w:t>0</w:t>
            </w:r>
          </w:p>
        </w:tc>
        <w:tc>
          <w:tcPr>
            <w:tcW w:w="791" w:type="dxa"/>
            <w:hideMark/>
          </w:tcPr>
          <w:p w:rsidR="00AB0397" w:rsidRDefault="00AB0397" w:rsidP="00674EFB">
            <w:pPr>
              <w:pStyle w:val="NormalWeb"/>
              <w:jc w:val="center"/>
            </w:pPr>
            <w:r>
              <w:t>0</w:t>
            </w:r>
          </w:p>
        </w:tc>
        <w:tc>
          <w:tcPr>
            <w:tcW w:w="1080" w:type="dxa"/>
            <w:hideMark/>
          </w:tcPr>
          <w:p w:rsidR="00AB0397" w:rsidRDefault="00AB0397" w:rsidP="00674EFB">
            <w:pPr>
              <w:pStyle w:val="NormalWeb"/>
              <w:jc w:val="center"/>
            </w:pPr>
            <w:r>
              <w:t>1</w:t>
            </w:r>
          </w:p>
        </w:tc>
      </w:tr>
      <w:tr w:rsidR="00674EFB" w:rsidRPr="00674EFB" w:rsidTr="00674EFB">
        <w:trPr>
          <w:cnfStyle w:val="000000010000" w:firstRow="0" w:lastRow="0" w:firstColumn="0" w:lastColumn="0" w:oddVBand="0" w:evenVBand="0" w:oddHBand="0" w:evenHBand="1" w:firstRowFirstColumn="0" w:firstRowLastColumn="0" w:lastRowFirstColumn="0" w:lastRowLastColumn="0"/>
        </w:trPr>
        <w:tc>
          <w:tcPr>
            <w:tcW w:w="3060" w:type="dxa"/>
            <w:shd w:val="clear" w:color="auto" w:fill="FDE9D9" w:themeFill="accent6" w:themeFillTint="33"/>
            <w:hideMark/>
          </w:tcPr>
          <w:p w:rsidR="00AB0397" w:rsidRPr="00674EFB" w:rsidRDefault="00AB0397">
            <w:pPr>
              <w:pStyle w:val="NormalWeb"/>
              <w:rPr>
                <w:b/>
              </w:rPr>
            </w:pPr>
            <w:r w:rsidRPr="00674EFB">
              <w:rPr>
                <w:b/>
              </w:rPr>
              <w:t>Total</w:t>
            </w:r>
          </w:p>
        </w:tc>
        <w:tc>
          <w:tcPr>
            <w:tcW w:w="790" w:type="dxa"/>
            <w:shd w:val="clear" w:color="auto" w:fill="FDE9D9" w:themeFill="accent6" w:themeFillTint="33"/>
            <w:hideMark/>
          </w:tcPr>
          <w:p w:rsidR="00AB0397" w:rsidRPr="00674EFB" w:rsidRDefault="00AB0397" w:rsidP="00674EFB">
            <w:pPr>
              <w:pStyle w:val="NormalWeb"/>
              <w:jc w:val="center"/>
              <w:rPr>
                <w:b/>
              </w:rPr>
            </w:pPr>
            <w:r w:rsidRPr="00674EFB">
              <w:rPr>
                <w:b/>
              </w:rPr>
              <w:t>35</w:t>
            </w:r>
          </w:p>
        </w:tc>
        <w:tc>
          <w:tcPr>
            <w:tcW w:w="790" w:type="dxa"/>
            <w:shd w:val="clear" w:color="auto" w:fill="FDE9D9" w:themeFill="accent6" w:themeFillTint="33"/>
            <w:hideMark/>
          </w:tcPr>
          <w:p w:rsidR="00AB0397" w:rsidRPr="00674EFB" w:rsidRDefault="00AB0397" w:rsidP="00674EFB">
            <w:pPr>
              <w:pStyle w:val="NormalWeb"/>
              <w:jc w:val="center"/>
              <w:rPr>
                <w:b/>
              </w:rPr>
            </w:pPr>
            <w:r w:rsidRPr="00674EFB">
              <w:rPr>
                <w:b/>
              </w:rPr>
              <w:t>1</w:t>
            </w:r>
          </w:p>
        </w:tc>
        <w:tc>
          <w:tcPr>
            <w:tcW w:w="791" w:type="dxa"/>
            <w:shd w:val="clear" w:color="auto" w:fill="FDE9D9" w:themeFill="accent6" w:themeFillTint="33"/>
            <w:hideMark/>
          </w:tcPr>
          <w:p w:rsidR="00AB0397" w:rsidRPr="00674EFB" w:rsidRDefault="00AB0397" w:rsidP="00674EFB">
            <w:pPr>
              <w:pStyle w:val="NormalWeb"/>
              <w:jc w:val="center"/>
              <w:rPr>
                <w:b/>
              </w:rPr>
            </w:pPr>
            <w:r w:rsidRPr="00674EFB">
              <w:rPr>
                <w:b/>
              </w:rPr>
              <w:t>64</w:t>
            </w:r>
          </w:p>
        </w:tc>
        <w:tc>
          <w:tcPr>
            <w:tcW w:w="790" w:type="dxa"/>
            <w:shd w:val="clear" w:color="auto" w:fill="FDE9D9" w:themeFill="accent6" w:themeFillTint="33"/>
            <w:hideMark/>
          </w:tcPr>
          <w:p w:rsidR="00AB0397" w:rsidRPr="00674EFB" w:rsidRDefault="00AB0397" w:rsidP="00674EFB">
            <w:pPr>
              <w:pStyle w:val="NormalWeb"/>
              <w:jc w:val="center"/>
              <w:rPr>
                <w:b/>
              </w:rPr>
            </w:pPr>
            <w:r w:rsidRPr="00674EFB">
              <w:rPr>
                <w:b/>
              </w:rPr>
              <w:t>13</w:t>
            </w:r>
          </w:p>
        </w:tc>
        <w:tc>
          <w:tcPr>
            <w:tcW w:w="790" w:type="dxa"/>
            <w:shd w:val="clear" w:color="auto" w:fill="FDE9D9" w:themeFill="accent6" w:themeFillTint="33"/>
            <w:hideMark/>
          </w:tcPr>
          <w:p w:rsidR="00AB0397" w:rsidRPr="00674EFB" w:rsidRDefault="00AB0397" w:rsidP="00674EFB">
            <w:pPr>
              <w:pStyle w:val="NormalWeb"/>
              <w:jc w:val="center"/>
              <w:rPr>
                <w:b/>
              </w:rPr>
            </w:pPr>
            <w:r w:rsidRPr="00674EFB">
              <w:rPr>
                <w:b/>
              </w:rPr>
              <w:t>12</w:t>
            </w:r>
          </w:p>
        </w:tc>
        <w:tc>
          <w:tcPr>
            <w:tcW w:w="791" w:type="dxa"/>
            <w:shd w:val="clear" w:color="auto" w:fill="FDE9D9" w:themeFill="accent6" w:themeFillTint="33"/>
            <w:hideMark/>
          </w:tcPr>
          <w:p w:rsidR="00AB0397" w:rsidRPr="00674EFB" w:rsidRDefault="00AB0397" w:rsidP="00674EFB">
            <w:pPr>
              <w:pStyle w:val="NormalWeb"/>
              <w:jc w:val="center"/>
              <w:rPr>
                <w:b/>
              </w:rPr>
            </w:pPr>
            <w:r w:rsidRPr="00674EFB">
              <w:rPr>
                <w:b/>
              </w:rPr>
              <w:t>0</w:t>
            </w:r>
          </w:p>
        </w:tc>
        <w:tc>
          <w:tcPr>
            <w:tcW w:w="790" w:type="dxa"/>
            <w:shd w:val="clear" w:color="auto" w:fill="FDE9D9" w:themeFill="accent6" w:themeFillTint="33"/>
            <w:hideMark/>
          </w:tcPr>
          <w:p w:rsidR="00AB0397" w:rsidRPr="00674EFB" w:rsidRDefault="00AB0397" w:rsidP="00674EFB">
            <w:pPr>
              <w:pStyle w:val="NormalWeb"/>
              <w:jc w:val="center"/>
              <w:rPr>
                <w:b/>
              </w:rPr>
            </w:pPr>
            <w:r w:rsidRPr="00674EFB">
              <w:rPr>
                <w:b/>
              </w:rPr>
              <w:t>0</w:t>
            </w:r>
          </w:p>
        </w:tc>
        <w:tc>
          <w:tcPr>
            <w:tcW w:w="791" w:type="dxa"/>
            <w:shd w:val="clear" w:color="auto" w:fill="FDE9D9" w:themeFill="accent6" w:themeFillTint="33"/>
            <w:hideMark/>
          </w:tcPr>
          <w:p w:rsidR="00AB0397" w:rsidRPr="00674EFB" w:rsidRDefault="00AB0397" w:rsidP="00674EFB">
            <w:pPr>
              <w:pStyle w:val="NormalWeb"/>
              <w:jc w:val="center"/>
              <w:rPr>
                <w:b/>
              </w:rPr>
            </w:pPr>
            <w:r w:rsidRPr="00674EFB">
              <w:rPr>
                <w:b/>
              </w:rPr>
              <w:t>0</w:t>
            </w:r>
          </w:p>
        </w:tc>
        <w:tc>
          <w:tcPr>
            <w:tcW w:w="1080" w:type="dxa"/>
            <w:shd w:val="clear" w:color="auto" w:fill="FDE9D9" w:themeFill="accent6" w:themeFillTint="33"/>
            <w:hideMark/>
          </w:tcPr>
          <w:p w:rsidR="00AB0397" w:rsidRPr="00674EFB" w:rsidRDefault="00AB0397" w:rsidP="00674EFB">
            <w:pPr>
              <w:pStyle w:val="NormalWeb"/>
              <w:jc w:val="center"/>
              <w:rPr>
                <w:b/>
              </w:rPr>
            </w:pPr>
            <w:r w:rsidRPr="00674EFB">
              <w:rPr>
                <w:b/>
              </w:rPr>
              <w:t>125</w:t>
            </w:r>
          </w:p>
        </w:tc>
      </w:tr>
    </w:tbl>
    <w:p w:rsidR="00AB0397" w:rsidRDefault="00AB0397" w:rsidP="00674EFB">
      <w:pPr>
        <w:pStyle w:val="CDIfootnotes"/>
      </w:pPr>
      <w:proofErr w:type="gramStart"/>
      <w:r>
        <w:t>a</w:t>
      </w:r>
      <w:proofErr w:type="gramEnd"/>
      <w:r>
        <w:tab/>
        <w:t>Source: NNDSS, extract from 1 April 2021, based on diagnosis date.</w:t>
      </w:r>
    </w:p>
    <w:p w:rsidR="00AB0397" w:rsidRDefault="00AB0397" w:rsidP="00674EFB">
      <w:r>
        <w:t xml:space="preserve">Cumulatively since the beginning of the epidemic in Australia, there have been 29,192 COVID-19 cases including 909 deaths reported in Australia, with two distinct peaks in March and July (Figure 2). </w:t>
      </w:r>
    </w:p>
    <w:p w:rsidR="00BB4683" w:rsidRDefault="00BB4683" w:rsidP="00BB4683">
      <w:pPr>
        <w:pStyle w:val="Heading2"/>
        <w:rPr>
          <w:rFonts w:eastAsia="Times New Roman"/>
        </w:rPr>
      </w:pPr>
      <w:r>
        <w:rPr>
          <w:rFonts w:eastAsia="Times New Roman"/>
        </w:rPr>
        <w:t>Source of acquisition</w:t>
      </w:r>
    </w:p>
    <w:p w:rsidR="00AB0397" w:rsidRPr="00BB4683" w:rsidRDefault="00AB0397" w:rsidP="00BB4683">
      <w:pPr>
        <w:pStyle w:val="Heading3"/>
        <w:rPr>
          <w:rFonts w:eastAsia="Times New Roman"/>
          <w:i/>
        </w:rPr>
      </w:pPr>
      <w:r w:rsidRPr="00BB4683">
        <w:rPr>
          <w:rFonts w:eastAsia="Times New Roman"/>
          <w:i/>
        </w:rPr>
        <w:t xml:space="preserve">(NNDSS) </w:t>
      </w:r>
    </w:p>
    <w:p w:rsidR="00AB0397" w:rsidRDefault="00AB0397" w:rsidP="00BB4683">
      <w:r>
        <w:t xml:space="preserve">In this reporting period, 90% (113/125) of cases were acquired overseas. There were ten </w:t>
      </w:r>
      <w:proofErr w:type="gramStart"/>
      <w:r>
        <w:t>locally-acquired</w:t>
      </w:r>
      <w:proofErr w:type="gramEnd"/>
      <w:r>
        <w:t xml:space="preserve"> cases in Queensland and one in New South Wales (Table 2). The Queensland cases were associated with an ongoing outbreak that is under investigation, with two initial transmission events traced to a quarantine facility and a health care facility. The New South Wales case was acquired in a hotel quarantine setting. An additional Queensland case was missing ‘source of acquisition’ information at the time of this report.</w:t>
      </w:r>
    </w:p>
    <w:p w:rsidR="00E71AC6" w:rsidRDefault="00E71AC6">
      <w:pPr>
        <w:rPr>
          <w:b/>
        </w:rPr>
      </w:pPr>
      <w:r>
        <w:br w:type="page"/>
      </w:r>
    </w:p>
    <w:p w:rsidR="00AB0397" w:rsidRDefault="00AB0397" w:rsidP="00BB4683">
      <w:pPr>
        <w:pStyle w:val="CDIFigures"/>
      </w:pPr>
      <w:r>
        <w:lastRenderedPageBreak/>
        <w:t xml:space="preserve">Table 2: </w:t>
      </w:r>
      <w:proofErr w:type="gramStart"/>
      <w:r>
        <w:t>Locally-acquired</w:t>
      </w:r>
      <w:proofErr w:type="gramEnd"/>
      <w:r>
        <w:t xml:space="preserve"> COVID-19 case numbers and rates per 100,000 population by jurisdiction and reporting period, 28 March 2021</w:t>
      </w:r>
      <w:r w:rsidRPr="00BB4683">
        <w:rPr>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locally-acquired case notifications within each jurisdiction for the current two-week reporting period, the previous two-week reporting period, and the total case numbers and rates per 100,000 population for each jurisdiction for the calendar year to date. For this reporting period, there were 11 locally-acquired cases, which compares with three locally-acquired cases in the previous reporting period, with ten locally-acquired cases in the current fortnight reported in Queensland and one in New South Wales. Locally-acquired cases for the year to date have predominantly occurred in Victoria (34 cases), New South Wales (29 cases) and Queensland (16 cases), with only two locally-acquired cases having occurred outside these jurisdictions so far in 2021, one in Western Australia and one in South Australia. Nationwide, the locally-acquired case rate for the calendar year to date is 0.32 cases per 100,000 population.&#10;"/>
      </w:tblPr>
      <w:tblGrid>
        <w:gridCol w:w="1156"/>
        <w:gridCol w:w="2530"/>
        <w:gridCol w:w="2410"/>
        <w:gridCol w:w="2268"/>
        <w:gridCol w:w="2076"/>
      </w:tblGrid>
      <w:tr w:rsidR="00E71AC6" w:rsidRPr="00E71AC6" w:rsidTr="000449B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AB0397" w:rsidRPr="00E71AC6" w:rsidRDefault="00AB0397">
            <w:pPr>
              <w:pStyle w:val="NormalWeb"/>
              <w:rPr>
                <w:color w:val="FFFFFF" w:themeColor="background1"/>
              </w:rPr>
            </w:pPr>
            <w:r w:rsidRPr="00E71AC6">
              <w:rPr>
                <w:color w:val="FFFFFF" w:themeColor="background1"/>
              </w:rPr>
              <w:t>Jurisdiction</w:t>
            </w:r>
          </w:p>
        </w:tc>
        <w:tc>
          <w:tcPr>
            <w:tcW w:w="2530" w:type="dxa"/>
            <w:tcBorders>
              <w:left w:val="single" w:sz="2" w:space="0" w:color="FFFFFF" w:themeColor="background1"/>
              <w:bottom w:val="single" w:sz="2" w:space="0" w:color="FFFFFF" w:themeColor="background1"/>
              <w:right w:val="single" w:sz="2" w:space="0" w:color="FFFFFF" w:themeColor="background1"/>
            </w:tcBorders>
            <w:hideMark/>
          </w:tcPr>
          <w:p w:rsidR="00AB0397" w:rsidRPr="00E71AC6" w:rsidRDefault="00AB0397" w:rsidP="000449BA">
            <w:pPr>
              <w:pStyle w:val="NormalWeb"/>
              <w:jc w:val="center"/>
              <w:rPr>
                <w:color w:val="FFFFFF" w:themeColor="background1"/>
              </w:rPr>
            </w:pPr>
            <w:r w:rsidRPr="00E71AC6">
              <w:rPr>
                <w:color w:val="FFFFFF" w:themeColor="background1"/>
              </w:rPr>
              <w:t>Reporting period</w:t>
            </w:r>
            <w:r w:rsidRPr="00E71AC6">
              <w:rPr>
                <w:color w:val="FFFFFF" w:themeColor="background1"/>
              </w:rPr>
              <w:br/>
              <w:t>1–14 March 2021</w:t>
            </w:r>
          </w:p>
        </w:tc>
        <w:tc>
          <w:tcPr>
            <w:tcW w:w="2410" w:type="dxa"/>
            <w:tcBorders>
              <w:left w:val="single" w:sz="2" w:space="0" w:color="FFFFFF" w:themeColor="background1"/>
              <w:bottom w:val="single" w:sz="2" w:space="0" w:color="FFFFFF" w:themeColor="background1"/>
              <w:right w:val="single" w:sz="2" w:space="0" w:color="FFFFFF" w:themeColor="background1"/>
            </w:tcBorders>
            <w:hideMark/>
          </w:tcPr>
          <w:p w:rsidR="00AB0397" w:rsidRPr="00E71AC6" w:rsidRDefault="00AB0397" w:rsidP="000449BA">
            <w:pPr>
              <w:pStyle w:val="NormalWeb"/>
              <w:jc w:val="center"/>
              <w:rPr>
                <w:color w:val="FFFFFF" w:themeColor="background1"/>
              </w:rPr>
            </w:pPr>
            <w:r w:rsidRPr="00E71AC6">
              <w:rPr>
                <w:color w:val="FFFFFF" w:themeColor="background1"/>
              </w:rPr>
              <w:t>Reporting period</w:t>
            </w:r>
            <w:r w:rsidRPr="00E71AC6">
              <w:rPr>
                <w:color w:val="FFFFFF" w:themeColor="background1"/>
              </w:rPr>
              <w:br/>
              <w:t>15–28 March 2021</w:t>
            </w:r>
          </w:p>
        </w:tc>
        <w:tc>
          <w:tcPr>
            <w:tcW w:w="4344" w:type="dxa"/>
            <w:gridSpan w:val="2"/>
            <w:tcBorders>
              <w:left w:val="single" w:sz="2" w:space="0" w:color="FFFFFF" w:themeColor="background1"/>
              <w:bottom w:val="single" w:sz="2" w:space="0" w:color="FFFFFF" w:themeColor="background1"/>
            </w:tcBorders>
            <w:hideMark/>
          </w:tcPr>
          <w:p w:rsidR="00AB0397" w:rsidRPr="00E71AC6" w:rsidRDefault="00AB0397" w:rsidP="000449BA">
            <w:pPr>
              <w:pStyle w:val="NormalWeb"/>
              <w:jc w:val="center"/>
              <w:rPr>
                <w:color w:val="FFFFFF" w:themeColor="background1"/>
              </w:rPr>
            </w:pPr>
            <w:r w:rsidRPr="00E71AC6">
              <w:rPr>
                <w:color w:val="FFFFFF" w:themeColor="background1"/>
              </w:rPr>
              <w:t>Cases this year</w:t>
            </w:r>
            <w:r w:rsidRPr="00E71AC6">
              <w:rPr>
                <w:color w:val="FFFFFF" w:themeColor="background1"/>
              </w:rPr>
              <w:br/>
              <w:t>1 January 2021 – 28 March 2021</w:t>
            </w:r>
            <w:r w:rsidRPr="000449BA">
              <w:rPr>
                <w:color w:val="FFFFFF" w:themeColor="background1"/>
                <w:vertAlign w:val="superscript"/>
              </w:rPr>
              <w:t>b</w:t>
            </w:r>
          </w:p>
        </w:tc>
      </w:tr>
      <w:tr w:rsidR="00E71AC6" w:rsidRPr="00E71AC6" w:rsidTr="000449B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AB0397" w:rsidRPr="00E71AC6" w:rsidRDefault="00AB0397">
            <w:pPr>
              <w:rPr>
                <w:color w:val="FFFFFF" w:themeColor="background1"/>
                <w:sz w:val="24"/>
                <w:szCs w:val="24"/>
              </w:rPr>
            </w:pPr>
          </w:p>
        </w:tc>
        <w:tc>
          <w:tcPr>
            <w:tcW w:w="2530" w:type="dxa"/>
            <w:tcBorders>
              <w:top w:val="single" w:sz="2" w:space="0" w:color="FFFFFF" w:themeColor="background1"/>
              <w:left w:val="single" w:sz="2" w:space="0" w:color="FFFFFF" w:themeColor="background1"/>
              <w:right w:val="single" w:sz="2" w:space="0" w:color="FFFFFF" w:themeColor="background1"/>
            </w:tcBorders>
            <w:hideMark/>
          </w:tcPr>
          <w:p w:rsidR="00AB0397" w:rsidRPr="00E71AC6" w:rsidRDefault="00AB0397" w:rsidP="000449BA">
            <w:pPr>
              <w:pStyle w:val="NormalWeb"/>
              <w:jc w:val="center"/>
              <w:rPr>
                <w:color w:val="FFFFFF" w:themeColor="background1"/>
              </w:rPr>
            </w:pPr>
            <w:r w:rsidRPr="00E71AC6">
              <w:rPr>
                <w:color w:val="FFFFFF" w:themeColor="background1"/>
              </w:rPr>
              <w:t>Number of cases</w:t>
            </w:r>
          </w:p>
        </w:tc>
        <w:tc>
          <w:tcPr>
            <w:tcW w:w="2410" w:type="dxa"/>
            <w:tcBorders>
              <w:top w:val="single" w:sz="2" w:space="0" w:color="FFFFFF" w:themeColor="background1"/>
              <w:left w:val="single" w:sz="2" w:space="0" w:color="FFFFFF" w:themeColor="background1"/>
              <w:right w:val="single" w:sz="2" w:space="0" w:color="FFFFFF" w:themeColor="background1"/>
            </w:tcBorders>
            <w:hideMark/>
          </w:tcPr>
          <w:p w:rsidR="00AB0397" w:rsidRPr="00E71AC6" w:rsidRDefault="00AB0397" w:rsidP="000449BA">
            <w:pPr>
              <w:pStyle w:val="NormalWeb"/>
              <w:jc w:val="center"/>
              <w:rPr>
                <w:color w:val="FFFFFF" w:themeColor="background1"/>
              </w:rPr>
            </w:pPr>
            <w:r w:rsidRPr="00E71AC6">
              <w:rPr>
                <w:color w:val="FFFFFF" w:themeColor="background1"/>
              </w:rPr>
              <w:t>Number of cases</w:t>
            </w:r>
          </w:p>
        </w:tc>
        <w:tc>
          <w:tcPr>
            <w:tcW w:w="2268" w:type="dxa"/>
            <w:tcBorders>
              <w:top w:val="single" w:sz="2" w:space="0" w:color="FFFFFF" w:themeColor="background1"/>
              <w:left w:val="single" w:sz="2" w:space="0" w:color="FFFFFF" w:themeColor="background1"/>
              <w:right w:val="single" w:sz="2" w:space="0" w:color="FFFFFF" w:themeColor="background1"/>
            </w:tcBorders>
            <w:hideMark/>
          </w:tcPr>
          <w:p w:rsidR="00AB0397" w:rsidRPr="00E71AC6" w:rsidRDefault="00AB0397" w:rsidP="000449BA">
            <w:pPr>
              <w:pStyle w:val="NormalWeb"/>
              <w:jc w:val="center"/>
              <w:rPr>
                <w:color w:val="FFFFFF" w:themeColor="background1"/>
              </w:rPr>
            </w:pPr>
            <w:r w:rsidRPr="00E71AC6">
              <w:rPr>
                <w:color w:val="FFFFFF" w:themeColor="background1"/>
              </w:rPr>
              <w:t>Number of cases</w:t>
            </w:r>
          </w:p>
        </w:tc>
        <w:tc>
          <w:tcPr>
            <w:tcW w:w="2076" w:type="dxa"/>
            <w:tcBorders>
              <w:top w:val="single" w:sz="2" w:space="0" w:color="FFFFFF" w:themeColor="background1"/>
              <w:left w:val="single" w:sz="2" w:space="0" w:color="FFFFFF" w:themeColor="background1"/>
            </w:tcBorders>
            <w:hideMark/>
          </w:tcPr>
          <w:p w:rsidR="00AB0397" w:rsidRPr="00E71AC6" w:rsidRDefault="00AB0397" w:rsidP="000449BA">
            <w:pPr>
              <w:pStyle w:val="NormalWeb"/>
              <w:jc w:val="center"/>
              <w:rPr>
                <w:color w:val="FFFFFF" w:themeColor="background1"/>
              </w:rPr>
            </w:pPr>
            <w:r w:rsidRPr="00E71AC6">
              <w:rPr>
                <w:color w:val="FFFFFF" w:themeColor="background1"/>
              </w:rPr>
              <w:t xml:space="preserve">Rate per 100,000 </w:t>
            </w:r>
            <w:proofErr w:type="spellStart"/>
            <w:r w:rsidRPr="00E71AC6">
              <w:rPr>
                <w:color w:val="FFFFFF" w:themeColor="background1"/>
              </w:rPr>
              <w:t>population</w:t>
            </w:r>
            <w:r w:rsidRPr="000449BA">
              <w:rPr>
                <w:color w:val="FFFFFF" w:themeColor="background1"/>
                <w:vertAlign w:val="superscript"/>
              </w:rPr>
              <w:t>c</w:t>
            </w:r>
            <w:proofErr w:type="spellEnd"/>
          </w:p>
        </w:tc>
      </w:tr>
      <w:tr w:rsidR="00AB0397" w:rsidTr="000449BA">
        <w:tc>
          <w:tcPr>
            <w:tcW w:w="0" w:type="auto"/>
            <w:hideMark/>
          </w:tcPr>
          <w:p w:rsidR="00AB0397" w:rsidRDefault="00AB0397">
            <w:pPr>
              <w:pStyle w:val="NormalWeb"/>
            </w:pPr>
            <w:r>
              <w:t>NSW</w:t>
            </w:r>
          </w:p>
        </w:tc>
        <w:tc>
          <w:tcPr>
            <w:tcW w:w="2530" w:type="dxa"/>
            <w:hideMark/>
          </w:tcPr>
          <w:p w:rsidR="00AB0397" w:rsidRDefault="00AB0397" w:rsidP="000449BA">
            <w:pPr>
              <w:pStyle w:val="NormalWeb"/>
              <w:jc w:val="center"/>
            </w:pPr>
            <w:r>
              <w:t>1</w:t>
            </w:r>
          </w:p>
        </w:tc>
        <w:tc>
          <w:tcPr>
            <w:tcW w:w="2410" w:type="dxa"/>
            <w:hideMark/>
          </w:tcPr>
          <w:p w:rsidR="00AB0397" w:rsidRDefault="00AB0397" w:rsidP="000449BA">
            <w:pPr>
              <w:pStyle w:val="NormalWeb"/>
              <w:jc w:val="center"/>
            </w:pPr>
            <w:r>
              <w:t>1</w:t>
            </w:r>
          </w:p>
        </w:tc>
        <w:tc>
          <w:tcPr>
            <w:tcW w:w="2268" w:type="dxa"/>
            <w:hideMark/>
          </w:tcPr>
          <w:p w:rsidR="00AB0397" w:rsidRDefault="00AB0397" w:rsidP="000449BA">
            <w:pPr>
              <w:pStyle w:val="NormalWeb"/>
              <w:jc w:val="center"/>
            </w:pPr>
            <w:r>
              <w:t>29</w:t>
            </w:r>
          </w:p>
        </w:tc>
        <w:tc>
          <w:tcPr>
            <w:tcW w:w="2076" w:type="dxa"/>
            <w:hideMark/>
          </w:tcPr>
          <w:p w:rsidR="00AB0397" w:rsidRDefault="00AB0397" w:rsidP="000449BA">
            <w:pPr>
              <w:pStyle w:val="NormalWeb"/>
              <w:jc w:val="center"/>
            </w:pPr>
            <w:r>
              <w:t>0.36</w:t>
            </w:r>
          </w:p>
        </w:tc>
      </w:tr>
      <w:tr w:rsidR="00AB0397" w:rsidTr="000449BA">
        <w:trPr>
          <w:cnfStyle w:val="000000010000" w:firstRow="0" w:lastRow="0" w:firstColumn="0" w:lastColumn="0" w:oddVBand="0" w:evenVBand="0" w:oddHBand="0" w:evenHBand="1" w:firstRowFirstColumn="0" w:firstRowLastColumn="0" w:lastRowFirstColumn="0" w:lastRowLastColumn="0"/>
        </w:trPr>
        <w:tc>
          <w:tcPr>
            <w:tcW w:w="0" w:type="auto"/>
            <w:hideMark/>
          </w:tcPr>
          <w:p w:rsidR="00AB0397" w:rsidRDefault="00AB0397">
            <w:pPr>
              <w:pStyle w:val="NormalWeb"/>
            </w:pPr>
            <w:r>
              <w:t>Vic.</w:t>
            </w:r>
          </w:p>
        </w:tc>
        <w:tc>
          <w:tcPr>
            <w:tcW w:w="2530" w:type="dxa"/>
            <w:hideMark/>
          </w:tcPr>
          <w:p w:rsidR="00AB0397" w:rsidRDefault="00AB0397" w:rsidP="000449BA">
            <w:pPr>
              <w:pStyle w:val="NormalWeb"/>
              <w:jc w:val="center"/>
            </w:pPr>
            <w:r>
              <w:t>0</w:t>
            </w:r>
          </w:p>
        </w:tc>
        <w:tc>
          <w:tcPr>
            <w:tcW w:w="2410" w:type="dxa"/>
            <w:hideMark/>
          </w:tcPr>
          <w:p w:rsidR="00AB0397" w:rsidRDefault="00AB0397" w:rsidP="000449BA">
            <w:pPr>
              <w:pStyle w:val="NormalWeb"/>
              <w:jc w:val="center"/>
            </w:pPr>
            <w:r>
              <w:t>0</w:t>
            </w:r>
          </w:p>
        </w:tc>
        <w:tc>
          <w:tcPr>
            <w:tcW w:w="2268" w:type="dxa"/>
            <w:hideMark/>
          </w:tcPr>
          <w:p w:rsidR="00AB0397" w:rsidRDefault="00AB0397" w:rsidP="000449BA">
            <w:pPr>
              <w:pStyle w:val="NormalWeb"/>
              <w:jc w:val="center"/>
            </w:pPr>
            <w:r>
              <w:t>34</w:t>
            </w:r>
          </w:p>
        </w:tc>
        <w:tc>
          <w:tcPr>
            <w:tcW w:w="2076" w:type="dxa"/>
            <w:hideMark/>
          </w:tcPr>
          <w:p w:rsidR="00AB0397" w:rsidRDefault="00AB0397" w:rsidP="000449BA">
            <w:pPr>
              <w:pStyle w:val="NormalWeb"/>
              <w:jc w:val="center"/>
            </w:pPr>
            <w:r>
              <w:t>0.51</w:t>
            </w:r>
          </w:p>
        </w:tc>
      </w:tr>
      <w:tr w:rsidR="00AB0397" w:rsidTr="000449BA">
        <w:tc>
          <w:tcPr>
            <w:tcW w:w="0" w:type="auto"/>
            <w:hideMark/>
          </w:tcPr>
          <w:p w:rsidR="00AB0397" w:rsidRDefault="00AB0397">
            <w:pPr>
              <w:pStyle w:val="NormalWeb"/>
            </w:pPr>
            <w:r>
              <w:t>Qld</w:t>
            </w:r>
          </w:p>
        </w:tc>
        <w:tc>
          <w:tcPr>
            <w:tcW w:w="2530" w:type="dxa"/>
            <w:hideMark/>
          </w:tcPr>
          <w:p w:rsidR="00AB0397" w:rsidRDefault="00AB0397" w:rsidP="000449BA">
            <w:pPr>
              <w:pStyle w:val="NormalWeb"/>
              <w:jc w:val="center"/>
            </w:pPr>
            <w:r>
              <w:t>1</w:t>
            </w:r>
          </w:p>
        </w:tc>
        <w:tc>
          <w:tcPr>
            <w:tcW w:w="2410" w:type="dxa"/>
            <w:hideMark/>
          </w:tcPr>
          <w:p w:rsidR="00AB0397" w:rsidRDefault="00AB0397" w:rsidP="000449BA">
            <w:pPr>
              <w:pStyle w:val="NormalWeb"/>
              <w:jc w:val="center"/>
            </w:pPr>
            <w:r>
              <w:t>10</w:t>
            </w:r>
          </w:p>
        </w:tc>
        <w:tc>
          <w:tcPr>
            <w:tcW w:w="2268" w:type="dxa"/>
            <w:hideMark/>
          </w:tcPr>
          <w:p w:rsidR="00AB0397" w:rsidRDefault="00AB0397" w:rsidP="000449BA">
            <w:pPr>
              <w:pStyle w:val="NormalWeb"/>
              <w:jc w:val="center"/>
            </w:pPr>
            <w:r>
              <w:t>16</w:t>
            </w:r>
          </w:p>
        </w:tc>
        <w:tc>
          <w:tcPr>
            <w:tcW w:w="2076" w:type="dxa"/>
            <w:hideMark/>
          </w:tcPr>
          <w:p w:rsidR="00AB0397" w:rsidRDefault="00AB0397" w:rsidP="000449BA">
            <w:pPr>
              <w:pStyle w:val="NormalWeb"/>
              <w:jc w:val="center"/>
            </w:pPr>
            <w:r>
              <w:t>0.31</w:t>
            </w:r>
          </w:p>
        </w:tc>
      </w:tr>
      <w:tr w:rsidR="00AB0397" w:rsidTr="000449BA">
        <w:trPr>
          <w:cnfStyle w:val="000000010000" w:firstRow="0" w:lastRow="0" w:firstColumn="0" w:lastColumn="0" w:oddVBand="0" w:evenVBand="0" w:oddHBand="0" w:evenHBand="1" w:firstRowFirstColumn="0" w:firstRowLastColumn="0" w:lastRowFirstColumn="0" w:lastRowLastColumn="0"/>
        </w:trPr>
        <w:tc>
          <w:tcPr>
            <w:tcW w:w="0" w:type="auto"/>
            <w:hideMark/>
          </w:tcPr>
          <w:p w:rsidR="00AB0397" w:rsidRDefault="00AB0397">
            <w:pPr>
              <w:pStyle w:val="NormalWeb"/>
            </w:pPr>
            <w:r>
              <w:t>WA</w:t>
            </w:r>
          </w:p>
        </w:tc>
        <w:tc>
          <w:tcPr>
            <w:tcW w:w="2530" w:type="dxa"/>
            <w:hideMark/>
          </w:tcPr>
          <w:p w:rsidR="00AB0397" w:rsidRDefault="00AB0397" w:rsidP="000449BA">
            <w:pPr>
              <w:pStyle w:val="NormalWeb"/>
              <w:jc w:val="center"/>
            </w:pPr>
            <w:r>
              <w:t>0</w:t>
            </w:r>
          </w:p>
        </w:tc>
        <w:tc>
          <w:tcPr>
            <w:tcW w:w="2410" w:type="dxa"/>
            <w:hideMark/>
          </w:tcPr>
          <w:p w:rsidR="00AB0397" w:rsidRDefault="00AB0397" w:rsidP="000449BA">
            <w:pPr>
              <w:pStyle w:val="NormalWeb"/>
              <w:jc w:val="center"/>
            </w:pPr>
            <w:r>
              <w:t>0</w:t>
            </w:r>
          </w:p>
        </w:tc>
        <w:tc>
          <w:tcPr>
            <w:tcW w:w="2268" w:type="dxa"/>
            <w:hideMark/>
          </w:tcPr>
          <w:p w:rsidR="00AB0397" w:rsidRDefault="00AB0397" w:rsidP="000449BA">
            <w:pPr>
              <w:pStyle w:val="NormalWeb"/>
              <w:jc w:val="center"/>
            </w:pPr>
            <w:r>
              <w:t>1</w:t>
            </w:r>
          </w:p>
        </w:tc>
        <w:tc>
          <w:tcPr>
            <w:tcW w:w="2076" w:type="dxa"/>
            <w:hideMark/>
          </w:tcPr>
          <w:p w:rsidR="00AB0397" w:rsidRDefault="00AB0397" w:rsidP="000449BA">
            <w:pPr>
              <w:pStyle w:val="NormalWeb"/>
              <w:jc w:val="center"/>
            </w:pPr>
            <w:r>
              <w:t>0.04</w:t>
            </w:r>
          </w:p>
        </w:tc>
      </w:tr>
      <w:tr w:rsidR="00AB0397" w:rsidTr="000449BA">
        <w:tc>
          <w:tcPr>
            <w:tcW w:w="0" w:type="auto"/>
            <w:hideMark/>
          </w:tcPr>
          <w:p w:rsidR="00AB0397" w:rsidRDefault="00AB0397">
            <w:pPr>
              <w:pStyle w:val="NormalWeb"/>
            </w:pPr>
            <w:r>
              <w:t>SA</w:t>
            </w:r>
          </w:p>
        </w:tc>
        <w:tc>
          <w:tcPr>
            <w:tcW w:w="2530" w:type="dxa"/>
            <w:hideMark/>
          </w:tcPr>
          <w:p w:rsidR="00AB0397" w:rsidRDefault="00AB0397" w:rsidP="000449BA">
            <w:pPr>
              <w:pStyle w:val="NormalWeb"/>
              <w:jc w:val="center"/>
            </w:pPr>
            <w:r>
              <w:t>1</w:t>
            </w:r>
          </w:p>
        </w:tc>
        <w:tc>
          <w:tcPr>
            <w:tcW w:w="2410" w:type="dxa"/>
            <w:hideMark/>
          </w:tcPr>
          <w:p w:rsidR="00AB0397" w:rsidRDefault="00AB0397" w:rsidP="000449BA">
            <w:pPr>
              <w:pStyle w:val="NormalWeb"/>
              <w:jc w:val="center"/>
            </w:pPr>
            <w:r>
              <w:t>0</w:t>
            </w:r>
          </w:p>
        </w:tc>
        <w:tc>
          <w:tcPr>
            <w:tcW w:w="2268" w:type="dxa"/>
            <w:hideMark/>
          </w:tcPr>
          <w:p w:rsidR="00AB0397" w:rsidRDefault="00AB0397" w:rsidP="000449BA">
            <w:pPr>
              <w:pStyle w:val="NormalWeb"/>
              <w:jc w:val="center"/>
            </w:pPr>
            <w:r>
              <w:t>1</w:t>
            </w:r>
          </w:p>
        </w:tc>
        <w:tc>
          <w:tcPr>
            <w:tcW w:w="2076" w:type="dxa"/>
            <w:hideMark/>
          </w:tcPr>
          <w:p w:rsidR="00AB0397" w:rsidRDefault="00AB0397" w:rsidP="000449BA">
            <w:pPr>
              <w:pStyle w:val="NormalWeb"/>
              <w:jc w:val="center"/>
            </w:pPr>
            <w:r>
              <w:t>0.06</w:t>
            </w:r>
          </w:p>
        </w:tc>
      </w:tr>
      <w:tr w:rsidR="00AB0397" w:rsidTr="000449BA">
        <w:trPr>
          <w:cnfStyle w:val="000000010000" w:firstRow="0" w:lastRow="0" w:firstColumn="0" w:lastColumn="0" w:oddVBand="0" w:evenVBand="0" w:oddHBand="0" w:evenHBand="1" w:firstRowFirstColumn="0" w:firstRowLastColumn="0" w:lastRowFirstColumn="0" w:lastRowLastColumn="0"/>
        </w:trPr>
        <w:tc>
          <w:tcPr>
            <w:tcW w:w="0" w:type="auto"/>
            <w:hideMark/>
          </w:tcPr>
          <w:p w:rsidR="00AB0397" w:rsidRDefault="00AB0397">
            <w:pPr>
              <w:pStyle w:val="NormalWeb"/>
            </w:pPr>
            <w:r>
              <w:t>Tas.</w:t>
            </w:r>
          </w:p>
        </w:tc>
        <w:tc>
          <w:tcPr>
            <w:tcW w:w="2530" w:type="dxa"/>
            <w:hideMark/>
          </w:tcPr>
          <w:p w:rsidR="00AB0397" w:rsidRDefault="00AB0397" w:rsidP="000449BA">
            <w:pPr>
              <w:pStyle w:val="NormalWeb"/>
              <w:jc w:val="center"/>
            </w:pPr>
            <w:r>
              <w:t>0</w:t>
            </w:r>
          </w:p>
        </w:tc>
        <w:tc>
          <w:tcPr>
            <w:tcW w:w="2410" w:type="dxa"/>
            <w:hideMark/>
          </w:tcPr>
          <w:p w:rsidR="00AB0397" w:rsidRDefault="00AB0397" w:rsidP="000449BA">
            <w:pPr>
              <w:pStyle w:val="NormalWeb"/>
              <w:jc w:val="center"/>
            </w:pPr>
            <w:r>
              <w:t>0</w:t>
            </w:r>
          </w:p>
        </w:tc>
        <w:tc>
          <w:tcPr>
            <w:tcW w:w="2268" w:type="dxa"/>
            <w:hideMark/>
          </w:tcPr>
          <w:p w:rsidR="00AB0397" w:rsidRDefault="00AB0397" w:rsidP="000449BA">
            <w:pPr>
              <w:pStyle w:val="NormalWeb"/>
              <w:jc w:val="center"/>
            </w:pPr>
            <w:r>
              <w:t>0</w:t>
            </w:r>
          </w:p>
        </w:tc>
        <w:tc>
          <w:tcPr>
            <w:tcW w:w="2076" w:type="dxa"/>
            <w:hideMark/>
          </w:tcPr>
          <w:p w:rsidR="00AB0397" w:rsidRDefault="00AB0397" w:rsidP="000449BA">
            <w:pPr>
              <w:pStyle w:val="NormalWeb"/>
              <w:jc w:val="center"/>
            </w:pPr>
            <w:r>
              <w:t>—</w:t>
            </w:r>
          </w:p>
        </w:tc>
      </w:tr>
      <w:tr w:rsidR="00AB0397" w:rsidTr="000449BA">
        <w:tc>
          <w:tcPr>
            <w:tcW w:w="0" w:type="auto"/>
            <w:hideMark/>
          </w:tcPr>
          <w:p w:rsidR="00AB0397" w:rsidRDefault="00AB0397">
            <w:pPr>
              <w:pStyle w:val="NormalWeb"/>
            </w:pPr>
            <w:r>
              <w:t>NT</w:t>
            </w:r>
          </w:p>
        </w:tc>
        <w:tc>
          <w:tcPr>
            <w:tcW w:w="2530" w:type="dxa"/>
            <w:hideMark/>
          </w:tcPr>
          <w:p w:rsidR="00AB0397" w:rsidRDefault="00AB0397" w:rsidP="000449BA">
            <w:pPr>
              <w:pStyle w:val="NormalWeb"/>
              <w:jc w:val="center"/>
            </w:pPr>
            <w:r>
              <w:t>0</w:t>
            </w:r>
          </w:p>
        </w:tc>
        <w:tc>
          <w:tcPr>
            <w:tcW w:w="2410" w:type="dxa"/>
            <w:hideMark/>
          </w:tcPr>
          <w:p w:rsidR="00AB0397" w:rsidRDefault="00AB0397" w:rsidP="000449BA">
            <w:pPr>
              <w:pStyle w:val="NormalWeb"/>
              <w:jc w:val="center"/>
            </w:pPr>
            <w:r>
              <w:t>0</w:t>
            </w:r>
          </w:p>
        </w:tc>
        <w:tc>
          <w:tcPr>
            <w:tcW w:w="2268" w:type="dxa"/>
            <w:hideMark/>
          </w:tcPr>
          <w:p w:rsidR="00AB0397" w:rsidRDefault="00AB0397" w:rsidP="000449BA">
            <w:pPr>
              <w:pStyle w:val="NormalWeb"/>
              <w:jc w:val="center"/>
            </w:pPr>
            <w:r>
              <w:t>0</w:t>
            </w:r>
          </w:p>
        </w:tc>
        <w:tc>
          <w:tcPr>
            <w:tcW w:w="2076" w:type="dxa"/>
            <w:hideMark/>
          </w:tcPr>
          <w:p w:rsidR="00AB0397" w:rsidRDefault="00AB0397" w:rsidP="000449BA">
            <w:pPr>
              <w:pStyle w:val="NormalWeb"/>
              <w:jc w:val="center"/>
            </w:pPr>
            <w:r>
              <w:t>—</w:t>
            </w:r>
          </w:p>
        </w:tc>
      </w:tr>
      <w:tr w:rsidR="00AB0397" w:rsidTr="000449BA">
        <w:trPr>
          <w:cnfStyle w:val="000000010000" w:firstRow="0" w:lastRow="0" w:firstColumn="0" w:lastColumn="0" w:oddVBand="0" w:evenVBand="0" w:oddHBand="0" w:evenHBand="1" w:firstRowFirstColumn="0" w:firstRowLastColumn="0" w:lastRowFirstColumn="0" w:lastRowLastColumn="0"/>
        </w:trPr>
        <w:tc>
          <w:tcPr>
            <w:tcW w:w="0" w:type="auto"/>
            <w:hideMark/>
          </w:tcPr>
          <w:p w:rsidR="00AB0397" w:rsidRDefault="00AB0397">
            <w:pPr>
              <w:pStyle w:val="NormalWeb"/>
            </w:pPr>
            <w:r>
              <w:t>ACT</w:t>
            </w:r>
          </w:p>
        </w:tc>
        <w:tc>
          <w:tcPr>
            <w:tcW w:w="2530" w:type="dxa"/>
            <w:hideMark/>
          </w:tcPr>
          <w:p w:rsidR="00AB0397" w:rsidRDefault="00AB0397" w:rsidP="000449BA">
            <w:pPr>
              <w:pStyle w:val="NormalWeb"/>
              <w:jc w:val="center"/>
            </w:pPr>
            <w:r>
              <w:t>0</w:t>
            </w:r>
          </w:p>
        </w:tc>
        <w:tc>
          <w:tcPr>
            <w:tcW w:w="2410" w:type="dxa"/>
            <w:hideMark/>
          </w:tcPr>
          <w:p w:rsidR="00AB0397" w:rsidRDefault="00AB0397" w:rsidP="000449BA">
            <w:pPr>
              <w:pStyle w:val="NormalWeb"/>
              <w:jc w:val="center"/>
            </w:pPr>
            <w:r>
              <w:t>0</w:t>
            </w:r>
          </w:p>
        </w:tc>
        <w:tc>
          <w:tcPr>
            <w:tcW w:w="2268" w:type="dxa"/>
            <w:hideMark/>
          </w:tcPr>
          <w:p w:rsidR="00AB0397" w:rsidRDefault="00AB0397" w:rsidP="000449BA">
            <w:pPr>
              <w:pStyle w:val="NormalWeb"/>
              <w:jc w:val="center"/>
            </w:pPr>
            <w:r>
              <w:t>0</w:t>
            </w:r>
          </w:p>
        </w:tc>
        <w:tc>
          <w:tcPr>
            <w:tcW w:w="2076" w:type="dxa"/>
            <w:hideMark/>
          </w:tcPr>
          <w:p w:rsidR="00AB0397" w:rsidRDefault="00AB0397" w:rsidP="000449BA">
            <w:pPr>
              <w:pStyle w:val="NormalWeb"/>
              <w:jc w:val="center"/>
            </w:pPr>
            <w:r>
              <w:t>—</w:t>
            </w:r>
          </w:p>
        </w:tc>
      </w:tr>
      <w:tr w:rsidR="00AB0397" w:rsidRPr="000449BA" w:rsidTr="000449BA">
        <w:tc>
          <w:tcPr>
            <w:tcW w:w="0" w:type="auto"/>
            <w:shd w:val="clear" w:color="auto" w:fill="FDE9D9" w:themeFill="accent6" w:themeFillTint="33"/>
            <w:hideMark/>
          </w:tcPr>
          <w:p w:rsidR="00AB0397" w:rsidRPr="000449BA" w:rsidRDefault="00AB0397">
            <w:pPr>
              <w:pStyle w:val="NormalWeb"/>
              <w:rPr>
                <w:b/>
              </w:rPr>
            </w:pPr>
            <w:r w:rsidRPr="000449BA">
              <w:rPr>
                <w:b/>
              </w:rPr>
              <w:t>Australia</w:t>
            </w:r>
          </w:p>
        </w:tc>
        <w:tc>
          <w:tcPr>
            <w:tcW w:w="2530" w:type="dxa"/>
            <w:shd w:val="clear" w:color="auto" w:fill="FDE9D9" w:themeFill="accent6" w:themeFillTint="33"/>
            <w:hideMark/>
          </w:tcPr>
          <w:p w:rsidR="00AB0397" w:rsidRPr="000449BA" w:rsidRDefault="00AB0397" w:rsidP="000449BA">
            <w:pPr>
              <w:pStyle w:val="NormalWeb"/>
              <w:jc w:val="center"/>
              <w:rPr>
                <w:b/>
              </w:rPr>
            </w:pPr>
            <w:r w:rsidRPr="000449BA">
              <w:rPr>
                <w:b/>
              </w:rPr>
              <w:t>3</w:t>
            </w:r>
          </w:p>
        </w:tc>
        <w:tc>
          <w:tcPr>
            <w:tcW w:w="2410" w:type="dxa"/>
            <w:shd w:val="clear" w:color="auto" w:fill="FDE9D9" w:themeFill="accent6" w:themeFillTint="33"/>
            <w:hideMark/>
          </w:tcPr>
          <w:p w:rsidR="00AB0397" w:rsidRPr="000449BA" w:rsidRDefault="00AB0397" w:rsidP="000449BA">
            <w:pPr>
              <w:pStyle w:val="NormalWeb"/>
              <w:jc w:val="center"/>
              <w:rPr>
                <w:b/>
              </w:rPr>
            </w:pPr>
            <w:r w:rsidRPr="000449BA">
              <w:rPr>
                <w:b/>
              </w:rPr>
              <w:t>11</w:t>
            </w:r>
          </w:p>
        </w:tc>
        <w:tc>
          <w:tcPr>
            <w:tcW w:w="2268" w:type="dxa"/>
            <w:shd w:val="clear" w:color="auto" w:fill="FDE9D9" w:themeFill="accent6" w:themeFillTint="33"/>
            <w:hideMark/>
          </w:tcPr>
          <w:p w:rsidR="00AB0397" w:rsidRPr="000449BA" w:rsidRDefault="00AB0397" w:rsidP="000449BA">
            <w:pPr>
              <w:pStyle w:val="NormalWeb"/>
              <w:jc w:val="center"/>
              <w:rPr>
                <w:b/>
              </w:rPr>
            </w:pPr>
            <w:r w:rsidRPr="000449BA">
              <w:rPr>
                <w:b/>
              </w:rPr>
              <w:t>81</w:t>
            </w:r>
          </w:p>
        </w:tc>
        <w:tc>
          <w:tcPr>
            <w:tcW w:w="2076" w:type="dxa"/>
            <w:shd w:val="clear" w:color="auto" w:fill="FDE9D9" w:themeFill="accent6" w:themeFillTint="33"/>
            <w:hideMark/>
          </w:tcPr>
          <w:p w:rsidR="00AB0397" w:rsidRPr="000449BA" w:rsidRDefault="00AB0397" w:rsidP="000449BA">
            <w:pPr>
              <w:pStyle w:val="NormalWeb"/>
              <w:jc w:val="center"/>
              <w:rPr>
                <w:b/>
              </w:rPr>
            </w:pPr>
            <w:r w:rsidRPr="000449BA">
              <w:rPr>
                <w:b/>
              </w:rPr>
              <w:t>0.32</w:t>
            </w:r>
          </w:p>
        </w:tc>
      </w:tr>
    </w:tbl>
    <w:p w:rsidR="00AB0397" w:rsidRDefault="00AB0397" w:rsidP="00E71AC6">
      <w:pPr>
        <w:pStyle w:val="CDIfootnotes"/>
      </w:pPr>
      <w:proofErr w:type="gramStart"/>
      <w:r>
        <w:t>a</w:t>
      </w:r>
      <w:proofErr w:type="gramEnd"/>
      <w:r>
        <w:tab/>
        <w:t>Source: NNDSS, extract from 1 April 2021, based on diagnosis date.</w:t>
      </w:r>
    </w:p>
    <w:p w:rsidR="00AB0397" w:rsidRDefault="00AB0397" w:rsidP="00E71AC6">
      <w:pPr>
        <w:pStyle w:val="CDIfootnotes"/>
      </w:pPr>
      <w:proofErr w:type="gramStart"/>
      <w:r>
        <w:t>b</w:t>
      </w:r>
      <w:proofErr w:type="gramEnd"/>
      <w:r>
        <w:tab/>
        <w:t>Note the change for this report to a focus on cases in this year only, which substantially lowers rates per 100,000 population.</w:t>
      </w:r>
    </w:p>
    <w:p w:rsidR="00AB0397" w:rsidRDefault="00AB0397" w:rsidP="00E71AC6">
      <w:pPr>
        <w:pStyle w:val="CDIfootnotes"/>
      </w:pPr>
      <w:proofErr w:type="gramStart"/>
      <w:r>
        <w:t>c</w:t>
      </w:r>
      <w:proofErr w:type="gramEnd"/>
      <w:r>
        <w:tab/>
        <w:t>Population data based on Australian Bureau of Statistics (ABS) Estimated Resident Population (ERP) as at June 2020.</w:t>
      </w:r>
    </w:p>
    <w:p w:rsidR="00AB0397" w:rsidRDefault="00AB0397" w:rsidP="004724FC">
      <w:r>
        <w:t xml:space="preserve">In this reporting period, the largest number of overseas-acquired cases was reported in Queensland (47%; 53/113), followed by New South Wales (30%; 34/113). </w:t>
      </w:r>
    </w:p>
    <w:p w:rsidR="00AB0397" w:rsidRDefault="00AB0397" w:rsidP="004724FC">
      <w:r>
        <w:t xml:space="preserve">The largest numbers of overseas-acquired cases with reported countries of acquisition were from Papua New Guinea (31%; 30/98 of all cases, and notably 70%; 28/40 of Queensland cases), followed by Pakistan (12%; 12/98) and India (11%; 11/98) in this reporting period. The number of cases by country is influenced by travel patterns of returning Australians as well as by the prevalence of COVID-19 in the country the person arrived </w:t>
      </w:r>
      <w:proofErr w:type="gramStart"/>
      <w:r>
        <w:t>from</w:t>
      </w:r>
      <w:proofErr w:type="gramEnd"/>
      <w:r>
        <w:t xml:space="preserve">. </w:t>
      </w:r>
    </w:p>
    <w:p w:rsidR="00AB0397" w:rsidRDefault="00AB0397" w:rsidP="004724FC">
      <w:r>
        <w:t xml:space="preserve">In 2021, Victoria has the highest infection rate for </w:t>
      </w:r>
      <w:proofErr w:type="gramStart"/>
      <w:r>
        <w:t>locally-acquired</w:t>
      </w:r>
      <w:proofErr w:type="gramEnd"/>
      <w:r>
        <w:t xml:space="preserve"> cases with 0.51 infections per 100,000 population (Table 2). At the end of this reporting period, there had been zero days since the last </w:t>
      </w:r>
      <w:proofErr w:type="gramStart"/>
      <w:r>
        <w:t>locally-acquired</w:t>
      </w:r>
      <w:proofErr w:type="gramEnd"/>
      <w:r>
        <w:t xml:space="preserve"> case of unknown source (Table 3).</w:t>
      </w:r>
    </w:p>
    <w:p w:rsidR="005C5516" w:rsidRDefault="005C5516">
      <w:pPr>
        <w:rPr>
          <w:b/>
        </w:rPr>
      </w:pPr>
      <w:r>
        <w:br w:type="page"/>
      </w:r>
    </w:p>
    <w:p w:rsidR="00AB0397" w:rsidRDefault="00AB0397" w:rsidP="004724FC">
      <w:pPr>
        <w:pStyle w:val="CDIFigures"/>
      </w:pPr>
      <w:r>
        <w:lastRenderedPageBreak/>
        <w:t>Table 3: Days since last locally-acquired COVID-19 case (source unknown and source known), by jurisdiction, 28</w:t>
      </w:r>
      <w:r w:rsidR="004724FC">
        <w:t> </w:t>
      </w:r>
      <w:r>
        <w:t>March 2021</w:t>
      </w:r>
      <w:r w:rsidRPr="004724FC">
        <w:rPr>
          <w:vertAlign w:val="superscript"/>
        </w:rPr>
        <w:t>a</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3 shows the number of days elapsed since the last locally-acquired COVID-19 case with known source, and with unknown source, by jurisdiction. In Queensland, as of the end of the current reporting period, there have been respectively zero days since the most recently-notified locally-acquired cases each with source known and with source unknown. In New South Wales, the most recently-notified locally-acquired cases with source known and with source unknown were notified respectively 13 and 72 days prior to the end of the current reporting period. In Victoria, the most recently-notified locally-acquired cases with source known and with source unknown were notified respectively 32 and 88 days prior to the end of the current reporting period. In Western Australia and South Australia, the most recently-notified locally-acquired cases with source known were notified respectively 59 and 121 days prior to the end of the current reporting period. Tasmania, the Northern Territory and the Australian Capital Territory have reported no locally-acquired cases with source known or with source unknown for more than 230 days, true also of locally-acquired cases with unknown source in Western Australia and South Australia.&#10;"/>
      </w:tblPr>
      <w:tblGrid>
        <w:gridCol w:w="1156"/>
        <w:gridCol w:w="2296"/>
        <w:gridCol w:w="2296"/>
        <w:gridCol w:w="2296"/>
        <w:gridCol w:w="2296"/>
      </w:tblGrid>
      <w:tr w:rsidR="005C5516" w:rsidRPr="005C5516" w:rsidTr="00FD0E6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AB0397" w:rsidRPr="005C5516" w:rsidRDefault="00AB0397">
            <w:pPr>
              <w:pStyle w:val="NormalWeb"/>
              <w:rPr>
                <w:color w:val="FFFFFF" w:themeColor="background1"/>
              </w:rPr>
            </w:pPr>
            <w:r w:rsidRPr="005C5516">
              <w:rPr>
                <w:color w:val="FFFFFF" w:themeColor="background1"/>
              </w:rPr>
              <w:t>Jurisdiction</w:t>
            </w:r>
          </w:p>
        </w:tc>
        <w:tc>
          <w:tcPr>
            <w:tcW w:w="4592" w:type="dxa"/>
            <w:gridSpan w:val="2"/>
            <w:tcBorders>
              <w:left w:val="single" w:sz="2" w:space="0" w:color="FFFFFF" w:themeColor="background1"/>
              <w:bottom w:val="single" w:sz="2" w:space="0" w:color="FFFFFF" w:themeColor="background1"/>
              <w:right w:val="single" w:sz="2" w:space="0" w:color="FFFFFF" w:themeColor="background1"/>
            </w:tcBorders>
            <w:hideMark/>
          </w:tcPr>
          <w:p w:rsidR="00AB0397" w:rsidRPr="005C5516" w:rsidRDefault="00AB0397" w:rsidP="005C5516">
            <w:pPr>
              <w:pStyle w:val="NormalWeb"/>
              <w:jc w:val="center"/>
              <w:rPr>
                <w:color w:val="FFFFFF" w:themeColor="background1"/>
              </w:rPr>
            </w:pPr>
            <w:r w:rsidRPr="005C5516">
              <w:rPr>
                <w:color w:val="FFFFFF" w:themeColor="background1"/>
              </w:rPr>
              <w:t>Locally acquired — source unknown</w:t>
            </w:r>
          </w:p>
        </w:tc>
        <w:tc>
          <w:tcPr>
            <w:tcW w:w="4592" w:type="dxa"/>
            <w:gridSpan w:val="2"/>
            <w:tcBorders>
              <w:left w:val="single" w:sz="2" w:space="0" w:color="FFFFFF" w:themeColor="background1"/>
              <w:bottom w:val="single" w:sz="2" w:space="0" w:color="FFFFFF" w:themeColor="background1"/>
            </w:tcBorders>
            <w:hideMark/>
          </w:tcPr>
          <w:p w:rsidR="00AB0397" w:rsidRPr="005C5516" w:rsidRDefault="00AB0397" w:rsidP="005C5516">
            <w:pPr>
              <w:pStyle w:val="NormalWeb"/>
              <w:jc w:val="center"/>
              <w:rPr>
                <w:color w:val="FFFFFF" w:themeColor="background1"/>
              </w:rPr>
            </w:pPr>
            <w:r w:rsidRPr="005C5516">
              <w:rPr>
                <w:color w:val="FFFFFF" w:themeColor="background1"/>
              </w:rPr>
              <w:t>Locally acquired — source known</w:t>
            </w:r>
          </w:p>
        </w:tc>
      </w:tr>
      <w:tr w:rsidR="005C5516" w:rsidRPr="005C5516" w:rsidTr="00FD0E65">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AB0397" w:rsidRPr="005C5516" w:rsidRDefault="00AB0397">
            <w:pPr>
              <w:rPr>
                <w:color w:val="FFFFFF" w:themeColor="background1"/>
                <w:sz w:val="24"/>
                <w:szCs w:val="24"/>
              </w:rPr>
            </w:pPr>
          </w:p>
        </w:tc>
        <w:tc>
          <w:tcPr>
            <w:tcW w:w="2296" w:type="dxa"/>
            <w:tcBorders>
              <w:top w:val="single" w:sz="2" w:space="0" w:color="FFFFFF" w:themeColor="background1"/>
              <w:left w:val="single" w:sz="2" w:space="0" w:color="FFFFFF" w:themeColor="background1"/>
              <w:right w:val="single" w:sz="2" w:space="0" w:color="FFFFFF" w:themeColor="background1"/>
            </w:tcBorders>
            <w:hideMark/>
          </w:tcPr>
          <w:p w:rsidR="00AB0397" w:rsidRPr="005C5516" w:rsidRDefault="00AB0397" w:rsidP="005C5516">
            <w:pPr>
              <w:pStyle w:val="NormalWeb"/>
              <w:jc w:val="center"/>
              <w:rPr>
                <w:color w:val="FFFFFF" w:themeColor="background1"/>
              </w:rPr>
            </w:pPr>
            <w:r w:rsidRPr="005C5516">
              <w:rPr>
                <w:color w:val="FFFFFF" w:themeColor="background1"/>
              </w:rPr>
              <w:t>Date of last case</w:t>
            </w:r>
          </w:p>
        </w:tc>
        <w:tc>
          <w:tcPr>
            <w:tcW w:w="2296" w:type="dxa"/>
            <w:tcBorders>
              <w:top w:val="single" w:sz="2" w:space="0" w:color="FFFFFF" w:themeColor="background1"/>
              <w:left w:val="single" w:sz="2" w:space="0" w:color="FFFFFF" w:themeColor="background1"/>
              <w:right w:val="single" w:sz="2" w:space="0" w:color="FFFFFF" w:themeColor="background1"/>
            </w:tcBorders>
            <w:hideMark/>
          </w:tcPr>
          <w:p w:rsidR="00AB0397" w:rsidRPr="005C5516" w:rsidRDefault="00AB0397" w:rsidP="005C5516">
            <w:pPr>
              <w:pStyle w:val="NormalWeb"/>
              <w:jc w:val="center"/>
              <w:rPr>
                <w:color w:val="FFFFFF" w:themeColor="background1"/>
              </w:rPr>
            </w:pPr>
            <w:r w:rsidRPr="005C5516">
              <w:rPr>
                <w:color w:val="FFFFFF" w:themeColor="background1"/>
              </w:rPr>
              <w:t>Days since last case</w:t>
            </w:r>
          </w:p>
        </w:tc>
        <w:tc>
          <w:tcPr>
            <w:tcW w:w="2296" w:type="dxa"/>
            <w:tcBorders>
              <w:top w:val="single" w:sz="2" w:space="0" w:color="FFFFFF" w:themeColor="background1"/>
              <w:left w:val="single" w:sz="2" w:space="0" w:color="FFFFFF" w:themeColor="background1"/>
              <w:right w:val="single" w:sz="2" w:space="0" w:color="FFFFFF" w:themeColor="background1"/>
            </w:tcBorders>
            <w:hideMark/>
          </w:tcPr>
          <w:p w:rsidR="00AB0397" w:rsidRPr="005C5516" w:rsidRDefault="00AB0397" w:rsidP="005C5516">
            <w:pPr>
              <w:pStyle w:val="NormalWeb"/>
              <w:jc w:val="center"/>
              <w:rPr>
                <w:color w:val="FFFFFF" w:themeColor="background1"/>
              </w:rPr>
            </w:pPr>
            <w:r w:rsidRPr="005C5516">
              <w:rPr>
                <w:color w:val="FFFFFF" w:themeColor="background1"/>
              </w:rPr>
              <w:t>Date of last case</w:t>
            </w:r>
          </w:p>
        </w:tc>
        <w:tc>
          <w:tcPr>
            <w:tcW w:w="2296" w:type="dxa"/>
            <w:tcBorders>
              <w:top w:val="single" w:sz="2" w:space="0" w:color="FFFFFF" w:themeColor="background1"/>
              <w:left w:val="single" w:sz="2" w:space="0" w:color="FFFFFF" w:themeColor="background1"/>
            </w:tcBorders>
            <w:hideMark/>
          </w:tcPr>
          <w:p w:rsidR="00AB0397" w:rsidRPr="005C5516" w:rsidRDefault="00AB0397" w:rsidP="005C5516">
            <w:pPr>
              <w:pStyle w:val="NormalWeb"/>
              <w:jc w:val="center"/>
              <w:rPr>
                <w:color w:val="FFFFFF" w:themeColor="background1"/>
              </w:rPr>
            </w:pPr>
            <w:r w:rsidRPr="005C5516">
              <w:rPr>
                <w:color w:val="FFFFFF" w:themeColor="background1"/>
              </w:rPr>
              <w:t>Days since last case</w:t>
            </w:r>
          </w:p>
        </w:tc>
      </w:tr>
      <w:tr w:rsidR="00AB0397" w:rsidTr="00FD0E65">
        <w:tc>
          <w:tcPr>
            <w:tcW w:w="0" w:type="auto"/>
            <w:hideMark/>
          </w:tcPr>
          <w:p w:rsidR="00AB0397" w:rsidRDefault="00AB0397">
            <w:pPr>
              <w:pStyle w:val="NormalWeb"/>
            </w:pPr>
            <w:r>
              <w:t>NSW</w:t>
            </w:r>
          </w:p>
        </w:tc>
        <w:tc>
          <w:tcPr>
            <w:tcW w:w="2296" w:type="dxa"/>
            <w:hideMark/>
          </w:tcPr>
          <w:p w:rsidR="00AB0397" w:rsidRDefault="00AB0397" w:rsidP="005C5516">
            <w:pPr>
              <w:pStyle w:val="NormalWeb"/>
              <w:jc w:val="center"/>
            </w:pPr>
            <w:r>
              <w:t>15 January 2021</w:t>
            </w:r>
          </w:p>
        </w:tc>
        <w:tc>
          <w:tcPr>
            <w:tcW w:w="2296" w:type="dxa"/>
            <w:hideMark/>
          </w:tcPr>
          <w:p w:rsidR="00AB0397" w:rsidRDefault="00AB0397" w:rsidP="005C5516">
            <w:pPr>
              <w:pStyle w:val="NormalWeb"/>
              <w:jc w:val="center"/>
            </w:pPr>
            <w:r>
              <w:t>72</w:t>
            </w:r>
          </w:p>
        </w:tc>
        <w:tc>
          <w:tcPr>
            <w:tcW w:w="2296" w:type="dxa"/>
            <w:hideMark/>
          </w:tcPr>
          <w:p w:rsidR="00AB0397" w:rsidRDefault="00AB0397" w:rsidP="005C5516">
            <w:pPr>
              <w:pStyle w:val="NormalWeb"/>
              <w:jc w:val="center"/>
            </w:pPr>
            <w:r>
              <w:t>15 March 2021</w:t>
            </w:r>
          </w:p>
        </w:tc>
        <w:tc>
          <w:tcPr>
            <w:tcW w:w="2296" w:type="dxa"/>
            <w:hideMark/>
          </w:tcPr>
          <w:p w:rsidR="00AB0397" w:rsidRDefault="00AB0397" w:rsidP="005C5516">
            <w:pPr>
              <w:pStyle w:val="NormalWeb"/>
              <w:jc w:val="center"/>
            </w:pPr>
            <w:r>
              <w:t>13</w:t>
            </w:r>
          </w:p>
        </w:tc>
      </w:tr>
      <w:tr w:rsidR="00AB0397" w:rsidTr="00FD0E65">
        <w:trPr>
          <w:cnfStyle w:val="000000010000" w:firstRow="0" w:lastRow="0" w:firstColumn="0" w:lastColumn="0" w:oddVBand="0" w:evenVBand="0" w:oddHBand="0" w:evenHBand="1" w:firstRowFirstColumn="0" w:firstRowLastColumn="0" w:lastRowFirstColumn="0" w:lastRowLastColumn="0"/>
        </w:trPr>
        <w:tc>
          <w:tcPr>
            <w:tcW w:w="0" w:type="auto"/>
            <w:hideMark/>
          </w:tcPr>
          <w:p w:rsidR="00AB0397" w:rsidRDefault="00AB0397">
            <w:pPr>
              <w:pStyle w:val="NormalWeb"/>
            </w:pPr>
            <w:r>
              <w:t>Vic.</w:t>
            </w:r>
          </w:p>
        </w:tc>
        <w:tc>
          <w:tcPr>
            <w:tcW w:w="2296" w:type="dxa"/>
            <w:hideMark/>
          </w:tcPr>
          <w:p w:rsidR="00AB0397" w:rsidRDefault="00AB0397" w:rsidP="005C5516">
            <w:pPr>
              <w:pStyle w:val="NormalWeb"/>
              <w:jc w:val="center"/>
            </w:pPr>
            <w:r>
              <w:t>30 December 2020</w:t>
            </w:r>
          </w:p>
        </w:tc>
        <w:tc>
          <w:tcPr>
            <w:tcW w:w="2296" w:type="dxa"/>
            <w:hideMark/>
          </w:tcPr>
          <w:p w:rsidR="00AB0397" w:rsidRDefault="00AB0397" w:rsidP="005C5516">
            <w:pPr>
              <w:pStyle w:val="NormalWeb"/>
              <w:jc w:val="center"/>
            </w:pPr>
            <w:r>
              <w:t>88</w:t>
            </w:r>
          </w:p>
        </w:tc>
        <w:tc>
          <w:tcPr>
            <w:tcW w:w="2296" w:type="dxa"/>
            <w:hideMark/>
          </w:tcPr>
          <w:p w:rsidR="00AB0397" w:rsidRDefault="00AB0397" w:rsidP="005C5516">
            <w:pPr>
              <w:pStyle w:val="NormalWeb"/>
              <w:jc w:val="center"/>
            </w:pPr>
            <w:r>
              <w:t>24 February 2021</w:t>
            </w:r>
          </w:p>
        </w:tc>
        <w:tc>
          <w:tcPr>
            <w:tcW w:w="2296" w:type="dxa"/>
            <w:hideMark/>
          </w:tcPr>
          <w:p w:rsidR="00AB0397" w:rsidRDefault="00AB0397" w:rsidP="005C5516">
            <w:pPr>
              <w:pStyle w:val="NormalWeb"/>
              <w:jc w:val="center"/>
            </w:pPr>
            <w:r>
              <w:t>32</w:t>
            </w:r>
          </w:p>
        </w:tc>
      </w:tr>
      <w:tr w:rsidR="00AB0397" w:rsidTr="00FD0E65">
        <w:tc>
          <w:tcPr>
            <w:tcW w:w="0" w:type="auto"/>
            <w:hideMark/>
          </w:tcPr>
          <w:p w:rsidR="00AB0397" w:rsidRDefault="00AB0397">
            <w:pPr>
              <w:pStyle w:val="NormalWeb"/>
            </w:pPr>
            <w:r>
              <w:t>Qld</w:t>
            </w:r>
          </w:p>
        </w:tc>
        <w:tc>
          <w:tcPr>
            <w:tcW w:w="2296" w:type="dxa"/>
            <w:hideMark/>
          </w:tcPr>
          <w:p w:rsidR="00AB0397" w:rsidRDefault="00AB0397" w:rsidP="005C5516">
            <w:pPr>
              <w:pStyle w:val="NormalWeb"/>
              <w:jc w:val="center"/>
            </w:pPr>
            <w:r>
              <w:t>28 March 2021</w:t>
            </w:r>
          </w:p>
        </w:tc>
        <w:tc>
          <w:tcPr>
            <w:tcW w:w="2296" w:type="dxa"/>
            <w:hideMark/>
          </w:tcPr>
          <w:p w:rsidR="00AB0397" w:rsidRDefault="00AB0397" w:rsidP="005C5516">
            <w:pPr>
              <w:pStyle w:val="NormalWeb"/>
              <w:jc w:val="center"/>
            </w:pPr>
            <w:r>
              <w:t>0</w:t>
            </w:r>
          </w:p>
        </w:tc>
        <w:tc>
          <w:tcPr>
            <w:tcW w:w="2296" w:type="dxa"/>
            <w:hideMark/>
          </w:tcPr>
          <w:p w:rsidR="00AB0397" w:rsidRDefault="00AB0397" w:rsidP="005C5516">
            <w:pPr>
              <w:pStyle w:val="NormalWeb"/>
              <w:jc w:val="center"/>
            </w:pPr>
            <w:r>
              <w:t>28 March 2021</w:t>
            </w:r>
          </w:p>
        </w:tc>
        <w:tc>
          <w:tcPr>
            <w:tcW w:w="2296" w:type="dxa"/>
            <w:hideMark/>
          </w:tcPr>
          <w:p w:rsidR="00AB0397" w:rsidRDefault="00AB0397" w:rsidP="005C5516">
            <w:pPr>
              <w:pStyle w:val="NormalWeb"/>
              <w:jc w:val="center"/>
            </w:pPr>
            <w:r>
              <w:t>0</w:t>
            </w:r>
          </w:p>
        </w:tc>
      </w:tr>
      <w:tr w:rsidR="00AB0397" w:rsidTr="00FD0E65">
        <w:trPr>
          <w:cnfStyle w:val="000000010000" w:firstRow="0" w:lastRow="0" w:firstColumn="0" w:lastColumn="0" w:oddVBand="0" w:evenVBand="0" w:oddHBand="0" w:evenHBand="1" w:firstRowFirstColumn="0" w:firstRowLastColumn="0" w:lastRowFirstColumn="0" w:lastRowLastColumn="0"/>
        </w:trPr>
        <w:tc>
          <w:tcPr>
            <w:tcW w:w="0" w:type="auto"/>
            <w:hideMark/>
          </w:tcPr>
          <w:p w:rsidR="00AB0397" w:rsidRDefault="00AB0397">
            <w:pPr>
              <w:pStyle w:val="NormalWeb"/>
            </w:pPr>
            <w:r>
              <w:t>WA</w:t>
            </w:r>
          </w:p>
        </w:tc>
        <w:tc>
          <w:tcPr>
            <w:tcW w:w="2296" w:type="dxa"/>
            <w:hideMark/>
          </w:tcPr>
          <w:p w:rsidR="00AB0397" w:rsidRDefault="00AB0397" w:rsidP="005C5516">
            <w:pPr>
              <w:pStyle w:val="NormalWeb"/>
              <w:jc w:val="center"/>
            </w:pPr>
            <w:r>
              <w:t>3 Apr 2020</w:t>
            </w:r>
          </w:p>
        </w:tc>
        <w:tc>
          <w:tcPr>
            <w:tcW w:w="2296" w:type="dxa"/>
            <w:hideMark/>
          </w:tcPr>
          <w:p w:rsidR="00AB0397" w:rsidRDefault="00AB0397" w:rsidP="005C5516">
            <w:pPr>
              <w:pStyle w:val="NormalWeb"/>
              <w:jc w:val="center"/>
            </w:pPr>
            <w:r>
              <w:t>359</w:t>
            </w:r>
          </w:p>
        </w:tc>
        <w:tc>
          <w:tcPr>
            <w:tcW w:w="2296" w:type="dxa"/>
            <w:hideMark/>
          </w:tcPr>
          <w:p w:rsidR="00AB0397" w:rsidRDefault="00AB0397" w:rsidP="005C5516">
            <w:pPr>
              <w:pStyle w:val="NormalWeb"/>
              <w:jc w:val="center"/>
            </w:pPr>
            <w:r>
              <w:t>28 January 2021</w:t>
            </w:r>
          </w:p>
        </w:tc>
        <w:tc>
          <w:tcPr>
            <w:tcW w:w="2296" w:type="dxa"/>
            <w:hideMark/>
          </w:tcPr>
          <w:p w:rsidR="00AB0397" w:rsidRDefault="00AB0397" w:rsidP="005C5516">
            <w:pPr>
              <w:pStyle w:val="NormalWeb"/>
              <w:jc w:val="center"/>
            </w:pPr>
            <w:r>
              <w:t>59</w:t>
            </w:r>
          </w:p>
        </w:tc>
      </w:tr>
      <w:tr w:rsidR="00AB0397" w:rsidTr="00FD0E65">
        <w:tc>
          <w:tcPr>
            <w:tcW w:w="0" w:type="auto"/>
            <w:hideMark/>
          </w:tcPr>
          <w:p w:rsidR="00AB0397" w:rsidRDefault="00AB0397">
            <w:pPr>
              <w:pStyle w:val="NormalWeb"/>
            </w:pPr>
            <w:r>
              <w:t>SA</w:t>
            </w:r>
          </w:p>
        </w:tc>
        <w:tc>
          <w:tcPr>
            <w:tcW w:w="2296" w:type="dxa"/>
            <w:hideMark/>
          </w:tcPr>
          <w:p w:rsidR="00AB0397" w:rsidRDefault="00AB0397" w:rsidP="005C5516">
            <w:pPr>
              <w:pStyle w:val="NormalWeb"/>
              <w:jc w:val="center"/>
            </w:pPr>
            <w:r>
              <w:t>24 March 2020</w:t>
            </w:r>
          </w:p>
        </w:tc>
        <w:tc>
          <w:tcPr>
            <w:tcW w:w="2296" w:type="dxa"/>
            <w:hideMark/>
          </w:tcPr>
          <w:p w:rsidR="00AB0397" w:rsidRDefault="00AB0397" w:rsidP="005C5516">
            <w:pPr>
              <w:pStyle w:val="NormalWeb"/>
              <w:jc w:val="center"/>
            </w:pPr>
            <w:r>
              <w:t>369</w:t>
            </w:r>
          </w:p>
        </w:tc>
        <w:tc>
          <w:tcPr>
            <w:tcW w:w="2296" w:type="dxa"/>
            <w:hideMark/>
          </w:tcPr>
          <w:p w:rsidR="00AB0397" w:rsidRDefault="00AB0397" w:rsidP="005C5516">
            <w:pPr>
              <w:pStyle w:val="NormalWeb"/>
              <w:jc w:val="center"/>
            </w:pPr>
            <w:r>
              <w:t>27 November 2020</w:t>
            </w:r>
          </w:p>
        </w:tc>
        <w:tc>
          <w:tcPr>
            <w:tcW w:w="2296" w:type="dxa"/>
            <w:hideMark/>
          </w:tcPr>
          <w:p w:rsidR="00AB0397" w:rsidRDefault="00AB0397" w:rsidP="005C5516">
            <w:pPr>
              <w:pStyle w:val="NormalWeb"/>
              <w:jc w:val="center"/>
            </w:pPr>
            <w:r>
              <w:t>121</w:t>
            </w:r>
          </w:p>
        </w:tc>
      </w:tr>
      <w:tr w:rsidR="00AB0397" w:rsidTr="00FD0E65">
        <w:trPr>
          <w:cnfStyle w:val="000000010000" w:firstRow="0" w:lastRow="0" w:firstColumn="0" w:lastColumn="0" w:oddVBand="0" w:evenVBand="0" w:oddHBand="0" w:evenHBand="1" w:firstRowFirstColumn="0" w:firstRowLastColumn="0" w:lastRowFirstColumn="0" w:lastRowLastColumn="0"/>
        </w:trPr>
        <w:tc>
          <w:tcPr>
            <w:tcW w:w="0" w:type="auto"/>
            <w:hideMark/>
          </w:tcPr>
          <w:p w:rsidR="00AB0397" w:rsidRDefault="00AB0397">
            <w:pPr>
              <w:pStyle w:val="NormalWeb"/>
            </w:pPr>
            <w:r>
              <w:t>Tas.</w:t>
            </w:r>
          </w:p>
        </w:tc>
        <w:tc>
          <w:tcPr>
            <w:tcW w:w="2296" w:type="dxa"/>
            <w:hideMark/>
          </w:tcPr>
          <w:p w:rsidR="00AB0397" w:rsidRDefault="00AB0397" w:rsidP="005C5516">
            <w:pPr>
              <w:pStyle w:val="NormalWeb"/>
              <w:jc w:val="center"/>
            </w:pPr>
            <w:r>
              <w:t>9 August 2020</w:t>
            </w:r>
          </w:p>
        </w:tc>
        <w:tc>
          <w:tcPr>
            <w:tcW w:w="2296" w:type="dxa"/>
            <w:hideMark/>
          </w:tcPr>
          <w:p w:rsidR="00AB0397" w:rsidRDefault="00AB0397" w:rsidP="005C5516">
            <w:pPr>
              <w:pStyle w:val="NormalWeb"/>
              <w:jc w:val="center"/>
            </w:pPr>
            <w:r>
              <w:t>231</w:t>
            </w:r>
          </w:p>
        </w:tc>
        <w:tc>
          <w:tcPr>
            <w:tcW w:w="2296" w:type="dxa"/>
            <w:hideMark/>
          </w:tcPr>
          <w:p w:rsidR="00AB0397" w:rsidRDefault="00AB0397" w:rsidP="005C5516">
            <w:pPr>
              <w:pStyle w:val="NormalWeb"/>
              <w:jc w:val="center"/>
            </w:pPr>
            <w:r>
              <w:t>24 April 2020</w:t>
            </w:r>
          </w:p>
        </w:tc>
        <w:tc>
          <w:tcPr>
            <w:tcW w:w="2296" w:type="dxa"/>
            <w:hideMark/>
          </w:tcPr>
          <w:p w:rsidR="00AB0397" w:rsidRDefault="00AB0397" w:rsidP="005C5516">
            <w:pPr>
              <w:pStyle w:val="NormalWeb"/>
              <w:jc w:val="center"/>
            </w:pPr>
            <w:r>
              <w:t>338</w:t>
            </w:r>
          </w:p>
        </w:tc>
      </w:tr>
      <w:tr w:rsidR="00AB0397" w:rsidTr="00FD0E65">
        <w:tc>
          <w:tcPr>
            <w:tcW w:w="0" w:type="auto"/>
            <w:hideMark/>
          </w:tcPr>
          <w:p w:rsidR="00AB0397" w:rsidRDefault="00AB0397">
            <w:pPr>
              <w:pStyle w:val="NormalWeb"/>
            </w:pPr>
            <w:proofErr w:type="spellStart"/>
            <w:r>
              <w:t>NT</w:t>
            </w:r>
            <w:r w:rsidRPr="005C5516">
              <w:rPr>
                <w:vertAlign w:val="superscript"/>
              </w:rPr>
              <w:t>b</w:t>
            </w:r>
            <w:proofErr w:type="spellEnd"/>
          </w:p>
        </w:tc>
        <w:tc>
          <w:tcPr>
            <w:tcW w:w="2296" w:type="dxa"/>
            <w:hideMark/>
          </w:tcPr>
          <w:p w:rsidR="00AB0397" w:rsidRDefault="00AB0397" w:rsidP="005C5516">
            <w:pPr>
              <w:pStyle w:val="NormalWeb"/>
              <w:jc w:val="center"/>
            </w:pPr>
            <w:r>
              <w:t>NA</w:t>
            </w:r>
          </w:p>
        </w:tc>
        <w:tc>
          <w:tcPr>
            <w:tcW w:w="2296" w:type="dxa"/>
            <w:hideMark/>
          </w:tcPr>
          <w:p w:rsidR="00AB0397" w:rsidRDefault="00AB0397" w:rsidP="005C5516">
            <w:pPr>
              <w:pStyle w:val="NormalWeb"/>
              <w:jc w:val="center"/>
            </w:pPr>
            <w:r>
              <w:t>NA</w:t>
            </w:r>
          </w:p>
        </w:tc>
        <w:tc>
          <w:tcPr>
            <w:tcW w:w="2296" w:type="dxa"/>
            <w:hideMark/>
          </w:tcPr>
          <w:p w:rsidR="00AB0397" w:rsidRDefault="00AB0397" w:rsidP="005C5516">
            <w:pPr>
              <w:pStyle w:val="NormalWeb"/>
              <w:jc w:val="center"/>
            </w:pPr>
            <w:r>
              <w:t>3 April 2020</w:t>
            </w:r>
          </w:p>
        </w:tc>
        <w:tc>
          <w:tcPr>
            <w:tcW w:w="2296" w:type="dxa"/>
            <w:hideMark/>
          </w:tcPr>
          <w:p w:rsidR="00AB0397" w:rsidRDefault="00AB0397" w:rsidP="005C5516">
            <w:pPr>
              <w:pStyle w:val="NormalWeb"/>
              <w:jc w:val="center"/>
            </w:pPr>
            <w:r>
              <w:t>359</w:t>
            </w:r>
          </w:p>
        </w:tc>
      </w:tr>
      <w:tr w:rsidR="00AB0397" w:rsidTr="00FD0E65">
        <w:trPr>
          <w:cnfStyle w:val="000000010000" w:firstRow="0" w:lastRow="0" w:firstColumn="0" w:lastColumn="0" w:oddVBand="0" w:evenVBand="0" w:oddHBand="0" w:evenHBand="1" w:firstRowFirstColumn="0" w:firstRowLastColumn="0" w:lastRowFirstColumn="0" w:lastRowLastColumn="0"/>
        </w:trPr>
        <w:tc>
          <w:tcPr>
            <w:tcW w:w="0" w:type="auto"/>
            <w:hideMark/>
          </w:tcPr>
          <w:p w:rsidR="00AB0397" w:rsidRDefault="00AB0397">
            <w:pPr>
              <w:pStyle w:val="NormalWeb"/>
            </w:pPr>
            <w:r>
              <w:t>ACT</w:t>
            </w:r>
          </w:p>
        </w:tc>
        <w:tc>
          <w:tcPr>
            <w:tcW w:w="2296" w:type="dxa"/>
            <w:hideMark/>
          </w:tcPr>
          <w:p w:rsidR="00AB0397" w:rsidRDefault="00AB0397" w:rsidP="005C5516">
            <w:pPr>
              <w:pStyle w:val="NormalWeb"/>
              <w:jc w:val="center"/>
            </w:pPr>
            <w:r>
              <w:t>21 March 2020</w:t>
            </w:r>
          </w:p>
        </w:tc>
        <w:tc>
          <w:tcPr>
            <w:tcW w:w="2296" w:type="dxa"/>
            <w:hideMark/>
          </w:tcPr>
          <w:p w:rsidR="00AB0397" w:rsidRDefault="00AB0397" w:rsidP="005C5516">
            <w:pPr>
              <w:pStyle w:val="NormalWeb"/>
              <w:jc w:val="center"/>
            </w:pPr>
            <w:r>
              <w:t>372</w:t>
            </w:r>
          </w:p>
        </w:tc>
        <w:tc>
          <w:tcPr>
            <w:tcW w:w="2296" w:type="dxa"/>
            <w:hideMark/>
          </w:tcPr>
          <w:p w:rsidR="00AB0397" w:rsidRDefault="00AB0397" w:rsidP="005C5516">
            <w:pPr>
              <w:pStyle w:val="NormalWeb"/>
              <w:jc w:val="center"/>
            </w:pPr>
            <w:r>
              <w:t>7 July 2020</w:t>
            </w:r>
          </w:p>
        </w:tc>
        <w:tc>
          <w:tcPr>
            <w:tcW w:w="2296" w:type="dxa"/>
            <w:hideMark/>
          </w:tcPr>
          <w:p w:rsidR="00AB0397" w:rsidRDefault="00AB0397" w:rsidP="005C5516">
            <w:pPr>
              <w:pStyle w:val="NormalWeb"/>
              <w:jc w:val="center"/>
            </w:pPr>
            <w:r>
              <w:t>264</w:t>
            </w:r>
          </w:p>
        </w:tc>
      </w:tr>
    </w:tbl>
    <w:p w:rsidR="00AB0397" w:rsidRDefault="00AB0397" w:rsidP="007E09E3">
      <w:pPr>
        <w:pStyle w:val="CDIfootnotes"/>
      </w:pPr>
      <w:proofErr w:type="gramStart"/>
      <w:r>
        <w:t>a</w:t>
      </w:r>
      <w:proofErr w:type="gramEnd"/>
      <w:r>
        <w:tab/>
        <w:t>Source: NNDSS, extract from 1 April 2021, based on diagnosis date. Note that discrepancies in dates between this and previous reports are due to a change to use diagnosis date for all tables.</w:t>
      </w:r>
    </w:p>
    <w:p w:rsidR="00AB0397" w:rsidRDefault="00AB0397" w:rsidP="007E09E3">
      <w:pPr>
        <w:pStyle w:val="CDIfootnotes"/>
      </w:pPr>
      <w:proofErr w:type="gramStart"/>
      <w:r>
        <w:t>b</w:t>
      </w:r>
      <w:proofErr w:type="gramEnd"/>
      <w:r>
        <w:tab/>
        <w:t>The Northern Territory has not reported any locally acquired cases with an unknown source of infection.</w:t>
      </w:r>
    </w:p>
    <w:p w:rsidR="007E09E3" w:rsidRDefault="007E09E3" w:rsidP="007E09E3">
      <w:pPr>
        <w:pStyle w:val="Heading2"/>
        <w:rPr>
          <w:rFonts w:eastAsia="Times New Roman"/>
        </w:rPr>
      </w:pPr>
      <w:r>
        <w:rPr>
          <w:rFonts w:eastAsia="Times New Roman"/>
        </w:rPr>
        <w:t>Demographic features</w:t>
      </w:r>
    </w:p>
    <w:p w:rsidR="00AB0397" w:rsidRPr="007E09E3" w:rsidRDefault="00AB0397" w:rsidP="007E09E3">
      <w:pPr>
        <w:pStyle w:val="Heading3"/>
        <w:rPr>
          <w:rFonts w:eastAsia="Times New Roman"/>
          <w:i/>
        </w:rPr>
      </w:pPr>
      <w:r w:rsidRPr="007E09E3">
        <w:rPr>
          <w:rFonts w:eastAsia="Times New Roman"/>
          <w:i/>
        </w:rPr>
        <w:t xml:space="preserve">(NNDSS) </w:t>
      </w:r>
    </w:p>
    <w:p w:rsidR="00AB0397" w:rsidRDefault="00AB0397" w:rsidP="00AE309A">
      <w:r>
        <w:t>In this reporting period, the largest number of cases occurred in those aged 30 to 39 years (24%; 30/125 cases). For all notifications to date, the highest rate of infection is in those aged 90 and over with a rate of 386.8 per 100,000 population (Figure 3; Appendix A, Table A.1). Children under 10 years old have the lowest rate of infection (48.5 cases per 100,000 population), despite comparable testing rates in this age group.</w:t>
      </w:r>
    </w:p>
    <w:p w:rsidR="00360372" w:rsidRDefault="00360372">
      <w:pPr>
        <w:rPr>
          <w:b/>
        </w:rPr>
      </w:pPr>
      <w:r>
        <w:br w:type="page"/>
      </w:r>
    </w:p>
    <w:p w:rsidR="00AB0397" w:rsidRDefault="00AB0397" w:rsidP="0040043B">
      <w:pPr>
        <w:pStyle w:val="CDIFigures"/>
      </w:pPr>
      <w:r>
        <w:lastRenderedPageBreak/>
        <w:t>Figure 3: Cumulative rate of COVID-19 cases per 100,000 population, by age group and sex, 23 January 2020 – 28</w:t>
      </w:r>
      <w:r w:rsidR="009B7798">
        <w:t> </w:t>
      </w:r>
      <w:r>
        <w:t>March 2021</w:t>
      </w:r>
      <w:r w:rsidRPr="0040043B">
        <w:rPr>
          <w:vertAlign w:val="superscript"/>
        </w:rPr>
        <w:t>a</w:t>
      </w:r>
    </w:p>
    <w:p w:rsidR="00AB0397" w:rsidRDefault="00AB0397">
      <w:pPr>
        <w:pStyle w:val="NormalWeb"/>
      </w:pPr>
      <w:r>
        <w:rPr>
          <w:noProof/>
        </w:rPr>
        <w:drawing>
          <wp:inline distT="0" distB="0" distL="0" distR="0">
            <wp:extent cx="6625424" cy="4294624"/>
            <wp:effectExtent l="0" t="0" r="4445" b="0"/>
            <wp:docPr id="3" name="Picture 3" descr="A bar chart showing the cumulative rates per 100,000 population of confirmed COVID-19 cases as at 17 January 2021 by 10-year age group and sex. Cumulatively, since the outbreak’s onset, the highest notification rates have been in the 90 and over age group, followed by the 20 to 29 and 80 to 89 age groups. In all three of these age groups, females have a higher rate than males. Across other age groups, cumulative notification rates show little dependence on 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showing the cumulative rates per 100,000 population of confirmed COVID-19 cases as at 17 January 2021 by 10-year age group and sex. Cumulatively, since the outbreak’s onset, the highest notification rates have been in the 90 and over age group, followed by the 20 to 29 and 80 to 89 age groups. In all three of these age groups, females have a higher rate than males. Across other age groups, cumulative notification rates show little dependence on sex."/>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0061" cy="4297630"/>
                    </a:xfrm>
                    <a:prstGeom prst="rect">
                      <a:avLst/>
                    </a:prstGeom>
                  </pic:spPr>
                </pic:pic>
              </a:graphicData>
            </a:graphic>
          </wp:inline>
        </w:drawing>
      </w:r>
    </w:p>
    <w:p w:rsidR="00AB0397" w:rsidRDefault="00AB0397" w:rsidP="00360372">
      <w:pPr>
        <w:pStyle w:val="CDIfootnotes"/>
      </w:pPr>
      <w:proofErr w:type="gramStart"/>
      <w:r>
        <w:t>a</w:t>
      </w:r>
      <w:proofErr w:type="gramEnd"/>
      <w:r>
        <w:tab/>
        <w:t>Source: NNDSS, extract from 1 April 2021, based on diagnosis date.</w:t>
      </w:r>
    </w:p>
    <w:p w:rsidR="00AB0397" w:rsidRDefault="00AB0397" w:rsidP="00AE309A">
      <w:r>
        <w:t xml:space="preserve">Cumulatively, the male-to-female rate ratio of cases is approximately 1:1 in most age groups. Notification rates are higher among females than among males in the 20–29 years age group and those aged ≥ 80 years old, and higher among males than among females in the 70–79 years age group (Figure 3). The largest difference in cumulative rates is in the 90 years and over age group, where the cumulative rate among males is 335.2 cases per 100,000 population and among females is 412.6 cases per 100,000 population (Appendix A, Table A.1). </w:t>
      </w:r>
    </w:p>
    <w:p w:rsidR="00AB0397" w:rsidRDefault="00AB0397" w:rsidP="00AE309A">
      <w:r>
        <w:t xml:space="preserve">The median age of cases in this reporting period is 33 years (interquartile range, IQR: 25 to 49). This is the same as the median age of cases this year, which is also 33 years (IQR: 25 to 45). The median age of all cases since the beginning of the epidemic in Australia is somewhat higher at 37 years (IQR: 25–56), reflecting a shift in the demographic features of cases over time. Whereas there were higher numbers of </w:t>
      </w:r>
      <w:proofErr w:type="gramStart"/>
      <w:r>
        <w:t>locally-acquired</w:t>
      </w:r>
      <w:proofErr w:type="gramEnd"/>
      <w:r>
        <w:t xml:space="preserve"> cases in 2020, including many cases in residential aged care facilities, most cases in 2021 have been acquired overseas and in a younger cohort of international travellers. </w:t>
      </w:r>
    </w:p>
    <w:p w:rsidR="00360372" w:rsidRDefault="00AB0397" w:rsidP="00360372">
      <w:pPr>
        <w:pStyle w:val="Heading2"/>
        <w:rPr>
          <w:rFonts w:eastAsia="Times New Roman"/>
        </w:rPr>
      </w:pPr>
      <w:r>
        <w:rPr>
          <w:rFonts w:eastAsia="Times New Roman"/>
        </w:rPr>
        <w:t>Aboriginal and Torres Strait Is</w:t>
      </w:r>
      <w:r w:rsidR="00360372">
        <w:rPr>
          <w:rFonts w:eastAsia="Times New Roman"/>
        </w:rPr>
        <w:t>lander persons</w:t>
      </w:r>
    </w:p>
    <w:p w:rsidR="00AB0397" w:rsidRPr="00360372" w:rsidRDefault="00AB0397" w:rsidP="00360372">
      <w:pPr>
        <w:pStyle w:val="Heading3"/>
        <w:rPr>
          <w:rFonts w:eastAsia="Times New Roman"/>
          <w:i/>
        </w:rPr>
      </w:pPr>
      <w:r w:rsidRPr="00360372">
        <w:rPr>
          <w:rFonts w:eastAsia="Times New Roman"/>
          <w:i/>
        </w:rPr>
        <w:t xml:space="preserve">(NNDSS) </w:t>
      </w:r>
    </w:p>
    <w:p w:rsidR="00AB0397" w:rsidRDefault="00AB0397" w:rsidP="00AE309A">
      <w:r>
        <w:t xml:space="preserve">There have been 150 confirmed cases of COVID-19 notified in Aboriginal and Torres Strait Islander people since the beginning of the epidemic. No new overseas-acquired Aboriginal and Torres Strait Islander cases were notified in the reporting period. Overall, Aboriginal and Torres Strait Islander people represent approximately 0.5% (150/28,961) of all confirmed cases with Indigenous status known. The majority of locally-acquired cases in Aboriginal and Torres </w:t>
      </w:r>
      <w:r>
        <w:lastRenderedPageBreak/>
        <w:t xml:space="preserve">Strait Islander people have been reported in major cities of Australia (79%; 92/116), with only a very small number of cases (n &lt; 10) reported in outer regional Australia or remote or very remote Australia. </w:t>
      </w:r>
    </w:p>
    <w:p w:rsidR="00AB0397" w:rsidRDefault="00AB0397" w:rsidP="00AE309A">
      <w:r>
        <w:t xml:space="preserve">The median age of COVID-19 cases in Aboriginal and Torres Strait Islander people is 31 years old (IQR: 21–50), which is younger than for non-Indigenous cases where the median age is 37 years old (IQR: 25–56). The notification rate across all age groups is higher in non-Indigenous people than in Aboriginal and Torres Strait Islander people. The age-standardised Aboriginal and Torres Strait </w:t>
      </w:r>
      <w:proofErr w:type="spellStart"/>
      <w:r>
        <w:t>Islander</w:t>
      </w:r>
      <w:proofErr w:type="gramStart"/>
      <w:r>
        <w:t>:non</w:t>
      </w:r>
      <w:proofErr w:type="gramEnd"/>
      <w:r>
        <w:t>-Indigenous</w:t>
      </w:r>
      <w:proofErr w:type="spellEnd"/>
      <w:r>
        <w:t xml:space="preserve"> notification rate ratio is 0.2. This indicates that the Aboriginal and Torres Strait Islander population has a significantly lower COVID-19 case rate than the non-Indigenous population, after accounting for differences in age structure. </w:t>
      </w:r>
    </w:p>
    <w:p w:rsidR="00AE309A" w:rsidRDefault="00AE309A" w:rsidP="00AE309A">
      <w:pPr>
        <w:pStyle w:val="Heading2"/>
        <w:rPr>
          <w:rFonts w:eastAsia="Times New Roman"/>
        </w:rPr>
      </w:pPr>
      <w:r>
        <w:rPr>
          <w:rFonts w:eastAsia="Times New Roman"/>
        </w:rPr>
        <w:t>Testing</w:t>
      </w:r>
    </w:p>
    <w:p w:rsidR="00AB0397" w:rsidRPr="00AE309A" w:rsidRDefault="00AB0397" w:rsidP="00AE309A">
      <w:pPr>
        <w:pStyle w:val="Heading3"/>
        <w:rPr>
          <w:rFonts w:eastAsia="Times New Roman"/>
          <w:i/>
        </w:rPr>
      </w:pPr>
      <w:r w:rsidRPr="00AE309A">
        <w:rPr>
          <w:rFonts w:eastAsia="Times New Roman"/>
          <w:i/>
        </w:rPr>
        <w:t xml:space="preserve">(State and territory reporting) </w:t>
      </w:r>
    </w:p>
    <w:p w:rsidR="00AB0397" w:rsidRDefault="00AB0397" w:rsidP="00BD7238">
      <w:r>
        <w:t xml:space="preserve">As at 26 March 2021, a cumulative </w:t>
      </w:r>
      <w:proofErr w:type="gramStart"/>
      <w:r>
        <w:t>total of 3,319,507</w:t>
      </w:r>
      <w:proofErr w:type="gramEnd"/>
      <w:r>
        <w:t xml:space="preserve"> individuals have undergone diagnostic testing for SARS-CoV-2 in Australia this year since 1 January 2021. The cumulative nationwide proportion of positive tests for 2021 remains low at 0.02% (Table 4). </w:t>
      </w:r>
    </w:p>
    <w:p w:rsidR="00EC50D2" w:rsidRDefault="00EC50D2" w:rsidP="00EC50D2">
      <w:pPr>
        <w:pStyle w:val="CDIFigures"/>
        <w:sectPr w:rsidR="00EC50D2" w:rsidSect="00A30C37">
          <w:headerReference w:type="default" r:id="rId12"/>
          <w:footerReference w:type="default" r:id="rId13"/>
          <w:footerReference w:type="first" r:id="rId14"/>
          <w:pgSz w:w="11906" w:h="16838"/>
          <w:pgMar w:top="720" w:right="720" w:bottom="1134" w:left="720" w:header="709" w:footer="284" w:gutter="0"/>
          <w:cols w:space="708"/>
          <w:titlePg/>
          <w:docGrid w:linePitch="360"/>
        </w:sectPr>
      </w:pPr>
    </w:p>
    <w:p w:rsidR="00AB0397" w:rsidRDefault="00AB0397" w:rsidP="00EC50D2">
      <w:pPr>
        <w:pStyle w:val="CDIFigures"/>
      </w:pPr>
      <w:r>
        <w:lastRenderedPageBreak/>
        <w:t>Table 4: Individuals undergoing diagnostic tests for SARS-CoV-2</w:t>
      </w:r>
      <w:proofErr w:type="gramStart"/>
      <w:r>
        <w:t>,</w:t>
      </w:r>
      <w:r w:rsidRPr="00AB6AFB">
        <w:rPr>
          <w:vertAlign w:val="superscript"/>
        </w:rPr>
        <w:t>a</w:t>
      </w:r>
      <w:proofErr w:type="gramEnd"/>
      <w:r>
        <w:t xml:space="preserve"> by jurisdiction and reporting period, 1 January - 26 March 2021</w:t>
      </w:r>
    </w:p>
    <w:tbl>
      <w:tblPr>
        <w:tblStyle w:val="CDI-StandardTable"/>
        <w:tblW w:w="0" w:type="auto"/>
        <w:tblLayout w:type="fixed"/>
        <w:tblCellMar>
          <w:top w:w="113" w:type="dxa"/>
          <w:left w:w="57" w:type="dxa"/>
          <w:bottom w:w="113" w:type="dxa"/>
          <w:right w:w="57" w:type="dxa"/>
        </w:tblCellMar>
        <w:tblLook w:val="04A0" w:firstRow="1" w:lastRow="0" w:firstColumn="1" w:lastColumn="0" w:noHBand="0" w:noVBand="1"/>
        <w:tblDescription w:val="Table 4 shows the cumulative number of individuals undergoing SARS-CoV-2 diagnostic nucleic acid tests (and the percentage of those individuals who have tested positive) within each jurisdiction by the end of this fortnightly reporting period, as well as at the end of the previous two-week period and cumulatively. Nationwide, for this reporting period there have been 407,088 individuals tested, with a positivity rate of 0.03%. This is a slightly lower testing rate and a similar positivity compared to the previous two-week period (458,414 individuals tested nationwide, with 0.03% positivity). Of all individuals undergoing tests in Australia during 2021 to date (3,319,507 individuals), the cumulative testing rate is 129.2 individuals tested per 1,000 population and the positivity rate is 0.02%.&#10;"/>
      </w:tblPr>
      <w:tblGrid>
        <w:gridCol w:w="1157"/>
        <w:gridCol w:w="1531"/>
        <w:gridCol w:w="1531"/>
        <w:gridCol w:w="1532"/>
        <w:gridCol w:w="1531"/>
        <w:gridCol w:w="1532"/>
        <w:gridCol w:w="1531"/>
        <w:gridCol w:w="1532"/>
        <w:gridCol w:w="1531"/>
        <w:gridCol w:w="1532"/>
      </w:tblGrid>
      <w:tr w:rsidR="00F138C4" w:rsidRPr="00F138C4" w:rsidTr="003C2B38">
        <w:trPr>
          <w:cnfStyle w:val="100000000000" w:firstRow="1" w:lastRow="0" w:firstColumn="0" w:lastColumn="0" w:oddVBand="0" w:evenVBand="0" w:oddHBand="0" w:evenHBand="0" w:firstRowFirstColumn="0" w:firstRowLastColumn="0" w:lastRowFirstColumn="0" w:lastRowLastColumn="0"/>
          <w:tblHeader/>
        </w:trPr>
        <w:tc>
          <w:tcPr>
            <w:tcW w:w="1157" w:type="dxa"/>
            <w:tcBorders>
              <w:bottom w:val="single" w:sz="2" w:space="0" w:color="FFFFFF" w:themeColor="background1"/>
              <w:right w:val="single" w:sz="2" w:space="0" w:color="FFFFFF" w:themeColor="background1"/>
            </w:tcBorders>
            <w:vAlign w:val="center"/>
            <w:hideMark/>
          </w:tcPr>
          <w:p w:rsidR="00AB0397" w:rsidRPr="00F138C4" w:rsidRDefault="00AB0397" w:rsidP="00E74E3D">
            <w:pPr>
              <w:pStyle w:val="NormalWeb"/>
              <w:jc w:val="center"/>
              <w:rPr>
                <w:color w:val="FFFFFF" w:themeColor="background1"/>
              </w:rPr>
            </w:pPr>
            <w:r w:rsidRPr="00F138C4">
              <w:rPr>
                <w:color w:val="FFFFFF" w:themeColor="background1"/>
              </w:rPr>
              <w:t>Jurisdiction</w:t>
            </w:r>
          </w:p>
        </w:tc>
        <w:tc>
          <w:tcPr>
            <w:tcW w:w="4594" w:type="dxa"/>
            <w:gridSpan w:val="3"/>
            <w:tcBorders>
              <w:left w:val="single" w:sz="2" w:space="0" w:color="FFFFFF" w:themeColor="background1"/>
              <w:bottom w:val="single" w:sz="2" w:space="0" w:color="FFFFFF" w:themeColor="background1"/>
              <w:right w:val="single" w:sz="2" w:space="0" w:color="FFFFFF" w:themeColor="background1"/>
            </w:tcBorders>
            <w:vAlign w:val="center"/>
            <w:hideMark/>
          </w:tcPr>
          <w:p w:rsidR="00AB0397" w:rsidRPr="00F138C4" w:rsidRDefault="00AB0397" w:rsidP="003C2B38">
            <w:pPr>
              <w:pStyle w:val="NormalWeb"/>
              <w:jc w:val="center"/>
              <w:rPr>
                <w:color w:val="FFFFFF" w:themeColor="background1"/>
              </w:rPr>
            </w:pPr>
            <w:r w:rsidRPr="00F138C4">
              <w:rPr>
                <w:color w:val="FFFFFF" w:themeColor="background1"/>
              </w:rPr>
              <w:t>Individuals tested</w:t>
            </w:r>
            <w:r w:rsidRPr="00F138C4">
              <w:rPr>
                <w:color w:val="FFFFFF" w:themeColor="background1"/>
              </w:rPr>
              <w:br/>
              <w:t>13– 26 March 2021</w:t>
            </w:r>
          </w:p>
        </w:tc>
        <w:tc>
          <w:tcPr>
            <w:tcW w:w="4594" w:type="dxa"/>
            <w:gridSpan w:val="3"/>
            <w:tcBorders>
              <w:left w:val="single" w:sz="2" w:space="0" w:color="FFFFFF" w:themeColor="background1"/>
              <w:bottom w:val="single" w:sz="2" w:space="0" w:color="FFFFFF" w:themeColor="background1"/>
              <w:right w:val="single" w:sz="2" w:space="0" w:color="FFFFFF" w:themeColor="background1"/>
            </w:tcBorders>
            <w:vAlign w:val="center"/>
            <w:hideMark/>
          </w:tcPr>
          <w:p w:rsidR="00AB0397" w:rsidRPr="00F138C4" w:rsidRDefault="00AB0397" w:rsidP="003C2B38">
            <w:pPr>
              <w:pStyle w:val="NormalWeb"/>
              <w:jc w:val="center"/>
              <w:rPr>
                <w:color w:val="FFFFFF" w:themeColor="background1"/>
              </w:rPr>
            </w:pPr>
            <w:r w:rsidRPr="00F138C4">
              <w:rPr>
                <w:color w:val="FFFFFF" w:themeColor="background1"/>
              </w:rPr>
              <w:t>Individuals tested</w:t>
            </w:r>
            <w:r w:rsidRPr="00F138C4">
              <w:rPr>
                <w:color w:val="FFFFFF" w:themeColor="background1"/>
              </w:rPr>
              <w:br/>
              <w:t>27 February – 12 March 2021</w:t>
            </w:r>
          </w:p>
        </w:tc>
        <w:tc>
          <w:tcPr>
            <w:tcW w:w="4595" w:type="dxa"/>
            <w:gridSpan w:val="3"/>
            <w:tcBorders>
              <w:left w:val="single" w:sz="2" w:space="0" w:color="FFFFFF" w:themeColor="background1"/>
              <w:bottom w:val="single" w:sz="2" w:space="0" w:color="FFFFFF" w:themeColor="background1"/>
            </w:tcBorders>
            <w:vAlign w:val="center"/>
            <w:hideMark/>
          </w:tcPr>
          <w:p w:rsidR="00AB0397" w:rsidRPr="00F138C4" w:rsidRDefault="00AB0397" w:rsidP="003C2B38">
            <w:pPr>
              <w:pStyle w:val="NormalWeb"/>
              <w:jc w:val="center"/>
              <w:rPr>
                <w:color w:val="FFFFFF" w:themeColor="background1"/>
              </w:rPr>
            </w:pPr>
            <w:r w:rsidRPr="00F138C4">
              <w:rPr>
                <w:color w:val="FFFFFF" w:themeColor="background1"/>
              </w:rPr>
              <w:t>Cumulative individuals tested</w:t>
            </w:r>
            <w:r w:rsidRPr="00F138C4">
              <w:rPr>
                <w:color w:val="FFFFFF" w:themeColor="background1"/>
              </w:rPr>
              <w:br/>
              <w:t>in 2021 to 26 March</w:t>
            </w:r>
          </w:p>
        </w:tc>
      </w:tr>
      <w:tr w:rsidR="003C2B38" w:rsidRPr="00F138C4" w:rsidTr="003C2B38">
        <w:trPr>
          <w:cnfStyle w:val="100000000000" w:firstRow="1" w:lastRow="0" w:firstColumn="0" w:lastColumn="0" w:oddVBand="0" w:evenVBand="0" w:oddHBand="0" w:evenHBand="0" w:firstRowFirstColumn="0" w:firstRowLastColumn="0" w:lastRowFirstColumn="0" w:lastRowLastColumn="0"/>
          <w:tblHeader/>
        </w:trPr>
        <w:tc>
          <w:tcPr>
            <w:tcW w:w="1157" w:type="dxa"/>
            <w:tcBorders>
              <w:top w:val="single" w:sz="2" w:space="0" w:color="FFFFFF" w:themeColor="background1"/>
              <w:right w:val="single" w:sz="2" w:space="0" w:color="FFFFFF" w:themeColor="background1"/>
            </w:tcBorders>
            <w:vAlign w:val="center"/>
            <w:hideMark/>
          </w:tcPr>
          <w:p w:rsidR="00AB0397" w:rsidRPr="00F138C4" w:rsidRDefault="00AB0397" w:rsidP="00E74E3D">
            <w:pPr>
              <w:jc w:val="center"/>
              <w:rPr>
                <w:color w:val="FFFFFF" w:themeColor="background1"/>
              </w:rPr>
            </w:pPr>
          </w:p>
        </w:tc>
        <w:tc>
          <w:tcPr>
            <w:tcW w:w="1531" w:type="dxa"/>
            <w:tcBorders>
              <w:top w:val="single" w:sz="2" w:space="0" w:color="FFFFFF" w:themeColor="background1"/>
              <w:left w:val="single" w:sz="2" w:space="0" w:color="FFFFFF" w:themeColor="background1"/>
              <w:right w:val="single" w:sz="2" w:space="0" w:color="FFFFFF" w:themeColor="background1"/>
            </w:tcBorders>
            <w:vAlign w:val="center"/>
            <w:hideMark/>
          </w:tcPr>
          <w:p w:rsidR="00AB0397" w:rsidRPr="00F138C4" w:rsidRDefault="00AB0397" w:rsidP="003C2B38">
            <w:pPr>
              <w:pStyle w:val="NormalWeb"/>
              <w:jc w:val="center"/>
              <w:rPr>
                <w:color w:val="FFFFFF" w:themeColor="background1"/>
                <w:sz w:val="24"/>
                <w:szCs w:val="24"/>
              </w:rPr>
            </w:pPr>
            <w:r w:rsidRPr="00F138C4">
              <w:rPr>
                <w:color w:val="FFFFFF" w:themeColor="background1"/>
              </w:rPr>
              <w:t>n</w:t>
            </w:r>
          </w:p>
        </w:tc>
        <w:tc>
          <w:tcPr>
            <w:tcW w:w="1531" w:type="dxa"/>
            <w:tcBorders>
              <w:top w:val="single" w:sz="2" w:space="0" w:color="FFFFFF" w:themeColor="background1"/>
              <w:left w:val="single" w:sz="2" w:space="0" w:color="FFFFFF" w:themeColor="background1"/>
              <w:right w:val="single" w:sz="2" w:space="0" w:color="FFFFFF" w:themeColor="background1"/>
            </w:tcBorders>
            <w:vAlign w:val="center"/>
            <w:hideMark/>
          </w:tcPr>
          <w:p w:rsidR="00AB0397" w:rsidRPr="00F138C4" w:rsidRDefault="00AB0397" w:rsidP="003C2B38">
            <w:pPr>
              <w:pStyle w:val="NormalWeb"/>
              <w:jc w:val="center"/>
              <w:rPr>
                <w:color w:val="FFFFFF" w:themeColor="background1"/>
              </w:rPr>
            </w:pPr>
            <w:r w:rsidRPr="00F138C4">
              <w:rPr>
                <w:color w:val="FFFFFF" w:themeColor="background1"/>
              </w:rPr>
              <w:t>Positivity (%)</w:t>
            </w:r>
          </w:p>
        </w:tc>
        <w:tc>
          <w:tcPr>
            <w:tcW w:w="1532" w:type="dxa"/>
            <w:tcBorders>
              <w:top w:val="single" w:sz="2" w:space="0" w:color="FFFFFF" w:themeColor="background1"/>
              <w:left w:val="single" w:sz="2" w:space="0" w:color="FFFFFF" w:themeColor="background1"/>
              <w:right w:val="single" w:sz="2" w:space="0" w:color="FFFFFF" w:themeColor="background1"/>
            </w:tcBorders>
            <w:vAlign w:val="center"/>
            <w:hideMark/>
          </w:tcPr>
          <w:p w:rsidR="00AB0397" w:rsidRPr="00F138C4" w:rsidRDefault="00AB0397" w:rsidP="003C2B38">
            <w:pPr>
              <w:pStyle w:val="NormalWeb"/>
              <w:jc w:val="center"/>
              <w:rPr>
                <w:color w:val="FFFFFF" w:themeColor="background1"/>
              </w:rPr>
            </w:pPr>
            <w:r w:rsidRPr="00F138C4">
              <w:rPr>
                <w:color w:val="FFFFFF" w:themeColor="background1"/>
              </w:rPr>
              <w:t xml:space="preserve">Per 1,000 </w:t>
            </w:r>
            <w:proofErr w:type="spellStart"/>
            <w:r w:rsidRPr="00F138C4">
              <w:rPr>
                <w:color w:val="FFFFFF" w:themeColor="background1"/>
              </w:rPr>
              <w:t>population</w:t>
            </w:r>
            <w:r w:rsidRPr="00E840DC">
              <w:rPr>
                <w:color w:val="FFFFFF" w:themeColor="background1"/>
                <w:vertAlign w:val="superscript"/>
              </w:rPr>
              <w:t>b</w:t>
            </w:r>
            <w:proofErr w:type="spellEnd"/>
          </w:p>
        </w:tc>
        <w:tc>
          <w:tcPr>
            <w:tcW w:w="1531" w:type="dxa"/>
            <w:tcBorders>
              <w:top w:val="single" w:sz="2" w:space="0" w:color="FFFFFF" w:themeColor="background1"/>
              <w:left w:val="single" w:sz="2" w:space="0" w:color="FFFFFF" w:themeColor="background1"/>
              <w:right w:val="single" w:sz="2" w:space="0" w:color="FFFFFF" w:themeColor="background1"/>
            </w:tcBorders>
            <w:vAlign w:val="center"/>
            <w:hideMark/>
          </w:tcPr>
          <w:p w:rsidR="00AB0397" w:rsidRPr="00F138C4" w:rsidRDefault="00AB0397" w:rsidP="003C2B38">
            <w:pPr>
              <w:pStyle w:val="NormalWeb"/>
              <w:jc w:val="center"/>
              <w:rPr>
                <w:color w:val="FFFFFF" w:themeColor="background1"/>
              </w:rPr>
            </w:pPr>
            <w:r w:rsidRPr="00F138C4">
              <w:rPr>
                <w:color w:val="FFFFFF" w:themeColor="background1"/>
              </w:rPr>
              <w:t>n</w:t>
            </w:r>
          </w:p>
        </w:tc>
        <w:tc>
          <w:tcPr>
            <w:tcW w:w="1532" w:type="dxa"/>
            <w:tcBorders>
              <w:top w:val="single" w:sz="2" w:space="0" w:color="FFFFFF" w:themeColor="background1"/>
              <w:left w:val="single" w:sz="2" w:space="0" w:color="FFFFFF" w:themeColor="background1"/>
              <w:right w:val="single" w:sz="2" w:space="0" w:color="FFFFFF" w:themeColor="background1"/>
            </w:tcBorders>
            <w:vAlign w:val="center"/>
            <w:hideMark/>
          </w:tcPr>
          <w:p w:rsidR="00AB0397" w:rsidRPr="00F138C4" w:rsidRDefault="00AB0397" w:rsidP="003C2B38">
            <w:pPr>
              <w:pStyle w:val="NormalWeb"/>
              <w:jc w:val="center"/>
              <w:rPr>
                <w:color w:val="FFFFFF" w:themeColor="background1"/>
              </w:rPr>
            </w:pPr>
            <w:r w:rsidRPr="00F138C4">
              <w:rPr>
                <w:color w:val="FFFFFF" w:themeColor="background1"/>
              </w:rPr>
              <w:t>Positivity (%)</w:t>
            </w:r>
          </w:p>
        </w:tc>
        <w:tc>
          <w:tcPr>
            <w:tcW w:w="1531" w:type="dxa"/>
            <w:tcBorders>
              <w:top w:val="single" w:sz="2" w:space="0" w:color="FFFFFF" w:themeColor="background1"/>
              <w:left w:val="single" w:sz="2" w:space="0" w:color="FFFFFF" w:themeColor="background1"/>
              <w:right w:val="single" w:sz="2" w:space="0" w:color="FFFFFF" w:themeColor="background1"/>
            </w:tcBorders>
            <w:vAlign w:val="center"/>
            <w:hideMark/>
          </w:tcPr>
          <w:p w:rsidR="00AB0397" w:rsidRPr="00F138C4" w:rsidRDefault="00AB0397" w:rsidP="003C2B38">
            <w:pPr>
              <w:pStyle w:val="NormalWeb"/>
              <w:jc w:val="center"/>
              <w:rPr>
                <w:color w:val="FFFFFF" w:themeColor="background1"/>
              </w:rPr>
            </w:pPr>
            <w:r w:rsidRPr="00F138C4">
              <w:rPr>
                <w:color w:val="FFFFFF" w:themeColor="background1"/>
              </w:rPr>
              <w:t xml:space="preserve">Per 1,000 </w:t>
            </w:r>
            <w:proofErr w:type="spellStart"/>
            <w:r w:rsidRPr="00F138C4">
              <w:rPr>
                <w:color w:val="FFFFFF" w:themeColor="background1"/>
              </w:rPr>
              <w:t>population</w:t>
            </w:r>
            <w:r w:rsidRPr="00E840DC">
              <w:rPr>
                <w:color w:val="FFFFFF" w:themeColor="background1"/>
                <w:vertAlign w:val="superscript"/>
              </w:rPr>
              <w:t>b</w:t>
            </w:r>
            <w:proofErr w:type="spellEnd"/>
          </w:p>
        </w:tc>
        <w:tc>
          <w:tcPr>
            <w:tcW w:w="1532" w:type="dxa"/>
            <w:tcBorders>
              <w:top w:val="single" w:sz="2" w:space="0" w:color="FFFFFF" w:themeColor="background1"/>
              <w:left w:val="single" w:sz="2" w:space="0" w:color="FFFFFF" w:themeColor="background1"/>
              <w:right w:val="single" w:sz="2" w:space="0" w:color="FFFFFF" w:themeColor="background1"/>
            </w:tcBorders>
            <w:vAlign w:val="center"/>
            <w:hideMark/>
          </w:tcPr>
          <w:p w:rsidR="00AB0397" w:rsidRPr="00F138C4" w:rsidRDefault="00AB0397" w:rsidP="003C2B38">
            <w:pPr>
              <w:pStyle w:val="NormalWeb"/>
              <w:jc w:val="center"/>
              <w:rPr>
                <w:color w:val="FFFFFF" w:themeColor="background1"/>
              </w:rPr>
            </w:pPr>
            <w:r w:rsidRPr="00F138C4">
              <w:rPr>
                <w:color w:val="FFFFFF" w:themeColor="background1"/>
              </w:rPr>
              <w:t>n</w:t>
            </w:r>
          </w:p>
        </w:tc>
        <w:tc>
          <w:tcPr>
            <w:tcW w:w="1531" w:type="dxa"/>
            <w:tcBorders>
              <w:top w:val="single" w:sz="2" w:space="0" w:color="FFFFFF" w:themeColor="background1"/>
              <w:left w:val="single" w:sz="2" w:space="0" w:color="FFFFFF" w:themeColor="background1"/>
              <w:right w:val="single" w:sz="2" w:space="0" w:color="FFFFFF" w:themeColor="background1"/>
            </w:tcBorders>
            <w:vAlign w:val="center"/>
            <w:hideMark/>
          </w:tcPr>
          <w:p w:rsidR="00AB0397" w:rsidRPr="00F138C4" w:rsidRDefault="00AB0397" w:rsidP="003C2B38">
            <w:pPr>
              <w:pStyle w:val="NormalWeb"/>
              <w:jc w:val="center"/>
              <w:rPr>
                <w:color w:val="FFFFFF" w:themeColor="background1"/>
              </w:rPr>
            </w:pPr>
            <w:r w:rsidRPr="00F138C4">
              <w:rPr>
                <w:color w:val="FFFFFF" w:themeColor="background1"/>
              </w:rPr>
              <w:t>Positivity (%)</w:t>
            </w:r>
          </w:p>
        </w:tc>
        <w:tc>
          <w:tcPr>
            <w:tcW w:w="1532" w:type="dxa"/>
            <w:tcBorders>
              <w:top w:val="single" w:sz="2" w:space="0" w:color="FFFFFF" w:themeColor="background1"/>
              <w:left w:val="single" w:sz="2" w:space="0" w:color="FFFFFF" w:themeColor="background1"/>
            </w:tcBorders>
            <w:vAlign w:val="center"/>
            <w:hideMark/>
          </w:tcPr>
          <w:p w:rsidR="00AB0397" w:rsidRPr="00F138C4" w:rsidRDefault="00AB0397" w:rsidP="003C2B38">
            <w:pPr>
              <w:pStyle w:val="NormalWeb"/>
              <w:jc w:val="center"/>
              <w:rPr>
                <w:color w:val="FFFFFF" w:themeColor="background1"/>
              </w:rPr>
            </w:pPr>
            <w:r w:rsidRPr="00F138C4">
              <w:rPr>
                <w:color w:val="FFFFFF" w:themeColor="background1"/>
              </w:rPr>
              <w:t xml:space="preserve">Per 1,000 </w:t>
            </w:r>
            <w:proofErr w:type="spellStart"/>
            <w:r w:rsidRPr="00F138C4">
              <w:rPr>
                <w:color w:val="FFFFFF" w:themeColor="background1"/>
              </w:rPr>
              <w:t>population</w:t>
            </w:r>
            <w:r w:rsidRPr="00E840DC">
              <w:rPr>
                <w:color w:val="FFFFFF" w:themeColor="background1"/>
                <w:vertAlign w:val="superscript"/>
              </w:rPr>
              <w:t>b</w:t>
            </w:r>
            <w:proofErr w:type="spellEnd"/>
          </w:p>
        </w:tc>
      </w:tr>
      <w:tr w:rsidR="00F138C4" w:rsidTr="003C2B38">
        <w:tc>
          <w:tcPr>
            <w:tcW w:w="1157" w:type="dxa"/>
            <w:hideMark/>
          </w:tcPr>
          <w:p w:rsidR="00AB0397" w:rsidRDefault="00AB0397">
            <w:pPr>
              <w:pStyle w:val="NormalWeb"/>
            </w:pPr>
            <w:r>
              <w:t>NSW</w:t>
            </w:r>
          </w:p>
        </w:tc>
        <w:tc>
          <w:tcPr>
            <w:tcW w:w="1531" w:type="dxa"/>
            <w:hideMark/>
          </w:tcPr>
          <w:p w:rsidR="00AB0397" w:rsidRDefault="00AB0397" w:rsidP="003C2B38">
            <w:pPr>
              <w:pStyle w:val="NormalWeb"/>
              <w:jc w:val="center"/>
            </w:pPr>
            <w:r>
              <w:t>142,197</w:t>
            </w:r>
          </w:p>
        </w:tc>
        <w:tc>
          <w:tcPr>
            <w:tcW w:w="1531" w:type="dxa"/>
            <w:hideMark/>
          </w:tcPr>
          <w:p w:rsidR="00AB0397" w:rsidRDefault="00AB0397" w:rsidP="003C2B38">
            <w:pPr>
              <w:pStyle w:val="NormalWeb"/>
              <w:jc w:val="center"/>
            </w:pPr>
            <w:r>
              <w:t>0.03</w:t>
            </w:r>
          </w:p>
        </w:tc>
        <w:tc>
          <w:tcPr>
            <w:tcW w:w="1532" w:type="dxa"/>
            <w:hideMark/>
          </w:tcPr>
          <w:p w:rsidR="00AB0397" w:rsidRDefault="00AB0397" w:rsidP="003C2B38">
            <w:pPr>
              <w:pStyle w:val="NormalWeb"/>
              <w:jc w:val="center"/>
            </w:pPr>
            <w:r>
              <w:t>17.4</w:t>
            </w:r>
          </w:p>
        </w:tc>
        <w:tc>
          <w:tcPr>
            <w:tcW w:w="1531" w:type="dxa"/>
            <w:hideMark/>
          </w:tcPr>
          <w:p w:rsidR="00AB0397" w:rsidRDefault="00AB0397" w:rsidP="003C2B38">
            <w:pPr>
              <w:pStyle w:val="NormalWeb"/>
              <w:jc w:val="center"/>
            </w:pPr>
            <w:r>
              <w:t>160,902</w:t>
            </w:r>
          </w:p>
        </w:tc>
        <w:tc>
          <w:tcPr>
            <w:tcW w:w="1532" w:type="dxa"/>
            <w:hideMark/>
          </w:tcPr>
          <w:p w:rsidR="00AB0397" w:rsidRDefault="00AB0397" w:rsidP="003C2B38">
            <w:pPr>
              <w:pStyle w:val="NormalWeb"/>
              <w:jc w:val="center"/>
            </w:pPr>
            <w:r>
              <w:t>0.02</w:t>
            </w:r>
          </w:p>
        </w:tc>
        <w:tc>
          <w:tcPr>
            <w:tcW w:w="1531" w:type="dxa"/>
            <w:hideMark/>
          </w:tcPr>
          <w:p w:rsidR="00AB0397" w:rsidRDefault="00AB0397" w:rsidP="003C2B38">
            <w:pPr>
              <w:pStyle w:val="NormalWeb"/>
              <w:jc w:val="center"/>
            </w:pPr>
            <w:r>
              <w:t>19.7</w:t>
            </w:r>
          </w:p>
        </w:tc>
        <w:tc>
          <w:tcPr>
            <w:tcW w:w="1532" w:type="dxa"/>
            <w:hideMark/>
          </w:tcPr>
          <w:p w:rsidR="00AB0397" w:rsidRDefault="00AB0397" w:rsidP="003C2B38">
            <w:pPr>
              <w:pStyle w:val="NormalWeb"/>
              <w:jc w:val="center"/>
            </w:pPr>
            <w:r>
              <w:t>1,147,609</w:t>
            </w:r>
          </w:p>
        </w:tc>
        <w:tc>
          <w:tcPr>
            <w:tcW w:w="1531" w:type="dxa"/>
            <w:hideMark/>
          </w:tcPr>
          <w:p w:rsidR="00AB0397" w:rsidRDefault="00AB0397" w:rsidP="003C2B38">
            <w:pPr>
              <w:pStyle w:val="NormalWeb"/>
              <w:jc w:val="center"/>
            </w:pPr>
            <w:r>
              <w:t>0.02</w:t>
            </w:r>
          </w:p>
        </w:tc>
        <w:tc>
          <w:tcPr>
            <w:tcW w:w="1532" w:type="dxa"/>
            <w:hideMark/>
          </w:tcPr>
          <w:p w:rsidR="00AB0397" w:rsidRDefault="00AB0397" w:rsidP="003C2B38">
            <w:pPr>
              <w:pStyle w:val="NormalWeb"/>
              <w:jc w:val="center"/>
            </w:pPr>
            <w:r>
              <w:t>140.6</w:t>
            </w:r>
          </w:p>
        </w:tc>
      </w:tr>
      <w:tr w:rsidR="00E840DC" w:rsidTr="003C2B38">
        <w:trPr>
          <w:cnfStyle w:val="000000010000" w:firstRow="0" w:lastRow="0" w:firstColumn="0" w:lastColumn="0" w:oddVBand="0" w:evenVBand="0" w:oddHBand="0" w:evenHBand="1" w:firstRowFirstColumn="0" w:firstRowLastColumn="0" w:lastRowFirstColumn="0" w:lastRowLastColumn="0"/>
        </w:trPr>
        <w:tc>
          <w:tcPr>
            <w:tcW w:w="1157" w:type="dxa"/>
            <w:hideMark/>
          </w:tcPr>
          <w:p w:rsidR="00AB0397" w:rsidRDefault="00AB0397">
            <w:pPr>
              <w:pStyle w:val="NormalWeb"/>
            </w:pPr>
            <w:r>
              <w:t>Vic.</w:t>
            </w:r>
          </w:p>
        </w:tc>
        <w:tc>
          <w:tcPr>
            <w:tcW w:w="1531" w:type="dxa"/>
            <w:hideMark/>
          </w:tcPr>
          <w:p w:rsidR="00AB0397" w:rsidRDefault="00AB0397" w:rsidP="003C2B38">
            <w:pPr>
              <w:pStyle w:val="NormalWeb"/>
              <w:jc w:val="center"/>
            </w:pPr>
            <w:r>
              <w:t>177,598</w:t>
            </w:r>
          </w:p>
        </w:tc>
        <w:tc>
          <w:tcPr>
            <w:tcW w:w="1531" w:type="dxa"/>
            <w:hideMark/>
          </w:tcPr>
          <w:p w:rsidR="00AB0397" w:rsidRDefault="00AB0397" w:rsidP="003C2B38">
            <w:pPr>
              <w:pStyle w:val="NormalWeb"/>
              <w:jc w:val="center"/>
            </w:pPr>
            <w:r>
              <w:t>0.00</w:t>
            </w:r>
          </w:p>
        </w:tc>
        <w:tc>
          <w:tcPr>
            <w:tcW w:w="1532" w:type="dxa"/>
            <w:hideMark/>
          </w:tcPr>
          <w:p w:rsidR="00AB0397" w:rsidRDefault="00AB0397" w:rsidP="003C2B38">
            <w:pPr>
              <w:pStyle w:val="NormalWeb"/>
              <w:jc w:val="center"/>
            </w:pPr>
            <w:r>
              <w:t>26.5</w:t>
            </w:r>
          </w:p>
        </w:tc>
        <w:tc>
          <w:tcPr>
            <w:tcW w:w="1531" w:type="dxa"/>
            <w:hideMark/>
          </w:tcPr>
          <w:p w:rsidR="00AB0397" w:rsidRDefault="00AB0397" w:rsidP="003C2B38">
            <w:pPr>
              <w:pStyle w:val="NormalWeb"/>
              <w:jc w:val="center"/>
            </w:pPr>
            <w:r>
              <w:t>203,709</w:t>
            </w:r>
          </w:p>
        </w:tc>
        <w:tc>
          <w:tcPr>
            <w:tcW w:w="1532" w:type="dxa"/>
            <w:hideMark/>
          </w:tcPr>
          <w:p w:rsidR="00AB0397" w:rsidRDefault="00AB0397" w:rsidP="003C2B38">
            <w:pPr>
              <w:pStyle w:val="NormalWeb"/>
              <w:jc w:val="center"/>
            </w:pPr>
            <w:r>
              <w:t>&lt; 0.01</w:t>
            </w:r>
          </w:p>
        </w:tc>
        <w:tc>
          <w:tcPr>
            <w:tcW w:w="1531" w:type="dxa"/>
            <w:hideMark/>
          </w:tcPr>
          <w:p w:rsidR="00AB0397" w:rsidRDefault="00AB0397" w:rsidP="003C2B38">
            <w:pPr>
              <w:pStyle w:val="NormalWeb"/>
              <w:jc w:val="center"/>
            </w:pPr>
            <w:r>
              <w:t>30.4</w:t>
            </w:r>
          </w:p>
        </w:tc>
        <w:tc>
          <w:tcPr>
            <w:tcW w:w="1532" w:type="dxa"/>
            <w:hideMark/>
          </w:tcPr>
          <w:p w:rsidR="00AB0397" w:rsidRDefault="00AB0397" w:rsidP="003C2B38">
            <w:pPr>
              <w:pStyle w:val="NormalWeb"/>
              <w:jc w:val="center"/>
            </w:pPr>
            <w:r>
              <w:t>1,344,660</w:t>
            </w:r>
          </w:p>
        </w:tc>
        <w:tc>
          <w:tcPr>
            <w:tcW w:w="1531" w:type="dxa"/>
            <w:hideMark/>
          </w:tcPr>
          <w:p w:rsidR="00AB0397" w:rsidRDefault="00AB0397" w:rsidP="003C2B38">
            <w:pPr>
              <w:pStyle w:val="NormalWeb"/>
              <w:jc w:val="center"/>
            </w:pPr>
            <w:r>
              <w:t>&lt; 0.01</w:t>
            </w:r>
          </w:p>
        </w:tc>
        <w:tc>
          <w:tcPr>
            <w:tcW w:w="1532" w:type="dxa"/>
            <w:hideMark/>
          </w:tcPr>
          <w:p w:rsidR="00AB0397" w:rsidRDefault="00AB0397" w:rsidP="003C2B38">
            <w:pPr>
              <w:pStyle w:val="NormalWeb"/>
              <w:jc w:val="center"/>
            </w:pPr>
            <w:r>
              <w:t>200.8</w:t>
            </w:r>
          </w:p>
        </w:tc>
      </w:tr>
      <w:tr w:rsidR="00F138C4" w:rsidTr="003C2B38">
        <w:tc>
          <w:tcPr>
            <w:tcW w:w="1157" w:type="dxa"/>
            <w:hideMark/>
          </w:tcPr>
          <w:p w:rsidR="00AB0397" w:rsidRDefault="00AB0397">
            <w:pPr>
              <w:pStyle w:val="NormalWeb"/>
            </w:pPr>
            <w:r>
              <w:t>Qld</w:t>
            </w:r>
          </w:p>
        </w:tc>
        <w:tc>
          <w:tcPr>
            <w:tcW w:w="1531" w:type="dxa"/>
            <w:hideMark/>
          </w:tcPr>
          <w:p w:rsidR="00AB0397" w:rsidRDefault="00AB0397" w:rsidP="003C2B38">
            <w:pPr>
              <w:pStyle w:val="NormalWeb"/>
              <w:jc w:val="center"/>
            </w:pPr>
            <w:r>
              <w:t>21,257</w:t>
            </w:r>
          </w:p>
        </w:tc>
        <w:tc>
          <w:tcPr>
            <w:tcW w:w="1531" w:type="dxa"/>
            <w:hideMark/>
          </w:tcPr>
          <w:p w:rsidR="00AB0397" w:rsidRDefault="00AB0397" w:rsidP="003C2B38">
            <w:pPr>
              <w:pStyle w:val="NormalWeb"/>
              <w:jc w:val="center"/>
            </w:pPr>
            <w:r>
              <w:t>0.28</w:t>
            </w:r>
          </w:p>
        </w:tc>
        <w:tc>
          <w:tcPr>
            <w:tcW w:w="1532" w:type="dxa"/>
            <w:hideMark/>
          </w:tcPr>
          <w:p w:rsidR="00AB0397" w:rsidRDefault="00AB0397" w:rsidP="003C2B38">
            <w:pPr>
              <w:pStyle w:val="NormalWeb"/>
              <w:jc w:val="center"/>
            </w:pPr>
            <w:r>
              <w:t>4.1</w:t>
            </w:r>
          </w:p>
        </w:tc>
        <w:tc>
          <w:tcPr>
            <w:tcW w:w="1531" w:type="dxa"/>
            <w:hideMark/>
          </w:tcPr>
          <w:p w:rsidR="00AB0397" w:rsidRDefault="00AB0397" w:rsidP="003C2B38">
            <w:pPr>
              <w:pStyle w:val="NormalWeb"/>
              <w:jc w:val="center"/>
            </w:pPr>
            <w:r>
              <w:t>20,257</w:t>
            </w:r>
          </w:p>
        </w:tc>
        <w:tc>
          <w:tcPr>
            <w:tcW w:w="1532" w:type="dxa"/>
            <w:hideMark/>
          </w:tcPr>
          <w:p w:rsidR="00AB0397" w:rsidRDefault="00AB0397" w:rsidP="003C2B38">
            <w:pPr>
              <w:pStyle w:val="NormalWeb"/>
              <w:jc w:val="center"/>
            </w:pPr>
            <w:r>
              <w:t>0.23</w:t>
            </w:r>
          </w:p>
        </w:tc>
        <w:tc>
          <w:tcPr>
            <w:tcW w:w="1531" w:type="dxa"/>
            <w:hideMark/>
          </w:tcPr>
          <w:p w:rsidR="00AB0397" w:rsidRDefault="00AB0397" w:rsidP="003C2B38">
            <w:pPr>
              <w:pStyle w:val="NormalWeb"/>
              <w:jc w:val="center"/>
            </w:pPr>
            <w:r>
              <w:t>3.9</w:t>
            </w:r>
          </w:p>
        </w:tc>
        <w:tc>
          <w:tcPr>
            <w:tcW w:w="1532" w:type="dxa"/>
            <w:hideMark/>
          </w:tcPr>
          <w:p w:rsidR="00AB0397" w:rsidRDefault="00AB0397" w:rsidP="003C2B38">
            <w:pPr>
              <w:pStyle w:val="NormalWeb"/>
              <w:jc w:val="center"/>
            </w:pPr>
            <w:r>
              <w:t>166,502</w:t>
            </w:r>
          </w:p>
        </w:tc>
        <w:tc>
          <w:tcPr>
            <w:tcW w:w="1531" w:type="dxa"/>
            <w:hideMark/>
          </w:tcPr>
          <w:p w:rsidR="00AB0397" w:rsidRDefault="00AB0397" w:rsidP="003C2B38">
            <w:pPr>
              <w:pStyle w:val="NormalWeb"/>
              <w:jc w:val="center"/>
            </w:pPr>
            <w:r>
              <w:t>0.10</w:t>
            </w:r>
          </w:p>
        </w:tc>
        <w:tc>
          <w:tcPr>
            <w:tcW w:w="1532" w:type="dxa"/>
            <w:hideMark/>
          </w:tcPr>
          <w:p w:rsidR="00AB0397" w:rsidRDefault="00AB0397" w:rsidP="003C2B38">
            <w:pPr>
              <w:pStyle w:val="NormalWeb"/>
              <w:jc w:val="center"/>
            </w:pPr>
            <w:r>
              <w:t>32.2</w:t>
            </w:r>
          </w:p>
        </w:tc>
      </w:tr>
      <w:tr w:rsidR="00E840DC" w:rsidTr="003C2B38">
        <w:trPr>
          <w:cnfStyle w:val="000000010000" w:firstRow="0" w:lastRow="0" w:firstColumn="0" w:lastColumn="0" w:oddVBand="0" w:evenVBand="0" w:oddHBand="0" w:evenHBand="1" w:firstRowFirstColumn="0" w:firstRowLastColumn="0" w:lastRowFirstColumn="0" w:lastRowLastColumn="0"/>
        </w:trPr>
        <w:tc>
          <w:tcPr>
            <w:tcW w:w="1157" w:type="dxa"/>
            <w:hideMark/>
          </w:tcPr>
          <w:p w:rsidR="00AB0397" w:rsidRDefault="00AB0397">
            <w:pPr>
              <w:pStyle w:val="NormalWeb"/>
            </w:pPr>
            <w:r>
              <w:t>WA</w:t>
            </w:r>
          </w:p>
        </w:tc>
        <w:tc>
          <w:tcPr>
            <w:tcW w:w="1531" w:type="dxa"/>
            <w:hideMark/>
          </w:tcPr>
          <w:p w:rsidR="00AB0397" w:rsidRDefault="00AB0397" w:rsidP="003C2B38">
            <w:pPr>
              <w:pStyle w:val="NormalWeb"/>
              <w:jc w:val="center"/>
            </w:pPr>
            <w:r>
              <w:t>18,054</w:t>
            </w:r>
          </w:p>
        </w:tc>
        <w:tc>
          <w:tcPr>
            <w:tcW w:w="1531" w:type="dxa"/>
            <w:hideMark/>
          </w:tcPr>
          <w:p w:rsidR="00AB0397" w:rsidRDefault="00AB0397" w:rsidP="003C2B38">
            <w:pPr>
              <w:pStyle w:val="NormalWeb"/>
              <w:jc w:val="center"/>
            </w:pPr>
            <w:r>
              <w:t>0.05</w:t>
            </w:r>
          </w:p>
        </w:tc>
        <w:tc>
          <w:tcPr>
            <w:tcW w:w="1532" w:type="dxa"/>
            <w:hideMark/>
          </w:tcPr>
          <w:p w:rsidR="00AB0397" w:rsidRDefault="00AB0397" w:rsidP="003C2B38">
            <w:pPr>
              <w:pStyle w:val="NormalWeb"/>
              <w:jc w:val="center"/>
            </w:pPr>
            <w:r>
              <w:t>6.8</w:t>
            </w:r>
          </w:p>
        </w:tc>
        <w:tc>
          <w:tcPr>
            <w:tcW w:w="1531" w:type="dxa"/>
            <w:hideMark/>
          </w:tcPr>
          <w:p w:rsidR="00AB0397" w:rsidRDefault="00AB0397" w:rsidP="003C2B38">
            <w:pPr>
              <w:pStyle w:val="NormalWeb"/>
              <w:jc w:val="center"/>
            </w:pPr>
            <w:r>
              <w:t>22,027</w:t>
            </w:r>
          </w:p>
        </w:tc>
        <w:tc>
          <w:tcPr>
            <w:tcW w:w="1532" w:type="dxa"/>
            <w:hideMark/>
          </w:tcPr>
          <w:p w:rsidR="00AB0397" w:rsidRDefault="00AB0397" w:rsidP="003C2B38">
            <w:pPr>
              <w:pStyle w:val="NormalWeb"/>
              <w:jc w:val="center"/>
            </w:pPr>
            <w:r>
              <w:t>0.05</w:t>
            </w:r>
          </w:p>
        </w:tc>
        <w:tc>
          <w:tcPr>
            <w:tcW w:w="1531" w:type="dxa"/>
            <w:hideMark/>
          </w:tcPr>
          <w:p w:rsidR="00AB0397" w:rsidRDefault="00AB0397" w:rsidP="003C2B38">
            <w:pPr>
              <w:pStyle w:val="NormalWeb"/>
              <w:jc w:val="center"/>
            </w:pPr>
            <w:r>
              <w:t>8.3</w:t>
            </w:r>
          </w:p>
        </w:tc>
        <w:tc>
          <w:tcPr>
            <w:tcW w:w="1532" w:type="dxa"/>
            <w:hideMark/>
          </w:tcPr>
          <w:p w:rsidR="00AB0397" w:rsidRDefault="00AB0397" w:rsidP="003C2B38">
            <w:pPr>
              <w:pStyle w:val="NormalWeb"/>
              <w:jc w:val="center"/>
            </w:pPr>
            <w:r>
              <w:t>246,947</w:t>
            </w:r>
          </w:p>
        </w:tc>
        <w:tc>
          <w:tcPr>
            <w:tcW w:w="1531" w:type="dxa"/>
            <w:hideMark/>
          </w:tcPr>
          <w:p w:rsidR="00AB0397" w:rsidRDefault="00AB0397" w:rsidP="003C2B38">
            <w:pPr>
              <w:pStyle w:val="NormalWeb"/>
              <w:jc w:val="center"/>
            </w:pPr>
            <w:r>
              <w:t>0.02</w:t>
            </w:r>
          </w:p>
        </w:tc>
        <w:tc>
          <w:tcPr>
            <w:tcW w:w="1532" w:type="dxa"/>
            <w:hideMark/>
          </w:tcPr>
          <w:p w:rsidR="00AB0397" w:rsidRDefault="00AB0397" w:rsidP="003C2B38">
            <w:pPr>
              <w:pStyle w:val="NormalWeb"/>
              <w:jc w:val="center"/>
            </w:pPr>
            <w:r>
              <w:t>92.8</w:t>
            </w:r>
          </w:p>
        </w:tc>
      </w:tr>
      <w:tr w:rsidR="00F138C4" w:rsidTr="003C2B38">
        <w:tc>
          <w:tcPr>
            <w:tcW w:w="1157" w:type="dxa"/>
            <w:hideMark/>
          </w:tcPr>
          <w:p w:rsidR="00AB0397" w:rsidRDefault="00AB0397">
            <w:pPr>
              <w:pStyle w:val="NormalWeb"/>
            </w:pPr>
            <w:r>
              <w:t>SA</w:t>
            </w:r>
          </w:p>
        </w:tc>
        <w:tc>
          <w:tcPr>
            <w:tcW w:w="1531" w:type="dxa"/>
            <w:hideMark/>
          </w:tcPr>
          <w:p w:rsidR="00AB0397" w:rsidRDefault="00AB0397" w:rsidP="003C2B38">
            <w:pPr>
              <w:pStyle w:val="NormalWeb"/>
              <w:jc w:val="center"/>
            </w:pPr>
            <w:r>
              <w:t>27,059</w:t>
            </w:r>
          </w:p>
        </w:tc>
        <w:tc>
          <w:tcPr>
            <w:tcW w:w="1531" w:type="dxa"/>
            <w:hideMark/>
          </w:tcPr>
          <w:p w:rsidR="00AB0397" w:rsidRDefault="00AB0397" w:rsidP="003C2B38">
            <w:pPr>
              <w:pStyle w:val="NormalWeb"/>
              <w:jc w:val="center"/>
            </w:pPr>
            <w:r>
              <w:t>0.05</w:t>
            </w:r>
          </w:p>
        </w:tc>
        <w:tc>
          <w:tcPr>
            <w:tcW w:w="1532" w:type="dxa"/>
            <w:hideMark/>
          </w:tcPr>
          <w:p w:rsidR="00AB0397" w:rsidRDefault="00AB0397" w:rsidP="003C2B38">
            <w:pPr>
              <w:pStyle w:val="NormalWeb"/>
              <w:jc w:val="center"/>
            </w:pPr>
            <w:r>
              <w:t>15.3</w:t>
            </w:r>
          </w:p>
        </w:tc>
        <w:tc>
          <w:tcPr>
            <w:tcW w:w="1531" w:type="dxa"/>
            <w:hideMark/>
          </w:tcPr>
          <w:p w:rsidR="00AB0397" w:rsidRDefault="00AB0397" w:rsidP="003C2B38">
            <w:pPr>
              <w:pStyle w:val="NormalWeb"/>
              <w:jc w:val="center"/>
            </w:pPr>
            <w:r>
              <w:t>29,387</w:t>
            </w:r>
          </w:p>
        </w:tc>
        <w:tc>
          <w:tcPr>
            <w:tcW w:w="1532" w:type="dxa"/>
            <w:hideMark/>
          </w:tcPr>
          <w:p w:rsidR="00AB0397" w:rsidRDefault="00AB0397" w:rsidP="003C2B38">
            <w:pPr>
              <w:pStyle w:val="NormalWeb"/>
              <w:jc w:val="center"/>
            </w:pPr>
            <w:r>
              <w:t>0.04</w:t>
            </w:r>
          </w:p>
        </w:tc>
        <w:tc>
          <w:tcPr>
            <w:tcW w:w="1531" w:type="dxa"/>
            <w:hideMark/>
          </w:tcPr>
          <w:p w:rsidR="00AB0397" w:rsidRDefault="00AB0397" w:rsidP="003C2B38">
            <w:pPr>
              <w:pStyle w:val="NormalWeb"/>
              <w:jc w:val="center"/>
            </w:pPr>
            <w:r>
              <w:t>16.6</w:t>
            </w:r>
          </w:p>
        </w:tc>
        <w:tc>
          <w:tcPr>
            <w:tcW w:w="1532" w:type="dxa"/>
            <w:hideMark/>
          </w:tcPr>
          <w:p w:rsidR="00AB0397" w:rsidRDefault="00AB0397" w:rsidP="003C2B38">
            <w:pPr>
              <w:pStyle w:val="NormalWeb"/>
              <w:jc w:val="center"/>
            </w:pPr>
            <w:r>
              <w:t>275,275</w:t>
            </w:r>
          </w:p>
        </w:tc>
        <w:tc>
          <w:tcPr>
            <w:tcW w:w="1531" w:type="dxa"/>
            <w:hideMark/>
          </w:tcPr>
          <w:p w:rsidR="00AB0397" w:rsidRDefault="00AB0397" w:rsidP="003C2B38">
            <w:pPr>
              <w:pStyle w:val="NormalWeb"/>
              <w:jc w:val="center"/>
            </w:pPr>
            <w:r>
              <w:t>0.02</w:t>
            </w:r>
          </w:p>
        </w:tc>
        <w:tc>
          <w:tcPr>
            <w:tcW w:w="1532" w:type="dxa"/>
            <w:hideMark/>
          </w:tcPr>
          <w:p w:rsidR="00AB0397" w:rsidRDefault="00AB0397" w:rsidP="003C2B38">
            <w:pPr>
              <w:pStyle w:val="NormalWeb"/>
              <w:jc w:val="center"/>
            </w:pPr>
            <w:r>
              <w:t>155.6</w:t>
            </w:r>
          </w:p>
        </w:tc>
      </w:tr>
      <w:tr w:rsidR="00E840DC" w:rsidTr="003C2B38">
        <w:trPr>
          <w:cnfStyle w:val="000000010000" w:firstRow="0" w:lastRow="0" w:firstColumn="0" w:lastColumn="0" w:oddVBand="0" w:evenVBand="0" w:oddHBand="0" w:evenHBand="1" w:firstRowFirstColumn="0" w:firstRowLastColumn="0" w:lastRowFirstColumn="0" w:lastRowLastColumn="0"/>
        </w:trPr>
        <w:tc>
          <w:tcPr>
            <w:tcW w:w="1157" w:type="dxa"/>
            <w:hideMark/>
          </w:tcPr>
          <w:p w:rsidR="00AB0397" w:rsidRDefault="00AB0397">
            <w:pPr>
              <w:pStyle w:val="NormalWeb"/>
            </w:pPr>
            <w:r>
              <w:t>Tas.</w:t>
            </w:r>
          </w:p>
        </w:tc>
        <w:tc>
          <w:tcPr>
            <w:tcW w:w="1531" w:type="dxa"/>
            <w:hideMark/>
          </w:tcPr>
          <w:p w:rsidR="00AB0397" w:rsidRDefault="00AB0397" w:rsidP="003C2B38">
            <w:pPr>
              <w:pStyle w:val="NormalWeb"/>
              <w:jc w:val="center"/>
            </w:pPr>
            <w:r>
              <w:t>7,484</w:t>
            </w:r>
          </w:p>
        </w:tc>
        <w:tc>
          <w:tcPr>
            <w:tcW w:w="1531" w:type="dxa"/>
            <w:hideMark/>
          </w:tcPr>
          <w:p w:rsidR="00AB0397" w:rsidRDefault="00AB0397" w:rsidP="003C2B38">
            <w:pPr>
              <w:pStyle w:val="NormalWeb"/>
              <w:jc w:val="center"/>
            </w:pPr>
            <w:r>
              <w:t>0.00</w:t>
            </w:r>
          </w:p>
        </w:tc>
        <w:tc>
          <w:tcPr>
            <w:tcW w:w="1532" w:type="dxa"/>
            <w:hideMark/>
          </w:tcPr>
          <w:p w:rsidR="00AB0397" w:rsidRDefault="00AB0397" w:rsidP="003C2B38">
            <w:pPr>
              <w:pStyle w:val="NormalWeb"/>
              <w:jc w:val="center"/>
            </w:pPr>
            <w:r>
              <w:t>13.8</w:t>
            </w:r>
          </w:p>
        </w:tc>
        <w:tc>
          <w:tcPr>
            <w:tcW w:w="1531" w:type="dxa"/>
            <w:hideMark/>
          </w:tcPr>
          <w:p w:rsidR="00AB0397" w:rsidRDefault="00AB0397" w:rsidP="003C2B38">
            <w:pPr>
              <w:pStyle w:val="NormalWeb"/>
              <w:jc w:val="center"/>
            </w:pPr>
            <w:r>
              <w:t>7,287</w:t>
            </w:r>
          </w:p>
        </w:tc>
        <w:tc>
          <w:tcPr>
            <w:tcW w:w="1532" w:type="dxa"/>
            <w:hideMark/>
          </w:tcPr>
          <w:p w:rsidR="00AB0397" w:rsidRDefault="00AB0397" w:rsidP="003C2B38">
            <w:pPr>
              <w:pStyle w:val="NormalWeb"/>
              <w:jc w:val="center"/>
            </w:pPr>
            <w:r>
              <w:t>0.00</w:t>
            </w:r>
          </w:p>
        </w:tc>
        <w:tc>
          <w:tcPr>
            <w:tcW w:w="1531" w:type="dxa"/>
            <w:hideMark/>
          </w:tcPr>
          <w:p w:rsidR="00AB0397" w:rsidRDefault="00AB0397" w:rsidP="003C2B38">
            <w:pPr>
              <w:pStyle w:val="NormalWeb"/>
              <w:jc w:val="center"/>
            </w:pPr>
            <w:r>
              <w:t>13.5</w:t>
            </w:r>
          </w:p>
        </w:tc>
        <w:tc>
          <w:tcPr>
            <w:tcW w:w="1532" w:type="dxa"/>
            <w:hideMark/>
          </w:tcPr>
          <w:p w:rsidR="00AB0397" w:rsidRDefault="00AB0397" w:rsidP="003C2B38">
            <w:pPr>
              <w:pStyle w:val="NormalWeb"/>
              <w:jc w:val="center"/>
            </w:pPr>
            <w:r>
              <w:t>42,497</w:t>
            </w:r>
          </w:p>
        </w:tc>
        <w:tc>
          <w:tcPr>
            <w:tcW w:w="1531" w:type="dxa"/>
            <w:hideMark/>
          </w:tcPr>
          <w:p w:rsidR="00AB0397" w:rsidRDefault="00AB0397" w:rsidP="003C2B38">
            <w:pPr>
              <w:pStyle w:val="NormalWeb"/>
              <w:jc w:val="center"/>
            </w:pPr>
            <w:r>
              <w:t>0.00</w:t>
            </w:r>
          </w:p>
        </w:tc>
        <w:tc>
          <w:tcPr>
            <w:tcW w:w="1532" w:type="dxa"/>
            <w:hideMark/>
          </w:tcPr>
          <w:p w:rsidR="00AB0397" w:rsidRDefault="00AB0397" w:rsidP="003C2B38">
            <w:pPr>
              <w:pStyle w:val="NormalWeb"/>
              <w:jc w:val="center"/>
            </w:pPr>
            <w:r>
              <w:t>78.6</w:t>
            </w:r>
          </w:p>
        </w:tc>
      </w:tr>
      <w:tr w:rsidR="00F138C4" w:rsidTr="003C2B38">
        <w:tc>
          <w:tcPr>
            <w:tcW w:w="1157" w:type="dxa"/>
            <w:hideMark/>
          </w:tcPr>
          <w:p w:rsidR="00AB0397" w:rsidRDefault="00AB0397">
            <w:pPr>
              <w:pStyle w:val="NormalWeb"/>
            </w:pPr>
            <w:r>
              <w:t>NT</w:t>
            </w:r>
          </w:p>
        </w:tc>
        <w:tc>
          <w:tcPr>
            <w:tcW w:w="1531" w:type="dxa"/>
            <w:hideMark/>
          </w:tcPr>
          <w:p w:rsidR="00AB0397" w:rsidRDefault="00AB0397" w:rsidP="003C2B38">
            <w:pPr>
              <w:pStyle w:val="NormalWeb"/>
              <w:jc w:val="center"/>
            </w:pPr>
            <w:r>
              <w:t>7,678</w:t>
            </w:r>
          </w:p>
        </w:tc>
        <w:tc>
          <w:tcPr>
            <w:tcW w:w="1531" w:type="dxa"/>
            <w:hideMark/>
          </w:tcPr>
          <w:p w:rsidR="00AB0397" w:rsidRDefault="00AB0397" w:rsidP="003C2B38">
            <w:pPr>
              <w:pStyle w:val="NormalWeb"/>
              <w:jc w:val="center"/>
            </w:pPr>
            <w:r>
              <w:t>0.00</w:t>
            </w:r>
          </w:p>
        </w:tc>
        <w:tc>
          <w:tcPr>
            <w:tcW w:w="1532" w:type="dxa"/>
            <w:hideMark/>
          </w:tcPr>
          <w:p w:rsidR="00AB0397" w:rsidRDefault="00AB0397" w:rsidP="003C2B38">
            <w:pPr>
              <w:pStyle w:val="NormalWeb"/>
              <w:jc w:val="center"/>
            </w:pPr>
            <w:r>
              <w:t>31.2</w:t>
            </w:r>
          </w:p>
        </w:tc>
        <w:tc>
          <w:tcPr>
            <w:tcW w:w="1531" w:type="dxa"/>
            <w:hideMark/>
          </w:tcPr>
          <w:p w:rsidR="00AB0397" w:rsidRDefault="00AB0397" w:rsidP="003C2B38">
            <w:pPr>
              <w:pStyle w:val="NormalWeb"/>
              <w:jc w:val="center"/>
            </w:pPr>
            <w:r>
              <w:t>7,138</w:t>
            </w:r>
          </w:p>
        </w:tc>
        <w:tc>
          <w:tcPr>
            <w:tcW w:w="1532" w:type="dxa"/>
            <w:hideMark/>
          </w:tcPr>
          <w:p w:rsidR="00AB0397" w:rsidRDefault="00AB0397" w:rsidP="003C2B38">
            <w:pPr>
              <w:pStyle w:val="NormalWeb"/>
              <w:jc w:val="center"/>
            </w:pPr>
            <w:r>
              <w:t>0.01</w:t>
            </w:r>
          </w:p>
        </w:tc>
        <w:tc>
          <w:tcPr>
            <w:tcW w:w="1531" w:type="dxa"/>
            <w:hideMark/>
          </w:tcPr>
          <w:p w:rsidR="00AB0397" w:rsidRDefault="00AB0397" w:rsidP="003C2B38">
            <w:pPr>
              <w:pStyle w:val="NormalWeb"/>
              <w:jc w:val="center"/>
            </w:pPr>
            <w:r>
              <w:t>29.0</w:t>
            </w:r>
          </w:p>
        </w:tc>
        <w:tc>
          <w:tcPr>
            <w:tcW w:w="1532" w:type="dxa"/>
            <w:hideMark/>
          </w:tcPr>
          <w:p w:rsidR="00AB0397" w:rsidRDefault="00AB0397" w:rsidP="003C2B38">
            <w:pPr>
              <w:pStyle w:val="NormalWeb"/>
              <w:jc w:val="center"/>
            </w:pPr>
            <w:r>
              <w:t>47,008</w:t>
            </w:r>
          </w:p>
        </w:tc>
        <w:tc>
          <w:tcPr>
            <w:tcW w:w="1531" w:type="dxa"/>
            <w:hideMark/>
          </w:tcPr>
          <w:p w:rsidR="00AB0397" w:rsidRDefault="00AB0397" w:rsidP="003C2B38">
            <w:pPr>
              <w:pStyle w:val="NormalWeb"/>
              <w:jc w:val="center"/>
            </w:pPr>
            <w:r>
              <w:t>0.05</w:t>
            </w:r>
          </w:p>
        </w:tc>
        <w:tc>
          <w:tcPr>
            <w:tcW w:w="1532" w:type="dxa"/>
            <w:hideMark/>
          </w:tcPr>
          <w:p w:rsidR="00AB0397" w:rsidRDefault="00AB0397" w:rsidP="003C2B38">
            <w:pPr>
              <w:pStyle w:val="NormalWeb"/>
              <w:jc w:val="center"/>
            </w:pPr>
            <w:r>
              <w:t>191.1</w:t>
            </w:r>
          </w:p>
        </w:tc>
      </w:tr>
      <w:tr w:rsidR="00E840DC" w:rsidTr="003C2B38">
        <w:trPr>
          <w:cnfStyle w:val="000000010000" w:firstRow="0" w:lastRow="0" w:firstColumn="0" w:lastColumn="0" w:oddVBand="0" w:evenVBand="0" w:oddHBand="0" w:evenHBand="1" w:firstRowFirstColumn="0" w:firstRowLastColumn="0" w:lastRowFirstColumn="0" w:lastRowLastColumn="0"/>
        </w:trPr>
        <w:tc>
          <w:tcPr>
            <w:tcW w:w="1157" w:type="dxa"/>
            <w:hideMark/>
          </w:tcPr>
          <w:p w:rsidR="00AB0397" w:rsidRDefault="00AB0397">
            <w:pPr>
              <w:pStyle w:val="NormalWeb"/>
            </w:pPr>
            <w:r>
              <w:t>ACT</w:t>
            </w:r>
          </w:p>
        </w:tc>
        <w:tc>
          <w:tcPr>
            <w:tcW w:w="1531" w:type="dxa"/>
            <w:hideMark/>
          </w:tcPr>
          <w:p w:rsidR="00AB0397" w:rsidRDefault="00AB0397" w:rsidP="003C2B38">
            <w:pPr>
              <w:pStyle w:val="NormalWeb"/>
              <w:jc w:val="center"/>
            </w:pPr>
            <w:r>
              <w:t>5,761</w:t>
            </w:r>
          </w:p>
        </w:tc>
        <w:tc>
          <w:tcPr>
            <w:tcW w:w="1531" w:type="dxa"/>
            <w:hideMark/>
          </w:tcPr>
          <w:p w:rsidR="00AB0397" w:rsidRDefault="00AB0397" w:rsidP="003C2B38">
            <w:pPr>
              <w:pStyle w:val="NormalWeb"/>
              <w:jc w:val="center"/>
            </w:pPr>
            <w:r>
              <w:t>0.00</w:t>
            </w:r>
          </w:p>
        </w:tc>
        <w:tc>
          <w:tcPr>
            <w:tcW w:w="1532" w:type="dxa"/>
            <w:hideMark/>
          </w:tcPr>
          <w:p w:rsidR="00AB0397" w:rsidRDefault="00AB0397" w:rsidP="003C2B38">
            <w:pPr>
              <w:pStyle w:val="NormalWeb"/>
              <w:jc w:val="center"/>
            </w:pPr>
            <w:r>
              <w:t>13.4</w:t>
            </w:r>
          </w:p>
        </w:tc>
        <w:tc>
          <w:tcPr>
            <w:tcW w:w="1531" w:type="dxa"/>
            <w:hideMark/>
          </w:tcPr>
          <w:p w:rsidR="00AB0397" w:rsidRDefault="00AB0397" w:rsidP="003C2B38">
            <w:pPr>
              <w:pStyle w:val="NormalWeb"/>
              <w:jc w:val="center"/>
            </w:pPr>
            <w:r>
              <w:t>7,707</w:t>
            </w:r>
          </w:p>
        </w:tc>
        <w:tc>
          <w:tcPr>
            <w:tcW w:w="1532" w:type="dxa"/>
            <w:hideMark/>
          </w:tcPr>
          <w:p w:rsidR="00AB0397" w:rsidRDefault="00AB0397" w:rsidP="003C2B38">
            <w:pPr>
              <w:pStyle w:val="NormalWeb"/>
              <w:jc w:val="center"/>
            </w:pPr>
            <w:r>
              <w:t>0.06</w:t>
            </w:r>
          </w:p>
        </w:tc>
        <w:tc>
          <w:tcPr>
            <w:tcW w:w="1531" w:type="dxa"/>
            <w:hideMark/>
          </w:tcPr>
          <w:p w:rsidR="00AB0397" w:rsidRDefault="00AB0397" w:rsidP="003C2B38">
            <w:pPr>
              <w:pStyle w:val="NormalWeb"/>
              <w:jc w:val="center"/>
            </w:pPr>
            <w:r>
              <w:t>17.9</w:t>
            </w:r>
          </w:p>
        </w:tc>
        <w:tc>
          <w:tcPr>
            <w:tcW w:w="1532" w:type="dxa"/>
            <w:hideMark/>
          </w:tcPr>
          <w:p w:rsidR="00AB0397" w:rsidRDefault="00AB0397" w:rsidP="003C2B38">
            <w:pPr>
              <w:pStyle w:val="NormalWeb"/>
              <w:jc w:val="center"/>
            </w:pPr>
            <w:r>
              <w:t>49,010</w:t>
            </w:r>
          </w:p>
        </w:tc>
        <w:tc>
          <w:tcPr>
            <w:tcW w:w="1531" w:type="dxa"/>
            <w:hideMark/>
          </w:tcPr>
          <w:p w:rsidR="00AB0397" w:rsidRDefault="00AB0397" w:rsidP="003C2B38">
            <w:pPr>
              <w:pStyle w:val="NormalWeb"/>
              <w:jc w:val="center"/>
            </w:pPr>
            <w:r>
              <w:t>0.01</w:t>
            </w:r>
          </w:p>
        </w:tc>
        <w:tc>
          <w:tcPr>
            <w:tcW w:w="1532" w:type="dxa"/>
            <w:hideMark/>
          </w:tcPr>
          <w:p w:rsidR="00AB0397" w:rsidRDefault="00AB0397" w:rsidP="003C2B38">
            <w:pPr>
              <w:pStyle w:val="NormalWeb"/>
              <w:jc w:val="center"/>
            </w:pPr>
            <w:r>
              <w:t>113.7</w:t>
            </w:r>
          </w:p>
        </w:tc>
      </w:tr>
      <w:tr w:rsidR="003C2B38" w:rsidRPr="00F138C4" w:rsidTr="003C2B38">
        <w:tc>
          <w:tcPr>
            <w:tcW w:w="1157" w:type="dxa"/>
            <w:shd w:val="clear" w:color="auto" w:fill="FDE9D9" w:themeFill="accent6" w:themeFillTint="33"/>
            <w:hideMark/>
          </w:tcPr>
          <w:p w:rsidR="00AB0397" w:rsidRPr="00F138C4" w:rsidRDefault="00AB0397">
            <w:pPr>
              <w:pStyle w:val="NormalWeb"/>
              <w:rPr>
                <w:b/>
              </w:rPr>
            </w:pPr>
            <w:r w:rsidRPr="00F138C4">
              <w:rPr>
                <w:b/>
              </w:rPr>
              <w:t>Australia</w:t>
            </w:r>
          </w:p>
        </w:tc>
        <w:tc>
          <w:tcPr>
            <w:tcW w:w="1531" w:type="dxa"/>
            <w:shd w:val="clear" w:color="auto" w:fill="FDE9D9" w:themeFill="accent6" w:themeFillTint="33"/>
            <w:hideMark/>
          </w:tcPr>
          <w:p w:rsidR="00AB0397" w:rsidRPr="00F138C4" w:rsidRDefault="00AB0397" w:rsidP="003C2B38">
            <w:pPr>
              <w:pStyle w:val="NormalWeb"/>
              <w:jc w:val="center"/>
              <w:rPr>
                <w:b/>
              </w:rPr>
            </w:pPr>
            <w:r w:rsidRPr="00F138C4">
              <w:rPr>
                <w:b/>
              </w:rPr>
              <w:t>407,088</w:t>
            </w:r>
          </w:p>
        </w:tc>
        <w:tc>
          <w:tcPr>
            <w:tcW w:w="1531" w:type="dxa"/>
            <w:shd w:val="clear" w:color="auto" w:fill="FDE9D9" w:themeFill="accent6" w:themeFillTint="33"/>
            <w:hideMark/>
          </w:tcPr>
          <w:p w:rsidR="00AB0397" w:rsidRPr="00F138C4" w:rsidRDefault="00AB0397" w:rsidP="003C2B38">
            <w:pPr>
              <w:pStyle w:val="NormalWeb"/>
              <w:jc w:val="center"/>
              <w:rPr>
                <w:b/>
              </w:rPr>
            </w:pPr>
            <w:r w:rsidRPr="00F138C4">
              <w:rPr>
                <w:b/>
              </w:rPr>
              <w:t>0.03</w:t>
            </w:r>
          </w:p>
        </w:tc>
        <w:tc>
          <w:tcPr>
            <w:tcW w:w="1532" w:type="dxa"/>
            <w:shd w:val="clear" w:color="auto" w:fill="FDE9D9" w:themeFill="accent6" w:themeFillTint="33"/>
            <w:hideMark/>
          </w:tcPr>
          <w:p w:rsidR="00AB0397" w:rsidRPr="00F138C4" w:rsidRDefault="00AB0397" w:rsidP="003C2B38">
            <w:pPr>
              <w:pStyle w:val="NormalWeb"/>
              <w:jc w:val="center"/>
              <w:rPr>
                <w:b/>
              </w:rPr>
            </w:pPr>
            <w:r w:rsidRPr="00F138C4">
              <w:rPr>
                <w:b/>
              </w:rPr>
              <w:t>15.9</w:t>
            </w:r>
          </w:p>
        </w:tc>
        <w:tc>
          <w:tcPr>
            <w:tcW w:w="1531" w:type="dxa"/>
            <w:shd w:val="clear" w:color="auto" w:fill="FDE9D9" w:themeFill="accent6" w:themeFillTint="33"/>
            <w:hideMark/>
          </w:tcPr>
          <w:p w:rsidR="00AB0397" w:rsidRPr="00F138C4" w:rsidRDefault="00AB0397" w:rsidP="003C2B38">
            <w:pPr>
              <w:pStyle w:val="NormalWeb"/>
              <w:jc w:val="center"/>
              <w:rPr>
                <w:b/>
              </w:rPr>
            </w:pPr>
            <w:r w:rsidRPr="00F138C4">
              <w:rPr>
                <w:b/>
              </w:rPr>
              <w:t>458,414</w:t>
            </w:r>
          </w:p>
        </w:tc>
        <w:tc>
          <w:tcPr>
            <w:tcW w:w="1532" w:type="dxa"/>
            <w:shd w:val="clear" w:color="auto" w:fill="FDE9D9" w:themeFill="accent6" w:themeFillTint="33"/>
            <w:hideMark/>
          </w:tcPr>
          <w:p w:rsidR="00AB0397" w:rsidRPr="00F138C4" w:rsidRDefault="00AB0397" w:rsidP="003C2B38">
            <w:pPr>
              <w:pStyle w:val="NormalWeb"/>
              <w:jc w:val="center"/>
              <w:rPr>
                <w:b/>
              </w:rPr>
            </w:pPr>
            <w:r w:rsidRPr="00F138C4">
              <w:rPr>
                <w:b/>
              </w:rPr>
              <w:t>0.03</w:t>
            </w:r>
          </w:p>
        </w:tc>
        <w:tc>
          <w:tcPr>
            <w:tcW w:w="1531" w:type="dxa"/>
            <w:shd w:val="clear" w:color="auto" w:fill="FDE9D9" w:themeFill="accent6" w:themeFillTint="33"/>
            <w:hideMark/>
          </w:tcPr>
          <w:p w:rsidR="00AB0397" w:rsidRPr="00F138C4" w:rsidRDefault="00AB0397" w:rsidP="003C2B38">
            <w:pPr>
              <w:pStyle w:val="NormalWeb"/>
              <w:jc w:val="center"/>
              <w:rPr>
                <w:b/>
              </w:rPr>
            </w:pPr>
            <w:r w:rsidRPr="00F138C4">
              <w:rPr>
                <w:b/>
              </w:rPr>
              <w:t>17.9</w:t>
            </w:r>
          </w:p>
        </w:tc>
        <w:tc>
          <w:tcPr>
            <w:tcW w:w="1532" w:type="dxa"/>
            <w:shd w:val="clear" w:color="auto" w:fill="FDE9D9" w:themeFill="accent6" w:themeFillTint="33"/>
            <w:hideMark/>
          </w:tcPr>
          <w:p w:rsidR="00AB0397" w:rsidRPr="00F138C4" w:rsidRDefault="00AB0397" w:rsidP="003C2B38">
            <w:pPr>
              <w:pStyle w:val="NormalWeb"/>
              <w:jc w:val="center"/>
              <w:rPr>
                <w:b/>
              </w:rPr>
            </w:pPr>
            <w:r w:rsidRPr="00F138C4">
              <w:rPr>
                <w:b/>
              </w:rPr>
              <w:t>3,319,507</w:t>
            </w:r>
          </w:p>
        </w:tc>
        <w:tc>
          <w:tcPr>
            <w:tcW w:w="1531" w:type="dxa"/>
            <w:shd w:val="clear" w:color="auto" w:fill="FDE9D9" w:themeFill="accent6" w:themeFillTint="33"/>
            <w:hideMark/>
          </w:tcPr>
          <w:p w:rsidR="00AB0397" w:rsidRPr="00F138C4" w:rsidRDefault="00AB0397" w:rsidP="003C2B38">
            <w:pPr>
              <w:pStyle w:val="NormalWeb"/>
              <w:jc w:val="center"/>
              <w:rPr>
                <w:b/>
              </w:rPr>
            </w:pPr>
            <w:r w:rsidRPr="00F138C4">
              <w:rPr>
                <w:b/>
              </w:rPr>
              <w:t>0.02</w:t>
            </w:r>
          </w:p>
        </w:tc>
        <w:tc>
          <w:tcPr>
            <w:tcW w:w="1532" w:type="dxa"/>
            <w:shd w:val="clear" w:color="auto" w:fill="FDE9D9" w:themeFill="accent6" w:themeFillTint="33"/>
            <w:hideMark/>
          </w:tcPr>
          <w:p w:rsidR="00AB0397" w:rsidRPr="00F138C4" w:rsidRDefault="00AB0397" w:rsidP="003C2B38">
            <w:pPr>
              <w:pStyle w:val="NormalWeb"/>
              <w:jc w:val="center"/>
              <w:rPr>
                <w:b/>
              </w:rPr>
            </w:pPr>
            <w:r w:rsidRPr="00F138C4">
              <w:rPr>
                <w:b/>
              </w:rPr>
              <w:t>129.2</w:t>
            </w:r>
          </w:p>
        </w:tc>
      </w:tr>
    </w:tbl>
    <w:p w:rsidR="00AB0397" w:rsidRDefault="00AB0397" w:rsidP="001613E1">
      <w:pPr>
        <w:pStyle w:val="CDIfootnotes"/>
      </w:pPr>
      <w:proofErr w:type="spellStart"/>
      <w:proofErr w:type="gramStart"/>
      <w:r>
        <w:t>a</w:t>
      </w:r>
      <w:proofErr w:type="spellEnd"/>
      <w:proofErr w:type="gramEnd"/>
      <w:r>
        <w:tab/>
        <w:t>In order to more accurately reflect positivity rates, numbers of individuals tested is presented rather than total number of tests.</w:t>
      </w:r>
    </w:p>
    <w:p w:rsidR="00EC50D2" w:rsidRDefault="00AB0397" w:rsidP="001613E1">
      <w:pPr>
        <w:pStyle w:val="CDIfootnotes"/>
        <w:sectPr w:rsidR="00EC50D2" w:rsidSect="00EC50D2">
          <w:pgSz w:w="16838" w:h="11906" w:orient="landscape"/>
          <w:pgMar w:top="720" w:right="720" w:bottom="720" w:left="1134" w:header="709" w:footer="284" w:gutter="0"/>
          <w:cols w:space="708"/>
          <w:titlePg/>
          <w:docGrid w:linePitch="360"/>
        </w:sectPr>
      </w:pPr>
      <w:proofErr w:type="gramStart"/>
      <w:r>
        <w:t>b</w:t>
      </w:r>
      <w:proofErr w:type="gramEnd"/>
      <w:r>
        <w:tab/>
        <w:t>Population data based on Australian Bureau of Statistics (ABS) Estimated Resident Population (ERP) as at June 2020.</w:t>
      </w:r>
    </w:p>
    <w:p w:rsidR="00AB0397" w:rsidRDefault="00AB0397" w:rsidP="001613E1">
      <w:pPr>
        <w:pStyle w:val="CDIfootnotes"/>
      </w:pPr>
    </w:p>
    <w:p w:rsidR="00AB0397" w:rsidRDefault="00AB0397" w:rsidP="001613E1">
      <w:r>
        <w:t xml:space="preserve">During this reporting period, 407,088 individuals were tested nationally, with a positivity rate of 0.03%. Queensland experienced a higher rate of positivity in this reporting period, which is expected given the increase in cases in the region. Jurisdictional testing rates are driven by both current case numbers and numbers of people experiencing symptoms. The low national positivity rate, along with high rates of testing, indicates a low incidence of COVID-19 nationally. </w:t>
      </w:r>
    </w:p>
    <w:p w:rsidR="00AB0397" w:rsidRDefault="00AB0397" w:rsidP="00605C95">
      <w:r>
        <w:t>For the two-week period ending 26 March 2021, testing rates decreased among all age groups (Figure 4). Testing rates among children and young adults aged 0–19 years tended to be lower than those of other age groups, while rates among the 20–39 year age groups have remained high throughout the entirety of the pandemic.</w:t>
      </w:r>
    </w:p>
    <w:p w:rsidR="00AB0397" w:rsidRDefault="00AB0397" w:rsidP="00605C95">
      <w:pPr>
        <w:pStyle w:val="CDIFigures"/>
      </w:pPr>
      <w:r>
        <w:t>Figure 4: SARS-CoV-2 polymerase chain reaction (PCR) testing rates per 1,000 population per week by age group, Australia, 1 May 2020 – 26 March 2021</w:t>
      </w:r>
      <w:r w:rsidRPr="00605C95">
        <w:rPr>
          <w:vertAlign w:val="superscript"/>
        </w:rPr>
        <w:t>a</w:t>
      </w:r>
      <w:proofErr w:type="gramStart"/>
      <w:r w:rsidRPr="00605C95">
        <w:rPr>
          <w:vertAlign w:val="superscript"/>
        </w:rPr>
        <w:t>,b</w:t>
      </w:r>
      <w:proofErr w:type="gramEnd"/>
    </w:p>
    <w:p w:rsidR="00AB0397" w:rsidRDefault="00AB0397">
      <w:pPr>
        <w:pStyle w:val="NormalWeb"/>
      </w:pPr>
      <w:r>
        <w:rPr>
          <w:noProof/>
        </w:rPr>
        <w:drawing>
          <wp:inline distT="0" distB="0" distL="0" distR="0">
            <wp:extent cx="6625424" cy="4387194"/>
            <wp:effectExtent l="0" t="0" r="4445" b="0"/>
            <wp:docPr id="4" name="Picture 4" descr="A line graph showing the reported SARS-CoV-2 PCR testing rate per 1,000 population each week by age group. Weekly testing rates for all age groups have fluctuated from 1 May 2020 to 26 March 2021, with a broad peak in testing during July and August 2020 and two pronounced spikes in testing in the weeks ending 25 December 2020 and 8 January 2021. Throughout the second half of 2020 and the start of 2021, the highest testing rate has been seen in the 20–39 year age group, peaking at approximately 30 tests per 1,000 population in the week ending 8 January 2021. Though the 0–19 years age group has generally seen the lowest testing rate on a week-by-week basis, this age group has undergone testing at a substantially higher rate than the 60+ years age group since the start of February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line graph showing the reported SARS-CoV-2 PCR testing rate per 1,000 population each week by age group. Weekly testing rates for all age groups have fluctuated from 1 May 2020 to 26 March 2021, with a broad peak in testing during July and August 2020 and two pronounced spikes in testing in the weeks ending 25 December 2020 and 8 January 2021. Throughout the second half of 2020 and the start of 2021, the highest testing rate has been seen in the 20–39 year age group, peaking at approximately 30 tests per 1,000 population in the week ending 8 January 2021. Though the 0–19 years age group has generally seen the lowest testing rate on a week-by-week basis, this age group has undergone testing at a substantially higher rate than the 60+ years age group since the start of February 2021. "/>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30475" cy="4390538"/>
                    </a:xfrm>
                    <a:prstGeom prst="rect">
                      <a:avLst/>
                    </a:prstGeom>
                  </pic:spPr>
                </pic:pic>
              </a:graphicData>
            </a:graphic>
          </wp:inline>
        </w:drawing>
      </w:r>
    </w:p>
    <w:p w:rsidR="00AB0397" w:rsidRDefault="00AB0397" w:rsidP="006054B6">
      <w:pPr>
        <w:pStyle w:val="CDIfootnotes"/>
      </w:pPr>
      <w:proofErr w:type="gramStart"/>
      <w:r>
        <w:t>a</w:t>
      </w:r>
      <w:proofErr w:type="gramEnd"/>
      <w:r>
        <w:tab/>
        <w:t>Source: Data provided by jurisdictions to the NIR weekly, current up to 26 March 2021.</w:t>
      </w:r>
    </w:p>
    <w:p w:rsidR="00AB0397" w:rsidRDefault="00AB0397" w:rsidP="006054B6">
      <w:pPr>
        <w:pStyle w:val="CDIfootnotes"/>
      </w:pPr>
      <w:proofErr w:type="gramStart"/>
      <w:r>
        <w:t>b</w:t>
      </w:r>
      <w:proofErr w:type="gramEnd"/>
      <w:r>
        <w:tab/>
        <w:t>The jurisdictions reporting each week (i.e. the denominator population) may vary.</w:t>
      </w:r>
    </w:p>
    <w:p w:rsidR="00AB0397" w:rsidRDefault="00AB0397" w:rsidP="006054B6">
      <w:r>
        <w:t xml:space="preserve">In future reports, SARS-CoV-2 diagnostic testing will be reported on a four-weekly basis. The next analysis of this topic will therefore occur in epidemiology report 40. </w:t>
      </w:r>
    </w:p>
    <w:p w:rsidR="006054B6" w:rsidRDefault="006054B6" w:rsidP="006054B6">
      <w:pPr>
        <w:pStyle w:val="Heading2"/>
        <w:rPr>
          <w:rFonts w:eastAsia="Times New Roman"/>
        </w:rPr>
      </w:pPr>
      <w:r>
        <w:rPr>
          <w:rFonts w:eastAsia="Times New Roman"/>
        </w:rPr>
        <w:t>Vaccinations</w:t>
      </w:r>
    </w:p>
    <w:p w:rsidR="00AB0397" w:rsidRPr="006054B6" w:rsidRDefault="00AB0397" w:rsidP="006054B6">
      <w:pPr>
        <w:pStyle w:val="Heading3"/>
        <w:rPr>
          <w:rFonts w:eastAsia="Times New Roman"/>
          <w:i/>
        </w:rPr>
      </w:pPr>
      <w:r w:rsidRPr="006054B6">
        <w:rPr>
          <w:rFonts w:eastAsia="Times New Roman"/>
          <w:i/>
        </w:rPr>
        <w:t xml:space="preserve">(Department of Health) </w:t>
      </w:r>
    </w:p>
    <w:p w:rsidR="00AB0397" w:rsidRDefault="00AB0397" w:rsidP="006054B6">
      <w:r>
        <w:t xml:space="preserve">As of 28 March 2021, </w:t>
      </w:r>
      <w:proofErr w:type="gramStart"/>
      <w:r>
        <w:t>a total of 541,761</w:t>
      </w:r>
      <w:proofErr w:type="gramEnd"/>
      <w:r>
        <w:t xml:space="preserve"> doses of COVID-19 vaccine have been administered (Table 5), including 82,542 doses provided to aged care and disability residents.</w:t>
      </w:r>
    </w:p>
    <w:p w:rsidR="00AB0397" w:rsidRDefault="00AB0397" w:rsidP="006054B6">
      <w:pPr>
        <w:pStyle w:val="CDIFigures"/>
      </w:pPr>
      <w:r>
        <w:lastRenderedPageBreak/>
        <w:t>Table 5: Total number of vaccinations administered, by jurisdiction, Australia, 28 March 2021</w:t>
      </w:r>
      <w:r w:rsidRPr="00BC656F">
        <w:rPr>
          <w:vertAlign w:val="superscript"/>
        </w:rPr>
        <w:t>a</w:t>
      </w:r>
    </w:p>
    <w:tbl>
      <w:tblPr>
        <w:tblStyle w:val="CDI-StandardTable"/>
        <w:tblW w:w="0" w:type="auto"/>
        <w:tblCellMar>
          <w:top w:w="57" w:type="dxa"/>
          <w:left w:w="113" w:type="dxa"/>
          <w:bottom w:w="57" w:type="dxa"/>
          <w:right w:w="113" w:type="dxa"/>
        </w:tblCellMar>
        <w:tblLook w:val="04A0" w:firstRow="1" w:lastRow="0" w:firstColumn="1" w:lastColumn="0" w:noHBand="0" w:noVBand="1"/>
        <w:tblDescription w:val="Table 5 shows the total number of vaccinations administered to date within each jurisdiction, noting also the Commonwealth-administered vaccinations provided to residents in aged care and disability settings and those administered in primary care settings. Of the 541,761 vaccinations administered as at the end of the current two-week reporting period, the largest proportion (119,796 vaccinations) have been administered in primary care settings, with a further 82,542 vaccines administered to those in aged care and disability facilities. Of the vaccines administered by the states and territories, the greatest number has been administered by authorities in New South Wales (96,273 vaccines), followed by 86,282 vaccines administered by authorities in Victoria.&#10;"/>
      </w:tblPr>
      <w:tblGrid>
        <w:gridCol w:w="5220"/>
        <w:gridCol w:w="5220"/>
      </w:tblGrid>
      <w:tr w:rsidR="00BC656F" w:rsidRPr="00BC656F" w:rsidTr="001A604D">
        <w:trPr>
          <w:cnfStyle w:val="100000000000" w:firstRow="1" w:lastRow="0" w:firstColumn="0" w:lastColumn="0" w:oddVBand="0" w:evenVBand="0" w:oddHBand="0" w:evenHBand="0" w:firstRowFirstColumn="0" w:firstRowLastColumn="0" w:lastRowFirstColumn="0" w:lastRowLastColumn="0"/>
          <w:tblHeader/>
        </w:trPr>
        <w:tc>
          <w:tcPr>
            <w:tcW w:w="5220" w:type="dxa"/>
            <w:tcBorders>
              <w:right w:val="single" w:sz="2" w:space="0" w:color="FFFFFF" w:themeColor="background1"/>
            </w:tcBorders>
            <w:hideMark/>
          </w:tcPr>
          <w:p w:rsidR="00AB0397" w:rsidRPr="00BC656F" w:rsidRDefault="00AB0397">
            <w:pPr>
              <w:pStyle w:val="NormalWeb"/>
              <w:rPr>
                <w:color w:val="FFFFFF" w:themeColor="background1"/>
              </w:rPr>
            </w:pPr>
            <w:r w:rsidRPr="00BC656F">
              <w:rPr>
                <w:color w:val="FFFFFF" w:themeColor="background1"/>
              </w:rPr>
              <w:t>Jurisdiction</w:t>
            </w:r>
          </w:p>
        </w:tc>
        <w:tc>
          <w:tcPr>
            <w:tcW w:w="5220" w:type="dxa"/>
            <w:tcBorders>
              <w:left w:val="single" w:sz="2" w:space="0" w:color="FFFFFF" w:themeColor="background1"/>
            </w:tcBorders>
            <w:hideMark/>
          </w:tcPr>
          <w:p w:rsidR="00AB0397" w:rsidRPr="00BC656F" w:rsidRDefault="00AB0397" w:rsidP="00A75283">
            <w:pPr>
              <w:pStyle w:val="NormalWeb"/>
              <w:jc w:val="center"/>
              <w:rPr>
                <w:color w:val="FFFFFF" w:themeColor="background1"/>
              </w:rPr>
            </w:pPr>
            <w:r w:rsidRPr="00BC656F">
              <w:rPr>
                <w:color w:val="FFFFFF" w:themeColor="background1"/>
              </w:rPr>
              <w:t>Total number of doses administered</w:t>
            </w:r>
          </w:p>
        </w:tc>
      </w:tr>
      <w:tr w:rsidR="00AB0397" w:rsidTr="00BC656F">
        <w:tc>
          <w:tcPr>
            <w:tcW w:w="5220" w:type="dxa"/>
            <w:hideMark/>
          </w:tcPr>
          <w:p w:rsidR="00AB0397" w:rsidRDefault="00AB0397">
            <w:pPr>
              <w:pStyle w:val="NormalWeb"/>
            </w:pPr>
            <w:r>
              <w:t>NSW</w:t>
            </w:r>
          </w:p>
        </w:tc>
        <w:tc>
          <w:tcPr>
            <w:tcW w:w="5220" w:type="dxa"/>
            <w:hideMark/>
          </w:tcPr>
          <w:p w:rsidR="00AB0397" w:rsidRDefault="00AB0397" w:rsidP="00A75283">
            <w:pPr>
              <w:pStyle w:val="NormalWeb"/>
              <w:jc w:val="center"/>
            </w:pPr>
            <w:r>
              <w:t>96,273</w:t>
            </w:r>
          </w:p>
        </w:tc>
      </w:tr>
      <w:tr w:rsidR="00AB0397" w:rsidTr="00BC656F">
        <w:trPr>
          <w:cnfStyle w:val="000000010000" w:firstRow="0" w:lastRow="0" w:firstColumn="0" w:lastColumn="0" w:oddVBand="0" w:evenVBand="0" w:oddHBand="0" w:evenHBand="1" w:firstRowFirstColumn="0" w:firstRowLastColumn="0" w:lastRowFirstColumn="0" w:lastRowLastColumn="0"/>
        </w:trPr>
        <w:tc>
          <w:tcPr>
            <w:tcW w:w="5220" w:type="dxa"/>
            <w:hideMark/>
          </w:tcPr>
          <w:p w:rsidR="00AB0397" w:rsidRDefault="00AB0397">
            <w:pPr>
              <w:pStyle w:val="NormalWeb"/>
            </w:pPr>
            <w:r>
              <w:t>Vic.</w:t>
            </w:r>
          </w:p>
        </w:tc>
        <w:tc>
          <w:tcPr>
            <w:tcW w:w="5220" w:type="dxa"/>
            <w:hideMark/>
          </w:tcPr>
          <w:p w:rsidR="00AB0397" w:rsidRDefault="00AB0397" w:rsidP="00A75283">
            <w:pPr>
              <w:pStyle w:val="NormalWeb"/>
              <w:jc w:val="center"/>
            </w:pPr>
            <w:r>
              <w:t>86,282</w:t>
            </w:r>
          </w:p>
        </w:tc>
      </w:tr>
      <w:tr w:rsidR="00AB0397" w:rsidTr="00BC656F">
        <w:tc>
          <w:tcPr>
            <w:tcW w:w="5220" w:type="dxa"/>
            <w:hideMark/>
          </w:tcPr>
          <w:p w:rsidR="00AB0397" w:rsidRDefault="00AB0397">
            <w:pPr>
              <w:pStyle w:val="NormalWeb"/>
            </w:pPr>
            <w:r>
              <w:t>Qld</w:t>
            </w:r>
          </w:p>
        </w:tc>
        <w:tc>
          <w:tcPr>
            <w:tcW w:w="5220" w:type="dxa"/>
            <w:hideMark/>
          </w:tcPr>
          <w:p w:rsidR="00AB0397" w:rsidRDefault="00AB0397" w:rsidP="00A75283">
            <w:pPr>
              <w:pStyle w:val="NormalWeb"/>
              <w:jc w:val="center"/>
            </w:pPr>
            <w:r>
              <w:t>59,126</w:t>
            </w:r>
          </w:p>
        </w:tc>
      </w:tr>
      <w:tr w:rsidR="00AB0397" w:rsidTr="00BC656F">
        <w:trPr>
          <w:cnfStyle w:val="000000010000" w:firstRow="0" w:lastRow="0" w:firstColumn="0" w:lastColumn="0" w:oddVBand="0" w:evenVBand="0" w:oddHBand="0" w:evenHBand="1" w:firstRowFirstColumn="0" w:firstRowLastColumn="0" w:lastRowFirstColumn="0" w:lastRowLastColumn="0"/>
        </w:trPr>
        <w:tc>
          <w:tcPr>
            <w:tcW w:w="5220" w:type="dxa"/>
            <w:hideMark/>
          </w:tcPr>
          <w:p w:rsidR="00AB0397" w:rsidRDefault="00AB0397">
            <w:pPr>
              <w:pStyle w:val="NormalWeb"/>
            </w:pPr>
            <w:r>
              <w:t>WA</w:t>
            </w:r>
          </w:p>
        </w:tc>
        <w:tc>
          <w:tcPr>
            <w:tcW w:w="5220" w:type="dxa"/>
            <w:hideMark/>
          </w:tcPr>
          <w:p w:rsidR="00AB0397" w:rsidRDefault="00AB0397" w:rsidP="00A75283">
            <w:pPr>
              <w:pStyle w:val="NormalWeb"/>
              <w:jc w:val="center"/>
            </w:pPr>
            <w:r>
              <w:t>45,091</w:t>
            </w:r>
          </w:p>
        </w:tc>
      </w:tr>
      <w:tr w:rsidR="00AB0397" w:rsidTr="00BC656F">
        <w:tc>
          <w:tcPr>
            <w:tcW w:w="5220" w:type="dxa"/>
            <w:hideMark/>
          </w:tcPr>
          <w:p w:rsidR="00AB0397" w:rsidRDefault="00AB0397">
            <w:pPr>
              <w:pStyle w:val="NormalWeb"/>
            </w:pPr>
            <w:r>
              <w:t>SA</w:t>
            </w:r>
          </w:p>
        </w:tc>
        <w:tc>
          <w:tcPr>
            <w:tcW w:w="5220" w:type="dxa"/>
            <w:hideMark/>
          </w:tcPr>
          <w:p w:rsidR="00AB0397" w:rsidRDefault="00AB0397" w:rsidP="00A75283">
            <w:pPr>
              <w:pStyle w:val="NormalWeb"/>
              <w:jc w:val="center"/>
            </w:pPr>
            <w:r>
              <w:t>22,787</w:t>
            </w:r>
          </w:p>
        </w:tc>
      </w:tr>
      <w:tr w:rsidR="00AB0397" w:rsidTr="00BC656F">
        <w:trPr>
          <w:cnfStyle w:val="000000010000" w:firstRow="0" w:lastRow="0" w:firstColumn="0" w:lastColumn="0" w:oddVBand="0" w:evenVBand="0" w:oddHBand="0" w:evenHBand="1" w:firstRowFirstColumn="0" w:firstRowLastColumn="0" w:lastRowFirstColumn="0" w:lastRowLastColumn="0"/>
        </w:trPr>
        <w:tc>
          <w:tcPr>
            <w:tcW w:w="5220" w:type="dxa"/>
            <w:hideMark/>
          </w:tcPr>
          <w:p w:rsidR="00AB0397" w:rsidRDefault="00AB0397">
            <w:pPr>
              <w:pStyle w:val="NormalWeb"/>
            </w:pPr>
            <w:r>
              <w:t>Tas.</w:t>
            </w:r>
          </w:p>
        </w:tc>
        <w:tc>
          <w:tcPr>
            <w:tcW w:w="5220" w:type="dxa"/>
            <w:hideMark/>
          </w:tcPr>
          <w:p w:rsidR="00AB0397" w:rsidRDefault="00AB0397" w:rsidP="00A75283">
            <w:pPr>
              <w:pStyle w:val="NormalWeb"/>
              <w:jc w:val="center"/>
            </w:pPr>
            <w:r>
              <w:t>13,091</w:t>
            </w:r>
          </w:p>
        </w:tc>
      </w:tr>
      <w:tr w:rsidR="00AB0397" w:rsidTr="00BC656F">
        <w:tc>
          <w:tcPr>
            <w:tcW w:w="5220" w:type="dxa"/>
            <w:hideMark/>
          </w:tcPr>
          <w:p w:rsidR="00AB0397" w:rsidRDefault="00AB0397">
            <w:pPr>
              <w:pStyle w:val="NormalWeb"/>
            </w:pPr>
            <w:r>
              <w:t>NT</w:t>
            </w:r>
          </w:p>
        </w:tc>
        <w:tc>
          <w:tcPr>
            <w:tcW w:w="5220" w:type="dxa"/>
            <w:hideMark/>
          </w:tcPr>
          <w:p w:rsidR="00AB0397" w:rsidRDefault="00AB0397" w:rsidP="00A75283">
            <w:pPr>
              <w:pStyle w:val="NormalWeb"/>
              <w:jc w:val="center"/>
            </w:pPr>
            <w:r>
              <w:t>7,027</w:t>
            </w:r>
          </w:p>
        </w:tc>
      </w:tr>
      <w:tr w:rsidR="00AB0397" w:rsidTr="00BC656F">
        <w:trPr>
          <w:cnfStyle w:val="000000010000" w:firstRow="0" w:lastRow="0" w:firstColumn="0" w:lastColumn="0" w:oddVBand="0" w:evenVBand="0" w:oddHBand="0" w:evenHBand="1" w:firstRowFirstColumn="0" w:firstRowLastColumn="0" w:lastRowFirstColumn="0" w:lastRowLastColumn="0"/>
        </w:trPr>
        <w:tc>
          <w:tcPr>
            <w:tcW w:w="5220" w:type="dxa"/>
            <w:hideMark/>
          </w:tcPr>
          <w:p w:rsidR="00AB0397" w:rsidRDefault="00AB0397">
            <w:pPr>
              <w:pStyle w:val="NormalWeb"/>
            </w:pPr>
            <w:r>
              <w:t>ACT</w:t>
            </w:r>
          </w:p>
        </w:tc>
        <w:tc>
          <w:tcPr>
            <w:tcW w:w="5220" w:type="dxa"/>
            <w:hideMark/>
          </w:tcPr>
          <w:p w:rsidR="00AB0397" w:rsidRDefault="00AB0397" w:rsidP="00A75283">
            <w:pPr>
              <w:pStyle w:val="NormalWeb"/>
              <w:jc w:val="center"/>
            </w:pPr>
            <w:r>
              <w:t>9,746</w:t>
            </w:r>
          </w:p>
        </w:tc>
      </w:tr>
      <w:tr w:rsidR="00AB0397" w:rsidTr="00BC656F">
        <w:tc>
          <w:tcPr>
            <w:tcW w:w="5220" w:type="dxa"/>
            <w:hideMark/>
          </w:tcPr>
          <w:p w:rsidR="00AB0397" w:rsidRDefault="00AB0397">
            <w:pPr>
              <w:pStyle w:val="NormalWeb"/>
            </w:pPr>
            <w:proofErr w:type="spellStart"/>
            <w:r>
              <w:t>Commonwealth</w:t>
            </w:r>
            <w:r w:rsidRPr="00BC656F">
              <w:rPr>
                <w:vertAlign w:val="superscript"/>
              </w:rPr>
              <w:t>b</w:t>
            </w:r>
            <w:proofErr w:type="spellEnd"/>
          </w:p>
        </w:tc>
        <w:tc>
          <w:tcPr>
            <w:tcW w:w="5220" w:type="dxa"/>
            <w:hideMark/>
          </w:tcPr>
          <w:p w:rsidR="00AB0397" w:rsidRDefault="00AB0397" w:rsidP="00A75283">
            <w:pPr>
              <w:pStyle w:val="NormalWeb"/>
              <w:jc w:val="center"/>
            </w:pPr>
            <w:r>
              <w:t>82,542</w:t>
            </w:r>
          </w:p>
        </w:tc>
      </w:tr>
      <w:tr w:rsidR="00AB0397" w:rsidTr="00BC656F">
        <w:trPr>
          <w:cnfStyle w:val="000000010000" w:firstRow="0" w:lastRow="0" w:firstColumn="0" w:lastColumn="0" w:oddVBand="0" w:evenVBand="0" w:oddHBand="0" w:evenHBand="1" w:firstRowFirstColumn="0" w:firstRowLastColumn="0" w:lastRowFirstColumn="0" w:lastRowLastColumn="0"/>
        </w:trPr>
        <w:tc>
          <w:tcPr>
            <w:tcW w:w="5220" w:type="dxa"/>
            <w:hideMark/>
          </w:tcPr>
          <w:p w:rsidR="00AB0397" w:rsidRDefault="00AB0397">
            <w:pPr>
              <w:pStyle w:val="NormalWeb"/>
            </w:pPr>
            <w:r>
              <w:t xml:space="preserve">Primary </w:t>
            </w:r>
            <w:proofErr w:type="spellStart"/>
            <w:r>
              <w:t>care</w:t>
            </w:r>
            <w:r w:rsidRPr="00BC656F">
              <w:rPr>
                <w:vertAlign w:val="superscript"/>
              </w:rPr>
              <w:t>c</w:t>
            </w:r>
            <w:proofErr w:type="spellEnd"/>
          </w:p>
        </w:tc>
        <w:tc>
          <w:tcPr>
            <w:tcW w:w="5220" w:type="dxa"/>
            <w:hideMark/>
          </w:tcPr>
          <w:p w:rsidR="00AB0397" w:rsidRDefault="00AB0397" w:rsidP="00A75283">
            <w:pPr>
              <w:pStyle w:val="NormalWeb"/>
              <w:jc w:val="center"/>
            </w:pPr>
            <w:r>
              <w:t>119,796</w:t>
            </w:r>
          </w:p>
        </w:tc>
      </w:tr>
      <w:tr w:rsidR="00AB0397" w:rsidRPr="00BC656F" w:rsidTr="00BC656F">
        <w:tc>
          <w:tcPr>
            <w:tcW w:w="5220" w:type="dxa"/>
            <w:shd w:val="clear" w:color="auto" w:fill="FDE9D9" w:themeFill="accent6" w:themeFillTint="33"/>
            <w:hideMark/>
          </w:tcPr>
          <w:p w:rsidR="00AB0397" w:rsidRPr="00BC656F" w:rsidRDefault="00AB0397">
            <w:pPr>
              <w:pStyle w:val="NormalWeb"/>
              <w:rPr>
                <w:b/>
              </w:rPr>
            </w:pPr>
            <w:r w:rsidRPr="00BC656F">
              <w:rPr>
                <w:b/>
              </w:rPr>
              <w:t>Total</w:t>
            </w:r>
          </w:p>
        </w:tc>
        <w:tc>
          <w:tcPr>
            <w:tcW w:w="5220" w:type="dxa"/>
            <w:shd w:val="clear" w:color="auto" w:fill="FDE9D9" w:themeFill="accent6" w:themeFillTint="33"/>
            <w:hideMark/>
          </w:tcPr>
          <w:p w:rsidR="00AB0397" w:rsidRPr="00BC656F" w:rsidRDefault="00AB0397" w:rsidP="00A75283">
            <w:pPr>
              <w:pStyle w:val="NormalWeb"/>
              <w:jc w:val="center"/>
              <w:rPr>
                <w:b/>
              </w:rPr>
            </w:pPr>
            <w:r w:rsidRPr="00BC656F">
              <w:rPr>
                <w:b/>
              </w:rPr>
              <w:t>541,761</w:t>
            </w:r>
          </w:p>
        </w:tc>
      </w:tr>
    </w:tbl>
    <w:p w:rsidR="00AB0397" w:rsidRDefault="00AB0397" w:rsidP="006054B6">
      <w:pPr>
        <w:pStyle w:val="CDIfootnotes"/>
      </w:pPr>
      <w:proofErr w:type="gramStart"/>
      <w:r>
        <w:t>a</w:t>
      </w:r>
      <w:proofErr w:type="gramEnd"/>
      <w:r>
        <w:tab/>
        <w:t>Source: Australian Government Department of Health website.3</w:t>
      </w:r>
    </w:p>
    <w:p w:rsidR="00AB0397" w:rsidRDefault="00AB0397" w:rsidP="006054B6">
      <w:pPr>
        <w:pStyle w:val="CDIfootnotes"/>
      </w:pPr>
      <w:proofErr w:type="gramStart"/>
      <w:r>
        <w:t>b</w:t>
      </w:r>
      <w:proofErr w:type="gramEnd"/>
      <w:r>
        <w:tab/>
        <w:t>Administered in aged care and disability facilities.</w:t>
      </w:r>
    </w:p>
    <w:p w:rsidR="00AB0397" w:rsidRDefault="00AB0397" w:rsidP="006054B6">
      <w:pPr>
        <w:pStyle w:val="CDIfootnotes"/>
      </w:pPr>
      <w:proofErr w:type="gramStart"/>
      <w:r>
        <w:t>c</w:t>
      </w:r>
      <w:proofErr w:type="gramEnd"/>
      <w:r>
        <w:tab/>
        <w:t>Administered in primary care settings.</w:t>
      </w:r>
    </w:p>
    <w:p w:rsidR="003F235A" w:rsidRPr="003F235A" w:rsidRDefault="003F235A" w:rsidP="003F235A">
      <w:r w:rsidRPr="009E7DA9">
        <w:rPr>
          <w:rFonts w:eastAsia="Times New Roman"/>
          <w:noProof/>
        </w:rPr>
        <mc:AlternateContent>
          <mc:Choice Requires="wps">
            <w:drawing>
              <wp:inline distT="0" distB="0" distL="0" distR="0" wp14:anchorId="2C88EE04" wp14:editId="1C1FD25E">
                <wp:extent cx="6625424" cy="1365637"/>
                <wp:effectExtent l="0" t="0" r="23495" b="13335"/>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1365637"/>
                        </a:xfrm>
                        <a:prstGeom prst="rect">
                          <a:avLst/>
                        </a:prstGeom>
                        <a:solidFill>
                          <a:schemeClr val="bg1">
                            <a:lumMod val="95000"/>
                          </a:schemeClr>
                        </a:solidFill>
                        <a:ln w="3175">
                          <a:solidFill>
                            <a:srgbClr val="000000"/>
                          </a:solidFill>
                          <a:miter lim="800000"/>
                          <a:headEnd/>
                          <a:tailEnd/>
                        </a:ln>
                      </wps:spPr>
                      <wps:txbx>
                        <w:txbxContent>
                          <w:p w:rsidR="001A5340" w:rsidRPr="003F235A" w:rsidRDefault="001A5340" w:rsidP="003F235A">
                            <w:pPr>
                              <w:pStyle w:val="Heading1"/>
                              <w:spacing w:before="0" w:after="0"/>
                              <w:rPr>
                                <w:rFonts w:eastAsia="Times New Roman"/>
                              </w:rPr>
                            </w:pPr>
                            <w:r>
                              <w:rPr>
                                <w:rFonts w:eastAsia="Times New Roman"/>
                              </w:rPr>
                              <w:t xml:space="preserve">Four-week reporting period (1–28 March 2021): </w:t>
                            </w:r>
                          </w:p>
                        </w:txbxContent>
                      </wps:txbx>
                      <wps:bodyPr rot="0" vert="horz" wrap="square" lIns="91440" tIns="45720" rIns="91440" bIns="45720" anchor="t" anchorCtr="0">
                        <a:spAutoFit/>
                      </wps:bodyPr>
                    </wps:wsp>
                  </a:graphicData>
                </a:graphic>
              </wp:inline>
            </w:drawing>
          </mc:Choice>
          <mc:Fallback>
            <w:pict>
              <v:shape w14:anchorId="2C88EE04" id="_x0000_s1029" type="#_x0000_t202" style="width:521.7pt;height:10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ieaPQIAAHAEAAAOAAAAZHJzL2Uyb0RvYy54bWysVNtu2zAMfR+wfxD0vviSW2vEKbp0GQZ0&#10;F6DdB8iybAvTbZISO/v6UnKSudvbsBdBFOlD8hzSm7tBCnRk1nGtSpzNUoyYorrmqi3x9+f9uxuM&#10;nCeqJkIrVuITc/hu+/bNpjcFy3WnRc0sAhDlit6UuPPeFEniaMckcTNtmAJno60kHkzbJrUlPaBL&#10;keRpukp6bWtjNWXOwevD6MTbiN80jPqvTeOYR6LEUJuPp41nFc5kuyFFa4npOD2XQf6hCkm4gqRX&#10;qAfiCTpY/heU5NRqpxs/o1omumk4ZbEH6CZL/+jmqSOGxV6AHGeuNLn/B0u/HL9ZxGvQLsdIEQka&#10;PbPBo/d6QHmgpzeugKgnA3F+gGcIja0686jpD4eU3nVEtezeWt13jNRQXha+TCafjjgugFT9Z11D&#10;GnLwOgINjZWBO2ADATrIdLpKE0qh8Lha5ctFvsCIgi+br5ar+TrmIMXlc2Od/8i0ROFSYgvaR3hy&#10;fHQ+lEOKS0jI5rTg9Z4LEY0wb2wnLDoSmJSqHVsUBwm1jm+3yzSN8wI4cTxDeER9hSQU6ks8z9bL&#10;kaRXWWxbXXMA2gRwGia5h50QXJb45hpEikDtB1XHifWEi/EO1Qh15jrQOxLth2qIqs4vEla6PgH5&#10;Vo8rACsLl07bXxj1MP4ldj8PxDKMxCcFAt5mi0XYl2gsluscDDv1VFMPURSgSuwxGq87H3csUmvu&#10;Qeg9jxKEiRgrOZcMYx05PK9g2JupHaN+/yi2LwAAAP//AwBQSwMEFAAGAAgAAAAhAJaDebjdAAAA&#10;BgEAAA8AAABkcnMvZG93bnJldi54bWxMj81OwzAQhO9IvIO1SFwQdVJSqNI4FX/lxqEBenbjbRIR&#10;r6N4myZvj8sFLiuNZjTzbbYebSsG7H3jSEE8i0Aglc40VCn4/NjcLkF41mR06wgVTOhhnV9eZDo1&#10;7kRbHAquRCghn2oFNXOXSunLGq32M9chBe/geqs5yL6SptenUG5bOY+ie2l1Q2Gh1h0+11h+F0er&#10;IMEn/np7uNks3S6eBvs67d5fCqWur8bHFQjGkf/CcMYP6JAHpr07kvGiVRAe4d979qLkLgGxVzCP&#10;FzHIPJP/8fMfAAAA//8DAFBLAQItABQABgAIAAAAIQC2gziS/gAAAOEBAAATAAAAAAAAAAAAAAAA&#10;AAAAAABbQ29udGVudF9UeXBlc10ueG1sUEsBAi0AFAAGAAgAAAAhADj9If/WAAAAlAEAAAsAAAAA&#10;AAAAAAAAAAAALwEAAF9yZWxzLy5yZWxzUEsBAi0AFAAGAAgAAAAhAAOiJ5o9AgAAcAQAAA4AAAAA&#10;AAAAAAAAAAAALgIAAGRycy9lMm9Eb2MueG1sUEsBAi0AFAAGAAgAAAAhAJaDebjdAAAABgEAAA8A&#10;AAAAAAAAAAAAAAAAlwQAAGRycy9kb3ducmV2LnhtbFBLBQYAAAAABAAEAPMAAAChBQAAAAA=&#10;" fillcolor="#f2f2f2 [3052]" strokeweight=".25pt">
                <v:textbox style="mso-fit-shape-to-text:t">
                  <w:txbxContent>
                    <w:p w:rsidR="001A5340" w:rsidRPr="003F235A" w:rsidRDefault="001A5340" w:rsidP="003F235A">
                      <w:pPr>
                        <w:pStyle w:val="Heading1"/>
                        <w:spacing w:before="0" w:after="0"/>
                        <w:rPr>
                          <w:rFonts w:eastAsia="Times New Roman"/>
                        </w:rPr>
                      </w:pPr>
                      <w:r>
                        <w:rPr>
                          <w:rFonts w:eastAsia="Times New Roman"/>
                        </w:rPr>
                        <w:t xml:space="preserve">Four-week reporting period (1–28 March 2021): </w:t>
                      </w:r>
                    </w:p>
                  </w:txbxContent>
                </v:textbox>
                <w10:anchorlock/>
              </v:shape>
            </w:pict>
          </mc:Fallback>
        </mc:AlternateContent>
      </w:r>
    </w:p>
    <w:p w:rsidR="001B2100" w:rsidRDefault="00AB0397" w:rsidP="001B2100">
      <w:pPr>
        <w:pStyle w:val="Heading2"/>
        <w:rPr>
          <w:rFonts w:eastAsia="Times New Roman"/>
        </w:rPr>
      </w:pPr>
      <w:r>
        <w:rPr>
          <w:rFonts w:eastAsia="Times New Roman"/>
        </w:rPr>
        <w:t>Genomic surveillance and virology</w:t>
      </w:r>
    </w:p>
    <w:p w:rsidR="00AB0397" w:rsidRDefault="00AB0397" w:rsidP="001B2100">
      <w:pPr>
        <w:pStyle w:val="Heading3"/>
        <w:rPr>
          <w:rFonts w:eastAsia="Times New Roman"/>
        </w:rPr>
      </w:pPr>
      <w:r>
        <w:rPr>
          <w:rFonts w:eastAsia="Times New Roman"/>
        </w:rPr>
        <w:t xml:space="preserve">(Communicable Disease Genomics Network, </w:t>
      </w:r>
      <w:proofErr w:type="spellStart"/>
      <w:r>
        <w:rPr>
          <w:rFonts w:eastAsia="Times New Roman"/>
        </w:rPr>
        <w:t>AusTrakka</w:t>
      </w:r>
      <w:proofErr w:type="spellEnd"/>
      <w:r>
        <w:rPr>
          <w:rFonts w:eastAsia="Times New Roman"/>
        </w:rPr>
        <w:t xml:space="preserve"> and jurisdictional sequencing laboratories) </w:t>
      </w:r>
    </w:p>
    <w:p w:rsidR="00AB0397" w:rsidRDefault="00AB0397">
      <w:pPr>
        <w:pStyle w:val="NormalWeb"/>
      </w:pPr>
      <w:r>
        <w:t>Nationally, 58% of COVID-19 cases have been sequenced over the duration of the pandemic, based on jurisdictional reporting (Table 6, Figure 5).</w:t>
      </w:r>
      <w:r w:rsidR="001B2100">
        <w:rPr>
          <w:rStyle w:val="FootnoteReference"/>
        </w:rPr>
        <w:footnoteReference w:id="2"/>
      </w:r>
    </w:p>
    <w:p w:rsidR="0024364B" w:rsidRDefault="0024364B">
      <w:pPr>
        <w:rPr>
          <w:b/>
        </w:rPr>
      </w:pPr>
      <w:r>
        <w:br w:type="page"/>
      </w:r>
    </w:p>
    <w:p w:rsidR="00AB0397" w:rsidRDefault="00AB0397" w:rsidP="003F235A">
      <w:pPr>
        <w:pStyle w:val="CDIFigures"/>
      </w:pPr>
      <w:r>
        <w:lastRenderedPageBreak/>
        <w:t xml:space="preserve">Figure 5: Samples in </w:t>
      </w:r>
      <w:proofErr w:type="spellStart"/>
      <w:r>
        <w:t>AusTrakka</w:t>
      </w:r>
      <w:proofErr w:type="spellEnd"/>
      <w:r>
        <w:t xml:space="preserve"> since 4 January 2021, by lineage and date of </w:t>
      </w:r>
      <w:proofErr w:type="spellStart"/>
      <w:r>
        <w:t>collection</w:t>
      </w:r>
      <w:r w:rsidRPr="003F235A">
        <w:rPr>
          <w:vertAlign w:val="superscript"/>
        </w:rPr>
        <w:t>a</w:t>
      </w:r>
      <w:proofErr w:type="spellEnd"/>
    </w:p>
    <w:p w:rsidR="00AB0397" w:rsidRDefault="00AB0397">
      <w:pPr>
        <w:pStyle w:val="NormalWeb"/>
      </w:pPr>
      <w:r>
        <w:rPr>
          <w:noProof/>
        </w:rPr>
        <w:drawing>
          <wp:inline distT="0" distB="0" distL="0" distR="0">
            <wp:extent cx="6625424" cy="8309015"/>
            <wp:effectExtent l="0" t="0" r="4445" b="0"/>
            <wp:docPr id="5" name="Picture 5" descr="Figure 5 plots the numbers of SARS-CoV-2 sequences recorded, by lineage and by date of collection, for the calendar year to date. It is apparent that the most frequently-reported variant of the latest four-week period has been the variant of concern (VOC) B.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5 plots the numbers of SARS-CoV-2 sequences recorded, by lineage and by date of collection, for the calendar year to date. It is apparent that the most frequently-reported variant of the latest four-week period has been the variant of concern (VOC) B.1.1.7."/>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35898" cy="8322150"/>
                    </a:xfrm>
                    <a:prstGeom prst="rect">
                      <a:avLst/>
                    </a:prstGeom>
                  </pic:spPr>
                </pic:pic>
              </a:graphicData>
            </a:graphic>
          </wp:inline>
        </w:drawing>
      </w:r>
    </w:p>
    <w:p w:rsidR="00AB0397" w:rsidRDefault="00AB0397" w:rsidP="0024364B">
      <w:pPr>
        <w:pStyle w:val="CDIfootnotes"/>
      </w:pPr>
      <w:proofErr w:type="spellStart"/>
      <w:proofErr w:type="gramStart"/>
      <w:r>
        <w:t>a</w:t>
      </w:r>
      <w:proofErr w:type="spellEnd"/>
      <w:proofErr w:type="gramEnd"/>
      <w:r>
        <w:t xml:space="preserve"> </w:t>
      </w:r>
      <w:r>
        <w:tab/>
        <w:t>The start of the current reporting period (1 March – 28 March 2021) is marked by the dotted line, and variant of concern samples are coloured red. The size of the circle is proportional to the number of samples in the lineage at each time point.</w:t>
      </w:r>
    </w:p>
    <w:p w:rsidR="00AB0397" w:rsidRDefault="00AB0397" w:rsidP="00F963C7">
      <w:pPr>
        <w:pStyle w:val="CDIFigures"/>
      </w:pPr>
      <w:r>
        <w:lastRenderedPageBreak/>
        <w:t>Table 6: Australian SARS-CoV-2 genome sequences and proportion of positive cases sequenced, 1–28 March 2021 and cumulative to date</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For the latest four-week reporting period, there have been 182 SARS-CoV-2 case sequences recorded in Australia, corresponding to 58% of positive COVID-19 cases reported during this period. The cumulative total of SARS-CoV-2 case sequences recorded in Australia since the start of the epidemic is 16,869 sequences, again corresponding to 58% of positive cases during this time. &#10;"/>
      </w:tblPr>
      <w:tblGrid>
        <w:gridCol w:w="3731"/>
        <w:gridCol w:w="3219"/>
        <w:gridCol w:w="3220"/>
      </w:tblGrid>
      <w:tr w:rsidR="00A22FF9" w:rsidRPr="00A22FF9" w:rsidTr="001B65A2">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rsidR="00AB0397" w:rsidRPr="00A22FF9" w:rsidRDefault="00AB0397">
            <w:pPr>
              <w:pStyle w:val="NormalWeb"/>
              <w:rPr>
                <w:color w:val="FFFFFF" w:themeColor="background1"/>
              </w:rPr>
            </w:pPr>
            <w:r w:rsidRPr="00A22FF9">
              <w:rPr>
                <w:color w:val="FFFFFF" w:themeColor="background1"/>
              </w:rPr>
              <w:t>Measure</w:t>
            </w:r>
          </w:p>
        </w:tc>
        <w:tc>
          <w:tcPr>
            <w:tcW w:w="3219" w:type="dxa"/>
            <w:tcBorders>
              <w:left w:val="single" w:sz="2" w:space="0" w:color="FFFFFF" w:themeColor="background1"/>
              <w:right w:val="single" w:sz="2" w:space="0" w:color="FFFFFF" w:themeColor="background1"/>
            </w:tcBorders>
            <w:hideMark/>
          </w:tcPr>
          <w:p w:rsidR="00AB0397" w:rsidRPr="00A22FF9" w:rsidRDefault="00AB0397" w:rsidP="00A22FF9">
            <w:pPr>
              <w:pStyle w:val="NormalWeb"/>
              <w:jc w:val="center"/>
              <w:rPr>
                <w:color w:val="FFFFFF" w:themeColor="background1"/>
              </w:rPr>
            </w:pPr>
            <w:r w:rsidRPr="00A22FF9">
              <w:rPr>
                <w:color w:val="FFFFFF" w:themeColor="background1"/>
              </w:rPr>
              <w:t>Reporting period</w:t>
            </w:r>
            <w:r w:rsidRPr="00A22FF9">
              <w:rPr>
                <w:color w:val="FFFFFF" w:themeColor="background1"/>
              </w:rPr>
              <w:br/>
              <w:t>1–28 March 2021</w:t>
            </w:r>
          </w:p>
        </w:tc>
        <w:tc>
          <w:tcPr>
            <w:tcW w:w="3220" w:type="dxa"/>
            <w:tcBorders>
              <w:left w:val="single" w:sz="2" w:space="0" w:color="FFFFFF" w:themeColor="background1"/>
            </w:tcBorders>
            <w:hideMark/>
          </w:tcPr>
          <w:p w:rsidR="00AB0397" w:rsidRPr="00A22FF9" w:rsidRDefault="00AB0397" w:rsidP="00A22FF9">
            <w:pPr>
              <w:pStyle w:val="NormalWeb"/>
              <w:jc w:val="center"/>
              <w:rPr>
                <w:color w:val="FFFFFF" w:themeColor="background1"/>
              </w:rPr>
            </w:pPr>
            <w:r w:rsidRPr="00A22FF9">
              <w:rPr>
                <w:color w:val="FFFFFF" w:themeColor="background1"/>
              </w:rPr>
              <w:t>Cumulative 23 January 2020</w:t>
            </w:r>
            <w:r w:rsidRPr="00A22FF9">
              <w:rPr>
                <w:color w:val="FFFFFF" w:themeColor="background1"/>
              </w:rPr>
              <w:br/>
              <w:t>– 28 March 2021</w:t>
            </w:r>
          </w:p>
        </w:tc>
      </w:tr>
      <w:tr w:rsidR="00AB0397" w:rsidTr="001B65A2">
        <w:tc>
          <w:tcPr>
            <w:tcW w:w="0" w:type="auto"/>
            <w:hideMark/>
          </w:tcPr>
          <w:p w:rsidR="00AB0397" w:rsidRDefault="00AB0397">
            <w:pPr>
              <w:pStyle w:val="NormalWeb"/>
            </w:pPr>
            <w:r>
              <w:t xml:space="preserve">SARS-CoV-2 cases </w:t>
            </w:r>
            <w:proofErr w:type="spellStart"/>
            <w:r>
              <w:t>sequenced</w:t>
            </w:r>
            <w:r w:rsidRPr="00A22FF9">
              <w:rPr>
                <w:vertAlign w:val="superscript"/>
              </w:rPr>
              <w:t>a</w:t>
            </w:r>
            <w:proofErr w:type="spellEnd"/>
          </w:p>
        </w:tc>
        <w:tc>
          <w:tcPr>
            <w:tcW w:w="3219" w:type="dxa"/>
            <w:hideMark/>
          </w:tcPr>
          <w:p w:rsidR="00AB0397" w:rsidRDefault="00AB0397" w:rsidP="00A22FF9">
            <w:pPr>
              <w:pStyle w:val="NormalWeb"/>
              <w:jc w:val="center"/>
            </w:pPr>
            <w:r>
              <w:t>182</w:t>
            </w:r>
          </w:p>
        </w:tc>
        <w:tc>
          <w:tcPr>
            <w:tcW w:w="3220" w:type="dxa"/>
            <w:hideMark/>
          </w:tcPr>
          <w:p w:rsidR="00AB0397" w:rsidRDefault="00AB0397" w:rsidP="00A22FF9">
            <w:pPr>
              <w:pStyle w:val="NormalWeb"/>
              <w:jc w:val="center"/>
            </w:pPr>
            <w:r>
              <w:t>16,869</w:t>
            </w:r>
          </w:p>
        </w:tc>
      </w:tr>
      <w:tr w:rsidR="00AB0397" w:rsidTr="001B65A2">
        <w:trPr>
          <w:cnfStyle w:val="000000010000" w:firstRow="0" w:lastRow="0" w:firstColumn="0" w:lastColumn="0" w:oddVBand="0" w:evenVBand="0" w:oddHBand="0" w:evenHBand="1" w:firstRowFirstColumn="0" w:firstRowLastColumn="0" w:lastRowFirstColumn="0" w:lastRowLastColumn="0"/>
        </w:trPr>
        <w:tc>
          <w:tcPr>
            <w:tcW w:w="0" w:type="auto"/>
            <w:hideMark/>
          </w:tcPr>
          <w:p w:rsidR="00AB0397" w:rsidRDefault="00AB0397">
            <w:pPr>
              <w:pStyle w:val="NormalWeb"/>
            </w:pPr>
            <w:r>
              <w:t xml:space="preserve">Percentage of positive cases </w:t>
            </w:r>
            <w:proofErr w:type="spellStart"/>
            <w:r>
              <w:t>sequenced</w:t>
            </w:r>
            <w:r w:rsidRPr="00A22FF9">
              <w:rPr>
                <w:vertAlign w:val="superscript"/>
              </w:rPr>
              <w:t>b</w:t>
            </w:r>
            <w:proofErr w:type="spellEnd"/>
          </w:p>
        </w:tc>
        <w:tc>
          <w:tcPr>
            <w:tcW w:w="3219" w:type="dxa"/>
            <w:hideMark/>
          </w:tcPr>
          <w:p w:rsidR="00AB0397" w:rsidRDefault="00AB0397" w:rsidP="00A22FF9">
            <w:pPr>
              <w:pStyle w:val="NormalWeb"/>
              <w:jc w:val="center"/>
            </w:pPr>
            <w:r>
              <w:t>58%</w:t>
            </w:r>
          </w:p>
        </w:tc>
        <w:tc>
          <w:tcPr>
            <w:tcW w:w="3220" w:type="dxa"/>
            <w:hideMark/>
          </w:tcPr>
          <w:p w:rsidR="00AB0397" w:rsidRDefault="00AB0397" w:rsidP="00A22FF9">
            <w:pPr>
              <w:pStyle w:val="NormalWeb"/>
              <w:jc w:val="center"/>
            </w:pPr>
            <w:r>
              <w:t>58%</w:t>
            </w:r>
          </w:p>
        </w:tc>
      </w:tr>
    </w:tbl>
    <w:p w:rsidR="009105C2" w:rsidRDefault="009105C2" w:rsidP="009105C2">
      <w:pPr>
        <w:pStyle w:val="CDIfootnotes"/>
      </w:pPr>
      <w:proofErr w:type="gramStart"/>
      <w:r>
        <w:t>a</w:t>
      </w:r>
      <w:proofErr w:type="gramEnd"/>
      <w:r>
        <w:tab/>
        <w:t xml:space="preserve">Based on individual jurisdictional reports of sequences and case numbers. Calculations of the percentage of cases sequenced based on the number of sequences available in </w:t>
      </w:r>
      <w:proofErr w:type="spellStart"/>
      <w:r>
        <w:t>AusTrakka</w:t>
      </w:r>
      <w:proofErr w:type="spellEnd"/>
      <w:r>
        <w:t xml:space="preserve"> may not always be up-to-date, since this may include duplicate samples from cases and may not represent all available sequence data.</w:t>
      </w:r>
    </w:p>
    <w:p w:rsidR="009105C2" w:rsidRDefault="009105C2" w:rsidP="009105C2">
      <w:pPr>
        <w:pStyle w:val="CDIfootnotes"/>
      </w:pPr>
      <w:proofErr w:type="gramStart"/>
      <w:r>
        <w:t>b</w:t>
      </w:r>
      <w:proofErr w:type="gramEnd"/>
      <w:r>
        <w:tab/>
        <w:t xml:space="preserve">In most jurisdictions sequencing has been attempted on all suitable samples (one sample per case). Sequencing of samples from cases identified in the reporting period may be in process at the time of reporting. Remaining </w:t>
      </w:r>
      <w:proofErr w:type="spellStart"/>
      <w:r>
        <w:t>unsequenced</w:t>
      </w:r>
      <w:proofErr w:type="spellEnd"/>
      <w:r>
        <w:t xml:space="preserve"> samples may be due to jurisdictional sequencing strategy, or where samples have been deemed unsuitable for sequencing (typically, because viral loads were too low for sequencing to be successful).</w:t>
      </w:r>
    </w:p>
    <w:p w:rsidR="00AB0397" w:rsidRDefault="00AB0397" w:rsidP="009105C2">
      <w:pPr>
        <w:pStyle w:val="CDIFigures"/>
      </w:pPr>
      <w:r>
        <w:t xml:space="preserve">Table 7: Australian SARS-CoV-2 genome sequences in </w:t>
      </w:r>
      <w:proofErr w:type="spellStart"/>
      <w:r>
        <w:t>AusTrakka</w:t>
      </w:r>
      <w:proofErr w:type="spellEnd"/>
      <w:r>
        <w:t>, identified as variants of concern (VOC) to 28</w:t>
      </w:r>
      <w:r w:rsidR="00FA00B4">
        <w:t> </w:t>
      </w:r>
      <w:r>
        <w:t>March 2021</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7 summarises the total SARS-CoV-2 genome sequences from each of three identified variants of concern, B.1.1.7, B.1.351 and P.1, to 28 March 2021. There are currently 200 genome sequences of variant B.1.1.7 reported in AusTrakka, 35 sequences of variant B.1.351, and two sequences of variant P.1.&#10;"/>
      </w:tblPr>
      <w:tblGrid>
        <w:gridCol w:w="1861"/>
        <w:gridCol w:w="2741"/>
        <w:gridCol w:w="2742"/>
        <w:gridCol w:w="2742"/>
      </w:tblGrid>
      <w:tr w:rsidR="001705E3" w:rsidRPr="001705E3" w:rsidTr="00DF6750">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rsidR="00AB0397" w:rsidRPr="001705E3" w:rsidRDefault="00AB0397">
            <w:pPr>
              <w:pStyle w:val="NormalWeb"/>
              <w:rPr>
                <w:color w:val="FFFFFF" w:themeColor="background1"/>
              </w:rPr>
            </w:pPr>
            <w:r w:rsidRPr="001705E3">
              <w:rPr>
                <w:color w:val="FFFFFF" w:themeColor="background1"/>
              </w:rPr>
              <w:t>VOC lineage</w:t>
            </w:r>
          </w:p>
        </w:tc>
        <w:tc>
          <w:tcPr>
            <w:tcW w:w="2741" w:type="dxa"/>
            <w:tcBorders>
              <w:left w:val="single" w:sz="2" w:space="0" w:color="FFFFFF" w:themeColor="background1"/>
              <w:right w:val="single" w:sz="2" w:space="0" w:color="FFFFFF" w:themeColor="background1"/>
            </w:tcBorders>
            <w:hideMark/>
          </w:tcPr>
          <w:p w:rsidR="00AB0397" w:rsidRPr="001705E3" w:rsidRDefault="00AB0397" w:rsidP="001705E3">
            <w:pPr>
              <w:pStyle w:val="NormalWeb"/>
              <w:jc w:val="center"/>
              <w:rPr>
                <w:color w:val="FFFFFF" w:themeColor="background1"/>
              </w:rPr>
            </w:pPr>
            <w:r w:rsidRPr="001705E3">
              <w:rPr>
                <w:color w:val="FFFFFF" w:themeColor="background1"/>
              </w:rPr>
              <w:t>B.1.1.7</w:t>
            </w:r>
          </w:p>
        </w:tc>
        <w:tc>
          <w:tcPr>
            <w:tcW w:w="2742" w:type="dxa"/>
            <w:tcBorders>
              <w:left w:val="single" w:sz="2" w:space="0" w:color="FFFFFF" w:themeColor="background1"/>
              <w:right w:val="single" w:sz="2" w:space="0" w:color="FFFFFF" w:themeColor="background1"/>
            </w:tcBorders>
            <w:hideMark/>
          </w:tcPr>
          <w:p w:rsidR="00AB0397" w:rsidRPr="001705E3" w:rsidRDefault="00AB0397" w:rsidP="001705E3">
            <w:pPr>
              <w:pStyle w:val="NormalWeb"/>
              <w:jc w:val="center"/>
              <w:rPr>
                <w:color w:val="FFFFFF" w:themeColor="background1"/>
              </w:rPr>
            </w:pPr>
            <w:r w:rsidRPr="001705E3">
              <w:rPr>
                <w:color w:val="FFFFFF" w:themeColor="background1"/>
              </w:rPr>
              <w:t>B.1.351</w:t>
            </w:r>
          </w:p>
        </w:tc>
        <w:tc>
          <w:tcPr>
            <w:tcW w:w="2742" w:type="dxa"/>
            <w:tcBorders>
              <w:left w:val="single" w:sz="2" w:space="0" w:color="FFFFFF" w:themeColor="background1"/>
            </w:tcBorders>
            <w:hideMark/>
          </w:tcPr>
          <w:p w:rsidR="00AB0397" w:rsidRPr="001705E3" w:rsidRDefault="00AB0397" w:rsidP="001705E3">
            <w:pPr>
              <w:pStyle w:val="NormalWeb"/>
              <w:jc w:val="center"/>
              <w:rPr>
                <w:color w:val="FFFFFF" w:themeColor="background1"/>
              </w:rPr>
            </w:pPr>
            <w:r w:rsidRPr="001705E3">
              <w:rPr>
                <w:color w:val="FFFFFF" w:themeColor="background1"/>
              </w:rPr>
              <w:t>P.1</w:t>
            </w:r>
          </w:p>
        </w:tc>
      </w:tr>
      <w:tr w:rsidR="00AB0397" w:rsidTr="00DF6750">
        <w:tc>
          <w:tcPr>
            <w:tcW w:w="0" w:type="auto"/>
            <w:tcBorders>
              <w:left w:val="single" w:sz="2" w:space="0" w:color="000000" w:themeColor="text1"/>
              <w:bottom w:val="single" w:sz="2" w:space="0" w:color="000000" w:themeColor="text1"/>
              <w:right w:val="single" w:sz="2" w:space="0" w:color="000000" w:themeColor="text1"/>
            </w:tcBorders>
            <w:hideMark/>
          </w:tcPr>
          <w:p w:rsidR="00AB0397" w:rsidRDefault="00AB0397">
            <w:pPr>
              <w:pStyle w:val="NormalWeb"/>
            </w:pPr>
            <w:r>
              <w:t>Number of samples</w:t>
            </w:r>
          </w:p>
        </w:tc>
        <w:tc>
          <w:tcPr>
            <w:tcW w:w="2741" w:type="dxa"/>
            <w:tcBorders>
              <w:left w:val="single" w:sz="2" w:space="0" w:color="000000" w:themeColor="text1"/>
              <w:bottom w:val="single" w:sz="2" w:space="0" w:color="000000" w:themeColor="text1"/>
              <w:right w:val="single" w:sz="2" w:space="0" w:color="000000" w:themeColor="text1"/>
            </w:tcBorders>
            <w:hideMark/>
          </w:tcPr>
          <w:p w:rsidR="00AB0397" w:rsidRDefault="00AB0397" w:rsidP="001705E3">
            <w:pPr>
              <w:pStyle w:val="NormalWeb"/>
              <w:jc w:val="center"/>
            </w:pPr>
            <w:r>
              <w:t>200</w:t>
            </w:r>
          </w:p>
        </w:tc>
        <w:tc>
          <w:tcPr>
            <w:tcW w:w="2742" w:type="dxa"/>
            <w:tcBorders>
              <w:left w:val="single" w:sz="2" w:space="0" w:color="000000" w:themeColor="text1"/>
              <w:bottom w:val="single" w:sz="2" w:space="0" w:color="000000" w:themeColor="text1"/>
              <w:right w:val="single" w:sz="2" w:space="0" w:color="000000" w:themeColor="text1"/>
            </w:tcBorders>
            <w:hideMark/>
          </w:tcPr>
          <w:p w:rsidR="00AB0397" w:rsidRDefault="00AB0397" w:rsidP="001705E3">
            <w:pPr>
              <w:pStyle w:val="NormalWeb"/>
              <w:jc w:val="center"/>
            </w:pPr>
            <w:r>
              <w:t>35</w:t>
            </w:r>
          </w:p>
        </w:tc>
        <w:tc>
          <w:tcPr>
            <w:tcW w:w="2742" w:type="dxa"/>
            <w:tcBorders>
              <w:left w:val="single" w:sz="2" w:space="0" w:color="000000" w:themeColor="text1"/>
              <w:bottom w:val="single" w:sz="2" w:space="0" w:color="000000" w:themeColor="text1"/>
              <w:right w:val="single" w:sz="2" w:space="0" w:color="000000" w:themeColor="text1"/>
            </w:tcBorders>
            <w:hideMark/>
          </w:tcPr>
          <w:p w:rsidR="00AB0397" w:rsidRDefault="00AB0397" w:rsidP="001705E3">
            <w:pPr>
              <w:pStyle w:val="NormalWeb"/>
              <w:jc w:val="center"/>
            </w:pPr>
            <w:r>
              <w:t>2</w:t>
            </w:r>
          </w:p>
        </w:tc>
      </w:tr>
    </w:tbl>
    <w:p w:rsidR="00AB0397" w:rsidRDefault="00AB0397">
      <w:pPr>
        <w:pStyle w:val="Heading3"/>
        <w:rPr>
          <w:rFonts w:eastAsia="Times New Roman"/>
        </w:rPr>
      </w:pPr>
      <w:r>
        <w:rPr>
          <w:rFonts w:eastAsia="Times New Roman"/>
        </w:rPr>
        <w:t xml:space="preserve">Variants of concern </w:t>
      </w:r>
    </w:p>
    <w:p w:rsidR="00AB0397" w:rsidRDefault="00AB0397" w:rsidP="000A56BA">
      <w:proofErr w:type="spellStart"/>
      <w:r>
        <w:t>AusTrakka</w:t>
      </w:r>
      <w:proofErr w:type="spellEnd"/>
      <w:r>
        <w:t xml:space="preserve"> is actively monitoring and reporting on the three lineages designated Variants of Concern (VOC) by international organisations, including the World Health Organisation: B.1.1.7; B.1.351</w:t>
      </w:r>
      <w:proofErr w:type="gramStart"/>
      <w:r>
        <w:t>;</w:t>
      </w:r>
      <w:proofErr w:type="gramEnd"/>
      <w:r>
        <w:t xml:space="preserve"> and P.1 (Table 7). All three variants display characteristic sets of </w:t>
      </w:r>
      <w:proofErr w:type="gramStart"/>
      <w:r>
        <w:t>mutation,</w:t>
      </w:r>
      <w:proofErr w:type="gramEnd"/>
      <w:r>
        <w:t xml:space="preserve"> including a number of variations in the genomic region encoding the spike protein thought to have the potential to increase transmissibility and/or immune evasion.</w:t>
      </w:r>
      <w:r>
        <w:rPr>
          <w:vertAlign w:val="superscript"/>
        </w:rPr>
        <w:t>13</w:t>
      </w:r>
      <w:r>
        <w:t xml:space="preserve"> Further information on variants is available in the Technical Supplement.</w:t>
      </w:r>
      <w:r>
        <w:rPr>
          <w:vertAlign w:val="superscript"/>
        </w:rPr>
        <w:t xml:space="preserve">11 </w:t>
      </w:r>
    </w:p>
    <w:p w:rsidR="001B2100" w:rsidRDefault="00AB0397" w:rsidP="001B2100">
      <w:pPr>
        <w:pStyle w:val="Heading2"/>
        <w:rPr>
          <w:rFonts w:eastAsia="Times New Roman"/>
        </w:rPr>
      </w:pPr>
      <w:r>
        <w:rPr>
          <w:rFonts w:eastAsia="Times New Roman"/>
        </w:rPr>
        <w:t>Acute respiratory illness</w:t>
      </w:r>
    </w:p>
    <w:p w:rsidR="00AB0397" w:rsidRDefault="00AB0397" w:rsidP="001B2100">
      <w:pPr>
        <w:pStyle w:val="Heading3"/>
        <w:rPr>
          <w:rFonts w:eastAsia="Times New Roman"/>
        </w:rPr>
      </w:pPr>
      <w:r>
        <w:rPr>
          <w:rFonts w:eastAsia="Times New Roman"/>
        </w:rPr>
        <w:t xml:space="preserve">(FluTracking and Commonwealth Respiratory Clinics) </w:t>
      </w:r>
    </w:p>
    <w:p w:rsidR="00AB0397" w:rsidRDefault="00AB0397" w:rsidP="000A56BA">
      <w:r>
        <w:t>Based on self-reported FluTracking data</w:t>
      </w:r>
      <w:proofErr w:type="gramStart"/>
      <w:r>
        <w:t>,</w:t>
      </w:r>
      <w:r>
        <w:rPr>
          <w:vertAlign w:val="superscript"/>
        </w:rPr>
        <w:t>14</w:t>
      </w:r>
      <w:proofErr w:type="gramEnd"/>
      <w:r>
        <w:t xml:space="preserve"> prevalence of fever and cough in the community remained low at 0.7% or less (Figure 6). Runny nose and sore throat symptoms in the community remained stable during this reporting period and the prevalence in the community remained at less than 1%.</w:t>
      </w:r>
    </w:p>
    <w:p w:rsidR="00A7712F" w:rsidRDefault="00A7712F">
      <w:pPr>
        <w:rPr>
          <w:b/>
        </w:rPr>
      </w:pPr>
      <w:r>
        <w:br w:type="page"/>
      </w:r>
    </w:p>
    <w:p w:rsidR="00AB0397" w:rsidRPr="00A7712F" w:rsidRDefault="00AB0397" w:rsidP="00A7712F">
      <w:pPr>
        <w:pStyle w:val="CDIFigures"/>
      </w:pPr>
      <w:r w:rsidRPr="00A7712F">
        <w:lastRenderedPageBreak/>
        <w:t>Figure 6: Weekly trends in respiratory illness amongst FluTracking survey participants (age-standardised) compared to the average of the previous five years, Australia, 1 March 2020 – 28 March 2021</w:t>
      </w:r>
      <w:r w:rsidRPr="00A7712F">
        <w:rPr>
          <w:vertAlign w:val="superscript"/>
        </w:rPr>
        <w:t>a</w:t>
      </w:r>
    </w:p>
    <w:p w:rsidR="00AB0397" w:rsidRDefault="00AB0397">
      <w:pPr>
        <w:pStyle w:val="NormalWeb"/>
      </w:pPr>
      <w:r>
        <w:rPr>
          <w:noProof/>
        </w:rPr>
        <w:drawing>
          <wp:inline distT="0" distB="0" distL="0" distR="0">
            <wp:extent cx="6633033" cy="4233076"/>
            <wp:effectExtent l="0" t="0" r="0" b="0"/>
            <wp:docPr id="6" name="Picture 6" descr="A line graph comparing weekly fever and cough notifications, as an age-standardised percentage of FluTracking survey participants, since 1 March 2020 with the averaged notifications each week for the years 2015–2019. Fever and cough notifications for much of March last year were around 1.5% but, from April 2020 thereafter, have consistently remained within the range 0.2–0.7%. While in years prior to 2020, FluTracking notifications have only been reported from May onwards, it is evident from the trend of notifications for 2020 and the start of 2021 that they are well below the average for the previous five years, for which the reporting rate is typically between 1.5% and 2.5% across the weeks from the start of May into early October, peaking in August. The runny nose and sore throat notifications (for which there are no FluTracking data from earlier years) reported since April 2020 show a similar weekly trend to the fever and cough notifications during the sam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line graph comparing weekly fever and cough notifications, as an age-standardised percentage of FluTracking survey participants, since 1 March 2020 with the averaged notifications each week for the years 2015–2019. Fever and cough notifications for much of March last year were around 1.5% but, from April 2020 thereafter, have consistently remained within the range 0.2–0.7%. While in years prior to 2020, FluTracking notifications have only been reported from May onwards, it is evident from the trend of notifications for 2020 and the start of 2021 that they are well below the average for the previous five years, for which the reporting rate is typically between 1.5% and 2.5% across the weeks from the start of May into early October, peaking in August. The runny nose and sore throat notifications (for which there are no FluTracking data from earlier years) reported since April 2020 show a similar weekly trend to the fever and cough notifications during the same period."/>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639510" cy="4237210"/>
                    </a:xfrm>
                    <a:prstGeom prst="rect">
                      <a:avLst/>
                    </a:prstGeom>
                  </pic:spPr>
                </pic:pic>
              </a:graphicData>
            </a:graphic>
          </wp:inline>
        </w:drawing>
      </w:r>
    </w:p>
    <w:p w:rsidR="00AB0397" w:rsidRPr="00E42324" w:rsidRDefault="00AB0397" w:rsidP="00E42324">
      <w:pPr>
        <w:pStyle w:val="CDIfootnotes"/>
      </w:pPr>
      <w:proofErr w:type="spellStart"/>
      <w:proofErr w:type="gramStart"/>
      <w:r w:rsidRPr="00E42324">
        <w:t>a</w:t>
      </w:r>
      <w:proofErr w:type="spellEnd"/>
      <w:proofErr w:type="gramEnd"/>
      <w:r w:rsidRPr="00E42324">
        <w:tab/>
        <w:t xml:space="preserve">In years prior to 2020, FluTracking was activated during the main Influenza season from May to October. A historical average beyond the week ending 11 October is therefore not available. In 2020, FluTracking commenced 10 weeks early to capture data for COVID-19. Data on runny nose and sore throat were only collected systematically after 29 March </w:t>
      </w:r>
      <w:proofErr w:type="gramStart"/>
      <w:r w:rsidRPr="00E42324">
        <w:t>2020,</w:t>
      </w:r>
      <w:proofErr w:type="gramEnd"/>
      <w:r w:rsidRPr="00E42324">
        <w:t xml:space="preserve"> therefore a historical average for this symptom profile is unavailable.</w:t>
      </w:r>
    </w:p>
    <w:p w:rsidR="00AB0397" w:rsidRDefault="00AB0397" w:rsidP="005566CC">
      <w:r>
        <w:t xml:space="preserve">In this reporting period, acute respiratory illness was highest in those aged under 10 years old, based on both self-reported FluTracking data and presentations to Commonwealth Respiratory Clinics. Females reported respiratory illness more frequently than males. Rates of fever and cough by jurisdiction ranged from 2.7/1,000 FluTracking participants in the Australian Capital Territory to 6.3/1,000 participants in Victoria. </w:t>
      </w:r>
    </w:p>
    <w:p w:rsidR="00AB0397" w:rsidRDefault="00AB0397" w:rsidP="005566CC">
      <w:r>
        <w:t xml:space="preserve">FluTracking data indicated that 48.7% of those in the community with ‘fever and cough’ and 17.1% of those with ‘runny nose and sore throat’ were tested for SARS-CoV-2. This represented slight decreases in testing for both ‘fever and cough’ and ‘sore throat and runny nose’ since the previous reporting period. Testing rates varied by jurisdiction and symptom. For fever and cough, rates were lowest in Western Australia and highest in New South Wales. For runny nose and sore throat, rates were lowest in the Northern Territory and highest in Victoria. It is important to acknowledge that there may be legitimate reasons why people </w:t>
      </w:r>
      <w:proofErr w:type="gramStart"/>
      <w:r>
        <w:t>did not get</w:t>
      </w:r>
      <w:proofErr w:type="gramEnd"/>
      <w:r>
        <w:t xml:space="preserve"> tested, including barriers to accessing testing. Symptoms reported to Flutracking were not specific to COVID-19 and </w:t>
      </w:r>
      <w:proofErr w:type="gramStart"/>
      <w:r>
        <w:t>may also</w:t>
      </w:r>
      <w:proofErr w:type="gramEnd"/>
      <w:r>
        <w:t xml:space="preserve"> be due to chronic diseases. </w:t>
      </w:r>
    </w:p>
    <w:p w:rsidR="00AB0397" w:rsidRDefault="00AB0397" w:rsidP="005566CC">
      <w:r>
        <w:t xml:space="preserve">During this reporting period, there were 67,100 assessments at Commonwealth Respiratory Clinics with 90.1% tested for SARS-CoV-2. There were no cases reported at these clinics in this reporting period. </w:t>
      </w:r>
    </w:p>
    <w:p w:rsidR="00AB0397" w:rsidRDefault="00AB0397" w:rsidP="005566CC">
      <w:r>
        <w:lastRenderedPageBreak/>
        <w:t xml:space="preserve">In </w:t>
      </w:r>
      <w:proofErr w:type="gramStart"/>
      <w:r>
        <w:t>patients</w:t>
      </w:r>
      <w:proofErr w:type="gramEnd"/>
      <w:r>
        <w:t xml:space="preserve"> experiencing influenza-like illness in this reporting period who were tested through the Australian Sentinel Practice Research Network (ASPREN) and Victorian Sentinel Practice Influenza Network (</w:t>
      </w:r>
      <w:proofErr w:type="spellStart"/>
      <w:r>
        <w:t>VicSPIN</w:t>
      </w:r>
      <w:proofErr w:type="spellEnd"/>
      <w:r>
        <w:t xml:space="preserve">) general practitioner (GP) sentinel surveillance systems, the most frequent respiratory viruses detected were rhinoviruses. </w:t>
      </w:r>
    </w:p>
    <w:p w:rsidR="00AB0397" w:rsidRDefault="00AB0397" w:rsidP="005566CC">
      <w:r>
        <w:t xml:space="preserve">Based on FluTracking data, the rate of self-reported fever and cough among Aboriginal and Torres Strait Islander peoples was higher than that observed in all other participants in the first two weeks of this reporting period, but similar in the last two weeks. The rate for health care worker participants reporting these symptoms during this period was similar to that observed for all other participants for the last two weeks of this reporting period, but lower in the first two weeks, based on FluTracking data. </w:t>
      </w:r>
    </w:p>
    <w:p w:rsidR="005566CC" w:rsidRDefault="005566CC" w:rsidP="005566CC">
      <w:pPr>
        <w:pStyle w:val="Heading2"/>
        <w:rPr>
          <w:rFonts w:eastAsia="Times New Roman"/>
        </w:rPr>
      </w:pPr>
      <w:r>
        <w:rPr>
          <w:rFonts w:eastAsia="Times New Roman"/>
        </w:rPr>
        <w:t>Severity</w:t>
      </w:r>
    </w:p>
    <w:p w:rsidR="00AB0397" w:rsidRPr="005566CC" w:rsidRDefault="00AB0397" w:rsidP="005566CC">
      <w:pPr>
        <w:pStyle w:val="Heading3"/>
        <w:rPr>
          <w:rFonts w:eastAsia="Times New Roman"/>
          <w:i/>
        </w:rPr>
      </w:pPr>
      <w:r w:rsidRPr="005566CC">
        <w:rPr>
          <w:rFonts w:eastAsia="Times New Roman"/>
          <w:i/>
        </w:rPr>
        <w:t xml:space="preserve">(NNDSS, FluCAN, SPRINT-SARI) </w:t>
      </w:r>
    </w:p>
    <w:p w:rsidR="00AB0397" w:rsidRDefault="00AB0397" w:rsidP="005566CC">
      <w:pPr>
        <w:pStyle w:val="Heading4"/>
        <w:rPr>
          <w:rFonts w:eastAsia="Times New Roman"/>
        </w:rPr>
      </w:pPr>
      <w:r>
        <w:rPr>
          <w:rFonts w:eastAsia="Times New Roman"/>
        </w:rPr>
        <w:t xml:space="preserve">Hospitalisation </w:t>
      </w:r>
    </w:p>
    <w:p w:rsidR="00AB0397" w:rsidRDefault="00AB0397" w:rsidP="005566CC">
      <w:r>
        <w:t>Based on NNDSS data since the beginning of the epidemic, there have been 28,079 COVID-19 cases where hospitalisation status is known. Of these cases, 14% (3,858/28,079) were hospitalised, although some individuals may have been hospitalised for isolation rather than clinical reasons). The proportion of those hospitalised admitted to an intensive care unit (ICU) has been estimated from Influenza Complications Alert Network (FluCAN</w:t>
      </w:r>
      <w:proofErr w:type="gramStart"/>
      <w:r>
        <w:t>)</w:t>
      </w:r>
      <w:r>
        <w:rPr>
          <w:vertAlign w:val="superscript"/>
        </w:rPr>
        <w:t>15</w:t>
      </w:r>
      <w:proofErr w:type="gramEnd"/>
      <w:r>
        <w:t xml:space="preserve"> sentinel surveillance system data at 19% (data for those hospitalised between 29 February 2020 and 28 February 2021). During this reporting period, there have been four cases admitted to ICU at sentinel sites.</w:t>
      </w:r>
      <w:r>
        <w:rPr>
          <w:vertAlign w:val="superscript"/>
        </w:rPr>
        <w:t>16</w:t>
      </w:r>
      <w:r>
        <w:t xml:space="preserve"> </w:t>
      </w:r>
    </w:p>
    <w:p w:rsidR="00AB0397" w:rsidRDefault="00AB0397" w:rsidP="005566CC">
      <w:r>
        <w:t xml:space="preserve">The few cases captured in </w:t>
      </w:r>
      <w:proofErr w:type="gramStart"/>
      <w:r>
        <w:t>hospital sentinel surveillance systems</w:t>
      </w:r>
      <w:proofErr w:type="gramEnd"/>
      <w:r>
        <w:t xml:space="preserve"> in 2021 do not provide sufficient data to enable reporting on characteristics and outcomes in detail for the hospitalised cohort in the year-to-date. Analyses for those captured in these systems in 2020 have been previously presented in detail in report 28 (data to 25 October 2020).</w:t>
      </w:r>
      <w:r>
        <w:rPr>
          <w:vertAlign w:val="superscript"/>
        </w:rPr>
        <w:t>17</w:t>
      </w:r>
      <w:r>
        <w:t xml:space="preserve"> </w:t>
      </w:r>
    </w:p>
    <w:p w:rsidR="00AB0397" w:rsidRDefault="00AB0397" w:rsidP="005566CC">
      <w:pPr>
        <w:pStyle w:val="Heading2"/>
        <w:rPr>
          <w:rFonts w:eastAsia="Times New Roman"/>
        </w:rPr>
      </w:pPr>
      <w:r>
        <w:rPr>
          <w:rFonts w:eastAsia="Times New Roman"/>
        </w:rPr>
        <w:t xml:space="preserve">COVID-19 deaths </w:t>
      </w:r>
    </w:p>
    <w:p w:rsidR="00AB0397" w:rsidRDefault="00AB0397" w:rsidP="005566CC">
      <w:r>
        <w:t>Overall, the crude case fatality rate (CFR) remains stable at 3.1%, with no cases reported as having died since 18 October 2020.</w:t>
      </w:r>
      <w:r>
        <w:rPr>
          <w:vertAlign w:val="superscript"/>
        </w:rPr>
        <w:t>18</w:t>
      </w:r>
      <w:r>
        <w:t xml:space="preserve"> The cumulative CFR increases with advancing age; this underpins, in part, the rationale behind the staged roll-out of the vaccine program, which targets first those at most risk of severe disease and death from COVID-19. Of all age groups, the highest CFR occurred in those aged over 90 years, with 50% of infected males of that age passing away due to COVID-19. </w:t>
      </w:r>
    </w:p>
    <w:p w:rsidR="005566CC" w:rsidRDefault="005566CC" w:rsidP="005566CC">
      <w:pPr>
        <w:pStyle w:val="Heading2"/>
        <w:rPr>
          <w:rFonts w:eastAsia="Times New Roman"/>
        </w:rPr>
      </w:pPr>
      <w:r>
        <w:rPr>
          <w:rFonts w:eastAsia="Times New Roman"/>
        </w:rPr>
        <w:t>Hospital occupancy</w:t>
      </w:r>
    </w:p>
    <w:p w:rsidR="00AB0397" w:rsidRPr="005566CC" w:rsidRDefault="00AB0397" w:rsidP="005566CC">
      <w:pPr>
        <w:pStyle w:val="Heading3"/>
        <w:rPr>
          <w:rFonts w:eastAsia="Times New Roman"/>
          <w:i/>
        </w:rPr>
      </w:pPr>
      <w:r w:rsidRPr="005566CC">
        <w:rPr>
          <w:rFonts w:eastAsia="Times New Roman"/>
          <w:i/>
        </w:rPr>
        <w:t xml:space="preserve">(State and territory reporting) </w:t>
      </w:r>
    </w:p>
    <w:p w:rsidR="00AB0397" w:rsidRDefault="00AB0397" w:rsidP="005566CC">
      <w:r>
        <w:t>The average daily number of COVID-19 cases in hospital during the past four weeks across the country was 47; this was a fourfold increase on the previous reporting period’s daily average of 12 (1–28 February 2021). Hospitalised cases during this four-week reporting period were distributed across only four jurisdictions, with Queensland carrying the large majority of hospitalised cases (daily average of 41 individuals). As shown in Figure 7, the national trend of increasing numbers of hospitalised cases in this reporting period is largely driven by the increase in hospitalised cases in Queensland. It should be noted that current local hospitalisation policies for cases differ across jurisdictions. In some states and territories, cases who test positive may be routinely transferred to hospital for isolation rather than clinical care. ICU occupancy due to COVID-19 reached a daily maximum of three individuals during the reporting period; all were being treated in Queensland ICUs.</w:t>
      </w:r>
    </w:p>
    <w:p w:rsidR="005566CC" w:rsidRDefault="005566CC">
      <w:pPr>
        <w:rPr>
          <w:b/>
        </w:rPr>
      </w:pPr>
      <w:r>
        <w:br w:type="page"/>
      </w:r>
    </w:p>
    <w:p w:rsidR="00AB0397" w:rsidRDefault="00AB0397" w:rsidP="005566CC">
      <w:pPr>
        <w:pStyle w:val="CDIFigures"/>
      </w:pPr>
      <w:r>
        <w:lastRenderedPageBreak/>
        <w:t xml:space="preserve">Figure 7: Number of </w:t>
      </w:r>
      <w:proofErr w:type="gramStart"/>
      <w:r>
        <w:t>daily hospitalised</w:t>
      </w:r>
      <w:proofErr w:type="gramEnd"/>
      <w:r>
        <w:t xml:space="preserve"> confirmed cases of COVID-19 cases, by jurisdiction, 1–28 March 2021</w:t>
      </w:r>
      <w:r w:rsidRPr="000D5F4F">
        <w:rPr>
          <w:vertAlign w:val="superscript"/>
        </w:rPr>
        <w:t>a</w:t>
      </w:r>
    </w:p>
    <w:p w:rsidR="00AB0397" w:rsidRDefault="00AB0397">
      <w:pPr>
        <w:pStyle w:val="NormalWeb"/>
      </w:pPr>
      <w:r>
        <w:rPr>
          <w:noProof/>
        </w:rPr>
        <w:drawing>
          <wp:inline distT="0" distB="0" distL="0" distR="0">
            <wp:extent cx="6625424" cy="4318062"/>
            <wp:effectExtent l="0" t="0" r="4445" b="6350"/>
            <wp:docPr id="7" name="Picture 7" descr="A line graph showing the number of COVID-19 cases in hospital each day from 1 March to 28 March, for the four jurisdictions reporting hospitalisations of cases during this period: New South Wales, Queensland, Victoria and the Northern Territory. Hospitalised case numbers are highest in Queensland throughout this period, climbing from ten to 61 cases during the four-week period and consistently accounting for the majority of hospitalisations across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line graph showing the number of COVID-19 cases in hospital each day from 1 March to 28 March, for the four jurisdictions reporting hospitalisations of cases during this period: New South Wales, Queensland, Victoria and the Northern Territory. Hospitalised case numbers are highest in Queensland throughout this period, climbing from ten to 61 cases during the four-week period and consistently accounting for the majority of hospitalisations across Australia."/>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632450" cy="4322641"/>
                    </a:xfrm>
                    <a:prstGeom prst="rect">
                      <a:avLst/>
                    </a:prstGeom>
                  </pic:spPr>
                </pic:pic>
              </a:graphicData>
            </a:graphic>
          </wp:inline>
        </w:drawing>
      </w:r>
    </w:p>
    <w:p w:rsidR="00AB0397" w:rsidRDefault="008246B3" w:rsidP="008246B3">
      <w:pPr>
        <w:pStyle w:val="CDIfootnotes"/>
      </w:pPr>
      <w:proofErr w:type="gramStart"/>
      <w:r>
        <w:t>a</w:t>
      </w:r>
      <w:proofErr w:type="gramEnd"/>
      <w:r>
        <w:tab/>
      </w:r>
      <w:r w:rsidR="00AB0397">
        <w:t>Source: Daily report from jurisdictional health departments.</w:t>
      </w:r>
    </w:p>
    <w:p w:rsidR="00AB0397" w:rsidRPr="00A033F9" w:rsidRDefault="00AB0397" w:rsidP="00A033F9">
      <w:pPr>
        <w:pStyle w:val="Heading2"/>
      </w:pPr>
      <w:r w:rsidRPr="00A033F9">
        <w:t xml:space="preserve">Public health response measures </w:t>
      </w:r>
    </w:p>
    <w:p w:rsidR="00AB0397" w:rsidRDefault="00AB0397" w:rsidP="00A033F9">
      <w:r>
        <w:t>Public health measures implemented since 1 January 2021 are represented in Figure 8, with measures implemented during the current reporting period summarised in Table 8. States and territories have decision-making authority in relation to public health measures and have implemented or eased restrictions at their own pace, depending on the local public health and epidemiological situation, and in line with the ‘Framework for National Reopening’.</w:t>
      </w:r>
      <w:r>
        <w:rPr>
          <w:vertAlign w:val="superscript"/>
        </w:rPr>
        <w:t>19</w:t>
      </w:r>
      <w:r>
        <w:t xml:space="preserve"> </w:t>
      </w:r>
    </w:p>
    <w:p w:rsidR="00C4634F" w:rsidRDefault="00C4634F" w:rsidP="00A033F9">
      <w:pPr>
        <w:pStyle w:val="CDIFigures"/>
        <w:sectPr w:rsidR="00C4634F" w:rsidSect="00A30C37">
          <w:footnotePr>
            <w:numFmt w:val="lowerRoman"/>
          </w:footnotePr>
          <w:pgSz w:w="11906" w:h="16838"/>
          <w:pgMar w:top="720" w:right="720" w:bottom="1134" w:left="720" w:header="709" w:footer="284" w:gutter="0"/>
          <w:cols w:space="708"/>
          <w:titlePg/>
          <w:docGrid w:linePitch="360"/>
        </w:sectPr>
      </w:pPr>
    </w:p>
    <w:p w:rsidR="00AB0397" w:rsidRDefault="00AB0397" w:rsidP="00A033F9">
      <w:pPr>
        <w:pStyle w:val="CDIFigures"/>
      </w:pPr>
      <w:r>
        <w:lastRenderedPageBreak/>
        <w:t>Table 8: State and territory changes to COVID-19 restrictions, Australia, 1–28 March 2021</w:t>
      </w:r>
    </w:p>
    <w:tbl>
      <w:tblPr>
        <w:tblStyle w:val="CDI-StandardTable"/>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13" w:type="dxa"/>
          <w:left w:w="113" w:type="dxa"/>
          <w:bottom w:w="113" w:type="dxa"/>
          <w:right w:w="113" w:type="dxa"/>
        </w:tblCellMar>
        <w:tblLook w:val="04A0" w:firstRow="1" w:lastRow="0" w:firstColumn="1" w:lastColumn="0" w:noHBand="0" w:noVBand="1"/>
        <w:tblDescription w:val="Table 8 summarises measures for easing COVID-19 restrictions, applied during the current four-week reporting period, for Australian states and territories.&#10;"/>
      </w:tblPr>
      <w:tblGrid>
        <w:gridCol w:w="2061"/>
        <w:gridCol w:w="12917"/>
      </w:tblGrid>
      <w:tr w:rsidR="00F710F7" w:rsidRPr="00F710F7" w:rsidTr="00191602">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AB0397" w:rsidRPr="00253275" w:rsidRDefault="00AB0397">
            <w:pPr>
              <w:pStyle w:val="NormalWeb"/>
              <w:rPr>
                <w:color w:val="FFFFFF" w:themeColor="background1"/>
              </w:rPr>
            </w:pPr>
            <w:r w:rsidRPr="00253275">
              <w:rPr>
                <w:color w:val="FFFFFF" w:themeColor="background1"/>
              </w:rPr>
              <w:t>Jurisdiction</w:t>
            </w:r>
          </w:p>
        </w:tc>
        <w:tc>
          <w:tcPr>
            <w:tcW w:w="0" w:type="auto"/>
            <w:hideMark/>
          </w:tcPr>
          <w:p w:rsidR="00AB0397" w:rsidRPr="00F710F7" w:rsidRDefault="00AB0397">
            <w:pPr>
              <w:pStyle w:val="NormalWeb"/>
              <w:rPr>
                <w:color w:val="FFFFFF" w:themeColor="background1"/>
              </w:rPr>
            </w:pPr>
            <w:r w:rsidRPr="00F710F7">
              <w:rPr>
                <w:color w:val="FFFFFF" w:themeColor="background1"/>
              </w:rPr>
              <w:t>Summary of changes to COVID-19 restrictions</w:t>
            </w:r>
          </w:p>
        </w:tc>
      </w:tr>
      <w:tr w:rsidR="00AB0397" w:rsidTr="00191602">
        <w:tc>
          <w:tcPr>
            <w:tcW w:w="0" w:type="auto"/>
            <w:hideMark/>
          </w:tcPr>
          <w:p w:rsidR="00AB0397" w:rsidRPr="00253275" w:rsidRDefault="00AB0397">
            <w:pPr>
              <w:pStyle w:val="NormalWeb"/>
              <w:rPr>
                <w:b/>
              </w:rPr>
            </w:pPr>
            <w:r w:rsidRPr="00253275">
              <w:rPr>
                <w:b/>
              </w:rPr>
              <w:t>New South Wales</w:t>
            </w:r>
          </w:p>
        </w:tc>
        <w:tc>
          <w:tcPr>
            <w:tcW w:w="0" w:type="auto"/>
            <w:hideMark/>
          </w:tcPr>
          <w:p w:rsidR="00AB0397" w:rsidRDefault="00AB0397">
            <w:pPr>
              <w:pStyle w:val="NormalWeb"/>
            </w:pPr>
            <w:r>
              <w:t>From 8 March, New South Wales eased the following restrictions at schools:</w:t>
            </w:r>
            <w:r w:rsidRPr="00C4634F">
              <w:rPr>
                <w:vertAlign w:val="superscript"/>
              </w:rPr>
              <w:t>20</w:t>
            </w:r>
          </w:p>
          <w:p w:rsidR="00AB0397" w:rsidRDefault="00AB0397" w:rsidP="00AB0397">
            <w:pPr>
              <w:numPr>
                <w:ilvl w:val="0"/>
                <w:numId w:val="7"/>
              </w:numPr>
              <w:spacing w:before="100" w:beforeAutospacing="1" w:after="100" w:afterAutospacing="1"/>
              <w:rPr>
                <w:rFonts w:eastAsia="Times New Roman"/>
              </w:rPr>
            </w:pPr>
            <w:r>
              <w:rPr>
                <w:rFonts w:eastAsia="Times New Roman"/>
              </w:rPr>
              <w:t>Parents and caregivers can enter school grounds and attend school sports,</w:t>
            </w:r>
          </w:p>
          <w:p w:rsidR="00AB0397" w:rsidRDefault="00AB0397" w:rsidP="00AB0397">
            <w:pPr>
              <w:numPr>
                <w:ilvl w:val="0"/>
                <w:numId w:val="7"/>
              </w:numPr>
              <w:spacing w:before="100" w:beforeAutospacing="1" w:after="100" w:afterAutospacing="1"/>
              <w:rPr>
                <w:rFonts w:eastAsia="Times New Roman"/>
              </w:rPr>
            </w:pPr>
            <w:r>
              <w:rPr>
                <w:rFonts w:eastAsia="Times New Roman"/>
              </w:rPr>
              <w:t>All extra-curricular and social events can resume, if COVID-19 safety plans are used.</w:t>
            </w:r>
          </w:p>
          <w:p w:rsidR="00AB0397" w:rsidRDefault="00AB0397">
            <w:pPr>
              <w:pStyle w:val="NormalWeb"/>
            </w:pPr>
            <w:r>
              <w:t>From 17 March, New South Wales eased the following restrictions:</w:t>
            </w:r>
            <w:r w:rsidRPr="00C4634F">
              <w:rPr>
                <w:vertAlign w:val="superscript"/>
              </w:rPr>
              <w:t>21</w:t>
            </w:r>
          </w:p>
          <w:p w:rsidR="00AB0397" w:rsidRDefault="00AB0397" w:rsidP="00AB0397">
            <w:pPr>
              <w:numPr>
                <w:ilvl w:val="0"/>
                <w:numId w:val="8"/>
              </w:numPr>
              <w:spacing w:before="100" w:beforeAutospacing="1" w:after="100" w:afterAutospacing="1"/>
              <w:rPr>
                <w:rFonts w:eastAsia="Times New Roman"/>
              </w:rPr>
            </w:pPr>
            <w:r>
              <w:rPr>
                <w:rFonts w:eastAsia="Times New Roman"/>
              </w:rPr>
              <w:t>Drinking while standing up at indoor venues, pubs and clubs is now allowed.</w:t>
            </w:r>
          </w:p>
          <w:p w:rsidR="00AB0397" w:rsidRDefault="00AB0397">
            <w:pPr>
              <w:pStyle w:val="NormalWeb"/>
            </w:pPr>
            <w:r>
              <w:t>From 19 March, New South Wales eased the following restrictions:</w:t>
            </w:r>
            <w:r w:rsidRPr="00C4634F">
              <w:rPr>
                <w:vertAlign w:val="superscript"/>
              </w:rPr>
              <w:t>21</w:t>
            </w:r>
          </w:p>
          <w:p w:rsidR="00AB0397" w:rsidRDefault="00AB0397" w:rsidP="00AB0397">
            <w:pPr>
              <w:numPr>
                <w:ilvl w:val="0"/>
                <w:numId w:val="9"/>
              </w:numPr>
              <w:spacing w:before="100" w:beforeAutospacing="1" w:after="100" w:afterAutospacing="1"/>
              <w:rPr>
                <w:rFonts w:eastAsia="Times New Roman"/>
              </w:rPr>
            </w:pPr>
            <w:r>
              <w:rPr>
                <w:rFonts w:eastAsia="Times New Roman"/>
              </w:rPr>
              <w:t>Indoor gatherings of up to 100 people are allowed,</w:t>
            </w:r>
          </w:p>
          <w:p w:rsidR="00AB0397" w:rsidRDefault="00AB0397" w:rsidP="00AB0397">
            <w:pPr>
              <w:numPr>
                <w:ilvl w:val="0"/>
                <w:numId w:val="9"/>
              </w:numPr>
              <w:spacing w:before="100" w:beforeAutospacing="1" w:after="100" w:afterAutospacing="1"/>
              <w:rPr>
                <w:rFonts w:eastAsia="Times New Roman"/>
              </w:rPr>
            </w:pPr>
            <w:r>
              <w:rPr>
                <w:rFonts w:eastAsia="Times New Roman"/>
              </w:rPr>
              <w:t>Outdoor gathers of up to 200 people are allowed,</w:t>
            </w:r>
          </w:p>
          <w:p w:rsidR="00AB0397" w:rsidRDefault="00AB0397" w:rsidP="00AB0397">
            <w:pPr>
              <w:numPr>
                <w:ilvl w:val="0"/>
                <w:numId w:val="9"/>
              </w:numPr>
              <w:spacing w:before="100" w:beforeAutospacing="1" w:after="100" w:afterAutospacing="1"/>
              <w:rPr>
                <w:rFonts w:eastAsia="Times New Roman"/>
              </w:rPr>
            </w:pPr>
            <w:r>
              <w:rPr>
                <w:rFonts w:eastAsia="Times New Roman"/>
              </w:rPr>
              <w:t>No restrictions on dancing and singing at venues and events,</w:t>
            </w:r>
          </w:p>
          <w:p w:rsidR="00AB0397" w:rsidRDefault="00AB0397" w:rsidP="00AB0397">
            <w:pPr>
              <w:numPr>
                <w:ilvl w:val="0"/>
                <w:numId w:val="9"/>
              </w:numPr>
              <w:spacing w:before="100" w:beforeAutospacing="1" w:after="100" w:afterAutospacing="1"/>
              <w:rPr>
                <w:rFonts w:eastAsia="Times New Roman"/>
              </w:rPr>
            </w:pPr>
            <w:r>
              <w:rPr>
                <w:rFonts w:eastAsia="Times New Roman"/>
              </w:rPr>
              <w:t>Nightclubs may be open but must be COVID Safe.</w:t>
            </w:r>
          </w:p>
        </w:tc>
      </w:tr>
      <w:tr w:rsidR="00AB0397" w:rsidTr="00191602">
        <w:trPr>
          <w:cnfStyle w:val="000000010000" w:firstRow="0" w:lastRow="0" w:firstColumn="0" w:lastColumn="0" w:oddVBand="0" w:evenVBand="0" w:oddHBand="0" w:evenHBand="1" w:firstRowFirstColumn="0" w:firstRowLastColumn="0" w:lastRowFirstColumn="0" w:lastRowLastColumn="0"/>
        </w:trPr>
        <w:tc>
          <w:tcPr>
            <w:tcW w:w="0" w:type="auto"/>
            <w:hideMark/>
          </w:tcPr>
          <w:p w:rsidR="00AB0397" w:rsidRPr="00253275" w:rsidRDefault="00AB0397">
            <w:pPr>
              <w:pStyle w:val="NormalWeb"/>
              <w:rPr>
                <w:b/>
              </w:rPr>
            </w:pPr>
            <w:r w:rsidRPr="00253275">
              <w:rPr>
                <w:b/>
              </w:rPr>
              <w:t>Victoria</w:t>
            </w:r>
          </w:p>
        </w:tc>
        <w:tc>
          <w:tcPr>
            <w:tcW w:w="0" w:type="auto"/>
            <w:hideMark/>
          </w:tcPr>
          <w:p w:rsidR="00AB0397" w:rsidRDefault="00AB0397">
            <w:pPr>
              <w:pStyle w:val="NormalWeb"/>
            </w:pPr>
            <w:r>
              <w:t>From 26 March, Victoria eased the following restrictions:</w:t>
            </w:r>
            <w:r w:rsidRPr="005941DB">
              <w:rPr>
                <w:vertAlign w:val="superscript"/>
              </w:rPr>
              <w:t>22</w:t>
            </w:r>
          </w:p>
          <w:p w:rsidR="00AB0397" w:rsidRDefault="00AB0397" w:rsidP="00AB0397">
            <w:pPr>
              <w:numPr>
                <w:ilvl w:val="0"/>
                <w:numId w:val="10"/>
              </w:numPr>
              <w:spacing w:before="100" w:beforeAutospacing="1" w:after="100" w:afterAutospacing="1"/>
              <w:rPr>
                <w:rFonts w:eastAsia="Times New Roman"/>
              </w:rPr>
            </w:pPr>
            <w:r>
              <w:rPr>
                <w:rFonts w:eastAsia="Times New Roman"/>
              </w:rPr>
              <w:t>Up to 100 people allowed at a private residence per day,</w:t>
            </w:r>
          </w:p>
          <w:p w:rsidR="00AB0397" w:rsidRDefault="00AB0397" w:rsidP="00AB0397">
            <w:pPr>
              <w:numPr>
                <w:ilvl w:val="0"/>
                <w:numId w:val="10"/>
              </w:numPr>
              <w:spacing w:before="100" w:beforeAutospacing="1" w:after="100" w:afterAutospacing="1"/>
              <w:rPr>
                <w:rFonts w:eastAsia="Times New Roman"/>
              </w:rPr>
            </w:pPr>
            <w:r>
              <w:rPr>
                <w:rFonts w:eastAsia="Times New Roman"/>
              </w:rPr>
              <w:t>Outdoor gatherings increased to 200 people,</w:t>
            </w:r>
          </w:p>
          <w:p w:rsidR="00AB0397" w:rsidRDefault="00AB0397" w:rsidP="00AB0397">
            <w:pPr>
              <w:numPr>
                <w:ilvl w:val="0"/>
                <w:numId w:val="10"/>
              </w:numPr>
              <w:spacing w:before="100" w:beforeAutospacing="1" w:after="100" w:afterAutospacing="1"/>
              <w:rPr>
                <w:rFonts w:eastAsia="Times New Roman"/>
              </w:rPr>
            </w:pPr>
            <w:r>
              <w:rPr>
                <w:rFonts w:eastAsia="Times New Roman"/>
              </w:rPr>
              <w:t xml:space="preserve">Workplaces with a </w:t>
            </w:r>
            <w:proofErr w:type="spellStart"/>
            <w:r>
              <w:rPr>
                <w:rFonts w:eastAsia="Times New Roman"/>
              </w:rPr>
              <w:t>COVIDSafe</w:t>
            </w:r>
            <w:proofErr w:type="spellEnd"/>
            <w:r>
              <w:rPr>
                <w:rFonts w:eastAsia="Times New Roman"/>
              </w:rPr>
              <w:t xml:space="preserve"> Plan can have workers return following density restrictions of 1 person per 2sqm,</w:t>
            </w:r>
          </w:p>
          <w:p w:rsidR="00AB0397" w:rsidRDefault="00AB0397" w:rsidP="00AB0397">
            <w:pPr>
              <w:numPr>
                <w:ilvl w:val="0"/>
                <w:numId w:val="10"/>
              </w:numPr>
              <w:spacing w:before="100" w:beforeAutospacing="1" w:after="100" w:afterAutospacing="1"/>
              <w:rPr>
                <w:rFonts w:eastAsia="Times New Roman"/>
              </w:rPr>
            </w:pPr>
            <w:r>
              <w:rPr>
                <w:rFonts w:eastAsia="Times New Roman"/>
              </w:rPr>
              <w:t>Masks no longer required in retail settings. Masks are still required in public transport, rideshare vehicles, taxis and sensitive settings,</w:t>
            </w:r>
          </w:p>
          <w:p w:rsidR="00AB0397" w:rsidRDefault="00AB0397" w:rsidP="00AB0397">
            <w:pPr>
              <w:numPr>
                <w:ilvl w:val="0"/>
                <w:numId w:val="10"/>
              </w:numPr>
              <w:spacing w:before="100" w:beforeAutospacing="1" w:after="100" w:afterAutospacing="1"/>
              <w:rPr>
                <w:rFonts w:eastAsia="Times New Roman"/>
              </w:rPr>
            </w:pPr>
            <w:r>
              <w:rPr>
                <w:rFonts w:eastAsia="Times New Roman"/>
              </w:rPr>
              <w:t>Indoor non-seated venues increased to 75% capacity with a limit of 1000 people per space.</w:t>
            </w:r>
          </w:p>
          <w:p w:rsidR="00AB0397" w:rsidRDefault="00AB0397">
            <w:pPr>
              <w:pStyle w:val="NormalWeb"/>
            </w:pPr>
            <w:r>
              <w:t>From 26 March, the Queensland Local Government Areas of Brisbane and Moreton Bay were declared an orange zone. Individuals entering Victoria since 12 March from these areas must immediately self-isolate until a negative result is received.</w:t>
            </w:r>
          </w:p>
        </w:tc>
      </w:tr>
      <w:tr w:rsidR="00AB0397" w:rsidTr="00191602">
        <w:tc>
          <w:tcPr>
            <w:tcW w:w="0" w:type="auto"/>
            <w:hideMark/>
          </w:tcPr>
          <w:p w:rsidR="00AB0397" w:rsidRPr="00253275" w:rsidRDefault="00AB0397">
            <w:pPr>
              <w:pStyle w:val="NormalWeb"/>
              <w:rPr>
                <w:b/>
              </w:rPr>
            </w:pPr>
            <w:r w:rsidRPr="00253275">
              <w:rPr>
                <w:b/>
              </w:rPr>
              <w:t>Queensland</w:t>
            </w:r>
          </w:p>
        </w:tc>
        <w:tc>
          <w:tcPr>
            <w:tcW w:w="0" w:type="auto"/>
            <w:hideMark/>
          </w:tcPr>
          <w:p w:rsidR="00AB0397" w:rsidRDefault="00AB0397">
            <w:pPr>
              <w:pStyle w:val="NormalWeb"/>
            </w:pPr>
            <w:r>
              <w:t>From 8 March, Queensland eased the following restrictions:</w:t>
            </w:r>
            <w:r w:rsidRPr="005941DB">
              <w:rPr>
                <w:vertAlign w:val="superscript"/>
              </w:rPr>
              <w:t>23</w:t>
            </w:r>
          </w:p>
          <w:p w:rsidR="00AB0397" w:rsidRDefault="00AB0397" w:rsidP="00AB0397">
            <w:pPr>
              <w:numPr>
                <w:ilvl w:val="0"/>
                <w:numId w:val="11"/>
              </w:numPr>
              <w:spacing w:before="100" w:beforeAutospacing="1" w:after="100" w:afterAutospacing="1"/>
              <w:rPr>
                <w:rFonts w:eastAsia="Times New Roman"/>
              </w:rPr>
            </w:pPr>
            <w:r>
              <w:rPr>
                <w:rFonts w:eastAsia="Times New Roman"/>
              </w:rPr>
              <w:t xml:space="preserve">Up to 200 people or </w:t>
            </w:r>
            <w:proofErr w:type="gramStart"/>
            <w:r>
              <w:rPr>
                <w:rFonts w:eastAsia="Times New Roman"/>
              </w:rPr>
              <w:t>one</w:t>
            </w:r>
            <w:proofErr w:type="gramEnd"/>
            <w:r>
              <w:rPr>
                <w:rFonts w:eastAsia="Times New Roman"/>
              </w:rPr>
              <w:t xml:space="preserve"> person per 2 square metres, whichever is greater, can attend a wedding ceremony or funeral service.</w:t>
            </w:r>
          </w:p>
          <w:p w:rsidR="00AB0397" w:rsidRDefault="00AB0397">
            <w:pPr>
              <w:pStyle w:val="NormalWeb"/>
            </w:pPr>
            <w:r>
              <w:lastRenderedPageBreak/>
              <w:t>From 13 March, Queensland eased the following restrictions:</w:t>
            </w:r>
            <w:r w:rsidRPr="005941DB">
              <w:rPr>
                <w:vertAlign w:val="superscript"/>
              </w:rPr>
              <w:t>24</w:t>
            </w:r>
          </w:p>
          <w:p w:rsidR="00AB0397" w:rsidRDefault="00AB0397" w:rsidP="00AB0397">
            <w:pPr>
              <w:numPr>
                <w:ilvl w:val="0"/>
                <w:numId w:val="12"/>
              </w:numPr>
              <w:spacing w:before="100" w:beforeAutospacing="1" w:after="100" w:afterAutospacing="1"/>
              <w:rPr>
                <w:rFonts w:eastAsia="Times New Roman"/>
              </w:rPr>
            </w:pPr>
            <w:r>
              <w:rPr>
                <w:rFonts w:eastAsia="Times New Roman"/>
              </w:rPr>
              <w:t>Gatherings at private properties cap increased to 100 people,</w:t>
            </w:r>
          </w:p>
          <w:p w:rsidR="00AB0397" w:rsidRDefault="00AB0397" w:rsidP="00AB0397">
            <w:pPr>
              <w:numPr>
                <w:ilvl w:val="0"/>
                <w:numId w:val="12"/>
              </w:numPr>
              <w:spacing w:before="100" w:beforeAutospacing="1" w:after="100" w:afterAutospacing="1"/>
              <w:rPr>
                <w:rFonts w:eastAsia="Times New Roman"/>
              </w:rPr>
            </w:pPr>
            <w:r>
              <w:rPr>
                <w:rFonts w:eastAsia="Times New Roman"/>
              </w:rPr>
              <w:t>Gatherings in public outdoor spaces cap increased to 500 people,</w:t>
            </w:r>
          </w:p>
          <w:p w:rsidR="00AB0397" w:rsidRDefault="00AB0397" w:rsidP="00AB0397">
            <w:pPr>
              <w:numPr>
                <w:ilvl w:val="0"/>
                <w:numId w:val="12"/>
              </w:numPr>
              <w:spacing w:before="100" w:beforeAutospacing="1" w:after="100" w:afterAutospacing="1"/>
              <w:rPr>
                <w:rFonts w:eastAsia="Times New Roman"/>
              </w:rPr>
            </w:pPr>
            <w:r>
              <w:rPr>
                <w:rFonts w:eastAsia="Times New Roman"/>
              </w:rPr>
              <w:t>Camping grounds no longer subject to density restrictions, can operate at full capacity,</w:t>
            </w:r>
          </w:p>
          <w:p w:rsidR="00AB0397" w:rsidRDefault="00AB0397" w:rsidP="00AB0397">
            <w:pPr>
              <w:numPr>
                <w:ilvl w:val="0"/>
                <w:numId w:val="12"/>
              </w:numPr>
              <w:spacing w:before="100" w:beforeAutospacing="1" w:after="100" w:afterAutospacing="1"/>
              <w:rPr>
                <w:rFonts w:eastAsia="Times New Roman"/>
              </w:rPr>
            </w:pPr>
            <w:r>
              <w:rPr>
                <w:rFonts w:eastAsia="Times New Roman"/>
              </w:rPr>
              <w:t>Full capacity for ticketed venues, patrons encouraged to wear masks on entrance and exit of venue,</w:t>
            </w:r>
          </w:p>
          <w:p w:rsidR="00AB0397" w:rsidRDefault="00AB0397" w:rsidP="00AB0397">
            <w:pPr>
              <w:numPr>
                <w:ilvl w:val="0"/>
                <w:numId w:val="12"/>
              </w:numPr>
              <w:spacing w:before="100" w:beforeAutospacing="1" w:after="100" w:afterAutospacing="1"/>
              <w:rPr>
                <w:rFonts w:eastAsia="Times New Roman"/>
              </w:rPr>
            </w:pPr>
            <w:r>
              <w:rPr>
                <w:rFonts w:eastAsia="Times New Roman"/>
              </w:rPr>
              <w:t>Dancing allowed in all indoor and outdoor venues, subject to one person per 2 square metre rule,</w:t>
            </w:r>
          </w:p>
          <w:p w:rsidR="00AB0397" w:rsidRDefault="00AB0397" w:rsidP="00AB0397">
            <w:pPr>
              <w:numPr>
                <w:ilvl w:val="0"/>
                <w:numId w:val="12"/>
              </w:numPr>
              <w:spacing w:before="100" w:beforeAutospacing="1" w:after="100" w:afterAutospacing="1"/>
              <w:rPr>
                <w:rFonts w:eastAsia="Times New Roman"/>
              </w:rPr>
            </w:pPr>
            <w:r>
              <w:rPr>
                <w:rFonts w:eastAsia="Times New Roman"/>
              </w:rPr>
              <w:t>Number of people allowed in lifts increased to six people.</w:t>
            </w:r>
          </w:p>
          <w:p w:rsidR="00AB0397" w:rsidRDefault="00AB0397">
            <w:pPr>
              <w:pStyle w:val="NormalWeb"/>
            </w:pPr>
            <w:r>
              <w:t>From 13 March, Queensland placed restrictions on:</w:t>
            </w:r>
            <w:r w:rsidRPr="00596663">
              <w:rPr>
                <w:vertAlign w:val="superscript"/>
              </w:rPr>
              <w:t>23</w:t>
            </w:r>
          </w:p>
          <w:p w:rsidR="00AB0397" w:rsidRDefault="00AB0397" w:rsidP="00AB0397">
            <w:pPr>
              <w:numPr>
                <w:ilvl w:val="0"/>
                <w:numId w:val="13"/>
              </w:numPr>
              <w:spacing w:before="100" w:beforeAutospacing="1" w:after="100" w:afterAutospacing="1"/>
              <w:rPr>
                <w:rFonts w:eastAsia="Times New Roman"/>
              </w:rPr>
            </w:pPr>
            <w:r>
              <w:rPr>
                <w:rFonts w:eastAsia="Times New Roman"/>
              </w:rPr>
              <w:t>All non-essential visits to hospitals, residential aged care facilities, disability accommodation services and correctional facilities in Greater Brisbane will cease.</w:t>
            </w:r>
          </w:p>
        </w:tc>
      </w:tr>
      <w:tr w:rsidR="00AB0397" w:rsidTr="00191602">
        <w:trPr>
          <w:cnfStyle w:val="000000010000" w:firstRow="0" w:lastRow="0" w:firstColumn="0" w:lastColumn="0" w:oddVBand="0" w:evenVBand="0" w:oddHBand="0" w:evenHBand="1" w:firstRowFirstColumn="0" w:firstRowLastColumn="0" w:lastRowFirstColumn="0" w:lastRowLastColumn="0"/>
        </w:trPr>
        <w:tc>
          <w:tcPr>
            <w:tcW w:w="0" w:type="auto"/>
            <w:hideMark/>
          </w:tcPr>
          <w:p w:rsidR="00AB0397" w:rsidRPr="00253275" w:rsidRDefault="00AB0397">
            <w:pPr>
              <w:pStyle w:val="NormalWeb"/>
              <w:rPr>
                <w:b/>
              </w:rPr>
            </w:pPr>
            <w:r w:rsidRPr="00253275">
              <w:rPr>
                <w:b/>
              </w:rPr>
              <w:lastRenderedPageBreak/>
              <w:t>Western Australia</w:t>
            </w:r>
          </w:p>
        </w:tc>
        <w:tc>
          <w:tcPr>
            <w:tcW w:w="0" w:type="auto"/>
            <w:hideMark/>
          </w:tcPr>
          <w:p w:rsidR="00AB0397" w:rsidRDefault="00AB0397">
            <w:pPr>
              <w:pStyle w:val="NormalWeb"/>
            </w:pPr>
            <w:r>
              <w:t>From 15 March, Western Australia eased the following restrictions:</w:t>
            </w:r>
            <w:r w:rsidRPr="005941DB">
              <w:rPr>
                <w:vertAlign w:val="superscript"/>
              </w:rPr>
              <w:t>25</w:t>
            </w:r>
          </w:p>
          <w:p w:rsidR="00AB0397" w:rsidRDefault="00AB0397" w:rsidP="00AB0397">
            <w:pPr>
              <w:numPr>
                <w:ilvl w:val="0"/>
                <w:numId w:val="14"/>
              </w:numPr>
              <w:spacing w:before="100" w:beforeAutospacing="1" w:after="100" w:afterAutospacing="1"/>
              <w:rPr>
                <w:rFonts w:eastAsia="Times New Roman"/>
              </w:rPr>
            </w:pPr>
            <w:r>
              <w:rPr>
                <w:rFonts w:eastAsia="Times New Roman"/>
              </w:rPr>
              <w:t xml:space="preserve">Increased capacity at seated indoor and outdoor venues to 75% of capacity or </w:t>
            </w:r>
            <w:proofErr w:type="gramStart"/>
            <w:r>
              <w:rPr>
                <w:rFonts w:eastAsia="Times New Roman"/>
              </w:rPr>
              <w:t>one</w:t>
            </w:r>
            <w:proofErr w:type="gramEnd"/>
            <w:r>
              <w:rPr>
                <w:rFonts w:eastAsia="Times New Roman"/>
              </w:rPr>
              <w:t xml:space="preserve"> person per 2 square metres, whichever is greater.</w:t>
            </w:r>
          </w:p>
          <w:p w:rsidR="00AB0397" w:rsidRDefault="00AB0397">
            <w:pPr>
              <w:pStyle w:val="NormalWeb"/>
            </w:pPr>
            <w:r>
              <w:t>From 27 March, Western Australia declared Queensland ‘low risk’.26 All arrivals from Queensland must self-quarantine for 14 days and present for a COVID-19 test on day 11.</w:t>
            </w:r>
          </w:p>
        </w:tc>
      </w:tr>
      <w:tr w:rsidR="00AB0397" w:rsidTr="00191602">
        <w:tc>
          <w:tcPr>
            <w:tcW w:w="0" w:type="auto"/>
            <w:hideMark/>
          </w:tcPr>
          <w:p w:rsidR="00AB0397" w:rsidRPr="00253275" w:rsidRDefault="00AB0397">
            <w:pPr>
              <w:pStyle w:val="NormalWeb"/>
              <w:rPr>
                <w:b/>
              </w:rPr>
            </w:pPr>
            <w:r w:rsidRPr="00253275">
              <w:rPr>
                <w:b/>
              </w:rPr>
              <w:t>South Australia</w:t>
            </w:r>
          </w:p>
        </w:tc>
        <w:tc>
          <w:tcPr>
            <w:tcW w:w="0" w:type="auto"/>
            <w:hideMark/>
          </w:tcPr>
          <w:p w:rsidR="00AB0397" w:rsidRDefault="00AB0397">
            <w:pPr>
              <w:pStyle w:val="NormalWeb"/>
            </w:pPr>
            <w:r>
              <w:t>No further easing of restrictions.</w:t>
            </w:r>
            <w:r w:rsidRPr="005941DB">
              <w:rPr>
                <w:vertAlign w:val="superscript"/>
              </w:rPr>
              <w:t>27</w:t>
            </w:r>
          </w:p>
        </w:tc>
      </w:tr>
      <w:tr w:rsidR="00AB0397" w:rsidTr="00191602">
        <w:trPr>
          <w:cnfStyle w:val="000000010000" w:firstRow="0" w:lastRow="0" w:firstColumn="0" w:lastColumn="0" w:oddVBand="0" w:evenVBand="0" w:oddHBand="0" w:evenHBand="1" w:firstRowFirstColumn="0" w:firstRowLastColumn="0" w:lastRowFirstColumn="0" w:lastRowLastColumn="0"/>
        </w:trPr>
        <w:tc>
          <w:tcPr>
            <w:tcW w:w="0" w:type="auto"/>
            <w:hideMark/>
          </w:tcPr>
          <w:p w:rsidR="00AB0397" w:rsidRPr="00253275" w:rsidRDefault="00AB0397">
            <w:pPr>
              <w:pStyle w:val="NormalWeb"/>
              <w:rPr>
                <w:b/>
              </w:rPr>
            </w:pPr>
            <w:r w:rsidRPr="00253275">
              <w:rPr>
                <w:b/>
              </w:rPr>
              <w:t>Tasmania</w:t>
            </w:r>
          </w:p>
        </w:tc>
        <w:tc>
          <w:tcPr>
            <w:tcW w:w="0" w:type="auto"/>
            <w:hideMark/>
          </w:tcPr>
          <w:p w:rsidR="00AB0397" w:rsidRDefault="00AB0397">
            <w:pPr>
              <w:pStyle w:val="NormalWeb"/>
            </w:pPr>
            <w:r>
              <w:t>From 23 March, Tasmania eased the following restrictions:</w:t>
            </w:r>
            <w:r w:rsidRPr="005941DB">
              <w:rPr>
                <w:vertAlign w:val="superscript"/>
              </w:rPr>
              <w:t>28</w:t>
            </w:r>
          </w:p>
          <w:p w:rsidR="00AB0397" w:rsidRDefault="00AB0397">
            <w:pPr>
              <w:pStyle w:val="NormalWeb"/>
            </w:pPr>
            <w:r>
              <w:t>Places of worship, churches and funeral homes can have up to 250 people or 75% of seated capacity, whichever is fewer. Staff and those assisting in the provision of the service are not included in this capacity.</w:t>
            </w:r>
          </w:p>
        </w:tc>
      </w:tr>
      <w:tr w:rsidR="00AB0397" w:rsidTr="00191602">
        <w:tc>
          <w:tcPr>
            <w:tcW w:w="0" w:type="auto"/>
            <w:hideMark/>
          </w:tcPr>
          <w:p w:rsidR="00AB0397" w:rsidRPr="00253275" w:rsidRDefault="00AB0397">
            <w:pPr>
              <w:pStyle w:val="NormalWeb"/>
              <w:rPr>
                <w:b/>
              </w:rPr>
            </w:pPr>
            <w:r w:rsidRPr="00253275">
              <w:rPr>
                <w:b/>
              </w:rPr>
              <w:t>Australian Capital Territory</w:t>
            </w:r>
          </w:p>
        </w:tc>
        <w:tc>
          <w:tcPr>
            <w:tcW w:w="0" w:type="auto"/>
            <w:hideMark/>
          </w:tcPr>
          <w:p w:rsidR="00AB0397" w:rsidRDefault="00AB0397">
            <w:pPr>
              <w:pStyle w:val="NormalWeb"/>
            </w:pPr>
            <w:r>
              <w:t>From 6 March, Australian Capital Territory made it mandatory for patrons of all restricted businesses, venues and facilities to use the ‘Check in CBR’ app.</w:t>
            </w:r>
            <w:r w:rsidRPr="005941DB">
              <w:rPr>
                <w:vertAlign w:val="superscript"/>
              </w:rPr>
              <w:t>29</w:t>
            </w:r>
          </w:p>
        </w:tc>
      </w:tr>
      <w:tr w:rsidR="00AB0397" w:rsidTr="00191602">
        <w:trPr>
          <w:cnfStyle w:val="000000010000" w:firstRow="0" w:lastRow="0" w:firstColumn="0" w:lastColumn="0" w:oddVBand="0" w:evenVBand="0" w:oddHBand="0" w:evenHBand="1" w:firstRowFirstColumn="0" w:firstRowLastColumn="0" w:lastRowFirstColumn="0" w:lastRowLastColumn="0"/>
        </w:trPr>
        <w:tc>
          <w:tcPr>
            <w:tcW w:w="0" w:type="auto"/>
            <w:hideMark/>
          </w:tcPr>
          <w:p w:rsidR="00AB0397" w:rsidRPr="00253275" w:rsidRDefault="00AB0397">
            <w:pPr>
              <w:pStyle w:val="NormalWeb"/>
              <w:rPr>
                <w:b/>
              </w:rPr>
            </w:pPr>
            <w:r w:rsidRPr="00253275">
              <w:rPr>
                <w:b/>
              </w:rPr>
              <w:t>Northern Territory</w:t>
            </w:r>
          </w:p>
        </w:tc>
        <w:tc>
          <w:tcPr>
            <w:tcW w:w="0" w:type="auto"/>
            <w:hideMark/>
          </w:tcPr>
          <w:p w:rsidR="00AB0397" w:rsidRDefault="00AB0397">
            <w:pPr>
              <w:pStyle w:val="NormalWeb"/>
            </w:pPr>
            <w:r>
              <w:t>No further easing of restrictions.</w:t>
            </w:r>
            <w:r w:rsidRPr="005941DB">
              <w:rPr>
                <w:vertAlign w:val="superscript"/>
              </w:rPr>
              <w:t>30</w:t>
            </w:r>
          </w:p>
        </w:tc>
      </w:tr>
    </w:tbl>
    <w:p w:rsidR="00AB0397" w:rsidRDefault="00AB0397" w:rsidP="00F710F7">
      <w:pPr>
        <w:pStyle w:val="CDIFigures"/>
      </w:pPr>
      <w:r>
        <w:lastRenderedPageBreak/>
        <w:t>Figure 8: COVID-19 notifications in Australia by week of diagnosis and jurisdiction, 1 January – 28 March 2021, with timing of key public health measures</w:t>
      </w:r>
    </w:p>
    <w:p w:rsidR="00AB0397" w:rsidRDefault="00AB0397">
      <w:pPr>
        <w:pStyle w:val="NormalWeb"/>
      </w:pPr>
      <w:r>
        <w:rPr>
          <w:noProof/>
        </w:rPr>
        <w:drawing>
          <wp:inline distT="0" distB="0" distL="0" distR="0">
            <wp:extent cx="9563431" cy="5362522"/>
            <wp:effectExtent l="0" t="0" r="0" b="0"/>
            <wp:docPr id="8" name="Picture 8" descr="A bar chart showing COVID-19 notifications by week of diagnosis and jurisdiction, for cases reported to NNDSS during the current calendar year. Notifications for the cases shown have diagnosis weeks ending from 3 January 2021 to 28 March 2021. The chart also highlights the timing of key public health measures such as quarantine and self-isolation advice and restrictions on gatherings and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ar chart showing COVID-19 notifications by week of diagnosis and jurisdiction, for cases reported to NNDSS during the current calendar year. Notifications for the cases shown have diagnosis weeks ending from 3 January 2021 to 28 March 2021. The chart also highlights the timing of key public health measures such as quarantine and self-isolation advice and restrictions on gatherings and travel."/>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9568364" cy="5365288"/>
                    </a:xfrm>
                    <a:prstGeom prst="rect">
                      <a:avLst/>
                    </a:prstGeom>
                  </pic:spPr>
                </pic:pic>
              </a:graphicData>
            </a:graphic>
          </wp:inline>
        </w:drawing>
      </w:r>
    </w:p>
    <w:p w:rsidR="00C444CA" w:rsidRDefault="00C444CA">
      <w:pPr>
        <w:pStyle w:val="NormalWeb"/>
        <w:sectPr w:rsidR="00C444CA" w:rsidSect="00C444CA">
          <w:pgSz w:w="16838" w:h="11906" w:orient="landscape"/>
          <w:pgMar w:top="720" w:right="720" w:bottom="720" w:left="1134" w:header="709" w:footer="284" w:gutter="0"/>
          <w:cols w:space="708"/>
          <w:titlePg/>
          <w:docGrid w:linePitch="360"/>
        </w:sectPr>
      </w:pPr>
    </w:p>
    <w:p w:rsidR="00AB0397" w:rsidRDefault="00AB0397" w:rsidP="003174C7">
      <w:r>
        <w:lastRenderedPageBreak/>
        <w:t xml:space="preserve">Nationally, new public health measures have been implemented in response to cases of SARS-CoV-2 variants of concern. Nationwide requirements involving air travel remain including pre-flight testing for travellers entering Australia and requirements to wear </w:t>
      </w:r>
      <w:proofErr w:type="gramStart"/>
      <w:r>
        <w:t>face masks</w:t>
      </w:r>
      <w:proofErr w:type="gramEnd"/>
      <w:r>
        <w:t xml:space="preserve"> when flying domestically or internationally. The national vaccination rollout of Phase 1a has continued this month and Phase 1b has commenced across jurisdictions this month. </w:t>
      </w:r>
    </w:p>
    <w:p w:rsidR="00AB0397" w:rsidRPr="003174C7" w:rsidRDefault="00AB0397" w:rsidP="003174C7">
      <w:pPr>
        <w:pStyle w:val="Heading2"/>
      </w:pPr>
      <w:r w:rsidRPr="003174C7">
        <w:t xml:space="preserve">Countries and territories in Australia’s near region </w:t>
      </w:r>
    </w:p>
    <w:p w:rsidR="00AB0397" w:rsidRDefault="00AB0397" w:rsidP="003174C7">
      <w:proofErr w:type="gramStart"/>
      <w:r>
        <w:t>According to the World Health Organization (WHO), 46 countries and territories in the South East Asian (SEARO) and Western Pacific (WPRO) regions reported 1,342,131 newly-confirmed cases and 12,078 deaths in the four-week period from 1 March to 28 March 2021, bringing the cumulative cases in the two regions to 16.5 million and 249,098 cumulative deaths.</w:t>
      </w:r>
      <w:r>
        <w:rPr>
          <w:vertAlign w:val="superscript"/>
        </w:rPr>
        <w:t>31</w:t>
      </w:r>
      <w:r>
        <w:t xml:space="preserve"> In the Western Pacific, case numbers increased by 19.3% (238,254 new cases) in the last four weeks, while 46.7% fewer new deaths (2,354 new deaths) were reported compared to the previous four-week period.</w:t>
      </w:r>
      <w:proofErr w:type="gramEnd"/>
      <w:r>
        <w:t xml:space="preserve"> Similarly in South East Asia, reported new cases increased in the four-week period by 67% while new deaths remained at a similar number (1,102,877 new cases and 9,724 new deaths), compared to the preceding four-week period. Countries and territories that experienced the greatest rate of increase in new cases were: </w:t>
      </w:r>
    </w:p>
    <w:p w:rsidR="00AB0397" w:rsidRPr="003174C7" w:rsidRDefault="00AB0397" w:rsidP="003174C7">
      <w:pPr>
        <w:pStyle w:val="ListParagraph"/>
        <w:numPr>
          <w:ilvl w:val="0"/>
          <w:numId w:val="19"/>
        </w:numPr>
        <w:rPr>
          <w:rFonts w:eastAsia="Times New Roman"/>
        </w:rPr>
      </w:pPr>
      <w:r w:rsidRPr="003174C7">
        <w:rPr>
          <w:rFonts w:eastAsia="Times New Roman"/>
        </w:rPr>
        <w:t xml:space="preserve">Papua New Guinea (776%); </w:t>
      </w:r>
    </w:p>
    <w:p w:rsidR="00AB0397" w:rsidRPr="003174C7" w:rsidRDefault="00AB0397" w:rsidP="003174C7">
      <w:pPr>
        <w:pStyle w:val="ListParagraph"/>
        <w:numPr>
          <w:ilvl w:val="0"/>
          <w:numId w:val="19"/>
        </w:numPr>
        <w:rPr>
          <w:rFonts w:eastAsia="Times New Roman"/>
        </w:rPr>
      </w:pPr>
      <w:r w:rsidRPr="003174C7">
        <w:rPr>
          <w:rFonts w:eastAsia="Times New Roman"/>
        </w:rPr>
        <w:t xml:space="preserve">Timor-Leste (754%); </w:t>
      </w:r>
    </w:p>
    <w:p w:rsidR="00AB0397" w:rsidRPr="003174C7" w:rsidRDefault="00AB0397" w:rsidP="003174C7">
      <w:pPr>
        <w:pStyle w:val="ListParagraph"/>
        <w:numPr>
          <w:ilvl w:val="0"/>
          <w:numId w:val="19"/>
        </w:numPr>
        <w:rPr>
          <w:rFonts w:eastAsia="Times New Roman"/>
        </w:rPr>
      </w:pPr>
      <w:r w:rsidRPr="003174C7">
        <w:rPr>
          <w:rFonts w:eastAsia="Times New Roman"/>
        </w:rPr>
        <w:t xml:space="preserve">New Caledonia (473%); </w:t>
      </w:r>
    </w:p>
    <w:p w:rsidR="00AB0397" w:rsidRPr="003174C7" w:rsidRDefault="00AB0397" w:rsidP="003174C7">
      <w:pPr>
        <w:pStyle w:val="ListParagraph"/>
        <w:numPr>
          <w:ilvl w:val="0"/>
          <w:numId w:val="19"/>
        </w:numPr>
        <w:rPr>
          <w:rFonts w:eastAsia="Times New Roman"/>
        </w:rPr>
      </w:pPr>
      <w:r w:rsidRPr="003174C7">
        <w:rPr>
          <w:rFonts w:eastAsia="Times New Roman"/>
        </w:rPr>
        <w:t xml:space="preserve">Bangladesh (316%); </w:t>
      </w:r>
    </w:p>
    <w:p w:rsidR="00AB0397" w:rsidRPr="003174C7" w:rsidRDefault="00AB0397" w:rsidP="003174C7">
      <w:pPr>
        <w:pStyle w:val="ListParagraph"/>
        <w:numPr>
          <w:ilvl w:val="0"/>
          <w:numId w:val="19"/>
        </w:numPr>
        <w:rPr>
          <w:rFonts w:eastAsia="Times New Roman"/>
        </w:rPr>
      </w:pPr>
      <w:r w:rsidRPr="003174C7">
        <w:rPr>
          <w:rFonts w:eastAsia="Times New Roman"/>
        </w:rPr>
        <w:t xml:space="preserve">Philippines (172%); and </w:t>
      </w:r>
    </w:p>
    <w:p w:rsidR="00AB0397" w:rsidRPr="003174C7" w:rsidRDefault="00AB0397" w:rsidP="003174C7">
      <w:pPr>
        <w:pStyle w:val="ListParagraph"/>
        <w:numPr>
          <w:ilvl w:val="0"/>
          <w:numId w:val="19"/>
        </w:numPr>
        <w:rPr>
          <w:rFonts w:eastAsia="Times New Roman"/>
        </w:rPr>
      </w:pPr>
      <w:r w:rsidRPr="003174C7">
        <w:rPr>
          <w:rFonts w:eastAsia="Times New Roman"/>
        </w:rPr>
        <w:t xml:space="preserve">India (150%). </w:t>
      </w:r>
    </w:p>
    <w:p w:rsidR="00AB0397" w:rsidRDefault="00AB0397" w:rsidP="003174C7">
      <w:r>
        <w:t xml:space="preserve">Trends in reporting new deaths are increasing in several countries (India, Bangladesh and Papua New Guinea), indicating that while regional trends indicate a decrease or stabilisation in deaths, this trend masks the nature of the epidemic in individual countries. </w:t>
      </w:r>
    </w:p>
    <w:p w:rsidR="00AB0397" w:rsidRDefault="00AB0397" w:rsidP="003174C7">
      <w:r>
        <w:t xml:space="preserve">Fourteen Pacific Island countries reported no new cases in the past month. </w:t>
      </w:r>
    </w:p>
    <w:p w:rsidR="00AB0397" w:rsidRDefault="00AB0397" w:rsidP="003174C7">
      <w:r>
        <w:t xml:space="preserve">Table 9 outlines the current transmission classification set by WHO for Australia’s near region. Under </w:t>
      </w:r>
      <w:proofErr w:type="gramStart"/>
      <w:r>
        <w:t>WHO’s</w:t>
      </w:r>
      <w:proofErr w:type="gramEnd"/>
      <w:r>
        <w:t xml:space="preserve"> classification, Australia has a transmission classification of ‘clusters of cases’. </w:t>
      </w:r>
    </w:p>
    <w:p w:rsidR="009E20D1" w:rsidRDefault="009E20D1">
      <w:pPr>
        <w:rPr>
          <w:b/>
        </w:rPr>
      </w:pPr>
      <w:r>
        <w:br w:type="page"/>
      </w:r>
    </w:p>
    <w:p w:rsidR="00AB0397" w:rsidRDefault="00AB0397" w:rsidP="003174C7">
      <w:pPr>
        <w:pStyle w:val="CDIFigures"/>
      </w:pPr>
      <w:r>
        <w:lastRenderedPageBreak/>
        <w:t>Table 9: Transmission patterns for countries in Australia’s near region according to WHO, 28 March 2021</w:t>
      </w:r>
      <w:r w:rsidRPr="003174C7">
        <w:rPr>
          <w:vertAlign w:val="superscript"/>
        </w:rPr>
        <w:t>a</w:t>
      </w:r>
      <w:proofErr w:type="gramStart"/>
      <w:r w:rsidRPr="003174C7">
        <w:rPr>
          <w:vertAlign w:val="superscript"/>
        </w:rPr>
        <w:t>,b</w:t>
      </w:r>
      <w:proofErr w:type="gramEnd"/>
    </w:p>
    <w:tbl>
      <w:tblPr>
        <w:tblStyle w:val="CDI-StandardTable"/>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left w:w="113" w:type="dxa"/>
          <w:bottom w:w="57" w:type="dxa"/>
          <w:right w:w="113" w:type="dxa"/>
        </w:tblCellMar>
        <w:tblLook w:val="04A0" w:firstRow="1" w:lastRow="0" w:firstColumn="1" w:lastColumn="0" w:noHBand="0" w:noVBand="1"/>
        <w:tblDescription w:val="A table summarising transmission patterns (comprising: no cases; sporadic cases; clusters of cases; and community transmission) among the countries in Australia’s near region. Several smaller Western Pacific nations are currently exhibiting no cases or only sporadic cases. Four countries in the near region have current community transmission: Bangladesh, Indonesia, Papua New Guinea and the Philippines.&#10;"/>
      </w:tblPr>
      <w:tblGrid>
        <w:gridCol w:w="6383"/>
        <w:gridCol w:w="4077"/>
      </w:tblGrid>
      <w:tr w:rsidR="009E20D1" w:rsidRPr="009E20D1" w:rsidTr="001A604D">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B0397" w:rsidRPr="009E20D1" w:rsidRDefault="00AB0397">
            <w:pPr>
              <w:pStyle w:val="NormalWeb"/>
              <w:rPr>
                <w:color w:val="FFFFFF" w:themeColor="background1"/>
              </w:rPr>
            </w:pPr>
            <w:r w:rsidRPr="009E20D1">
              <w:rPr>
                <w:color w:val="FFFFFF" w:themeColor="background1"/>
              </w:rPr>
              <w:t>Category</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B0397" w:rsidRPr="009E20D1" w:rsidRDefault="00AB0397">
            <w:pPr>
              <w:pStyle w:val="NormalWeb"/>
              <w:rPr>
                <w:color w:val="FFFFFF" w:themeColor="background1"/>
              </w:rPr>
            </w:pPr>
            <w:r w:rsidRPr="009E20D1">
              <w:rPr>
                <w:color w:val="FFFFFF" w:themeColor="background1"/>
              </w:rPr>
              <w:t>Country</w:t>
            </w:r>
          </w:p>
        </w:tc>
      </w:tr>
      <w:tr w:rsidR="00AB0397" w:rsidTr="001A604D">
        <w:tc>
          <w:tcPr>
            <w:tcW w:w="0" w:type="auto"/>
            <w:tcBorders>
              <w:top w:val="single" w:sz="2" w:space="0" w:color="FFFFFF" w:themeColor="background1"/>
            </w:tcBorders>
            <w:hideMark/>
          </w:tcPr>
          <w:p w:rsidR="009E20D1" w:rsidRDefault="00AB0397">
            <w:pPr>
              <w:pStyle w:val="NormalWeb"/>
              <w:rPr>
                <w:b/>
              </w:rPr>
            </w:pPr>
            <w:r w:rsidRPr="009E20D1">
              <w:rPr>
                <w:b/>
              </w:rPr>
              <w:t>No cases</w:t>
            </w:r>
          </w:p>
          <w:p w:rsidR="00AB0397" w:rsidRPr="009E20D1" w:rsidRDefault="00AB0397">
            <w:pPr>
              <w:pStyle w:val="NormalWeb"/>
              <w:rPr>
                <w:b/>
              </w:rPr>
            </w:pPr>
            <w:r>
              <w:t>Countries/territories/areas with no cases</w:t>
            </w:r>
          </w:p>
        </w:tc>
        <w:tc>
          <w:tcPr>
            <w:tcW w:w="0" w:type="auto"/>
            <w:tcBorders>
              <w:top w:val="single" w:sz="2" w:space="0" w:color="FFFFFF" w:themeColor="background1"/>
            </w:tcBorders>
            <w:hideMark/>
          </w:tcPr>
          <w:p w:rsidR="00AB0397" w:rsidRDefault="00AB0397">
            <w:pPr>
              <w:pStyle w:val="NormalWeb"/>
            </w:pPr>
            <w:r>
              <w:t>American Samoa, Cook Islands, Democratic People’s Republic of Korea, Kiribati, Marshall Islands, Federated States of Micronesia, Nauru, Niue, Palau, Pitcairn Islands, Samoa, Solomon Islands, Tokelau, Tonga, Tuvalu and Vanuatu</w:t>
            </w:r>
          </w:p>
        </w:tc>
      </w:tr>
      <w:tr w:rsidR="00AB0397" w:rsidTr="009E20D1">
        <w:trPr>
          <w:cnfStyle w:val="000000010000" w:firstRow="0" w:lastRow="0" w:firstColumn="0" w:lastColumn="0" w:oddVBand="0" w:evenVBand="0" w:oddHBand="0" w:evenHBand="1" w:firstRowFirstColumn="0" w:firstRowLastColumn="0" w:lastRowFirstColumn="0" w:lastRowLastColumn="0"/>
        </w:trPr>
        <w:tc>
          <w:tcPr>
            <w:tcW w:w="0" w:type="auto"/>
            <w:hideMark/>
          </w:tcPr>
          <w:p w:rsidR="00AB0397" w:rsidRPr="009E20D1" w:rsidRDefault="00AB0397">
            <w:pPr>
              <w:pStyle w:val="NormalWeb"/>
              <w:rPr>
                <w:b/>
              </w:rPr>
            </w:pPr>
            <w:r w:rsidRPr="009E20D1">
              <w:rPr>
                <w:b/>
              </w:rPr>
              <w:t>Sporadic cases</w:t>
            </w:r>
          </w:p>
          <w:p w:rsidR="00AB0397" w:rsidRDefault="00AB0397">
            <w:pPr>
              <w:pStyle w:val="NormalWeb"/>
            </w:pPr>
            <w:r>
              <w:t>Countries/territories/areas with one or more cases, imported or locally detected</w:t>
            </w:r>
          </w:p>
        </w:tc>
        <w:tc>
          <w:tcPr>
            <w:tcW w:w="0" w:type="auto"/>
            <w:hideMark/>
          </w:tcPr>
          <w:p w:rsidR="00AB0397" w:rsidRDefault="00AB0397">
            <w:pPr>
              <w:pStyle w:val="NormalWeb"/>
            </w:pPr>
            <w:r>
              <w:t>Bhutan, Cambodia, Fiji, French Polynesia, Lao PDR, New Caledonia, Singapore, Wallis and Futuna</w:t>
            </w:r>
          </w:p>
        </w:tc>
      </w:tr>
      <w:tr w:rsidR="00AB0397" w:rsidTr="009E20D1">
        <w:tc>
          <w:tcPr>
            <w:tcW w:w="0" w:type="auto"/>
            <w:hideMark/>
          </w:tcPr>
          <w:p w:rsidR="00AB0397" w:rsidRPr="009E20D1" w:rsidRDefault="00AB0397">
            <w:pPr>
              <w:pStyle w:val="NormalWeb"/>
              <w:rPr>
                <w:b/>
              </w:rPr>
            </w:pPr>
            <w:r w:rsidRPr="009E20D1">
              <w:rPr>
                <w:b/>
              </w:rPr>
              <w:t>Clusters of cases</w:t>
            </w:r>
          </w:p>
          <w:p w:rsidR="00AB0397" w:rsidRDefault="00AB0397">
            <w:pPr>
              <w:pStyle w:val="NormalWeb"/>
            </w:pPr>
            <w:r>
              <w:t>Countries/territories/areas experiencing cases, clustered in time, geographic location and/or by common exposures</w:t>
            </w:r>
          </w:p>
        </w:tc>
        <w:tc>
          <w:tcPr>
            <w:tcW w:w="0" w:type="auto"/>
            <w:hideMark/>
          </w:tcPr>
          <w:p w:rsidR="00AB0397" w:rsidRDefault="00AB0397">
            <w:pPr>
              <w:pStyle w:val="NormalWeb"/>
            </w:pPr>
            <w:r>
              <w:t>Australia, Brunei Darussalam, China, Guam, India, Japan, Malaysia, Maldives, Mongolia, Myanmar, Nepal, New Zealand, Republic of Korea, Sri Lanka, Thailand, Timor-Leste and Vietnam</w:t>
            </w:r>
          </w:p>
        </w:tc>
      </w:tr>
      <w:tr w:rsidR="00AB0397" w:rsidTr="009E20D1">
        <w:trPr>
          <w:cnfStyle w:val="000000010000" w:firstRow="0" w:lastRow="0" w:firstColumn="0" w:lastColumn="0" w:oddVBand="0" w:evenVBand="0" w:oddHBand="0" w:evenHBand="1" w:firstRowFirstColumn="0" w:firstRowLastColumn="0" w:lastRowFirstColumn="0" w:lastRowLastColumn="0"/>
        </w:trPr>
        <w:tc>
          <w:tcPr>
            <w:tcW w:w="0" w:type="auto"/>
            <w:hideMark/>
          </w:tcPr>
          <w:p w:rsidR="00AB0397" w:rsidRPr="009E20D1" w:rsidRDefault="00AB0397">
            <w:pPr>
              <w:pStyle w:val="NormalWeb"/>
              <w:rPr>
                <w:b/>
              </w:rPr>
            </w:pPr>
            <w:r w:rsidRPr="009E20D1">
              <w:rPr>
                <w:b/>
              </w:rPr>
              <w:t>Community transmission</w:t>
            </w:r>
          </w:p>
          <w:p w:rsidR="00AB0397" w:rsidRDefault="00AB0397">
            <w:pPr>
              <w:pStyle w:val="NormalWeb"/>
            </w:pPr>
            <w:proofErr w:type="gramStart"/>
            <w:r>
              <w:t>Countries /territories/areas experiencing larger outbreaks of local transmission defined through an assessment of factors including, but not limited to:</w:t>
            </w:r>
            <w:r>
              <w:br/>
              <w:t>large numbers of cases not linkable to transmission chains large numbers of cases from sentinel lab surveillance or increasing positive tests through sentinel samples (routine systematic testing of respiratory samples from established laboratories) multiple unrelated clusters in several areas of the country/territory/area.</w:t>
            </w:r>
            <w:proofErr w:type="gramEnd"/>
          </w:p>
        </w:tc>
        <w:tc>
          <w:tcPr>
            <w:tcW w:w="0" w:type="auto"/>
            <w:hideMark/>
          </w:tcPr>
          <w:p w:rsidR="00AB0397" w:rsidRDefault="00AB0397">
            <w:pPr>
              <w:pStyle w:val="NormalWeb"/>
            </w:pPr>
            <w:r>
              <w:t>Bangladesh, Indonesia, Papua New Guinea and Philippines</w:t>
            </w:r>
          </w:p>
        </w:tc>
      </w:tr>
    </w:tbl>
    <w:p w:rsidR="00AB0397" w:rsidRDefault="00AB0397" w:rsidP="009E20D1">
      <w:pPr>
        <w:pStyle w:val="CDIfootnotes"/>
      </w:pPr>
      <w:proofErr w:type="gramStart"/>
      <w:r>
        <w:t>a</w:t>
      </w:r>
      <w:proofErr w:type="gramEnd"/>
      <w:r>
        <w:tab/>
        <w:t>Source: World Health Organization Weekly Operational Update for 29 March 2021.32</w:t>
      </w:r>
    </w:p>
    <w:p w:rsidR="00AB0397" w:rsidRDefault="00AB0397" w:rsidP="009E20D1">
      <w:pPr>
        <w:pStyle w:val="CDIfootnotes"/>
      </w:pPr>
      <w:proofErr w:type="gramStart"/>
      <w:r>
        <w:t>b</w:t>
      </w:r>
      <w:proofErr w:type="gramEnd"/>
      <w:r>
        <w:tab/>
        <w:t>Classifications according to WHO.</w:t>
      </w:r>
    </w:p>
    <w:p w:rsidR="00AB0397" w:rsidRDefault="00AB0397" w:rsidP="009E20D1">
      <w:r>
        <w:t xml:space="preserve">Globally, reported new cases increased by 15.6% while 20% fewer deaths were reported in the past four weeks since 28 February 2021 (12,916,858 reported new cases; 2,768,952 new deaths), with a global case fatality rate (CFR) of 2.2%. The global case increase was driven by increases in South East Asia (67%), the Eastern Mediterranean (39.7%), Europe (30.3%) and the Western Pacific (19.3%). To date, over 126 million COVID-19 cases and 2.7 million deaths have been reported globally. Two regions continue to report the largest burden of disease, with the Region of the Americas accounting for around 43.7% of all new cases and 48.1% of all </w:t>
      </w:r>
      <w:proofErr w:type="gramStart"/>
      <w:r>
        <w:t>newly-reported</w:t>
      </w:r>
      <w:proofErr w:type="gramEnd"/>
      <w:r>
        <w:t xml:space="preserve"> deaths, and Europe accounting for 35% of all new cases and 34.5% of newly reported deaths. The highest number of </w:t>
      </w:r>
      <w:proofErr w:type="gramStart"/>
      <w:r>
        <w:t>newly-reported</w:t>
      </w:r>
      <w:proofErr w:type="gramEnd"/>
      <w:r>
        <w:t xml:space="preserve"> cases in the past four weeks were in: </w:t>
      </w:r>
    </w:p>
    <w:p w:rsidR="00AB0397" w:rsidRPr="00E30B9A" w:rsidRDefault="00AB0397" w:rsidP="00E30B9A">
      <w:pPr>
        <w:pStyle w:val="ListParagraph"/>
        <w:numPr>
          <w:ilvl w:val="0"/>
          <w:numId w:val="22"/>
        </w:numPr>
        <w:rPr>
          <w:rFonts w:eastAsia="Times New Roman"/>
        </w:rPr>
      </w:pPr>
      <w:r w:rsidRPr="00E30B9A">
        <w:rPr>
          <w:rFonts w:eastAsia="Times New Roman"/>
        </w:rPr>
        <w:t xml:space="preserve">Brazil – experiencing community transmission (1,948,784 new cases; representing a 45.7% increase) </w:t>
      </w:r>
    </w:p>
    <w:p w:rsidR="00AB0397" w:rsidRPr="00E30B9A" w:rsidRDefault="00AB0397" w:rsidP="00E30B9A">
      <w:pPr>
        <w:pStyle w:val="ListParagraph"/>
        <w:numPr>
          <w:ilvl w:val="0"/>
          <w:numId w:val="22"/>
        </w:numPr>
        <w:rPr>
          <w:rFonts w:eastAsia="Times New Roman"/>
        </w:rPr>
      </w:pPr>
      <w:r w:rsidRPr="00E30B9A">
        <w:rPr>
          <w:rFonts w:eastAsia="Times New Roman"/>
        </w:rPr>
        <w:t xml:space="preserve">United States of America – experiencing community transmission (1,684,728 which represents 32.6% fewer cases); </w:t>
      </w:r>
    </w:p>
    <w:p w:rsidR="00AB0397" w:rsidRPr="00E30B9A" w:rsidRDefault="00AB0397" w:rsidP="00E30B9A">
      <w:pPr>
        <w:pStyle w:val="ListParagraph"/>
        <w:numPr>
          <w:ilvl w:val="0"/>
          <w:numId w:val="22"/>
        </w:numPr>
        <w:rPr>
          <w:rFonts w:eastAsia="Times New Roman"/>
        </w:rPr>
      </w:pPr>
      <w:r w:rsidRPr="00E30B9A">
        <w:rPr>
          <w:rFonts w:eastAsia="Times New Roman"/>
        </w:rPr>
        <w:t xml:space="preserve">India – experiencing clusters of cases (reported 874,893 new cases, an almost 150% increase); </w:t>
      </w:r>
    </w:p>
    <w:p w:rsidR="00AB0397" w:rsidRPr="00E30B9A" w:rsidRDefault="00AB0397" w:rsidP="00E30B9A">
      <w:pPr>
        <w:pStyle w:val="ListParagraph"/>
        <w:numPr>
          <w:ilvl w:val="0"/>
          <w:numId w:val="22"/>
        </w:numPr>
        <w:rPr>
          <w:rFonts w:eastAsia="Times New Roman"/>
        </w:rPr>
      </w:pPr>
      <w:r w:rsidRPr="00E30B9A">
        <w:rPr>
          <w:rFonts w:eastAsia="Times New Roman"/>
        </w:rPr>
        <w:t xml:space="preserve">France – experiencing community transmission (763,849 new cases, representing a 40.2% increase); </w:t>
      </w:r>
    </w:p>
    <w:p w:rsidR="00AB0397" w:rsidRPr="00E30B9A" w:rsidRDefault="00AB0397" w:rsidP="00E30B9A">
      <w:pPr>
        <w:pStyle w:val="ListParagraph"/>
        <w:numPr>
          <w:ilvl w:val="0"/>
          <w:numId w:val="22"/>
        </w:numPr>
        <w:rPr>
          <w:rFonts w:eastAsia="Times New Roman"/>
        </w:rPr>
      </w:pPr>
      <w:r w:rsidRPr="00E30B9A">
        <w:rPr>
          <w:rFonts w:eastAsia="Times New Roman"/>
        </w:rPr>
        <w:t xml:space="preserve">Italy – experiencing clusters of cases (604,628 reported new cases, representing a 65.2% increase); </w:t>
      </w:r>
    </w:p>
    <w:p w:rsidR="00AB0397" w:rsidRPr="00E30B9A" w:rsidRDefault="00AB0397" w:rsidP="00E30B9A">
      <w:pPr>
        <w:pStyle w:val="ListParagraph"/>
        <w:numPr>
          <w:ilvl w:val="0"/>
          <w:numId w:val="22"/>
        </w:numPr>
        <w:rPr>
          <w:rFonts w:eastAsia="Times New Roman"/>
        </w:rPr>
      </w:pPr>
      <w:r w:rsidRPr="00E30B9A">
        <w:rPr>
          <w:rFonts w:eastAsia="Times New Roman"/>
        </w:rPr>
        <w:t xml:space="preserve">Poland – experiencing community transmission (544,005 new cases, representing a 181% increase). </w:t>
      </w:r>
    </w:p>
    <w:p w:rsidR="00AB0397" w:rsidRDefault="00AB0397" w:rsidP="001B2100">
      <w:r>
        <w:lastRenderedPageBreak/>
        <w:t xml:space="preserve">The highest number of deaths from COVID-19 in the last four weeks were reported in: </w:t>
      </w:r>
    </w:p>
    <w:p w:rsidR="00AB0397" w:rsidRPr="00E30B9A" w:rsidRDefault="00AB0397" w:rsidP="00E30B9A">
      <w:pPr>
        <w:pStyle w:val="ListParagraph"/>
        <w:numPr>
          <w:ilvl w:val="0"/>
          <w:numId w:val="22"/>
        </w:numPr>
        <w:rPr>
          <w:rFonts w:eastAsia="Times New Roman"/>
        </w:rPr>
      </w:pPr>
      <w:r w:rsidRPr="00E30B9A">
        <w:rPr>
          <w:rFonts w:eastAsia="Times New Roman"/>
        </w:rPr>
        <w:t xml:space="preserve">Brazil (54,277 deaths, representing a 79.9% increase in deaths); </w:t>
      </w:r>
    </w:p>
    <w:p w:rsidR="00AB0397" w:rsidRPr="00E30B9A" w:rsidRDefault="00AB0397" w:rsidP="00E30B9A">
      <w:pPr>
        <w:pStyle w:val="ListParagraph"/>
        <w:numPr>
          <w:ilvl w:val="0"/>
          <w:numId w:val="22"/>
        </w:numPr>
        <w:rPr>
          <w:rFonts w:eastAsia="Times New Roman"/>
        </w:rPr>
      </w:pPr>
      <w:r w:rsidRPr="00E30B9A">
        <w:rPr>
          <w:rFonts w:eastAsia="Times New Roman"/>
        </w:rPr>
        <w:t xml:space="preserve">United States of America (36,243 deaths, representing 50.7% fewer deaths); </w:t>
      </w:r>
    </w:p>
    <w:p w:rsidR="00AB0397" w:rsidRPr="00E30B9A" w:rsidRDefault="00AB0397" w:rsidP="00E30B9A">
      <w:pPr>
        <w:pStyle w:val="ListParagraph"/>
        <w:numPr>
          <w:ilvl w:val="0"/>
          <w:numId w:val="22"/>
        </w:numPr>
        <w:rPr>
          <w:rFonts w:eastAsia="Times New Roman"/>
        </w:rPr>
      </w:pPr>
      <w:r w:rsidRPr="00E30B9A">
        <w:rPr>
          <w:rFonts w:eastAsia="Times New Roman"/>
        </w:rPr>
        <w:t xml:space="preserve">Mexico (16,388 deaths, representing 41.3% fewer deaths); </w:t>
      </w:r>
    </w:p>
    <w:p w:rsidR="00AB0397" w:rsidRPr="00E30B9A" w:rsidRDefault="00AB0397" w:rsidP="00E30B9A">
      <w:pPr>
        <w:pStyle w:val="ListParagraph"/>
        <w:numPr>
          <w:ilvl w:val="0"/>
          <w:numId w:val="22"/>
        </w:numPr>
        <w:rPr>
          <w:rFonts w:eastAsia="Times New Roman"/>
        </w:rPr>
      </w:pPr>
      <w:r w:rsidRPr="00E30B9A">
        <w:rPr>
          <w:rFonts w:eastAsia="Times New Roman"/>
        </w:rPr>
        <w:t xml:space="preserve">Russian Federation (11,618 deaths, representing 10.2% fewer deaths); </w:t>
      </w:r>
    </w:p>
    <w:p w:rsidR="00AB0397" w:rsidRPr="00E30B9A" w:rsidRDefault="00AB0397" w:rsidP="00E30B9A">
      <w:pPr>
        <w:pStyle w:val="ListParagraph"/>
        <w:numPr>
          <w:ilvl w:val="0"/>
          <w:numId w:val="22"/>
        </w:numPr>
        <w:rPr>
          <w:rFonts w:eastAsia="Times New Roman"/>
        </w:rPr>
      </w:pPr>
      <w:r w:rsidRPr="00E30B9A">
        <w:rPr>
          <w:rFonts w:eastAsia="Times New Roman"/>
        </w:rPr>
        <w:t xml:space="preserve">Italy (10,129 deaths, representing a 9.8% increase in deaths). </w:t>
      </w:r>
    </w:p>
    <w:p w:rsidR="00AB0397" w:rsidRDefault="00AB0397" w:rsidP="009E20D1">
      <w:proofErr w:type="gramStart"/>
      <w:r>
        <w:t>For many countries, vaccine rollout began in December 2020 but global distribution remains significantly uneven and well below 50% coverage in countries of high transmission.</w:t>
      </w:r>
      <w:r>
        <w:rPr>
          <w:vertAlign w:val="superscript"/>
        </w:rPr>
        <w:t>33</w:t>
      </w:r>
      <w:r>
        <w:t xml:space="preserve"> In some countries, vaccine rollout suggests association with fewer deaths, particularly in older age groups, however further analysis is required to determine vaccination efficacy for reducing transmission.</w:t>
      </w:r>
      <w:r>
        <w:rPr>
          <w:vertAlign w:val="superscript"/>
        </w:rPr>
        <w:t>34</w:t>
      </w:r>
      <w:r>
        <w:t xml:space="preserve"> Public health prevention measures and periods of restriction of community mobility remain the primary means to reduce transmission, particularly as new strains emerge and circulate simultaneously.</w:t>
      </w:r>
      <w:proofErr w:type="gramEnd"/>
      <w:r>
        <w:t xml:space="preserve"> WHO has recently published a position paper on the scientific, ethical, legal and technological considerations on the introduction of requirements for ‘proof’ (as distinguished from a certificate) of COVID-19 vaccination for outgoing or incoming international </w:t>
      </w:r>
      <w:proofErr w:type="gramStart"/>
      <w:r>
        <w:t>travellers.</w:t>
      </w:r>
      <w:proofErr w:type="gramEnd"/>
      <w:r>
        <w:t xml:space="preserve"> </w:t>
      </w:r>
      <w:proofErr w:type="gramStart"/>
      <w:r>
        <w:t>WHO’s</w:t>
      </w:r>
      <w:proofErr w:type="gramEnd"/>
      <w:r>
        <w:t xml:space="preserve"> present position is that national authorities should not introduce requirements of proof of COVID-19 vaccination for international travel as a condition for departure or entry. This is because the efficacy of vaccines in preventing transmission is not yet clear, and global vaccine supply is limited. WHO will revise their recommendations as evidence about existing and new COVID-19 vaccines is compiled.</w:t>
      </w:r>
      <w:r>
        <w:rPr>
          <w:vertAlign w:val="superscript"/>
        </w:rPr>
        <w:t>35</w:t>
      </w:r>
      <w:r>
        <w:t xml:space="preserve"> An international summary by WHO Region can be found in the WHO Epidemiological Update dated 31 March 2021.</w:t>
      </w:r>
      <w:r>
        <w:rPr>
          <w:vertAlign w:val="superscript"/>
        </w:rPr>
        <w:t xml:space="preserve">31,32 </w:t>
      </w:r>
    </w:p>
    <w:p w:rsidR="00AB0397" w:rsidRPr="009E20D1" w:rsidRDefault="00AB0397" w:rsidP="009E20D1">
      <w:pPr>
        <w:pStyle w:val="Heading1"/>
      </w:pPr>
      <w:r w:rsidRPr="009E20D1">
        <w:t xml:space="preserve">Acknowledgements </w:t>
      </w:r>
    </w:p>
    <w:p w:rsidR="00AB0397" w:rsidRDefault="00AB0397" w:rsidP="009E20D1">
      <w:r>
        <w:t xml:space="preserve">We thank public health staff from incident emergency operations centres and public health units in state and territory health departments, and the Australian Government Department of Health, along with state and territory public health laboratories. We thank those who have provided data from surveillance systems, such as Commonwealth respiratory clinics, ASPREN, Flutracking, FluCAN, Communicable Disease Genomics Network, </w:t>
      </w:r>
      <w:proofErr w:type="spellStart"/>
      <w:r>
        <w:t>AusTrakka</w:t>
      </w:r>
      <w:proofErr w:type="spellEnd"/>
      <w:r>
        <w:t xml:space="preserve"> and jurisdictional sequencing laboratories. </w:t>
      </w:r>
    </w:p>
    <w:p w:rsidR="00AB0397" w:rsidRPr="009E20D1" w:rsidRDefault="00AB0397" w:rsidP="009E20D1">
      <w:pPr>
        <w:pStyle w:val="Heading1"/>
      </w:pPr>
      <w:r w:rsidRPr="009E20D1">
        <w:t xml:space="preserve">Author details </w:t>
      </w:r>
    </w:p>
    <w:p w:rsidR="00AB0397" w:rsidRPr="009E20D1" w:rsidRDefault="00AB0397" w:rsidP="009E20D1">
      <w:pPr>
        <w:pStyle w:val="Heading2"/>
      </w:pPr>
      <w:r w:rsidRPr="009E20D1">
        <w:t xml:space="preserve">Corresponding author </w:t>
      </w:r>
    </w:p>
    <w:p w:rsidR="00AB0397" w:rsidRDefault="00AB0397" w:rsidP="004B63A4">
      <w:r>
        <w:t xml:space="preserve">COVID-19 National Incident Room Surveillance Team </w:t>
      </w:r>
    </w:p>
    <w:p w:rsidR="00AB0397" w:rsidRDefault="00AB0397" w:rsidP="004B63A4">
      <w:r>
        <w:t xml:space="preserve">Australian Government Department of Health, GPO Box 9484, MDP 14, Canberra, ACT 2601. </w:t>
      </w:r>
    </w:p>
    <w:p w:rsidR="00AB0397" w:rsidRDefault="00AB0397" w:rsidP="004B63A4">
      <w:r>
        <w:t xml:space="preserve">Email: epi.coronavirus@health.gov.au </w:t>
      </w:r>
    </w:p>
    <w:p w:rsidR="009E20D1" w:rsidRDefault="009E20D1">
      <w:pPr>
        <w:rPr>
          <w:rFonts w:asciiTheme="majorHAnsi" w:eastAsiaTheme="majorEastAsia" w:hAnsiTheme="majorHAnsi" w:cstheme="majorBidi"/>
          <w:b/>
          <w:bCs/>
          <w:sz w:val="32"/>
          <w:szCs w:val="28"/>
        </w:rPr>
      </w:pPr>
      <w:r>
        <w:br w:type="page"/>
      </w:r>
    </w:p>
    <w:p w:rsidR="00AB0397" w:rsidRPr="009E20D1" w:rsidRDefault="00AB0397" w:rsidP="009E20D1">
      <w:pPr>
        <w:pStyle w:val="Heading1"/>
      </w:pPr>
      <w:r w:rsidRPr="009E20D1">
        <w:lastRenderedPageBreak/>
        <w:t xml:space="preserve">References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World Health Organization (WHO). Weekly epidemiological update - 23 February 2021. [Internet.] Geneva: WHO; 23 February 2021. [Accessed on 30 March 2021.] Available from: https://www.who.int/publications/m/item/weekly-epidemiological-update---23-february-2021.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WHO. Weekly epidemiological update - 16 March 2021. [Internet.] Geneva: WHO; 16 March 2021. [Accessed on 30 March 2021.] Available from: https://www.who.int/publications/m/item/weekly-epidemiological-update---16-march-2021.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Australian Government Department of Health. </w:t>
      </w:r>
      <w:proofErr w:type="gramStart"/>
      <w:r>
        <w:rPr>
          <w:rFonts w:eastAsia="Times New Roman"/>
        </w:rPr>
        <w:t>Getting</w:t>
      </w:r>
      <w:proofErr w:type="gramEnd"/>
      <w:r>
        <w:rPr>
          <w:rFonts w:eastAsia="Times New Roman"/>
        </w:rPr>
        <w:t xml:space="preserve"> vaccinated for COVID-19: Australia’s vaccine rollout. [Internet.] Canberra: Australian Government Department of Health; 30 March 2021. [Accessed on 30 March 2021.] Available from: https://www.health.gov.au/initiatives-and-programs/covid-19-vaccines/getting-vaccinated-for-covid-19#australias-vaccine-rollout.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Therapeutic Goods Administration (TGA). COVID-19 vaccine approval process. [Internet.] Canberra: Australian Government Department of Health, TGA; 26 March 2021. [Accessed on 30 March 2021.] Available from: https://www.tga.gov.au/covid-19-vaccine-approval-process.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TGA. TGA approves CSL - </w:t>
      </w:r>
      <w:proofErr w:type="spellStart"/>
      <w:r>
        <w:rPr>
          <w:rFonts w:eastAsia="Times New Roman"/>
        </w:rPr>
        <w:t>Seqirus</w:t>
      </w:r>
      <w:proofErr w:type="spellEnd"/>
      <w:r>
        <w:rPr>
          <w:rFonts w:eastAsia="Times New Roman"/>
        </w:rPr>
        <w:t xml:space="preserve"> to manufacture AstraZeneca COVID-19 vaccine in Australia. [Internet.] Canberra: Australian Government Department of Health, TGA; 21 March 2021. [Accessed on 30 March 2021.] Available from: https://www.tga.gov.au/media-release/tga-approves-csl-seqirus-manufacture-astrazeneca-covid-19-vaccine-australia.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TGA. Melbourne-made COVID-19 vaccine now available. [Internet.] Canberra: Australian Government Department of Health, TGA; 23 March 2021. [Accessed on 30 March 2021.] Available from: https://www.tga.gov.au/media-release/melbourne-made-covid-19-vaccine-now-available.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Australian Government Department of Health. COVID-19 vaccination – Australia’s COVID-19 vaccine national roll-out strategy. [Internet.] Canberra: Australian Government Department of Health; 17 February 2021. [Accessed on 30 March 2021.] Available from: https://www.health.gov.au/resources/publications/covid-19-vaccination-australias-covid-19-vaccine-national-roll-out-strategy.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Johns Hopkins University &amp; Medicine Coronavirus Resource </w:t>
      </w:r>
      <w:proofErr w:type="spellStart"/>
      <w:r>
        <w:rPr>
          <w:rFonts w:eastAsia="Times New Roman"/>
        </w:rPr>
        <w:t>Center</w:t>
      </w:r>
      <w:proofErr w:type="spellEnd"/>
      <w:r>
        <w:rPr>
          <w:rFonts w:eastAsia="Times New Roman"/>
        </w:rPr>
        <w:t xml:space="preserve">. Understanding vaccination progress: vaccination progress across the world. [Internet.] Baltimore: Johns Hopkins University &amp; Medicine; 2021. [Accessed on 30 March 2021.] Available from: https://coronavirus.jhu.edu/vaccines/international.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Australian Government Department of Health. Australia’s vaccine agreements: COVAX facility. [Internet.] Canberra: Australian Government Department of Health; 22 February 2021. [Accessed on 30 March 2021.] Available from: https://www.health.gov.au/node/18777/australias-vaccine-agreements#covax-facility.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Australian Government Department of the Prime Minister and Cabinet. Australia supporting Papua New Guinea’s COVID-19 response. [Internet.] Canberra: Australian Government Department of Prime Minister and Cabinet; 17 March 2021. [Accessed on 30 March 2021.] Available from: https://www.pm.gov.au/media/australia-supporting-papua-new-guineas-covid-19-response.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COVID-19 National Incident Room Surveillance Team. Technical supplement. COVID-19 Australia: Epidemiology reporting. </w:t>
      </w:r>
      <w:proofErr w:type="spellStart"/>
      <w:r w:rsidRPr="00C47EEC">
        <w:rPr>
          <w:rStyle w:val="Emphasis"/>
          <w:rFonts w:eastAsia="Times New Roman"/>
          <w:b w:val="0"/>
        </w:rPr>
        <w:t>Commun</w:t>
      </w:r>
      <w:proofErr w:type="spellEnd"/>
      <w:r w:rsidRPr="00C47EEC">
        <w:rPr>
          <w:rStyle w:val="Emphasis"/>
          <w:rFonts w:eastAsia="Times New Roman"/>
          <w:b w:val="0"/>
        </w:rPr>
        <w:t xml:space="preserve"> Dis </w:t>
      </w:r>
      <w:proofErr w:type="spellStart"/>
      <w:r w:rsidRPr="00C47EEC">
        <w:rPr>
          <w:rStyle w:val="Emphasis"/>
          <w:rFonts w:eastAsia="Times New Roman"/>
          <w:b w:val="0"/>
        </w:rPr>
        <w:t>Intell</w:t>
      </w:r>
      <w:proofErr w:type="spellEnd"/>
      <w:r w:rsidRPr="00C47EEC">
        <w:rPr>
          <w:rStyle w:val="Emphasis"/>
          <w:rFonts w:eastAsia="Times New Roman"/>
          <w:b w:val="0"/>
        </w:rPr>
        <w:t xml:space="preserve"> (2018)</w:t>
      </w:r>
      <w:r>
        <w:rPr>
          <w:rFonts w:eastAsia="Times New Roman"/>
        </w:rPr>
        <w:t>. 2021</w:t>
      </w:r>
      <w:proofErr w:type="gramStart"/>
      <w:r>
        <w:rPr>
          <w:rFonts w:eastAsia="Times New Roman"/>
        </w:rPr>
        <w:t>;45</w:t>
      </w:r>
      <w:proofErr w:type="gramEnd"/>
      <w:r>
        <w:rPr>
          <w:rFonts w:eastAsia="Times New Roman"/>
        </w:rPr>
        <w:t xml:space="preserve">. </w:t>
      </w:r>
      <w:proofErr w:type="spellStart"/>
      <w:proofErr w:type="gramStart"/>
      <w:r>
        <w:rPr>
          <w:rFonts w:eastAsia="Times New Roman"/>
        </w:rPr>
        <w:t>doi</w:t>
      </w:r>
      <w:proofErr w:type="spellEnd"/>
      <w:proofErr w:type="gramEnd"/>
      <w:r>
        <w:rPr>
          <w:rFonts w:eastAsia="Times New Roman"/>
        </w:rPr>
        <w:t xml:space="preserve">: https://doi.org/10.33321/cdi.2021.45.2.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Communicable Diseases Genomics Network (CDGN). </w:t>
      </w:r>
      <w:proofErr w:type="spellStart"/>
      <w:r>
        <w:rPr>
          <w:rFonts w:eastAsia="Times New Roman"/>
        </w:rPr>
        <w:t>AusTrakka</w:t>
      </w:r>
      <w:proofErr w:type="spellEnd"/>
      <w:r>
        <w:rPr>
          <w:rFonts w:eastAsia="Times New Roman"/>
        </w:rPr>
        <w:t xml:space="preserve">. [Website.] Melbourne: CDGN; 2020. Available from: https://www.cdgn.org.au/austrakka.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WHO. Coronavirus disease (COVID-19) weekly epidemiological update and weekly operational update. [Internet.] Geneva: WHO; 30 March 2021. [Accessed on 30 March 2021.] Available from: https://www.who.int/emergencies/diseases/novel-coronavirus-2019/situation-reports/.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Dalton C, Durrheim D, </w:t>
      </w:r>
      <w:proofErr w:type="spellStart"/>
      <w:r>
        <w:rPr>
          <w:rFonts w:eastAsia="Times New Roman"/>
        </w:rPr>
        <w:t>Fejsa</w:t>
      </w:r>
      <w:proofErr w:type="spellEnd"/>
      <w:r>
        <w:rPr>
          <w:rFonts w:eastAsia="Times New Roman"/>
        </w:rPr>
        <w:t xml:space="preserve"> J, Francis L, Carlson S, </w:t>
      </w:r>
      <w:proofErr w:type="spellStart"/>
      <w:r>
        <w:rPr>
          <w:rFonts w:eastAsia="Times New Roman"/>
        </w:rPr>
        <w:t>d’Espaignet</w:t>
      </w:r>
      <w:proofErr w:type="spellEnd"/>
      <w:r>
        <w:rPr>
          <w:rFonts w:eastAsia="Times New Roman"/>
        </w:rPr>
        <w:t xml:space="preserve"> ET </w:t>
      </w:r>
      <w:proofErr w:type="spellStart"/>
      <w:r>
        <w:rPr>
          <w:rFonts w:eastAsia="Times New Roman"/>
        </w:rPr>
        <w:t>et</w:t>
      </w:r>
      <w:proofErr w:type="spellEnd"/>
      <w:r>
        <w:rPr>
          <w:rFonts w:eastAsia="Times New Roman"/>
        </w:rPr>
        <w:t xml:space="preserve"> al. Flutracking: a weekly Australian community online survey of influenza-like illness in 2006, 2007 and 2008. </w:t>
      </w:r>
      <w:proofErr w:type="spellStart"/>
      <w:r w:rsidRPr="00C47EEC">
        <w:rPr>
          <w:rStyle w:val="Emphasis"/>
          <w:rFonts w:eastAsia="Times New Roman"/>
          <w:b w:val="0"/>
        </w:rPr>
        <w:t>Commun</w:t>
      </w:r>
      <w:proofErr w:type="spellEnd"/>
      <w:r w:rsidRPr="00C47EEC">
        <w:rPr>
          <w:rStyle w:val="Emphasis"/>
          <w:rFonts w:eastAsia="Times New Roman"/>
          <w:b w:val="0"/>
        </w:rPr>
        <w:t xml:space="preserve"> Dis </w:t>
      </w:r>
      <w:proofErr w:type="spellStart"/>
      <w:r w:rsidRPr="00C47EEC">
        <w:rPr>
          <w:rStyle w:val="Emphasis"/>
          <w:rFonts w:eastAsia="Times New Roman"/>
          <w:b w:val="0"/>
        </w:rPr>
        <w:t>Intell</w:t>
      </w:r>
      <w:proofErr w:type="spellEnd"/>
      <w:r w:rsidRPr="00C47EEC">
        <w:rPr>
          <w:rStyle w:val="Emphasis"/>
          <w:rFonts w:eastAsia="Times New Roman"/>
          <w:b w:val="0"/>
        </w:rPr>
        <w:t xml:space="preserve"> Q Rep</w:t>
      </w:r>
      <w:r>
        <w:rPr>
          <w:rFonts w:eastAsia="Times New Roman"/>
        </w:rPr>
        <w:t>. 2009</w:t>
      </w:r>
      <w:proofErr w:type="gramStart"/>
      <w:r>
        <w:rPr>
          <w:rFonts w:eastAsia="Times New Roman"/>
        </w:rPr>
        <w:t>;33</w:t>
      </w:r>
      <w:proofErr w:type="gramEnd"/>
      <w:r>
        <w:rPr>
          <w:rFonts w:eastAsia="Times New Roman"/>
        </w:rPr>
        <w:t xml:space="preserve">(3):316–22.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Monash Health. FluCAN (Influenza surveillance): FluCAN (The Influenza Complications Alert Network). [Internet.] Melbourne: Monash Health; 2020. Available from: https://monashhealth.org/services/monash-infectious-diseases/research/influenza-research/flucan-influenza-surveillance-2/.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Australian and New Zealand Intensive Care Society (ANZICS). SPRINT-SARI: Short period incidence study of severe acute respiratory infection. [Internet.] Camberwell: ANZICS; 2020. Available from: https://www.anzics.com.au/current-active-endorsed-research/sprint-sari/.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lastRenderedPageBreak/>
        <w:t xml:space="preserve">COVID-19 National Incident Room Surveillance Team. COVID-19 Australia: Epidemiology Report 28: Fortnightly reporting period ending 25 October 2020. </w:t>
      </w:r>
      <w:proofErr w:type="spellStart"/>
      <w:r w:rsidRPr="00C47EEC">
        <w:rPr>
          <w:rStyle w:val="Emphasis"/>
          <w:rFonts w:eastAsia="Times New Roman"/>
          <w:b w:val="0"/>
        </w:rPr>
        <w:t>Commun</w:t>
      </w:r>
      <w:proofErr w:type="spellEnd"/>
      <w:r w:rsidRPr="00C47EEC">
        <w:rPr>
          <w:rStyle w:val="Emphasis"/>
          <w:rFonts w:eastAsia="Times New Roman"/>
          <w:b w:val="0"/>
        </w:rPr>
        <w:t xml:space="preserve"> Dis </w:t>
      </w:r>
      <w:proofErr w:type="spellStart"/>
      <w:r w:rsidRPr="00C47EEC">
        <w:rPr>
          <w:rStyle w:val="Emphasis"/>
          <w:rFonts w:eastAsia="Times New Roman"/>
          <w:b w:val="0"/>
        </w:rPr>
        <w:t>Intell</w:t>
      </w:r>
      <w:proofErr w:type="spellEnd"/>
      <w:r w:rsidRPr="00C47EEC">
        <w:rPr>
          <w:rStyle w:val="Emphasis"/>
          <w:rFonts w:eastAsia="Times New Roman"/>
          <w:b w:val="0"/>
        </w:rPr>
        <w:t xml:space="preserve"> (2018)</w:t>
      </w:r>
      <w:r>
        <w:rPr>
          <w:rFonts w:eastAsia="Times New Roman"/>
        </w:rPr>
        <w:t>. 2020</w:t>
      </w:r>
      <w:proofErr w:type="gramStart"/>
      <w:r>
        <w:rPr>
          <w:rFonts w:eastAsia="Times New Roman"/>
        </w:rPr>
        <w:t>;44</w:t>
      </w:r>
      <w:proofErr w:type="gramEnd"/>
      <w:r>
        <w:rPr>
          <w:rFonts w:eastAsia="Times New Roman"/>
        </w:rPr>
        <w:t xml:space="preserve">. </w:t>
      </w:r>
      <w:proofErr w:type="spellStart"/>
      <w:proofErr w:type="gramStart"/>
      <w:r>
        <w:rPr>
          <w:rFonts w:eastAsia="Times New Roman"/>
        </w:rPr>
        <w:t>doi</w:t>
      </w:r>
      <w:proofErr w:type="spellEnd"/>
      <w:proofErr w:type="gramEnd"/>
      <w:r>
        <w:rPr>
          <w:rFonts w:eastAsia="Times New Roman"/>
        </w:rPr>
        <w:t xml:space="preserve">: https://doi.org/10.33321/cdi.2020.44.84.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COVID-19 National Incident Room Surveillance Team. COVID-19 Australia: Epidemiology Report 34: Reporting period ending 31 January 2021. </w:t>
      </w:r>
      <w:proofErr w:type="spellStart"/>
      <w:r w:rsidRPr="00C47EEC">
        <w:rPr>
          <w:rStyle w:val="Emphasis"/>
          <w:rFonts w:eastAsia="Times New Roman"/>
          <w:b w:val="0"/>
        </w:rPr>
        <w:t>Commun</w:t>
      </w:r>
      <w:proofErr w:type="spellEnd"/>
      <w:r w:rsidRPr="00C47EEC">
        <w:rPr>
          <w:rStyle w:val="Emphasis"/>
          <w:rFonts w:eastAsia="Times New Roman"/>
          <w:b w:val="0"/>
        </w:rPr>
        <w:t xml:space="preserve"> Dis </w:t>
      </w:r>
      <w:proofErr w:type="spellStart"/>
      <w:r w:rsidRPr="00C47EEC">
        <w:rPr>
          <w:rStyle w:val="Emphasis"/>
          <w:rFonts w:eastAsia="Times New Roman"/>
          <w:b w:val="0"/>
        </w:rPr>
        <w:t>Intell</w:t>
      </w:r>
      <w:proofErr w:type="spellEnd"/>
      <w:r w:rsidRPr="00C47EEC">
        <w:rPr>
          <w:rStyle w:val="Emphasis"/>
          <w:rFonts w:eastAsia="Times New Roman"/>
          <w:b w:val="0"/>
        </w:rPr>
        <w:t xml:space="preserve"> (2018)</w:t>
      </w:r>
      <w:r>
        <w:rPr>
          <w:rFonts w:eastAsia="Times New Roman"/>
        </w:rPr>
        <w:t>. 2021</w:t>
      </w:r>
      <w:proofErr w:type="gramStart"/>
      <w:r>
        <w:rPr>
          <w:rFonts w:eastAsia="Times New Roman"/>
        </w:rPr>
        <w:t>;45</w:t>
      </w:r>
      <w:proofErr w:type="gramEnd"/>
      <w:r>
        <w:rPr>
          <w:rFonts w:eastAsia="Times New Roman"/>
        </w:rPr>
        <w:t xml:space="preserve">. </w:t>
      </w:r>
      <w:proofErr w:type="spellStart"/>
      <w:proofErr w:type="gramStart"/>
      <w:r>
        <w:rPr>
          <w:rFonts w:eastAsia="Times New Roman"/>
        </w:rPr>
        <w:t>doi</w:t>
      </w:r>
      <w:proofErr w:type="spellEnd"/>
      <w:proofErr w:type="gramEnd"/>
      <w:r>
        <w:rPr>
          <w:rFonts w:eastAsia="Times New Roman"/>
        </w:rPr>
        <w:t xml:space="preserve">: https://doi.org/10.33321/cdi.2021.45.8.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Australian Government Department of Health. Framework for national reopening – October 2020. [Internet.] Canberra: Australian Government Department of Health; 23 October 2020. [Accessed on 10 November 2020.] Available from: https://www.health.gov.au/resources/publications/framework-for-national-reopening-october-2020.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Government of New South Wales. Restrictions ease for NSW schools. [Internet.] Sydney: Government of New South Wales; 5 March 2021. [Accessed on 12 March 2021.] Available from: https://www.nsw.gov.au/news/restrictions-ease-for-nsw-schools.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Government of New South Wales. What you can do in NSW. [Internet.] Sydney: Government of New South Wales; 2021. [Accessed on 18 March 2021.] Available from: https://www.nsw.gov.au/covid-19/rules/what-you-can-do-nsw.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Victoria State Government. Coronavirus update for Victoria - 26 March 2021. [Internet.] Melbourne: Victoria State Government; 26 March 2021. [Accessed on 31 March 2021.] Available from: https://www.dhhs.vic.gov.au/coronavirus-update-victoria-26-march-2021.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Queensland Health. COVID-19 update: Queensland COVID-19 statistics. [Internet.] Brisbane: Queensland Government, Queensland Health; 2021. [Accessed on 15 March 2021.] Available from: https://www.qld.gov.au/health/conditions/health-alerts/coronavirus-covid-19/current-status/urgent-covid-19-update.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Queensland Government. </w:t>
      </w:r>
      <w:r w:rsidRPr="00C47EEC">
        <w:rPr>
          <w:rStyle w:val="Emphasis"/>
          <w:rFonts w:eastAsia="Times New Roman"/>
          <w:b w:val="0"/>
        </w:rPr>
        <w:t>Queensland’s COVID safe future. Update: easing of restrictions for greater Brisbane</w:t>
      </w:r>
      <w:r>
        <w:rPr>
          <w:rFonts w:eastAsia="Times New Roman"/>
        </w:rPr>
        <w:t xml:space="preserve">. Brisbane: Queensland Government; 2021. [Accessed on 15 March 2021.] Available from: https://www.covid19.qld.gov.au/__data/assets/pdf_file/0016/127150/DPC7309-COVID-19-Restrictions-roadmap.pdf.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Government of Western Australia. Changes to capacity for venues. [Internet.] Perth: Government of Western Australia; 5 March 2021. [Accessed on 15 March 2021.] Available from: https://www.wa.gov.au/government/announcements/changes-capacity-venues.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Government of Western Australia. WA border controls strengthened with Queensland. [Internet.] Perth: Government of Western Australia; 27 March 2021. [Accessed on 31 March 2021.] Available from: https://www.wa.gov.au/government/announcements/wa-border-controls-strengthened-queensland.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South Australia Health (SA Health). COVID-19 health information. [Internet.] Adelaide: Government of South Australia, SA Health; 2021. [Accessed on 31 March 2021.] Available from: https://www.sahealth.sa.gov.au/wps/wcm/connect/public+content/sa+health+internet/conditions/infectious+diseases/covid-19.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Tasmanian Government. Coronavirus disease (COVID-19). Important community updates. [Internet.] Hobart: Tasmanian Government; 2021. [Accessed on 31 March 2021.] Available from: https://coronavirus.tas.gov.au/facts/important-community-updates.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Australian Capital Territory Government. Check </w:t>
      </w:r>
      <w:proofErr w:type="gramStart"/>
      <w:r>
        <w:rPr>
          <w:rFonts w:eastAsia="Times New Roman"/>
        </w:rPr>
        <w:t>In</w:t>
      </w:r>
      <w:proofErr w:type="gramEnd"/>
      <w:r>
        <w:rPr>
          <w:rFonts w:eastAsia="Times New Roman"/>
        </w:rPr>
        <w:t xml:space="preserve"> CBR app to be made mandatory. [Internet.] Canberra: Australian Capital Territory Government; 2021. [Accessed on 30 March 2021.] Available from: https://www.covid19.act.gov.au/news-articles/check-in-cbr-app-to-be-made-mandatory.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Northern Territory Government. Coronavirus (COVID-19): updates. [Internet.] Darwin: Northern Territory Government; 2021. [Accessed on 30 March 2021.] Available from: https://coronavirus.nt.gov.au/updates.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WHO. Weekly epidemiological update - 30 March 2021. [Internet.] Geneva: WHO; 31 March 2021. [Accessed on 1 April 2021.] Available from: https://www.who.int/publications/m/item/weekly-epidemiological-update---31-march-2021.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WHO. Weekly operational update on COVID-19 - 29 March 2021. [Internet.] Geneva: WHO; 29 March 2021. [Accessed on 30 March 2021.] Available from: https://www.who.int/publications/m/item/weekly-operational-update-on-covid-19---29-march-2021.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lastRenderedPageBreak/>
        <w:t xml:space="preserve">Our World in Data. Statistics and research: coronavirus (COVID-19) vaccinations. [Internet.] Oxford: University of Oxford, Our World in Data; 2021. [Accessed on 30 March 2021.] Available from: https://ourworldindata.org/covid-vaccinations.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Public Health England. </w:t>
      </w:r>
      <w:r w:rsidRPr="00C47EEC">
        <w:rPr>
          <w:rStyle w:val="Emphasis"/>
          <w:rFonts w:eastAsia="Times New Roman"/>
          <w:b w:val="0"/>
        </w:rPr>
        <w:t>Impact of COVID-19 vaccines on mortality in England: December 2020 to February 2021</w:t>
      </w:r>
      <w:r>
        <w:rPr>
          <w:rFonts w:eastAsia="Times New Roman"/>
        </w:rPr>
        <w:t xml:space="preserve">. London: Public Health England; 2021. [Accessed on 30 March 2021.] Available from: https://assets.publishing.service.gov.uk/government/uploads/system/uploads/attachment_data/file/972592/COVID-19_vaccine_impact_on_mortality_240321.pdf. </w:t>
      </w:r>
    </w:p>
    <w:p w:rsidR="00AB0397" w:rsidRDefault="00AB0397" w:rsidP="00AB0397">
      <w:pPr>
        <w:numPr>
          <w:ilvl w:val="0"/>
          <w:numId w:val="18"/>
        </w:numPr>
        <w:spacing w:before="100" w:beforeAutospacing="1" w:after="100" w:afterAutospacing="1" w:line="240" w:lineRule="auto"/>
        <w:rPr>
          <w:rFonts w:eastAsia="Times New Roman"/>
        </w:rPr>
      </w:pPr>
      <w:r>
        <w:rPr>
          <w:rFonts w:eastAsia="Times New Roman"/>
        </w:rPr>
        <w:t xml:space="preserve">WHO. News </w:t>
      </w:r>
      <w:proofErr w:type="gramStart"/>
      <w:r>
        <w:rPr>
          <w:rFonts w:eastAsia="Times New Roman"/>
        </w:rPr>
        <w:t>updates:</w:t>
      </w:r>
      <w:proofErr w:type="gramEnd"/>
      <w:r>
        <w:rPr>
          <w:rFonts w:eastAsia="Times New Roman"/>
        </w:rPr>
        <w:t xml:space="preserve"> latest news from WHO on COVID-19 and other breaking health stories. Vaccine passports/certificates and international travel. [Internet.] Geneva: WHO; 9 March 2021. [Accessed on 30 March 2021.] Available from: https://www.who.int/news-room/news-updates. </w:t>
      </w:r>
    </w:p>
    <w:p w:rsidR="009E20D1" w:rsidRDefault="009E20D1" w:rsidP="009E20D1">
      <w:pPr>
        <w:pStyle w:val="Heading1"/>
        <w:sectPr w:rsidR="009E20D1" w:rsidSect="00A30C37">
          <w:pgSz w:w="11906" w:h="16838"/>
          <w:pgMar w:top="720" w:right="720" w:bottom="1134" w:left="720" w:header="709" w:footer="284" w:gutter="0"/>
          <w:cols w:space="708"/>
          <w:titlePg/>
          <w:docGrid w:linePitch="360"/>
        </w:sectPr>
      </w:pPr>
    </w:p>
    <w:p w:rsidR="00AB0397" w:rsidRPr="009E20D1" w:rsidRDefault="00AB0397" w:rsidP="009E20D1">
      <w:pPr>
        <w:pStyle w:val="Heading1"/>
      </w:pPr>
      <w:r w:rsidRPr="009E20D1">
        <w:lastRenderedPageBreak/>
        <w:t>Appendix A: Supplementary figures and tables</w:t>
      </w:r>
    </w:p>
    <w:p w:rsidR="00AB0397" w:rsidRPr="009E20D1" w:rsidRDefault="00AB0397" w:rsidP="009E20D1">
      <w:pPr>
        <w:pStyle w:val="CDIFigures"/>
      </w:pPr>
      <w:r w:rsidRPr="009E20D1">
        <w:t>Table A.1: COVID-19 case notifications and rates per 100,000 population, by age group and sex, Australia, 28 March 2021</w:t>
      </w:r>
    </w:p>
    <w:tbl>
      <w:tblPr>
        <w:tblStyle w:val="CDI-StandardTable"/>
        <w:tblW w:w="0" w:type="auto"/>
        <w:tblLayout w:type="fixed"/>
        <w:tblCellMar>
          <w:top w:w="113" w:type="dxa"/>
          <w:left w:w="57" w:type="dxa"/>
          <w:bottom w:w="113" w:type="dxa"/>
          <w:right w:w="57" w:type="dxa"/>
        </w:tblCellMar>
        <w:tblLook w:val="04A0" w:firstRow="1" w:lastRow="0" w:firstColumn="1" w:lastColumn="0" w:noHBand="0" w:noVBand="1"/>
        <w:tblDescription w:val="This table summarises cumulative and four-weekly confirmed cases and rates per 100,000 population, as a function of age group and sex."/>
      </w:tblPr>
      <w:tblGrid>
        <w:gridCol w:w="1560"/>
        <w:gridCol w:w="724"/>
        <w:gridCol w:w="1151"/>
        <w:gridCol w:w="1150"/>
        <w:gridCol w:w="1151"/>
        <w:gridCol w:w="1150"/>
        <w:gridCol w:w="1151"/>
        <w:gridCol w:w="1150"/>
        <w:gridCol w:w="1151"/>
        <w:gridCol w:w="1150"/>
        <w:gridCol w:w="1151"/>
        <w:gridCol w:w="1150"/>
        <w:gridCol w:w="1151"/>
      </w:tblGrid>
      <w:tr w:rsidR="00AB0397" w:rsidTr="009E20D1">
        <w:trPr>
          <w:cnfStyle w:val="100000000000" w:firstRow="1" w:lastRow="0" w:firstColumn="0" w:lastColumn="0" w:oddVBand="0" w:evenVBand="0" w:oddHBand="0" w:evenHBand="0" w:firstRowFirstColumn="0" w:firstRowLastColumn="0" w:lastRowFirstColumn="0" w:lastRowLastColumn="0"/>
          <w:tblHeader/>
        </w:trPr>
        <w:tc>
          <w:tcPr>
            <w:tcW w:w="1560" w:type="dxa"/>
            <w:vMerge w:val="restart"/>
            <w:tcBorders>
              <w:bottom w:val="single" w:sz="2" w:space="0" w:color="FFFFFF" w:themeColor="background1"/>
              <w:right w:val="single" w:sz="2" w:space="0" w:color="FFFFFF" w:themeColor="background1"/>
            </w:tcBorders>
            <w:hideMark/>
          </w:tcPr>
          <w:p w:rsidR="00AB0397" w:rsidRPr="009E20D1" w:rsidRDefault="00AB0397">
            <w:pPr>
              <w:pStyle w:val="NormalWeb"/>
              <w:rPr>
                <w:color w:val="FFFFFF" w:themeColor="background1"/>
              </w:rPr>
            </w:pPr>
            <w:r w:rsidRPr="009E20D1">
              <w:rPr>
                <w:color w:val="FFFFFF" w:themeColor="background1"/>
              </w:rPr>
              <w:t>Age group</w:t>
            </w:r>
          </w:p>
        </w:tc>
        <w:tc>
          <w:tcPr>
            <w:tcW w:w="6477" w:type="dxa"/>
            <w:gridSpan w:val="6"/>
            <w:tcBorders>
              <w:left w:val="single" w:sz="2" w:space="0" w:color="FFFFFF" w:themeColor="background1"/>
              <w:bottom w:val="single" w:sz="2" w:space="0" w:color="FFFFFF" w:themeColor="background1"/>
              <w:right w:val="single" w:sz="2" w:space="0" w:color="FFFFFF" w:themeColor="background1"/>
            </w:tcBorders>
            <w:hideMark/>
          </w:tcPr>
          <w:p w:rsidR="00AB0397" w:rsidRPr="009E20D1" w:rsidRDefault="00AB0397" w:rsidP="009E20D1">
            <w:pPr>
              <w:pStyle w:val="NormalWeb"/>
              <w:jc w:val="center"/>
              <w:rPr>
                <w:color w:val="FFFFFF" w:themeColor="background1"/>
              </w:rPr>
            </w:pPr>
            <w:r w:rsidRPr="009E20D1">
              <w:rPr>
                <w:color w:val="FFFFFF" w:themeColor="background1"/>
              </w:rPr>
              <w:t>This reporting period</w:t>
            </w:r>
            <w:r w:rsidRPr="009E20D1">
              <w:rPr>
                <w:color w:val="FFFFFF" w:themeColor="background1"/>
              </w:rPr>
              <w:br/>
              <w:t>1–28 March 2021</w:t>
            </w:r>
          </w:p>
        </w:tc>
        <w:tc>
          <w:tcPr>
            <w:tcW w:w="6903" w:type="dxa"/>
            <w:gridSpan w:val="6"/>
            <w:tcBorders>
              <w:left w:val="single" w:sz="2" w:space="0" w:color="FFFFFF" w:themeColor="background1"/>
              <w:bottom w:val="single" w:sz="2" w:space="0" w:color="FFFFFF" w:themeColor="background1"/>
            </w:tcBorders>
            <w:hideMark/>
          </w:tcPr>
          <w:p w:rsidR="00AB0397" w:rsidRPr="009E20D1" w:rsidRDefault="00AB0397" w:rsidP="009E20D1">
            <w:pPr>
              <w:pStyle w:val="NormalWeb"/>
              <w:jc w:val="center"/>
              <w:rPr>
                <w:color w:val="FFFFFF" w:themeColor="background1"/>
              </w:rPr>
            </w:pPr>
            <w:r w:rsidRPr="009E20D1">
              <w:rPr>
                <w:color w:val="FFFFFF" w:themeColor="background1"/>
              </w:rPr>
              <w:t>Cumulative</w:t>
            </w:r>
            <w:r w:rsidRPr="009E20D1">
              <w:rPr>
                <w:color w:val="FFFFFF" w:themeColor="background1"/>
              </w:rPr>
              <w:br/>
              <w:t>23 January 2020 – 28 March 2021</w:t>
            </w:r>
          </w:p>
        </w:tc>
      </w:tr>
      <w:tr w:rsidR="00AB0397" w:rsidTr="009E20D1">
        <w:trPr>
          <w:cnfStyle w:val="100000000000" w:firstRow="1" w:lastRow="0" w:firstColumn="0" w:lastColumn="0" w:oddVBand="0" w:evenVBand="0" w:oddHBand="0" w:evenHBand="0" w:firstRowFirstColumn="0" w:firstRowLastColumn="0" w:lastRowFirstColumn="0" w:lastRowLastColumn="0"/>
          <w:tblHeader/>
        </w:trPr>
        <w:tc>
          <w:tcPr>
            <w:tcW w:w="1560" w:type="dxa"/>
            <w:vMerge/>
            <w:tcBorders>
              <w:top w:val="single" w:sz="2" w:space="0" w:color="FFFFFF" w:themeColor="background1"/>
              <w:bottom w:val="single" w:sz="2" w:space="0" w:color="FFFFFF" w:themeColor="background1"/>
              <w:right w:val="single" w:sz="2" w:space="0" w:color="FFFFFF" w:themeColor="background1"/>
            </w:tcBorders>
            <w:hideMark/>
          </w:tcPr>
          <w:p w:rsidR="00AB0397" w:rsidRPr="009E20D1" w:rsidRDefault="00AB0397">
            <w:pPr>
              <w:rPr>
                <w:color w:val="FFFFFF" w:themeColor="background1"/>
                <w:sz w:val="24"/>
                <w:szCs w:val="24"/>
              </w:rPr>
            </w:pPr>
          </w:p>
        </w:tc>
        <w:tc>
          <w:tcPr>
            <w:tcW w:w="302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B0397" w:rsidRPr="009E20D1" w:rsidRDefault="00AB0397" w:rsidP="009E20D1">
            <w:pPr>
              <w:pStyle w:val="NormalWeb"/>
              <w:jc w:val="center"/>
              <w:rPr>
                <w:color w:val="FFFFFF" w:themeColor="background1"/>
              </w:rPr>
            </w:pPr>
            <w:r w:rsidRPr="009E20D1">
              <w:rPr>
                <w:color w:val="FFFFFF" w:themeColor="background1"/>
              </w:rPr>
              <w:t>Cases</w:t>
            </w:r>
          </w:p>
        </w:tc>
        <w:tc>
          <w:tcPr>
            <w:tcW w:w="3452"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B0397" w:rsidRPr="009E20D1" w:rsidRDefault="00AB0397" w:rsidP="009E20D1">
            <w:pPr>
              <w:pStyle w:val="NormalWeb"/>
              <w:jc w:val="center"/>
              <w:rPr>
                <w:color w:val="FFFFFF" w:themeColor="background1"/>
              </w:rPr>
            </w:pPr>
            <w:r w:rsidRPr="009E20D1">
              <w:rPr>
                <w:color w:val="FFFFFF" w:themeColor="background1"/>
              </w:rPr>
              <w:t>Rate per 100,000 population</w:t>
            </w:r>
          </w:p>
        </w:tc>
        <w:tc>
          <w:tcPr>
            <w:tcW w:w="3451"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B0397" w:rsidRPr="009E20D1" w:rsidRDefault="00AB0397" w:rsidP="009E20D1">
            <w:pPr>
              <w:pStyle w:val="NormalWeb"/>
              <w:jc w:val="center"/>
              <w:rPr>
                <w:color w:val="FFFFFF" w:themeColor="background1"/>
              </w:rPr>
            </w:pPr>
            <w:r w:rsidRPr="009E20D1">
              <w:rPr>
                <w:color w:val="FFFFFF" w:themeColor="background1"/>
              </w:rPr>
              <w:t>Cases</w:t>
            </w:r>
          </w:p>
        </w:tc>
        <w:tc>
          <w:tcPr>
            <w:tcW w:w="3452" w:type="dxa"/>
            <w:gridSpan w:val="3"/>
            <w:tcBorders>
              <w:top w:val="single" w:sz="2" w:space="0" w:color="FFFFFF" w:themeColor="background1"/>
              <w:left w:val="single" w:sz="2" w:space="0" w:color="FFFFFF" w:themeColor="background1"/>
              <w:bottom w:val="single" w:sz="2" w:space="0" w:color="FFFFFF" w:themeColor="background1"/>
            </w:tcBorders>
            <w:hideMark/>
          </w:tcPr>
          <w:p w:rsidR="00AB0397" w:rsidRPr="009E20D1" w:rsidRDefault="00AB0397" w:rsidP="009E20D1">
            <w:pPr>
              <w:pStyle w:val="NormalWeb"/>
              <w:jc w:val="center"/>
              <w:rPr>
                <w:color w:val="FFFFFF" w:themeColor="background1"/>
              </w:rPr>
            </w:pPr>
            <w:r w:rsidRPr="009E20D1">
              <w:rPr>
                <w:color w:val="FFFFFF" w:themeColor="background1"/>
              </w:rPr>
              <w:t>Rate per 100,000 population</w:t>
            </w:r>
          </w:p>
        </w:tc>
      </w:tr>
      <w:tr w:rsidR="009E20D1" w:rsidTr="00EF3D4F">
        <w:trPr>
          <w:cnfStyle w:val="100000000000" w:firstRow="1" w:lastRow="0" w:firstColumn="0" w:lastColumn="0" w:oddVBand="0" w:evenVBand="0" w:oddHBand="0" w:evenHBand="0" w:firstRowFirstColumn="0" w:firstRowLastColumn="0" w:lastRowFirstColumn="0" w:lastRowLastColumn="0"/>
          <w:tblHeader/>
        </w:trPr>
        <w:tc>
          <w:tcPr>
            <w:tcW w:w="1560" w:type="dxa"/>
            <w:vMerge/>
            <w:tcBorders>
              <w:top w:val="single" w:sz="2" w:space="0" w:color="FFFFFF" w:themeColor="background1"/>
              <w:right w:val="single" w:sz="2" w:space="0" w:color="FFFFFF" w:themeColor="background1"/>
            </w:tcBorders>
            <w:hideMark/>
          </w:tcPr>
          <w:p w:rsidR="00AB0397" w:rsidRPr="009E20D1" w:rsidRDefault="00AB0397">
            <w:pPr>
              <w:rPr>
                <w:color w:val="FFFFFF" w:themeColor="background1"/>
                <w:sz w:val="24"/>
                <w:szCs w:val="24"/>
              </w:rPr>
            </w:pPr>
          </w:p>
        </w:tc>
        <w:tc>
          <w:tcPr>
            <w:tcW w:w="724" w:type="dxa"/>
            <w:tcBorders>
              <w:top w:val="single" w:sz="2" w:space="0" w:color="FFFFFF" w:themeColor="background1"/>
              <w:left w:val="single" w:sz="2" w:space="0" w:color="FFFFFF" w:themeColor="background1"/>
              <w:right w:val="single" w:sz="2" w:space="0" w:color="FFFFFF" w:themeColor="background1"/>
            </w:tcBorders>
            <w:hideMark/>
          </w:tcPr>
          <w:p w:rsidR="00AB0397" w:rsidRPr="009E20D1" w:rsidRDefault="00AB0397" w:rsidP="009E20D1">
            <w:pPr>
              <w:pStyle w:val="NormalWeb"/>
              <w:jc w:val="center"/>
              <w:rPr>
                <w:color w:val="FFFFFF" w:themeColor="background1"/>
              </w:rPr>
            </w:pPr>
            <w:r w:rsidRPr="009E20D1">
              <w:rPr>
                <w:color w:val="FFFFFF" w:themeColor="background1"/>
              </w:rPr>
              <w:t>Male</w:t>
            </w:r>
          </w:p>
        </w:tc>
        <w:tc>
          <w:tcPr>
            <w:tcW w:w="1151" w:type="dxa"/>
            <w:tcBorders>
              <w:top w:val="single" w:sz="2" w:space="0" w:color="FFFFFF" w:themeColor="background1"/>
              <w:left w:val="single" w:sz="2" w:space="0" w:color="FFFFFF" w:themeColor="background1"/>
              <w:right w:val="single" w:sz="2" w:space="0" w:color="FFFFFF" w:themeColor="background1"/>
            </w:tcBorders>
            <w:hideMark/>
          </w:tcPr>
          <w:p w:rsidR="00AB0397" w:rsidRPr="009E20D1" w:rsidRDefault="00AB0397" w:rsidP="009E20D1">
            <w:pPr>
              <w:pStyle w:val="NormalWeb"/>
              <w:jc w:val="center"/>
              <w:rPr>
                <w:color w:val="FFFFFF" w:themeColor="background1"/>
              </w:rPr>
            </w:pPr>
            <w:r w:rsidRPr="009E20D1">
              <w:rPr>
                <w:color w:val="FFFFFF" w:themeColor="background1"/>
              </w:rPr>
              <w:t>Female</w:t>
            </w:r>
          </w:p>
        </w:tc>
        <w:tc>
          <w:tcPr>
            <w:tcW w:w="1150" w:type="dxa"/>
            <w:tcBorders>
              <w:top w:val="single" w:sz="2" w:space="0" w:color="FFFFFF" w:themeColor="background1"/>
              <w:left w:val="single" w:sz="2" w:space="0" w:color="FFFFFF" w:themeColor="background1"/>
              <w:right w:val="single" w:sz="2" w:space="0" w:color="FFFFFF" w:themeColor="background1"/>
            </w:tcBorders>
            <w:hideMark/>
          </w:tcPr>
          <w:p w:rsidR="00AB0397" w:rsidRPr="009E20D1" w:rsidRDefault="00AB0397" w:rsidP="0082294E">
            <w:pPr>
              <w:pStyle w:val="NormalWeb"/>
              <w:jc w:val="center"/>
              <w:rPr>
                <w:color w:val="FFFFFF" w:themeColor="background1"/>
              </w:rPr>
            </w:pPr>
            <w:r w:rsidRPr="009E20D1">
              <w:rPr>
                <w:color w:val="FFFFFF" w:themeColor="background1"/>
              </w:rPr>
              <w:t>People</w:t>
            </w:r>
          </w:p>
        </w:tc>
        <w:tc>
          <w:tcPr>
            <w:tcW w:w="1151" w:type="dxa"/>
            <w:tcBorders>
              <w:top w:val="single" w:sz="2" w:space="0" w:color="FFFFFF" w:themeColor="background1"/>
              <w:left w:val="single" w:sz="2" w:space="0" w:color="FFFFFF" w:themeColor="background1"/>
              <w:right w:val="single" w:sz="2" w:space="0" w:color="FFFFFF" w:themeColor="background1"/>
            </w:tcBorders>
            <w:hideMark/>
          </w:tcPr>
          <w:p w:rsidR="00AB0397" w:rsidRPr="009E20D1" w:rsidRDefault="00AB0397" w:rsidP="009E20D1">
            <w:pPr>
              <w:pStyle w:val="NormalWeb"/>
              <w:jc w:val="center"/>
              <w:rPr>
                <w:color w:val="FFFFFF" w:themeColor="background1"/>
              </w:rPr>
            </w:pPr>
            <w:r w:rsidRPr="009E20D1">
              <w:rPr>
                <w:color w:val="FFFFFF" w:themeColor="background1"/>
              </w:rPr>
              <w:t>Male</w:t>
            </w:r>
          </w:p>
        </w:tc>
        <w:tc>
          <w:tcPr>
            <w:tcW w:w="1150" w:type="dxa"/>
            <w:tcBorders>
              <w:top w:val="single" w:sz="2" w:space="0" w:color="FFFFFF" w:themeColor="background1"/>
              <w:left w:val="single" w:sz="2" w:space="0" w:color="FFFFFF" w:themeColor="background1"/>
              <w:right w:val="single" w:sz="2" w:space="0" w:color="FFFFFF" w:themeColor="background1"/>
            </w:tcBorders>
            <w:hideMark/>
          </w:tcPr>
          <w:p w:rsidR="00AB0397" w:rsidRPr="009E20D1" w:rsidRDefault="00AB0397" w:rsidP="009E20D1">
            <w:pPr>
              <w:pStyle w:val="NormalWeb"/>
              <w:jc w:val="center"/>
              <w:rPr>
                <w:color w:val="FFFFFF" w:themeColor="background1"/>
              </w:rPr>
            </w:pPr>
            <w:r w:rsidRPr="009E20D1">
              <w:rPr>
                <w:color w:val="FFFFFF" w:themeColor="background1"/>
              </w:rPr>
              <w:t>Female</w:t>
            </w:r>
          </w:p>
        </w:tc>
        <w:tc>
          <w:tcPr>
            <w:tcW w:w="1151" w:type="dxa"/>
            <w:tcBorders>
              <w:top w:val="single" w:sz="2" w:space="0" w:color="FFFFFF" w:themeColor="background1"/>
              <w:left w:val="single" w:sz="2" w:space="0" w:color="FFFFFF" w:themeColor="background1"/>
              <w:right w:val="single" w:sz="2" w:space="0" w:color="FFFFFF" w:themeColor="background1"/>
            </w:tcBorders>
            <w:hideMark/>
          </w:tcPr>
          <w:p w:rsidR="00AB0397" w:rsidRPr="009E20D1" w:rsidRDefault="00AB0397" w:rsidP="009E20D1">
            <w:pPr>
              <w:pStyle w:val="NormalWeb"/>
              <w:jc w:val="center"/>
              <w:rPr>
                <w:color w:val="FFFFFF" w:themeColor="background1"/>
              </w:rPr>
            </w:pPr>
            <w:r w:rsidRPr="009E20D1">
              <w:rPr>
                <w:color w:val="FFFFFF" w:themeColor="background1"/>
              </w:rPr>
              <w:t>People</w:t>
            </w:r>
          </w:p>
        </w:tc>
        <w:tc>
          <w:tcPr>
            <w:tcW w:w="1150" w:type="dxa"/>
            <w:tcBorders>
              <w:top w:val="single" w:sz="2" w:space="0" w:color="FFFFFF" w:themeColor="background1"/>
              <w:left w:val="single" w:sz="2" w:space="0" w:color="FFFFFF" w:themeColor="background1"/>
              <w:right w:val="single" w:sz="2" w:space="0" w:color="FFFFFF" w:themeColor="background1"/>
            </w:tcBorders>
            <w:hideMark/>
          </w:tcPr>
          <w:p w:rsidR="00AB0397" w:rsidRPr="009E20D1" w:rsidRDefault="00AB0397" w:rsidP="009E20D1">
            <w:pPr>
              <w:pStyle w:val="NormalWeb"/>
              <w:jc w:val="center"/>
              <w:rPr>
                <w:color w:val="FFFFFF" w:themeColor="background1"/>
              </w:rPr>
            </w:pPr>
            <w:r w:rsidRPr="009E20D1">
              <w:rPr>
                <w:color w:val="FFFFFF" w:themeColor="background1"/>
              </w:rPr>
              <w:t>Male</w:t>
            </w:r>
          </w:p>
        </w:tc>
        <w:tc>
          <w:tcPr>
            <w:tcW w:w="1151" w:type="dxa"/>
            <w:tcBorders>
              <w:top w:val="single" w:sz="2" w:space="0" w:color="FFFFFF" w:themeColor="background1"/>
              <w:left w:val="single" w:sz="2" w:space="0" w:color="FFFFFF" w:themeColor="background1"/>
              <w:right w:val="single" w:sz="2" w:space="0" w:color="FFFFFF" w:themeColor="background1"/>
            </w:tcBorders>
            <w:hideMark/>
          </w:tcPr>
          <w:p w:rsidR="00AB0397" w:rsidRPr="009E20D1" w:rsidRDefault="00AB0397" w:rsidP="009E20D1">
            <w:pPr>
              <w:pStyle w:val="NormalWeb"/>
              <w:jc w:val="center"/>
              <w:rPr>
                <w:color w:val="FFFFFF" w:themeColor="background1"/>
              </w:rPr>
            </w:pPr>
            <w:r w:rsidRPr="009E20D1">
              <w:rPr>
                <w:color w:val="FFFFFF" w:themeColor="background1"/>
              </w:rPr>
              <w:t>Female</w:t>
            </w:r>
          </w:p>
        </w:tc>
        <w:tc>
          <w:tcPr>
            <w:tcW w:w="1150" w:type="dxa"/>
            <w:tcBorders>
              <w:top w:val="single" w:sz="2" w:space="0" w:color="FFFFFF" w:themeColor="background1"/>
              <w:left w:val="single" w:sz="2" w:space="0" w:color="FFFFFF" w:themeColor="background1"/>
              <w:right w:val="single" w:sz="2" w:space="0" w:color="FFFFFF" w:themeColor="background1"/>
            </w:tcBorders>
            <w:hideMark/>
          </w:tcPr>
          <w:p w:rsidR="00AB0397" w:rsidRPr="009E20D1" w:rsidRDefault="00AB0397" w:rsidP="0082294E">
            <w:pPr>
              <w:pStyle w:val="NormalWeb"/>
              <w:jc w:val="center"/>
              <w:rPr>
                <w:color w:val="FFFFFF" w:themeColor="background1"/>
              </w:rPr>
            </w:pPr>
            <w:r w:rsidRPr="009E20D1">
              <w:rPr>
                <w:color w:val="FFFFFF" w:themeColor="background1"/>
              </w:rPr>
              <w:t>People</w:t>
            </w:r>
          </w:p>
        </w:tc>
        <w:tc>
          <w:tcPr>
            <w:tcW w:w="1151" w:type="dxa"/>
            <w:tcBorders>
              <w:top w:val="single" w:sz="2" w:space="0" w:color="FFFFFF" w:themeColor="background1"/>
              <w:left w:val="single" w:sz="2" w:space="0" w:color="FFFFFF" w:themeColor="background1"/>
              <w:right w:val="single" w:sz="2" w:space="0" w:color="FFFFFF" w:themeColor="background1"/>
            </w:tcBorders>
            <w:hideMark/>
          </w:tcPr>
          <w:p w:rsidR="00AB0397" w:rsidRPr="009E20D1" w:rsidRDefault="00AB0397" w:rsidP="009E20D1">
            <w:pPr>
              <w:pStyle w:val="NormalWeb"/>
              <w:jc w:val="center"/>
              <w:rPr>
                <w:color w:val="FFFFFF" w:themeColor="background1"/>
              </w:rPr>
            </w:pPr>
            <w:r w:rsidRPr="009E20D1">
              <w:rPr>
                <w:color w:val="FFFFFF" w:themeColor="background1"/>
              </w:rPr>
              <w:t>Male</w:t>
            </w:r>
          </w:p>
        </w:tc>
        <w:tc>
          <w:tcPr>
            <w:tcW w:w="1150" w:type="dxa"/>
            <w:tcBorders>
              <w:top w:val="single" w:sz="2" w:space="0" w:color="FFFFFF" w:themeColor="background1"/>
              <w:left w:val="single" w:sz="2" w:space="0" w:color="FFFFFF" w:themeColor="background1"/>
              <w:right w:val="single" w:sz="2" w:space="0" w:color="FFFFFF" w:themeColor="background1"/>
            </w:tcBorders>
            <w:hideMark/>
          </w:tcPr>
          <w:p w:rsidR="00AB0397" w:rsidRPr="009E20D1" w:rsidRDefault="00AB0397" w:rsidP="009E20D1">
            <w:pPr>
              <w:pStyle w:val="NormalWeb"/>
              <w:jc w:val="center"/>
              <w:rPr>
                <w:color w:val="FFFFFF" w:themeColor="background1"/>
              </w:rPr>
            </w:pPr>
            <w:r w:rsidRPr="009E20D1">
              <w:rPr>
                <w:color w:val="FFFFFF" w:themeColor="background1"/>
              </w:rPr>
              <w:t>Female</w:t>
            </w:r>
          </w:p>
        </w:tc>
        <w:tc>
          <w:tcPr>
            <w:tcW w:w="1151" w:type="dxa"/>
            <w:tcBorders>
              <w:top w:val="single" w:sz="2" w:space="0" w:color="FFFFFF" w:themeColor="background1"/>
              <w:left w:val="single" w:sz="2" w:space="0" w:color="FFFFFF" w:themeColor="background1"/>
            </w:tcBorders>
            <w:hideMark/>
          </w:tcPr>
          <w:p w:rsidR="00AB0397" w:rsidRPr="009E20D1" w:rsidRDefault="00AB0397" w:rsidP="009E20D1">
            <w:pPr>
              <w:pStyle w:val="NormalWeb"/>
              <w:jc w:val="center"/>
              <w:rPr>
                <w:color w:val="FFFFFF" w:themeColor="background1"/>
              </w:rPr>
            </w:pPr>
            <w:r w:rsidRPr="009E20D1">
              <w:rPr>
                <w:color w:val="FFFFFF" w:themeColor="background1"/>
              </w:rPr>
              <w:t>People</w:t>
            </w:r>
          </w:p>
        </w:tc>
      </w:tr>
      <w:tr w:rsidR="00AB0397" w:rsidTr="00EF3D4F">
        <w:tc>
          <w:tcPr>
            <w:tcW w:w="1560" w:type="dxa"/>
            <w:tcBorders>
              <w:left w:val="single" w:sz="2" w:space="0" w:color="000000" w:themeColor="text1"/>
              <w:bottom w:val="single" w:sz="2" w:space="0" w:color="000000" w:themeColor="text1"/>
              <w:right w:val="single" w:sz="2" w:space="0" w:color="000000" w:themeColor="text1"/>
            </w:tcBorders>
            <w:hideMark/>
          </w:tcPr>
          <w:p w:rsidR="00AB0397" w:rsidRDefault="00AB0397">
            <w:pPr>
              <w:pStyle w:val="NormalWeb"/>
            </w:pPr>
            <w:r>
              <w:t>0 to 9</w:t>
            </w:r>
          </w:p>
        </w:tc>
        <w:tc>
          <w:tcPr>
            <w:tcW w:w="724" w:type="dxa"/>
            <w:tcBorders>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5</w:t>
            </w:r>
          </w:p>
        </w:tc>
        <w:tc>
          <w:tcPr>
            <w:tcW w:w="1151" w:type="dxa"/>
            <w:tcBorders>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10</w:t>
            </w:r>
          </w:p>
        </w:tc>
        <w:tc>
          <w:tcPr>
            <w:tcW w:w="1150" w:type="dxa"/>
            <w:tcBorders>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15</w:t>
            </w:r>
          </w:p>
        </w:tc>
        <w:tc>
          <w:tcPr>
            <w:tcW w:w="1151" w:type="dxa"/>
            <w:tcBorders>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0.3</w:t>
            </w:r>
          </w:p>
        </w:tc>
        <w:tc>
          <w:tcPr>
            <w:tcW w:w="1150" w:type="dxa"/>
            <w:tcBorders>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0.6</w:t>
            </w:r>
          </w:p>
        </w:tc>
        <w:tc>
          <w:tcPr>
            <w:tcW w:w="1151" w:type="dxa"/>
            <w:tcBorders>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0.5</w:t>
            </w:r>
          </w:p>
        </w:tc>
        <w:tc>
          <w:tcPr>
            <w:tcW w:w="1150" w:type="dxa"/>
            <w:tcBorders>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812</w:t>
            </w:r>
          </w:p>
        </w:tc>
        <w:tc>
          <w:tcPr>
            <w:tcW w:w="1151" w:type="dxa"/>
            <w:tcBorders>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734</w:t>
            </w:r>
          </w:p>
        </w:tc>
        <w:tc>
          <w:tcPr>
            <w:tcW w:w="1150" w:type="dxa"/>
            <w:tcBorders>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1,546</w:t>
            </w:r>
          </w:p>
        </w:tc>
        <w:tc>
          <w:tcPr>
            <w:tcW w:w="1151" w:type="dxa"/>
            <w:tcBorders>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49.6</w:t>
            </w:r>
          </w:p>
        </w:tc>
        <w:tc>
          <w:tcPr>
            <w:tcW w:w="1150" w:type="dxa"/>
            <w:tcBorders>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47.4</w:t>
            </w:r>
          </w:p>
        </w:tc>
        <w:tc>
          <w:tcPr>
            <w:tcW w:w="1151" w:type="dxa"/>
            <w:tcBorders>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48.5</w:t>
            </w:r>
          </w:p>
        </w:tc>
      </w:tr>
      <w:tr w:rsidR="009E20D1" w:rsidTr="00EF3D4F">
        <w:trPr>
          <w:cnfStyle w:val="000000010000" w:firstRow="0" w:lastRow="0" w:firstColumn="0" w:lastColumn="0" w:oddVBand="0" w:evenVBand="0" w:oddHBand="0" w:evenHBand="1" w:firstRowFirstColumn="0" w:firstRowLastColumn="0" w:lastRowFirstColumn="0" w:lastRowLastColumn="0"/>
        </w:trPr>
        <w:tc>
          <w:tcPr>
            <w:tcW w:w="156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pPr>
              <w:pStyle w:val="NormalWeb"/>
            </w:pPr>
            <w:r>
              <w:t>10 to 19</w:t>
            </w:r>
          </w:p>
        </w:tc>
        <w:tc>
          <w:tcPr>
            <w:tcW w:w="724"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7</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8</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0.4</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0.1</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0.3</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1,276</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1,216</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2,492</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81.3</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81.9</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81.6</w:t>
            </w:r>
          </w:p>
        </w:tc>
      </w:tr>
      <w:tr w:rsidR="00AB0397" w:rsidTr="00EF3D4F">
        <w:tc>
          <w:tcPr>
            <w:tcW w:w="156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pPr>
              <w:pStyle w:val="NormalWeb"/>
            </w:pPr>
            <w:r>
              <w:t>20 to 29</w:t>
            </w:r>
          </w:p>
        </w:tc>
        <w:tc>
          <w:tcPr>
            <w:tcW w:w="724"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12</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17</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29</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0.6</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0.9</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0.8</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3,117</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3,419</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6,557</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167.8</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189.9</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179.2</w:t>
            </w:r>
          </w:p>
        </w:tc>
      </w:tr>
      <w:tr w:rsidR="009E20D1" w:rsidTr="00EF3D4F">
        <w:trPr>
          <w:cnfStyle w:val="000000010000" w:firstRow="0" w:lastRow="0" w:firstColumn="0" w:lastColumn="0" w:oddVBand="0" w:evenVBand="0" w:oddHBand="0" w:evenHBand="1" w:firstRowFirstColumn="0" w:firstRowLastColumn="0" w:lastRowFirstColumn="0" w:lastRowLastColumn="0"/>
        </w:trPr>
        <w:tc>
          <w:tcPr>
            <w:tcW w:w="156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pPr>
              <w:pStyle w:val="NormalWeb"/>
            </w:pPr>
            <w:r>
              <w:t>30 to 39</w:t>
            </w:r>
          </w:p>
        </w:tc>
        <w:tc>
          <w:tcPr>
            <w:tcW w:w="724"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22</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8</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30</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1.2</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0.4</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0.8</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2,656</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2,545</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5,216</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146.0</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137.1</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141.9</w:t>
            </w:r>
          </w:p>
        </w:tc>
      </w:tr>
      <w:tr w:rsidR="00AB0397" w:rsidTr="00EF3D4F">
        <w:tc>
          <w:tcPr>
            <w:tcW w:w="156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pPr>
              <w:pStyle w:val="NormalWeb"/>
            </w:pPr>
            <w:r>
              <w:t>40 to 49</w:t>
            </w:r>
          </w:p>
        </w:tc>
        <w:tc>
          <w:tcPr>
            <w:tcW w:w="724"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11</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12</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0.7</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0.1</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0.4</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1,955</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1,807</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3,790</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120.8</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109.1</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115.7</w:t>
            </w:r>
          </w:p>
        </w:tc>
      </w:tr>
      <w:tr w:rsidR="009E20D1" w:rsidTr="00EF3D4F">
        <w:trPr>
          <w:cnfStyle w:val="000000010000" w:firstRow="0" w:lastRow="0" w:firstColumn="0" w:lastColumn="0" w:oddVBand="0" w:evenVBand="0" w:oddHBand="0" w:evenHBand="1" w:firstRowFirstColumn="0" w:firstRowLastColumn="0" w:lastRowFirstColumn="0" w:lastRowLastColumn="0"/>
        </w:trPr>
        <w:tc>
          <w:tcPr>
            <w:tcW w:w="156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pPr>
              <w:pStyle w:val="NormalWeb"/>
            </w:pPr>
            <w:r>
              <w:t>50 to 59</w:t>
            </w:r>
          </w:p>
        </w:tc>
        <w:tc>
          <w:tcPr>
            <w:tcW w:w="724"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11</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3</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14</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0.7</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0.2</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0.5</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1,694</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1,760</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3,461</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112.4</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111.9</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112.4</w:t>
            </w:r>
          </w:p>
        </w:tc>
      </w:tr>
      <w:tr w:rsidR="00AB0397" w:rsidTr="00EF3D4F">
        <w:tc>
          <w:tcPr>
            <w:tcW w:w="156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pPr>
              <w:pStyle w:val="NormalWeb"/>
            </w:pPr>
            <w:r>
              <w:t>60 to 69</w:t>
            </w:r>
          </w:p>
        </w:tc>
        <w:tc>
          <w:tcPr>
            <w:tcW w:w="724"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8</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4</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12</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0.6</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0.3</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0.5</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1,223</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1,225</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2,450</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96.3</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91.2</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93.7</w:t>
            </w:r>
          </w:p>
        </w:tc>
      </w:tr>
      <w:tr w:rsidR="009E20D1" w:rsidTr="00EF3D4F">
        <w:trPr>
          <w:cnfStyle w:val="000000010000" w:firstRow="0" w:lastRow="0" w:firstColumn="0" w:lastColumn="0" w:oddVBand="0" w:evenVBand="0" w:oddHBand="0" w:evenHBand="1" w:firstRowFirstColumn="0" w:firstRowLastColumn="0" w:lastRowFirstColumn="0" w:lastRowLastColumn="0"/>
        </w:trPr>
        <w:tc>
          <w:tcPr>
            <w:tcW w:w="156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pPr>
              <w:pStyle w:val="NormalWeb"/>
            </w:pPr>
            <w:r>
              <w:t>70 to 79</w:t>
            </w:r>
          </w:p>
        </w:tc>
        <w:tc>
          <w:tcPr>
            <w:tcW w:w="724"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3</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4</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0.3</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0.1</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0.2</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864</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758</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1,622</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99.3</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82.2</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90.5</w:t>
            </w:r>
          </w:p>
        </w:tc>
      </w:tr>
      <w:tr w:rsidR="00AB0397" w:rsidTr="00EF3D4F">
        <w:tc>
          <w:tcPr>
            <w:tcW w:w="156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pPr>
              <w:pStyle w:val="NormalWeb"/>
            </w:pPr>
            <w:r>
              <w:t>80 to 89</w:t>
            </w:r>
          </w:p>
        </w:tc>
        <w:tc>
          <w:tcPr>
            <w:tcW w:w="724"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0.0</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0.0</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0.0</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497</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778</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1,275</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139.1</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168.7</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155.7</w:t>
            </w:r>
          </w:p>
        </w:tc>
      </w:tr>
      <w:tr w:rsidR="009E20D1" w:rsidTr="00EF3D4F">
        <w:trPr>
          <w:cnfStyle w:val="000000010000" w:firstRow="0" w:lastRow="0" w:firstColumn="0" w:lastColumn="0" w:oddVBand="0" w:evenVBand="0" w:oddHBand="0" w:evenHBand="1" w:firstRowFirstColumn="0" w:firstRowLastColumn="0" w:lastRowFirstColumn="0" w:lastRowLastColumn="0"/>
        </w:trPr>
        <w:tc>
          <w:tcPr>
            <w:tcW w:w="156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pPr>
              <w:pStyle w:val="NormalWeb"/>
            </w:pPr>
            <w:r>
              <w:t>90 and over</w:t>
            </w:r>
          </w:p>
        </w:tc>
        <w:tc>
          <w:tcPr>
            <w:tcW w:w="724"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0.0</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0.0</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0.0</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230</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551</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782</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335.2</w:t>
            </w:r>
          </w:p>
        </w:tc>
        <w:tc>
          <w:tcPr>
            <w:tcW w:w="11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412.6</w:t>
            </w:r>
          </w:p>
        </w:tc>
        <w:tc>
          <w:tcPr>
            <w:tcW w:w="11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AB0397" w:rsidRDefault="00AB0397" w:rsidP="009E20D1">
            <w:pPr>
              <w:pStyle w:val="NormalWeb"/>
              <w:jc w:val="center"/>
            </w:pPr>
            <w:r>
              <w:t>386.8</w:t>
            </w:r>
          </w:p>
        </w:tc>
      </w:tr>
    </w:tbl>
    <w:p w:rsidR="008B5348" w:rsidRDefault="008B5348">
      <w:pPr>
        <w:rPr>
          <w:rStyle w:val="A10"/>
        </w:rPr>
      </w:pPr>
    </w:p>
    <w:p w:rsidR="008B5348" w:rsidRDefault="008B5348">
      <w:pPr>
        <w:rPr>
          <w:rStyle w:val="A10"/>
        </w:rPr>
        <w:sectPr w:rsidR="008B5348" w:rsidSect="009E20D1">
          <w:pgSz w:w="16838" w:h="11906" w:orient="landscape"/>
          <w:pgMar w:top="720" w:right="720" w:bottom="720" w:left="1134" w:header="709" w:footer="284" w:gutter="0"/>
          <w:cols w:space="708"/>
          <w:titlePg/>
          <w:docGrid w:linePitch="360"/>
        </w:sectPr>
      </w:pPr>
    </w:p>
    <w:p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0"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1"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w:t>
      </w:r>
      <w:proofErr w:type="gramStart"/>
      <w:r w:rsidRPr="000606CC">
        <w:rPr>
          <w:rFonts w:cstheme="minorHAnsi"/>
          <w:sz w:val="20"/>
          <w:szCs w:val="18"/>
        </w:rPr>
        <w:t>at:</w:t>
      </w:r>
      <w:proofErr w:type="gramEnd"/>
      <w:r w:rsidRPr="000606CC">
        <w:rPr>
          <w:rFonts w:cstheme="minorHAnsi"/>
          <w:sz w:val="20"/>
          <w:szCs w:val="18"/>
        </w:rPr>
        <w:t xml:space="preserve"> </w:t>
      </w:r>
      <w:hyperlink r:id="rId22"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w:t>
      </w:r>
      <w:proofErr w:type="gramStart"/>
      <w:r w:rsidRPr="000606CC">
        <w:rPr>
          <w:rFonts w:cstheme="minorHAnsi"/>
          <w:sz w:val="20"/>
          <w:szCs w:val="18"/>
        </w:rPr>
        <w:t>to:</w:t>
      </w:r>
      <w:proofErr w:type="gramEnd"/>
      <w:r w:rsidRPr="000606CC">
        <w:rPr>
          <w:rFonts w:cstheme="minorHAnsi"/>
          <w:sz w:val="20"/>
          <w:szCs w:val="18"/>
        </w:rPr>
        <w:t xml:space="preserve"> </w:t>
      </w:r>
      <w:hyperlink r:id="rId23"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4"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5"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6"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7"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2B75A9">
      <w:headerReference w:type="default" r:id="rId28"/>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340" w:rsidRDefault="001A5340" w:rsidP="00E54DBA">
      <w:r>
        <w:separator/>
      </w:r>
    </w:p>
    <w:p w:rsidR="001A5340" w:rsidRDefault="001A5340"/>
    <w:p w:rsidR="001A5340" w:rsidRDefault="001A5340" w:rsidP="008714B0"/>
  </w:endnote>
  <w:endnote w:type="continuationSeparator" w:id="0">
    <w:p w:rsidR="001A5340" w:rsidRDefault="001A5340" w:rsidP="00E54DBA">
      <w:r>
        <w:continuationSeparator/>
      </w:r>
    </w:p>
    <w:p w:rsidR="001A5340" w:rsidRDefault="001A5340"/>
    <w:p w:rsidR="001A5340" w:rsidRDefault="001A534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20204"/>
    <w:charset w:val="00"/>
    <w:family w:val="swiss"/>
    <w:notTrueType/>
    <w:pitch w:val="variable"/>
    <w:sig w:usb0="20000287" w:usb1="00000001" w:usb2="00000000" w:usb3="00000000" w:csb0="0000019F" w:csb1="00000000"/>
  </w:font>
  <w:font w:name="Minion Pro SmBd">
    <w:altName w:val="Cambria Math"/>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340" w:rsidRPr="0042435E" w:rsidRDefault="001A5340"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750B1">
      <w:rPr>
        <w:noProof/>
        <w:sz w:val="18"/>
      </w:rPr>
      <w:t>29</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1750B1">
      <w:rPr>
        <w:noProof/>
        <w:sz w:val="18"/>
      </w:rPr>
      <w:t>30</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C47EEC">
      <w:rPr>
        <w:i/>
        <w:sz w:val="18"/>
      </w:rPr>
      <w:t>Commun</w:t>
    </w:r>
    <w:proofErr w:type="spellEnd"/>
    <w:r w:rsidRPr="00C47EEC">
      <w:rPr>
        <w:i/>
        <w:sz w:val="18"/>
      </w:rPr>
      <w:t xml:space="preserve"> Dis </w:t>
    </w:r>
    <w:proofErr w:type="spellStart"/>
    <w:r w:rsidRPr="00C47EEC">
      <w:rPr>
        <w:i/>
        <w:sz w:val="18"/>
      </w:rPr>
      <w:t>Intell</w:t>
    </w:r>
    <w:proofErr w:type="spellEnd"/>
    <w:r w:rsidRPr="00C47EEC">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https://doi.org/10.33321/cdi.2021.45.19</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1750B1">
      <w:rPr>
        <w:sz w:val="18"/>
      </w:rPr>
      <w:t>9/4/2021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340" w:rsidRPr="00BB5378" w:rsidRDefault="001A5340"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750B1">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1750B1">
      <w:rPr>
        <w:noProof/>
        <w:sz w:val="18"/>
      </w:rPr>
      <w:t>29</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C47EEC">
      <w:rPr>
        <w:i/>
        <w:sz w:val="18"/>
      </w:rPr>
      <w:t>Commun</w:t>
    </w:r>
    <w:proofErr w:type="spellEnd"/>
    <w:r w:rsidRPr="00C47EEC">
      <w:rPr>
        <w:i/>
        <w:sz w:val="18"/>
      </w:rPr>
      <w:t xml:space="preserve"> Dis </w:t>
    </w:r>
    <w:proofErr w:type="spellStart"/>
    <w:r w:rsidRPr="00C47EEC">
      <w:rPr>
        <w:i/>
        <w:sz w:val="18"/>
      </w:rPr>
      <w:t>Intell</w:t>
    </w:r>
    <w:proofErr w:type="spellEnd"/>
    <w:r w:rsidRPr="00C47EEC">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750B1">
      <w:rPr>
        <w:sz w:val="18"/>
      </w:rPr>
      <w:t>https://doi.org/10.33321/cdi.2021.45.19</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1750B1">
      <w:rPr>
        <w:sz w:val="18"/>
      </w:rPr>
      <w:t>9/4/2021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340" w:rsidRDefault="001A5340" w:rsidP="00E54DBA">
      <w:r>
        <w:separator/>
      </w:r>
    </w:p>
  </w:footnote>
  <w:footnote w:type="continuationSeparator" w:id="0">
    <w:p w:rsidR="001A5340" w:rsidRDefault="001A5340" w:rsidP="00E54DBA">
      <w:r>
        <w:continuationSeparator/>
      </w:r>
    </w:p>
  </w:footnote>
  <w:footnote w:type="continuationNotice" w:id="1">
    <w:p w:rsidR="001A5340" w:rsidRPr="00224EFF" w:rsidRDefault="001A5340" w:rsidP="00224EFF">
      <w:pPr>
        <w:pStyle w:val="Footer"/>
      </w:pPr>
    </w:p>
  </w:footnote>
  <w:footnote w:id="2">
    <w:p w:rsidR="001B2100" w:rsidRDefault="001B2100">
      <w:pPr>
        <w:pStyle w:val="FootnoteText"/>
      </w:pPr>
      <w:r>
        <w:rPr>
          <w:rStyle w:val="FootnoteReference"/>
        </w:rPr>
        <w:footnoteRef/>
      </w:r>
      <w:r>
        <w:t xml:space="preserve"> </w:t>
      </w:r>
      <w:r w:rsidRPr="001B2100">
        <w:t>These data are provided by the national pathogen genomic sequence and analysis platform, AusTrakka</w:t>
      </w:r>
      <w:proofErr w:type="gramStart"/>
      <w:r w:rsidRPr="001B2100">
        <w:t>,</w:t>
      </w:r>
      <w:r w:rsidRPr="001B2100">
        <w:rPr>
          <w:vertAlign w:val="superscript"/>
        </w:rPr>
        <w:t>1</w:t>
      </w:r>
      <w:r>
        <w:rPr>
          <w:vertAlign w:val="superscript"/>
        </w:rPr>
        <w:t>2</w:t>
      </w:r>
      <w:proofErr w:type="gramEnd"/>
      <w:r w:rsidRPr="001B2100">
        <w:t xml:space="preserve"> and from jurisdictional pathogen sequencing laboratories to summarise the genomic epidemiology of SARS-CoV-2 in Australia. Numbers are subject to change retrospectively and sequences are not able to be obtained from all samples (see Technical Supplement).</w:t>
      </w:r>
      <w:r w:rsidRPr="001B2100">
        <w:rPr>
          <w:vertAlign w:val="superscript"/>
        </w:rPr>
        <w:t>11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340" w:rsidRPr="00A153B6" w:rsidRDefault="001750B1"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1A5340">
          <w:t>Surveillance summary</w:t>
        </w:r>
      </w:sdtContent>
    </w:sdt>
    <w:r w:rsidR="001A5340">
      <w:ptab w:relativeTo="margin" w:alignment="right" w:leader="none"/>
    </w:r>
    <w:r w:rsidR="001A5340"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340" w:rsidRPr="000A5F42" w:rsidRDefault="001A5340"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0B59"/>
    <w:multiLevelType w:val="multilevel"/>
    <w:tmpl w:val="29AA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C748A"/>
    <w:multiLevelType w:val="multilevel"/>
    <w:tmpl w:val="5A1C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1543B"/>
    <w:multiLevelType w:val="multilevel"/>
    <w:tmpl w:val="279E4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4E1038"/>
    <w:multiLevelType w:val="multilevel"/>
    <w:tmpl w:val="C1B4B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B17166"/>
    <w:multiLevelType w:val="multilevel"/>
    <w:tmpl w:val="35FA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5958EE"/>
    <w:multiLevelType w:val="multilevel"/>
    <w:tmpl w:val="F1A4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D04745"/>
    <w:multiLevelType w:val="multilevel"/>
    <w:tmpl w:val="D87A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A070E9"/>
    <w:multiLevelType w:val="multilevel"/>
    <w:tmpl w:val="D41A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4F68C7"/>
    <w:multiLevelType w:val="hybridMultilevel"/>
    <w:tmpl w:val="C0562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A00C4A"/>
    <w:multiLevelType w:val="hybridMultilevel"/>
    <w:tmpl w:val="53D44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3752D5"/>
    <w:multiLevelType w:val="hybridMultilevel"/>
    <w:tmpl w:val="EABA9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0C3158"/>
    <w:multiLevelType w:val="multilevel"/>
    <w:tmpl w:val="4F1A2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0547A0B"/>
    <w:multiLevelType w:val="hybridMultilevel"/>
    <w:tmpl w:val="89C0EB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78C2B46"/>
    <w:multiLevelType w:val="multilevel"/>
    <w:tmpl w:val="A0B2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B4336A"/>
    <w:multiLevelType w:val="multilevel"/>
    <w:tmpl w:val="650C1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97C65B5"/>
    <w:multiLevelType w:val="multilevel"/>
    <w:tmpl w:val="2CE0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4"/>
  </w:num>
  <w:num w:numId="3">
    <w:abstractNumId w:val="15"/>
  </w:num>
  <w:num w:numId="4">
    <w:abstractNumId w:val="7"/>
  </w:num>
  <w:num w:numId="5">
    <w:abstractNumId w:val="19"/>
  </w:num>
  <w:num w:numId="6">
    <w:abstractNumId w:val="20"/>
  </w:num>
  <w:num w:numId="7">
    <w:abstractNumId w:val="2"/>
  </w:num>
  <w:num w:numId="8">
    <w:abstractNumId w:val="13"/>
  </w:num>
  <w:num w:numId="9">
    <w:abstractNumId w:val="6"/>
  </w:num>
  <w:num w:numId="10">
    <w:abstractNumId w:val="3"/>
  </w:num>
  <w:num w:numId="11">
    <w:abstractNumId w:val="5"/>
  </w:num>
  <w:num w:numId="12">
    <w:abstractNumId w:val="17"/>
  </w:num>
  <w:num w:numId="13">
    <w:abstractNumId w:val="1"/>
  </w:num>
  <w:num w:numId="14">
    <w:abstractNumId w:val="9"/>
  </w:num>
  <w:num w:numId="15">
    <w:abstractNumId w:val="21"/>
  </w:num>
  <w:num w:numId="16">
    <w:abstractNumId w:val="4"/>
  </w:num>
  <w:num w:numId="17">
    <w:abstractNumId w:val="0"/>
  </w:num>
  <w:num w:numId="18">
    <w:abstractNumId w:val="18"/>
  </w:num>
  <w:num w:numId="19">
    <w:abstractNumId w:val="12"/>
  </w:num>
  <w:num w:numId="20">
    <w:abstractNumId w:val="11"/>
  </w:num>
  <w:num w:numId="21">
    <w:abstractNumId w:val="1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isplayBackgroundShape/>
  <w:proofState w:spelling="clean" w:grammar="clean"/>
  <w:attachedTemplate r:id="rId1"/>
  <w:defaultTabStop w:val="720"/>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98B"/>
    <w:rsid w:val="00000B5B"/>
    <w:rsid w:val="00000F9A"/>
    <w:rsid w:val="00001611"/>
    <w:rsid w:val="000104A8"/>
    <w:rsid w:val="0001246E"/>
    <w:rsid w:val="000124B1"/>
    <w:rsid w:val="00012C0A"/>
    <w:rsid w:val="00016FE6"/>
    <w:rsid w:val="00031064"/>
    <w:rsid w:val="00031692"/>
    <w:rsid w:val="00032531"/>
    <w:rsid w:val="000325A0"/>
    <w:rsid w:val="000449BA"/>
    <w:rsid w:val="000471BF"/>
    <w:rsid w:val="00047B68"/>
    <w:rsid w:val="00052600"/>
    <w:rsid w:val="0005643C"/>
    <w:rsid w:val="0006264A"/>
    <w:rsid w:val="00066F50"/>
    <w:rsid w:val="00073D77"/>
    <w:rsid w:val="00074526"/>
    <w:rsid w:val="00081655"/>
    <w:rsid w:val="000864E0"/>
    <w:rsid w:val="00094385"/>
    <w:rsid w:val="000969B3"/>
    <w:rsid w:val="000A56BA"/>
    <w:rsid w:val="000A5F42"/>
    <w:rsid w:val="000B66DC"/>
    <w:rsid w:val="000D4B4D"/>
    <w:rsid w:val="000D5F4F"/>
    <w:rsid w:val="000D7251"/>
    <w:rsid w:val="000F5C3A"/>
    <w:rsid w:val="00113D58"/>
    <w:rsid w:val="001200CB"/>
    <w:rsid w:val="001378A3"/>
    <w:rsid w:val="0015398B"/>
    <w:rsid w:val="00155582"/>
    <w:rsid w:val="001613E1"/>
    <w:rsid w:val="00161590"/>
    <w:rsid w:val="001705E3"/>
    <w:rsid w:val="00171CC0"/>
    <w:rsid w:val="001750B1"/>
    <w:rsid w:val="00175494"/>
    <w:rsid w:val="00175629"/>
    <w:rsid w:val="001830EC"/>
    <w:rsid w:val="00183534"/>
    <w:rsid w:val="00184046"/>
    <w:rsid w:val="00191602"/>
    <w:rsid w:val="001A4A96"/>
    <w:rsid w:val="001A5340"/>
    <w:rsid w:val="001A5D05"/>
    <w:rsid w:val="001A604D"/>
    <w:rsid w:val="001A796C"/>
    <w:rsid w:val="001B2100"/>
    <w:rsid w:val="001B2614"/>
    <w:rsid w:val="001B37B8"/>
    <w:rsid w:val="001B552F"/>
    <w:rsid w:val="001B65A2"/>
    <w:rsid w:val="001C0893"/>
    <w:rsid w:val="001C1303"/>
    <w:rsid w:val="001C70B2"/>
    <w:rsid w:val="001D37C7"/>
    <w:rsid w:val="001D6888"/>
    <w:rsid w:val="001F6847"/>
    <w:rsid w:val="00222D04"/>
    <w:rsid w:val="00224EFF"/>
    <w:rsid w:val="002276DC"/>
    <w:rsid w:val="00227E00"/>
    <w:rsid w:val="002307CB"/>
    <w:rsid w:val="00231046"/>
    <w:rsid w:val="00234F21"/>
    <w:rsid w:val="00242659"/>
    <w:rsid w:val="002428F7"/>
    <w:rsid w:val="0024315F"/>
    <w:rsid w:val="0024364B"/>
    <w:rsid w:val="0024631C"/>
    <w:rsid w:val="00252C9A"/>
    <w:rsid w:val="00253275"/>
    <w:rsid w:val="00256309"/>
    <w:rsid w:val="00257484"/>
    <w:rsid w:val="00260636"/>
    <w:rsid w:val="002749F6"/>
    <w:rsid w:val="00275C78"/>
    <w:rsid w:val="00280594"/>
    <w:rsid w:val="00281EE3"/>
    <w:rsid w:val="00284E4A"/>
    <w:rsid w:val="00287DA0"/>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174C7"/>
    <w:rsid w:val="00324F7E"/>
    <w:rsid w:val="003323BC"/>
    <w:rsid w:val="00346D42"/>
    <w:rsid w:val="00346E11"/>
    <w:rsid w:val="003601C0"/>
    <w:rsid w:val="00360372"/>
    <w:rsid w:val="003635F5"/>
    <w:rsid w:val="00367A40"/>
    <w:rsid w:val="00372A88"/>
    <w:rsid w:val="00381A0F"/>
    <w:rsid w:val="003A1B3A"/>
    <w:rsid w:val="003A40F5"/>
    <w:rsid w:val="003B496E"/>
    <w:rsid w:val="003B5B8C"/>
    <w:rsid w:val="003C2B38"/>
    <w:rsid w:val="003D56F2"/>
    <w:rsid w:val="003D79B1"/>
    <w:rsid w:val="003E74EE"/>
    <w:rsid w:val="003F0552"/>
    <w:rsid w:val="003F235A"/>
    <w:rsid w:val="003F3BC2"/>
    <w:rsid w:val="0040043B"/>
    <w:rsid w:val="00401ED1"/>
    <w:rsid w:val="0040224C"/>
    <w:rsid w:val="00413EE1"/>
    <w:rsid w:val="004164BB"/>
    <w:rsid w:val="00421ECE"/>
    <w:rsid w:val="00422FEB"/>
    <w:rsid w:val="0042435E"/>
    <w:rsid w:val="004315F5"/>
    <w:rsid w:val="00433456"/>
    <w:rsid w:val="00433DFA"/>
    <w:rsid w:val="00435D67"/>
    <w:rsid w:val="00437D75"/>
    <w:rsid w:val="00464A58"/>
    <w:rsid w:val="004724FC"/>
    <w:rsid w:val="00473D2D"/>
    <w:rsid w:val="004A2125"/>
    <w:rsid w:val="004A38F6"/>
    <w:rsid w:val="004B4EB6"/>
    <w:rsid w:val="004B63A4"/>
    <w:rsid w:val="004C083C"/>
    <w:rsid w:val="004C67C6"/>
    <w:rsid w:val="004C749C"/>
    <w:rsid w:val="004D29DE"/>
    <w:rsid w:val="00510EAC"/>
    <w:rsid w:val="00542A57"/>
    <w:rsid w:val="005566CC"/>
    <w:rsid w:val="00565974"/>
    <w:rsid w:val="005732C0"/>
    <w:rsid w:val="0057336D"/>
    <w:rsid w:val="0057489A"/>
    <w:rsid w:val="00574ACF"/>
    <w:rsid w:val="00581588"/>
    <w:rsid w:val="0058540B"/>
    <w:rsid w:val="00587C87"/>
    <w:rsid w:val="00590B80"/>
    <w:rsid w:val="005941DB"/>
    <w:rsid w:val="00596663"/>
    <w:rsid w:val="005B3134"/>
    <w:rsid w:val="005B4E61"/>
    <w:rsid w:val="005B595A"/>
    <w:rsid w:val="005B66C2"/>
    <w:rsid w:val="005C5516"/>
    <w:rsid w:val="005C66A6"/>
    <w:rsid w:val="005D221C"/>
    <w:rsid w:val="005D2465"/>
    <w:rsid w:val="005E33DD"/>
    <w:rsid w:val="005E4229"/>
    <w:rsid w:val="005E540E"/>
    <w:rsid w:val="005E55FB"/>
    <w:rsid w:val="005F16BB"/>
    <w:rsid w:val="006054B6"/>
    <w:rsid w:val="00605C95"/>
    <w:rsid w:val="00607115"/>
    <w:rsid w:val="00620768"/>
    <w:rsid w:val="0062594B"/>
    <w:rsid w:val="00631406"/>
    <w:rsid w:val="006324FF"/>
    <w:rsid w:val="006351D6"/>
    <w:rsid w:val="00636E0D"/>
    <w:rsid w:val="0064142F"/>
    <w:rsid w:val="00643CB4"/>
    <w:rsid w:val="00656427"/>
    <w:rsid w:val="00660255"/>
    <w:rsid w:val="00674EFB"/>
    <w:rsid w:val="00681DA8"/>
    <w:rsid w:val="00686E26"/>
    <w:rsid w:val="006971F3"/>
    <w:rsid w:val="006A245D"/>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69CC"/>
    <w:rsid w:val="007B7854"/>
    <w:rsid w:val="007C56A1"/>
    <w:rsid w:val="007C6454"/>
    <w:rsid w:val="007D731F"/>
    <w:rsid w:val="007D7AF6"/>
    <w:rsid w:val="007E01E0"/>
    <w:rsid w:val="007E09E3"/>
    <w:rsid w:val="007F0B93"/>
    <w:rsid w:val="007F2ECA"/>
    <w:rsid w:val="00811708"/>
    <w:rsid w:val="00813EC2"/>
    <w:rsid w:val="00816B90"/>
    <w:rsid w:val="00817799"/>
    <w:rsid w:val="0082294E"/>
    <w:rsid w:val="00822F5F"/>
    <w:rsid w:val="008246B3"/>
    <w:rsid w:val="00824FD3"/>
    <w:rsid w:val="00826589"/>
    <w:rsid w:val="00827CB9"/>
    <w:rsid w:val="00834BCC"/>
    <w:rsid w:val="00850D54"/>
    <w:rsid w:val="008714B0"/>
    <w:rsid w:val="00876331"/>
    <w:rsid w:val="00880726"/>
    <w:rsid w:val="00893A08"/>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05C2"/>
    <w:rsid w:val="00912050"/>
    <w:rsid w:val="00912E48"/>
    <w:rsid w:val="0092746F"/>
    <w:rsid w:val="009315F8"/>
    <w:rsid w:val="00935DC9"/>
    <w:rsid w:val="009446C0"/>
    <w:rsid w:val="0096082E"/>
    <w:rsid w:val="00961347"/>
    <w:rsid w:val="0096314F"/>
    <w:rsid w:val="0096370A"/>
    <w:rsid w:val="00967410"/>
    <w:rsid w:val="00967D73"/>
    <w:rsid w:val="0098119A"/>
    <w:rsid w:val="00984AAF"/>
    <w:rsid w:val="009869B8"/>
    <w:rsid w:val="00991B09"/>
    <w:rsid w:val="00993CB2"/>
    <w:rsid w:val="009A5166"/>
    <w:rsid w:val="009A76F8"/>
    <w:rsid w:val="009B2B83"/>
    <w:rsid w:val="009B7798"/>
    <w:rsid w:val="009C49F8"/>
    <w:rsid w:val="009D77CC"/>
    <w:rsid w:val="009E20D1"/>
    <w:rsid w:val="009E2423"/>
    <w:rsid w:val="009E55D7"/>
    <w:rsid w:val="009E7DA9"/>
    <w:rsid w:val="009F4150"/>
    <w:rsid w:val="009F5665"/>
    <w:rsid w:val="009F5DAD"/>
    <w:rsid w:val="00A01BCA"/>
    <w:rsid w:val="00A033F9"/>
    <w:rsid w:val="00A10458"/>
    <w:rsid w:val="00A153B6"/>
    <w:rsid w:val="00A164D5"/>
    <w:rsid w:val="00A22FF9"/>
    <w:rsid w:val="00A273C3"/>
    <w:rsid w:val="00A30C37"/>
    <w:rsid w:val="00A36C65"/>
    <w:rsid w:val="00A41BBE"/>
    <w:rsid w:val="00A443E3"/>
    <w:rsid w:val="00A45BDD"/>
    <w:rsid w:val="00A46A0A"/>
    <w:rsid w:val="00A553F8"/>
    <w:rsid w:val="00A6708F"/>
    <w:rsid w:val="00A71BF6"/>
    <w:rsid w:val="00A75283"/>
    <w:rsid w:val="00A7712F"/>
    <w:rsid w:val="00A86F9A"/>
    <w:rsid w:val="00AA35E6"/>
    <w:rsid w:val="00AA50B6"/>
    <w:rsid w:val="00AB0397"/>
    <w:rsid w:val="00AB3472"/>
    <w:rsid w:val="00AB6AFB"/>
    <w:rsid w:val="00AD0762"/>
    <w:rsid w:val="00AE1AFE"/>
    <w:rsid w:val="00AE309A"/>
    <w:rsid w:val="00AE3DCF"/>
    <w:rsid w:val="00AE4452"/>
    <w:rsid w:val="00AE7C38"/>
    <w:rsid w:val="00AF0BE6"/>
    <w:rsid w:val="00B01F99"/>
    <w:rsid w:val="00B02B37"/>
    <w:rsid w:val="00B05276"/>
    <w:rsid w:val="00B05A17"/>
    <w:rsid w:val="00B132DB"/>
    <w:rsid w:val="00B31427"/>
    <w:rsid w:val="00B33861"/>
    <w:rsid w:val="00B40DE2"/>
    <w:rsid w:val="00B50210"/>
    <w:rsid w:val="00B53955"/>
    <w:rsid w:val="00B6408A"/>
    <w:rsid w:val="00B714B8"/>
    <w:rsid w:val="00B82C2C"/>
    <w:rsid w:val="00B82EF0"/>
    <w:rsid w:val="00B8720B"/>
    <w:rsid w:val="00B876EF"/>
    <w:rsid w:val="00B951A6"/>
    <w:rsid w:val="00BA4697"/>
    <w:rsid w:val="00BB4683"/>
    <w:rsid w:val="00BB5378"/>
    <w:rsid w:val="00BC0BD3"/>
    <w:rsid w:val="00BC656F"/>
    <w:rsid w:val="00BD0107"/>
    <w:rsid w:val="00BD7238"/>
    <w:rsid w:val="00BE0C33"/>
    <w:rsid w:val="00BE262C"/>
    <w:rsid w:val="00BE6C3D"/>
    <w:rsid w:val="00C07606"/>
    <w:rsid w:val="00C12542"/>
    <w:rsid w:val="00C24725"/>
    <w:rsid w:val="00C30BA9"/>
    <w:rsid w:val="00C3541E"/>
    <w:rsid w:val="00C36A8F"/>
    <w:rsid w:val="00C42834"/>
    <w:rsid w:val="00C42FFA"/>
    <w:rsid w:val="00C444CA"/>
    <w:rsid w:val="00C4634F"/>
    <w:rsid w:val="00C47EEC"/>
    <w:rsid w:val="00C507D8"/>
    <w:rsid w:val="00C62EAC"/>
    <w:rsid w:val="00C63F9F"/>
    <w:rsid w:val="00C7723C"/>
    <w:rsid w:val="00C838F5"/>
    <w:rsid w:val="00CA1AF4"/>
    <w:rsid w:val="00CA6068"/>
    <w:rsid w:val="00CB15E1"/>
    <w:rsid w:val="00CB3D46"/>
    <w:rsid w:val="00CC762F"/>
    <w:rsid w:val="00CD1A87"/>
    <w:rsid w:val="00CD35F3"/>
    <w:rsid w:val="00CD5C93"/>
    <w:rsid w:val="00CE342B"/>
    <w:rsid w:val="00CF320C"/>
    <w:rsid w:val="00CF3A4B"/>
    <w:rsid w:val="00CF4001"/>
    <w:rsid w:val="00D05837"/>
    <w:rsid w:val="00D07C68"/>
    <w:rsid w:val="00D12D8A"/>
    <w:rsid w:val="00D13E0C"/>
    <w:rsid w:val="00D156B3"/>
    <w:rsid w:val="00D25896"/>
    <w:rsid w:val="00D373A1"/>
    <w:rsid w:val="00D37C0F"/>
    <w:rsid w:val="00D45661"/>
    <w:rsid w:val="00D45943"/>
    <w:rsid w:val="00D47D22"/>
    <w:rsid w:val="00D51865"/>
    <w:rsid w:val="00D51D0C"/>
    <w:rsid w:val="00D74140"/>
    <w:rsid w:val="00DA6E56"/>
    <w:rsid w:val="00DB002B"/>
    <w:rsid w:val="00DC24E5"/>
    <w:rsid w:val="00DC6705"/>
    <w:rsid w:val="00DD2DE8"/>
    <w:rsid w:val="00DE38B4"/>
    <w:rsid w:val="00DE5D02"/>
    <w:rsid w:val="00DF6750"/>
    <w:rsid w:val="00E005A9"/>
    <w:rsid w:val="00E1166E"/>
    <w:rsid w:val="00E11D70"/>
    <w:rsid w:val="00E24DC0"/>
    <w:rsid w:val="00E2519C"/>
    <w:rsid w:val="00E25F2A"/>
    <w:rsid w:val="00E30B9A"/>
    <w:rsid w:val="00E348FF"/>
    <w:rsid w:val="00E41455"/>
    <w:rsid w:val="00E42324"/>
    <w:rsid w:val="00E42AD2"/>
    <w:rsid w:val="00E50856"/>
    <w:rsid w:val="00E538CC"/>
    <w:rsid w:val="00E54BBD"/>
    <w:rsid w:val="00E54DBA"/>
    <w:rsid w:val="00E63D7C"/>
    <w:rsid w:val="00E640D5"/>
    <w:rsid w:val="00E66E2E"/>
    <w:rsid w:val="00E67691"/>
    <w:rsid w:val="00E71AC6"/>
    <w:rsid w:val="00E71BE9"/>
    <w:rsid w:val="00E74E3D"/>
    <w:rsid w:val="00E75935"/>
    <w:rsid w:val="00E840DC"/>
    <w:rsid w:val="00E85EE1"/>
    <w:rsid w:val="00E92237"/>
    <w:rsid w:val="00E951EF"/>
    <w:rsid w:val="00EA09DA"/>
    <w:rsid w:val="00EA3D54"/>
    <w:rsid w:val="00EA56D9"/>
    <w:rsid w:val="00EA5CE3"/>
    <w:rsid w:val="00EB51C1"/>
    <w:rsid w:val="00EB5AE1"/>
    <w:rsid w:val="00EB5E0B"/>
    <w:rsid w:val="00EB6A84"/>
    <w:rsid w:val="00EC2171"/>
    <w:rsid w:val="00EC50D2"/>
    <w:rsid w:val="00ED442D"/>
    <w:rsid w:val="00ED70C2"/>
    <w:rsid w:val="00EE18FF"/>
    <w:rsid w:val="00EE489F"/>
    <w:rsid w:val="00EF3D4F"/>
    <w:rsid w:val="00F0647F"/>
    <w:rsid w:val="00F10CE3"/>
    <w:rsid w:val="00F12FF2"/>
    <w:rsid w:val="00F138C4"/>
    <w:rsid w:val="00F14F3B"/>
    <w:rsid w:val="00F16362"/>
    <w:rsid w:val="00F207C7"/>
    <w:rsid w:val="00F35789"/>
    <w:rsid w:val="00F36B6D"/>
    <w:rsid w:val="00F43FA3"/>
    <w:rsid w:val="00F471D0"/>
    <w:rsid w:val="00F55648"/>
    <w:rsid w:val="00F70046"/>
    <w:rsid w:val="00F710F7"/>
    <w:rsid w:val="00F748C2"/>
    <w:rsid w:val="00F76BC5"/>
    <w:rsid w:val="00F76C5C"/>
    <w:rsid w:val="00F81EF3"/>
    <w:rsid w:val="00F84496"/>
    <w:rsid w:val="00F85DCB"/>
    <w:rsid w:val="00F86F9C"/>
    <w:rsid w:val="00F90D76"/>
    <w:rsid w:val="00F963C7"/>
    <w:rsid w:val="00FA00B4"/>
    <w:rsid w:val="00FC002E"/>
    <w:rsid w:val="00FC4C23"/>
    <w:rsid w:val="00FC642E"/>
    <w:rsid w:val="00FD0E65"/>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3D019C01-DF12-42EF-A7E7-69B7C9F9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49C"/>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AB0397"/>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health.gov.au/cd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creativecommons.org/licenses/by-nc-nd/4.0/legalcode"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mailto:cdi.editor@health.gov.au" TargetMode="Externa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health.gov.au/cdi" TargetMode="External"/><Relationship Id="rId27" Type="http://schemas.openxmlformats.org/officeDocument/2006/relationships/hyperlink" Target="http://www.health.gov.au/cdna"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20B31B-0456-4FA1-88CC-1569961C9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2</TotalTime>
  <Pages>29</Pages>
  <Words>7102</Words>
  <Characters>43169</Characters>
  <Application>Microsoft Office Word</Application>
  <DocSecurity>0</DocSecurity>
  <Lines>359</Lines>
  <Paragraphs>100</Paragraphs>
  <ScaleCrop>false</ScaleCrop>
  <HeadingPairs>
    <vt:vector size="2" baseType="variant">
      <vt:variant>
        <vt:lpstr>Title</vt:lpstr>
      </vt:variant>
      <vt:variant>
        <vt:i4>1</vt:i4>
      </vt:variant>
    </vt:vector>
  </HeadingPairs>
  <TitlesOfParts>
    <vt:vector size="1" baseType="lpstr">
      <vt:lpstr>Communicable Diseases Intelligence 2021 - COVID-19 Australia: Epidemiology Report 38 - Reporting period ending 28 March 2021</vt:lpstr>
    </vt:vector>
  </TitlesOfParts>
  <Company>Australian Government, Department of Health</Company>
  <LinksUpToDate>false</LinksUpToDate>
  <CharactersWithSpaces>50171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Australia: Epidemiology Report 38 - Reporting period ending 28 March 2021</dc:title>
  <dc:subject>This is the thirty-eighth epidemiological report for coronavirus disease 2019 (COVID-19), reported in Australia as at 23:59 Australian Eastern Daylight Time [AEDT] 28 March 2021. It includes data on COVID-19 cases diagnosed in Australia and the international situation.</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4</cp:revision>
  <cp:lastPrinted>2018-05-10T02:19:00Z</cp:lastPrinted>
  <dcterms:created xsi:type="dcterms:W3CDTF">2021-04-09T02:44:00Z</dcterms:created>
  <dcterms:modified xsi:type="dcterms:W3CDTF">2021-04-09T06:37:00Z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9/4/2021</vt:lpwstr>
  </property>
  <property fmtid="{D5CDD505-2E9C-101B-9397-08002B2CF9AE}" pid="5" name="DOI">
    <vt:lpwstr>https://doi.org/10.33321/cdi.2021.45.19</vt:lpwstr>
  </property>
</Properties>
</file>