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6B85" w14:textId="0D8627B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2C74D39" wp14:editId="62EA7479">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B5315">
          <w:t>2025</w:t>
        </w:r>
      </w:fldSimple>
      <w:r w:rsidR="00D22CC8" w:rsidRPr="00B85B74">
        <w:t xml:space="preserve"> • Volume </w:t>
      </w:r>
      <w:fldSimple w:instr=" DOCPROPERTY  Vol  \* MERGEFORMAT ">
        <w:r w:rsidR="00CB5315">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F25CB3">
          <w:t>17.12.2025</w:t>
        </w:r>
      </w:fldSimple>
      <w:r w:rsidR="00700338">
        <w:t xml:space="preserve"> </w:t>
      </w:r>
      <w:r w:rsidR="00700338" w:rsidRPr="00B85B74">
        <w:t xml:space="preserve">• </w:t>
      </w:r>
      <w:fldSimple w:instr=" DOCPROPERTY  DOI  \* MERGEFORMAT ">
        <w:r w:rsidR="00F25CB3">
          <w:t>doi.org/10.33321/cdi.2025.49.044</w:t>
        </w:r>
      </w:fldSimple>
    </w:p>
    <w:p w14:paraId="3D7CA62F" w14:textId="11851C86" w:rsidR="006B16A5" w:rsidRPr="00F25CB3" w:rsidRDefault="00F25CB3" w:rsidP="00F25CB3">
      <w:pPr>
        <w:pStyle w:val="Title"/>
      </w:pPr>
      <w:r w:rsidRPr="00F25CB3">
        <w:t>Surveillance of adverse events following immunisation in Australia annual report, COVID-19 vaccines, 2022</w:t>
      </w:r>
    </w:p>
    <w:p w14:paraId="72001CE2" w14:textId="4E7C8688" w:rsidR="00013B65" w:rsidRDefault="00F25CB3" w:rsidP="00BB3320">
      <w:pPr>
        <w:pStyle w:val="Subtitle"/>
      </w:pPr>
      <w:r w:rsidRPr="00F25CB3">
        <w:t>Yuanfei Anny Huang, Claire Larter, Megan Hickie, Megan O’Moore, Belinda</w:t>
      </w:r>
      <w:r>
        <w:t> </w:t>
      </w:r>
      <w:r w:rsidRPr="00F25CB3">
        <w:t>Jones, Lucy Deng, Sophie Russell, Elspeth Kay, Kristine Macartney, Nicholas Wood</w:t>
      </w:r>
      <w:r w:rsidR="00013B65">
        <w:br w:type="page"/>
      </w:r>
    </w:p>
    <w:p w14:paraId="0960F2B5"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B5315">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674BACBE" w14:textId="77777777" w:rsidR="00B52457" w:rsidRPr="0089025E" w:rsidRDefault="00B52457" w:rsidP="00087CC4">
      <w:pPr>
        <w:pStyle w:val="CDICopyright"/>
      </w:pPr>
      <w:r w:rsidRPr="0089025E">
        <w:t>ISSN: 2209-6051 Online</w:t>
      </w:r>
    </w:p>
    <w:p w14:paraId="5D2EEE8E" w14:textId="77777777" w:rsidR="00B52457" w:rsidRDefault="00B52457" w:rsidP="00087CC4">
      <w:pPr>
        <w:pStyle w:val="CDICopyright"/>
      </w:pPr>
      <w:r w:rsidRPr="0089025E">
        <w:t>This journal is indexed by Index Medicus and Medline.</w:t>
      </w:r>
    </w:p>
    <w:p w14:paraId="6C82AF40" w14:textId="77777777" w:rsidR="00B52457" w:rsidRPr="007F2B27" w:rsidRDefault="00B52457" w:rsidP="00CC3648">
      <w:pPr>
        <w:pStyle w:val="CDICopyrightHeading"/>
      </w:pPr>
      <w:r w:rsidRPr="007F2B27">
        <w:t>Creative Commons Licence</w:t>
      </w:r>
    </w:p>
    <w:p w14:paraId="6C8A1924"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8F373B1" w14:textId="77777777" w:rsidR="00B52457" w:rsidRPr="007F2B27" w:rsidRDefault="00B52457" w:rsidP="00CC3648">
      <w:pPr>
        <w:pStyle w:val="CDICopyrightHeading"/>
      </w:pPr>
      <w:r w:rsidRPr="007F2B27">
        <w:t>Restrictions</w:t>
      </w:r>
    </w:p>
    <w:p w14:paraId="7EA9F948"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9CD30E5"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2FD9B734"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4E5622F3" w14:textId="77777777" w:rsidR="00B52457" w:rsidRPr="00E9313B" w:rsidRDefault="00B52457" w:rsidP="00E9313B">
      <w:pPr>
        <w:pStyle w:val="CDICopyrightBullets"/>
      </w:pPr>
      <w:r w:rsidRPr="00E9313B">
        <w:t xml:space="preserve">any photographs and images; </w:t>
      </w:r>
    </w:p>
    <w:p w14:paraId="5987B50B" w14:textId="77777777" w:rsidR="00B52457" w:rsidRPr="00E9313B" w:rsidRDefault="00B52457" w:rsidP="00E9313B">
      <w:pPr>
        <w:pStyle w:val="CDICopyrightBullets"/>
      </w:pPr>
      <w:r w:rsidRPr="00E9313B">
        <w:t>any signatures; and</w:t>
      </w:r>
    </w:p>
    <w:p w14:paraId="46394EFF" w14:textId="77777777" w:rsidR="00B52457" w:rsidRPr="003C23C9" w:rsidRDefault="00B52457" w:rsidP="00E9313B">
      <w:pPr>
        <w:pStyle w:val="CDICopyrightBullets"/>
      </w:pPr>
      <w:r w:rsidRPr="00E9313B">
        <w:t>any</w:t>
      </w:r>
      <w:r w:rsidRPr="003C23C9">
        <w:t xml:space="preserve"> material belonging to third parties.</w:t>
      </w:r>
    </w:p>
    <w:p w14:paraId="1F986AF9" w14:textId="77777777" w:rsidR="00B52457" w:rsidRPr="00CC3648" w:rsidRDefault="00B52457" w:rsidP="00CC3648">
      <w:pPr>
        <w:pStyle w:val="CDICopyrightHeading"/>
      </w:pPr>
      <w:r w:rsidRPr="00CC3648">
        <w:t>Disclaimer</w:t>
      </w:r>
    </w:p>
    <w:p w14:paraId="354CA03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57ABE61A" w14:textId="77777777" w:rsidR="00B52457" w:rsidRPr="007F2B27" w:rsidRDefault="00B52457" w:rsidP="00CC3648">
      <w:pPr>
        <w:pStyle w:val="CDICopyrightHeading"/>
      </w:pPr>
      <w:r w:rsidRPr="007F2B27">
        <w:t>Enquiries</w:t>
      </w:r>
    </w:p>
    <w:p w14:paraId="78A75825"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6ED8870" w14:textId="77777777" w:rsidR="00B52457" w:rsidRPr="00A65DFA" w:rsidRDefault="00B52457" w:rsidP="00B52457">
      <w:pPr>
        <w:pStyle w:val="CDIAbout"/>
      </w:pPr>
      <w:bookmarkStart w:id="1" w:name="_Toc190257376"/>
      <w:r>
        <w:t xml:space="preserve">About </w:t>
      </w:r>
      <w:bookmarkEnd w:id="1"/>
      <w:r w:rsidR="0022524E">
        <w:t>CDI</w:t>
      </w:r>
    </w:p>
    <w:p w14:paraId="21981A6A"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633A134C"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46032CB1"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02D6533A"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73439223"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24A4028"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758BF740" w14:textId="77777777" w:rsidR="00B52457" w:rsidRPr="00B87589" w:rsidRDefault="00B52457" w:rsidP="00B87589">
      <w:pPr>
        <w:pStyle w:val="CDIAbouttext"/>
        <w:rPr>
          <w:b/>
          <w:bCs/>
        </w:rPr>
      </w:pPr>
      <w:r w:rsidRPr="00B87589">
        <w:rPr>
          <w:b/>
          <w:bCs/>
        </w:rPr>
        <w:t>Contact us</w:t>
      </w:r>
    </w:p>
    <w:p w14:paraId="15993F5A" w14:textId="77777777" w:rsidR="00B52457" w:rsidRPr="00087CC4" w:rsidRDefault="00B52457" w:rsidP="00360B3A">
      <w:pPr>
        <w:pStyle w:val="CDIAbouttextLess"/>
      </w:pPr>
      <w:r w:rsidRPr="009572C6">
        <w:t>Communicable Diseases Intelligence</w:t>
      </w:r>
      <w:r w:rsidRPr="00087CC4">
        <w:t xml:space="preserve"> (CDI)</w:t>
      </w:r>
    </w:p>
    <w:p w14:paraId="332015DF" w14:textId="77777777" w:rsidR="00B52457" w:rsidRPr="00087CC4" w:rsidRDefault="009572C6" w:rsidP="00360B3A">
      <w:pPr>
        <w:pStyle w:val="CDIAbouttextLess"/>
      </w:pPr>
      <w:r>
        <w:t>interim Australian Centre for Disease Control, Department of Health, Disability and Ageing</w:t>
      </w:r>
    </w:p>
    <w:p w14:paraId="70F3CBFF" w14:textId="77777777" w:rsidR="00B52457" w:rsidRPr="0089025E" w:rsidRDefault="00B52457" w:rsidP="00360B3A">
      <w:pPr>
        <w:pStyle w:val="CDIAbouttextLess"/>
      </w:pPr>
      <w:r w:rsidRPr="00087CC4">
        <w:t>GPO Box 9848, CANBERRA</w:t>
      </w:r>
      <w:r w:rsidRPr="0089025E">
        <w:t xml:space="preserve"> ACT 2601</w:t>
      </w:r>
    </w:p>
    <w:p w14:paraId="53E5FA7C"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38C742D6"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4F5BD2C6"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5572513"/>
      <w:bookmarkStart w:id="7" w:name="_Toc215578700"/>
      <w:bookmarkStart w:id="8" w:name="_Toc195530496"/>
      <w:r>
        <w:lastRenderedPageBreak/>
        <w:t>Contents</w:t>
      </w:r>
      <w:bookmarkEnd w:id="2"/>
      <w:bookmarkEnd w:id="3"/>
      <w:bookmarkEnd w:id="4"/>
      <w:bookmarkEnd w:id="5"/>
      <w:bookmarkEnd w:id="6"/>
      <w:bookmarkEnd w:id="7"/>
    </w:p>
    <w:p w14:paraId="4ED2F97A" w14:textId="596B9E3E" w:rsidR="00FF12BF" w:rsidRPr="000C6C55"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5578703" w:history="1">
        <w:r w:rsidR="00FF12BF" w:rsidRPr="00516652">
          <w:rPr>
            <w:rStyle w:val="Hyperlink"/>
            <w:noProof/>
          </w:rPr>
          <w:t>Abstract</w:t>
        </w:r>
        <w:r w:rsidR="00FF12BF">
          <w:rPr>
            <w:noProof/>
            <w:webHidden/>
          </w:rPr>
          <w:tab/>
        </w:r>
        <w:r w:rsidR="00FF12BF">
          <w:rPr>
            <w:noProof/>
            <w:webHidden/>
          </w:rPr>
          <w:fldChar w:fldCharType="begin"/>
        </w:r>
        <w:r w:rsidR="00FF12BF">
          <w:rPr>
            <w:noProof/>
            <w:webHidden/>
          </w:rPr>
          <w:instrText xml:space="preserve"> PAGEREF _Toc215578703 \h </w:instrText>
        </w:r>
        <w:r w:rsidR="00FF12BF">
          <w:rPr>
            <w:noProof/>
            <w:webHidden/>
          </w:rPr>
        </w:r>
        <w:r w:rsidR="00FF12BF">
          <w:rPr>
            <w:noProof/>
            <w:webHidden/>
          </w:rPr>
          <w:fldChar w:fldCharType="separate"/>
        </w:r>
        <w:r w:rsidR="00FF12BF">
          <w:rPr>
            <w:noProof/>
            <w:webHidden/>
          </w:rPr>
          <w:t>6</w:t>
        </w:r>
        <w:r w:rsidR="00FF12BF">
          <w:rPr>
            <w:noProof/>
            <w:webHidden/>
          </w:rPr>
          <w:fldChar w:fldCharType="end"/>
        </w:r>
      </w:hyperlink>
    </w:p>
    <w:p w14:paraId="0EB99570" w14:textId="115B9284" w:rsidR="00FF12BF" w:rsidRPr="000C6C55" w:rsidRDefault="00FF12BF">
      <w:pPr>
        <w:pStyle w:val="TOC1"/>
      </w:pPr>
      <w:hyperlink w:anchor="_Toc215578704" w:history="1">
        <w:r w:rsidRPr="00516652">
          <w:rPr>
            <w:rStyle w:val="Hyperlink"/>
            <w:noProof/>
          </w:rPr>
          <w:t>Introduction</w:t>
        </w:r>
        <w:r>
          <w:rPr>
            <w:noProof/>
            <w:webHidden/>
          </w:rPr>
          <w:tab/>
        </w:r>
        <w:r>
          <w:rPr>
            <w:noProof/>
            <w:webHidden/>
          </w:rPr>
          <w:fldChar w:fldCharType="begin"/>
        </w:r>
        <w:r>
          <w:rPr>
            <w:noProof/>
            <w:webHidden/>
          </w:rPr>
          <w:instrText xml:space="preserve"> PAGEREF _Toc215578704 \h </w:instrText>
        </w:r>
        <w:r>
          <w:rPr>
            <w:noProof/>
            <w:webHidden/>
          </w:rPr>
        </w:r>
        <w:r>
          <w:rPr>
            <w:noProof/>
            <w:webHidden/>
          </w:rPr>
          <w:fldChar w:fldCharType="separate"/>
        </w:r>
        <w:r>
          <w:rPr>
            <w:noProof/>
            <w:webHidden/>
          </w:rPr>
          <w:t>7</w:t>
        </w:r>
        <w:r>
          <w:rPr>
            <w:noProof/>
            <w:webHidden/>
          </w:rPr>
          <w:fldChar w:fldCharType="end"/>
        </w:r>
      </w:hyperlink>
    </w:p>
    <w:p w14:paraId="00A6B48C" w14:textId="7179E307" w:rsidR="00FF12BF" w:rsidRPr="000C6C55" w:rsidRDefault="00FF12BF">
      <w:pPr>
        <w:pStyle w:val="TOC1"/>
      </w:pPr>
      <w:hyperlink w:anchor="_Toc215578705" w:history="1">
        <w:r w:rsidRPr="00516652">
          <w:rPr>
            <w:rStyle w:val="Hyperlink"/>
            <w:noProof/>
            <w:lang w:val="en-GB"/>
          </w:rPr>
          <w:t>Methods</w:t>
        </w:r>
        <w:r>
          <w:rPr>
            <w:noProof/>
            <w:webHidden/>
          </w:rPr>
          <w:tab/>
        </w:r>
        <w:r>
          <w:rPr>
            <w:noProof/>
            <w:webHidden/>
          </w:rPr>
          <w:fldChar w:fldCharType="begin"/>
        </w:r>
        <w:r>
          <w:rPr>
            <w:noProof/>
            <w:webHidden/>
          </w:rPr>
          <w:instrText xml:space="preserve"> PAGEREF _Toc215578705 \h </w:instrText>
        </w:r>
        <w:r>
          <w:rPr>
            <w:noProof/>
            <w:webHidden/>
          </w:rPr>
        </w:r>
        <w:r>
          <w:rPr>
            <w:noProof/>
            <w:webHidden/>
          </w:rPr>
          <w:fldChar w:fldCharType="separate"/>
        </w:r>
        <w:r>
          <w:rPr>
            <w:noProof/>
            <w:webHidden/>
          </w:rPr>
          <w:t>9</w:t>
        </w:r>
        <w:r>
          <w:rPr>
            <w:noProof/>
            <w:webHidden/>
          </w:rPr>
          <w:fldChar w:fldCharType="end"/>
        </w:r>
      </w:hyperlink>
    </w:p>
    <w:p w14:paraId="1668FD95" w14:textId="75452B77" w:rsidR="00FF12BF" w:rsidRPr="000C6C55" w:rsidRDefault="00FF12BF">
      <w:pPr>
        <w:pStyle w:val="TOC2"/>
        <w:tabs>
          <w:tab w:val="right" w:leader="dot" w:pos="9629"/>
        </w:tabs>
      </w:pPr>
      <w:hyperlink w:anchor="_Toc215578706" w:history="1">
        <w:r w:rsidRPr="00516652">
          <w:rPr>
            <w:rStyle w:val="Hyperlink"/>
            <w:noProof/>
            <w:lang w:val="en-GB"/>
          </w:rPr>
          <w:t>AEFI data</w:t>
        </w:r>
        <w:r>
          <w:rPr>
            <w:noProof/>
            <w:webHidden/>
          </w:rPr>
          <w:tab/>
        </w:r>
        <w:r>
          <w:rPr>
            <w:noProof/>
            <w:webHidden/>
          </w:rPr>
          <w:fldChar w:fldCharType="begin"/>
        </w:r>
        <w:r>
          <w:rPr>
            <w:noProof/>
            <w:webHidden/>
          </w:rPr>
          <w:instrText xml:space="preserve"> PAGEREF _Toc215578706 \h </w:instrText>
        </w:r>
        <w:r>
          <w:rPr>
            <w:noProof/>
            <w:webHidden/>
          </w:rPr>
        </w:r>
        <w:r>
          <w:rPr>
            <w:noProof/>
            <w:webHidden/>
          </w:rPr>
          <w:fldChar w:fldCharType="separate"/>
        </w:r>
        <w:r>
          <w:rPr>
            <w:noProof/>
            <w:webHidden/>
          </w:rPr>
          <w:t>9</w:t>
        </w:r>
        <w:r>
          <w:rPr>
            <w:noProof/>
            <w:webHidden/>
          </w:rPr>
          <w:fldChar w:fldCharType="end"/>
        </w:r>
      </w:hyperlink>
    </w:p>
    <w:p w14:paraId="54D502BD" w14:textId="41785E05" w:rsidR="00FF12BF" w:rsidRPr="000C6C55" w:rsidRDefault="00FF12BF">
      <w:pPr>
        <w:pStyle w:val="TOC2"/>
        <w:tabs>
          <w:tab w:val="right" w:leader="dot" w:pos="9629"/>
        </w:tabs>
      </w:pPr>
      <w:hyperlink w:anchor="_Toc215578707" w:history="1">
        <w:r w:rsidRPr="00516652">
          <w:rPr>
            <w:rStyle w:val="Hyperlink"/>
            <w:noProof/>
            <w:lang w:val="en-GB"/>
          </w:rPr>
          <w:t>Serious and non-serious AEFI</w:t>
        </w:r>
        <w:r>
          <w:rPr>
            <w:noProof/>
            <w:webHidden/>
          </w:rPr>
          <w:tab/>
        </w:r>
        <w:r>
          <w:rPr>
            <w:noProof/>
            <w:webHidden/>
          </w:rPr>
          <w:fldChar w:fldCharType="begin"/>
        </w:r>
        <w:r>
          <w:rPr>
            <w:noProof/>
            <w:webHidden/>
          </w:rPr>
          <w:instrText xml:space="preserve"> PAGEREF _Toc215578707 \h </w:instrText>
        </w:r>
        <w:r>
          <w:rPr>
            <w:noProof/>
            <w:webHidden/>
          </w:rPr>
        </w:r>
        <w:r>
          <w:rPr>
            <w:noProof/>
            <w:webHidden/>
          </w:rPr>
          <w:fldChar w:fldCharType="separate"/>
        </w:r>
        <w:r>
          <w:rPr>
            <w:noProof/>
            <w:webHidden/>
          </w:rPr>
          <w:t>11</w:t>
        </w:r>
        <w:r>
          <w:rPr>
            <w:noProof/>
            <w:webHidden/>
          </w:rPr>
          <w:fldChar w:fldCharType="end"/>
        </w:r>
      </w:hyperlink>
    </w:p>
    <w:p w14:paraId="0AD6E830" w14:textId="5B5B1A33" w:rsidR="00FF12BF" w:rsidRPr="000C6C55" w:rsidRDefault="00FF12BF">
      <w:pPr>
        <w:pStyle w:val="TOC2"/>
        <w:tabs>
          <w:tab w:val="right" w:leader="dot" w:pos="9629"/>
        </w:tabs>
      </w:pPr>
      <w:hyperlink w:anchor="_Toc215578708" w:history="1">
        <w:r w:rsidRPr="00516652">
          <w:rPr>
            <w:rStyle w:val="Hyperlink"/>
            <w:noProof/>
            <w:lang w:val="en-GB"/>
          </w:rPr>
          <w:t>Safety monitoring</w:t>
        </w:r>
        <w:r>
          <w:rPr>
            <w:noProof/>
            <w:webHidden/>
          </w:rPr>
          <w:tab/>
        </w:r>
        <w:r>
          <w:rPr>
            <w:noProof/>
            <w:webHidden/>
          </w:rPr>
          <w:fldChar w:fldCharType="begin"/>
        </w:r>
        <w:r>
          <w:rPr>
            <w:noProof/>
            <w:webHidden/>
          </w:rPr>
          <w:instrText xml:space="preserve"> PAGEREF _Toc215578708 \h </w:instrText>
        </w:r>
        <w:r>
          <w:rPr>
            <w:noProof/>
            <w:webHidden/>
          </w:rPr>
        </w:r>
        <w:r>
          <w:rPr>
            <w:noProof/>
            <w:webHidden/>
          </w:rPr>
          <w:fldChar w:fldCharType="separate"/>
        </w:r>
        <w:r>
          <w:rPr>
            <w:noProof/>
            <w:webHidden/>
          </w:rPr>
          <w:t>12</w:t>
        </w:r>
        <w:r>
          <w:rPr>
            <w:noProof/>
            <w:webHidden/>
          </w:rPr>
          <w:fldChar w:fldCharType="end"/>
        </w:r>
      </w:hyperlink>
    </w:p>
    <w:p w14:paraId="71963B39" w14:textId="635565A4" w:rsidR="00FF12BF" w:rsidRPr="000C6C55" w:rsidRDefault="00FF12BF">
      <w:pPr>
        <w:pStyle w:val="TOC2"/>
        <w:tabs>
          <w:tab w:val="right" w:leader="dot" w:pos="9629"/>
        </w:tabs>
      </w:pPr>
      <w:hyperlink w:anchor="_Toc215578709" w:history="1">
        <w:r w:rsidRPr="00516652">
          <w:rPr>
            <w:rStyle w:val="Hyperlink"/>
            <w:noProof/>
            <w:lang w:val="en-GB"/>
          </w:rPr>
          <w:t>Data analysis</w:t>
        </w:r>
        <w:r>
          <w:rPr>
            <w:noProof/>
            <w:webHidden/>
          </w:rPr>
          <w:tab/>
        </w:r>
        <w:r>
          <w:rPr>
            <w:noProof/>
            <w:webHidden/>
          </w:rPr>
          <w:fldChar w:fldCharType="begin"/>
        </w:r>
        <w:r>
          <w:rPr>
            <w:noProof/>
            <w:webHidden/>
          </w:rPr>
          <w:instrText xml:space="preserve"> PAGEREF _Toc215578709 \h </w:instrText>
        </w:r>
        <w:r>
          <w:rPr>
            <w:noProof/>
            <w:webHidden/>
          </w:rPr>
        </w:r>
        <w:r>
          <w:rPr>
            <w:noProof/>
            <w:webHidden/>
          </w:rPr>
          <w:fldChar w:fldCharType="separate"/>
        </w:r>
        <w:r>
          <w:rPr>
            <w:noProof/>
            <w:webHidden/>
          </w:rPr>
          <w:t>12</w:t>
        </w:r>
        <w:r>
          <w:rPr>
            <w:noProof/>
            <w:webHidden/>
          </w:rPr>
          <w:fldChar w:fldCharType="end"/>
        </w:r>
      </w:hyperlink>
    </w:p>
    <w:p w14:paraId="2B6AE5FB" w14:textId="6C46EC1B" w:rsidR="00FF12BF" w:rsidRPr="000C6C55" w:rsidRDefault="00FF12BF">
      <w:pPr>
        <w:pStyle w:val="TOC2"/>
        <w:tabs>
          <w:tab w:val="right" w:leader="dot" w:pos="9629"/>
        </w:tabs>
      </w:pPr>
      <w:hyperlink w:anchor="_Toc215578710" w:history="1">
        <w:r w:rsidRPr="00516652">
          <w:rPr>
            <w:rStyle w:val="Hyperlink"/>
            <w:noProof/>
            <w:lang w:val="en-GB"/>
          </w:rPr>
          <w:t>Notes on interpretation</w:t>
        </w:r>
        <w:r>
          <w:rPr>
            <w:noProof/>
            <w:webHidden/>
          </w:rPr>
          <w:tab/>
        </w:r>
        <w:r>
          <w:rPr>
            <w:noProof/>
            <w:webHidden/>
          </w:rPr>
          <w:fldChar w:fldCharType="begin"/>
        </w:r>
        <w:r>
          <w:rPr>
            <w:noProof/>
            <w:webHidden/>
          </w:rPr>
          <w:instrText xml:space="preserve"> PAGEREF _Toc215578710 \h </w:instrText>
        </w:r>
        <w:r>
          <w:rPr>
            <w:noProof/>
            <w:webHidden/>
          </w:rPr>
        </w:r>
        <w:r>
          <w:rPr>
            <w:noProof/>
            <w:webHidden/>
          </w:rPr>
          <w:fldChar w:fldCharType="separate"/>
        </w:r>
        <w:r>
          <w:rPr>
            <w:noProof/>
            <w:webHidden/>
          </w:rPr>
          <w:t>13</w:t>
        </w:r>
        <w:r>
          <w:rPr>
            <w:noProof/>
            <w:webHidden/>
          </w:rPr>
          <w:fldChar w:fldCharType="end"/>
        </w:r>
      </w:hyperlink>
    </w:p>
    <w:p w14:paraId="3F0593CB" w14:textId="6C08EBCD" w:rsidR="00FF12BF" w:rsidRPr="000C6C55" w:rsidRDefault="00FF12BF">
      <w:pPr>
        <w:pStyle w:val="TOC1"/>
      </w:pPr>
      <w:hyperlink w:anchor="_Toc215578711" w:history="1">
        <w:r w:rsidRPr="00516652">
          <w:rPr>
            <w:rStyle w:val="Hyperlink"/>
            <w:noProof/>
          </w:rPr>
          <w:t>Results</w:t>
        </w:r>
        <w:r>
          <w:rPr>
            <w:noProof/>
            <w:webHidden/>
          </w:rPr>
          <w:tab/>
        </w:r>
        <w:r>
          <w:rPr>
            <w:noProof/>
            <w:webHidden/>
          </w:rPr>
          <w:fldChar w:fldCharType="begin"/>
        </w:r>
        <w:r>
          <w:rPr>
            <w:noProof/>
            <w:webHidden/>
          </w:rPr>
          <w:instrText xml:space="preserve"> PAGEREF _Toc215578711 \h </w:instrText>
        </w:r>
        <w:r>
          <w:rPr>
            <w:noProof/>
            <w:webHidden/>
          </w:rPr>
        </w:r>
        <w:r>
          <w:rPr>
            <w:noProof/>
            <w:webHidden/>
          </w:rPr>
          <w:fldChar w:fldCharType="separate"/>
        </w:r>
        <w:r>
          <w:rPr>
            <w:noProof/>
            <w:webHidden/>
          </w:rPr>
          <w:t>14</w:t>
        </w:r>
        <w:r>
          <w:rPr>
            <w:noProof/>
            <w:webHidden/>
          </w:rPr>
          <w:fldChar w:fldCharType="end"/>
        </w:r>
      </w:hyperlink>
    </w:p>
    <w:p w14:paraId="5403A2C5" w14:textId="30E4471E" w:rsidR="00FF12BF" w:rsidRPr="000C6C55" w:rsidRDefault="00FF12BF">
      <w:pPr>
        <w:pStyle w:val="TOC2"/>
        <w:tabs>
          <w:tab w:val="right" w:leader="dot" w:pos="9629"/>
        </w:tabs>
      </w:pPr>
      <w:hyperlink w:anchor="_Toc215578712" w:history="1">
        <w:r w:rsidRPr="00516652">
          <w:rPr>
            <w:rStyle w:val="Hyperlink"/>
            <w:noProof/>
            <w:lang w:val="en-GB"/>
          </w:rPr>
          <w:t>Reporting rates</w:t>
        </w:r>
        <w:r>
          <w:rPr>
            <w:noProof/>
            <w:webHidden/>
          </w:rPr>
          <w:tab/>
        </w:r>
        <w:r>
          <w:rPr>
            <w:noProof/>
            <w:webHidden/>
          </w:rPr>
          <w:fldChar w:fldCharType="begin"/>
        </w:r>
        <w:r>
          <w:rPr>
            <w:noProof/>
            <w:webHidden/>
          </w:rPr>
          <w:instrText xml:space="preserve"> PAGEREF _Toc215578712 \h </w:instrText>
        </w:r>
        <w:r>
          <w:rPr>
            <w:noProof/>
            <w:webHidden/>
          </w:rPr>
        </w:r>
        <w:r>
          <w:rPr>
            <w:noProof/>
            <w:webHidden/>
          </w:rPr>
          <w:fldChar w:fldCharType="separate"/>
        </w:r>
        <w:r>
          <w:rPr>
            <w:noProof/>
            <w:webHidden/>
          </w:rPr>
          <w:t>16</w:t>
        </w:r>
        <w:r>
          <w:rPr>
            <w:noProof/>
            <w:webHidden/>
          </w:rPr>
          <w:fldChar w:fldCharType="end"/>
        </w:r>
      </w:hyperlink>
    </w:p>
    <w:p w14:paraId="2A88391B" w14:textId="6812FC7E" w:rsidR="00FF12BF" w:rsidRPr="000C6C55" w:rsidRDefault="00FF12BF">
      <w:pPr>
        <w:pStyle w:val="TOC2"/>
        <w:tabs>
          <w:tab w:val="right" w:leader="dot" w:pos="9629"/>
        </w:tabs>
      </w:pPr>
      <w:hyperlink w:anchor="_Toc215578713" w:history="1">
        <w:r w:rsidRPr="00516652">
          <w:rPr>
            <w:rStyle w:val="Hyperlink"/>
            <w:noProof/>
            <w:lang w:val="en-GB"/>
          </w:rPr>
          <w:t>Adverse events</w:t>
        </w:r>
        <w:r>
          <w:rPr>
            <w:noProof/>
            <w:webHidden/>
          </w:rPr>
          <w:tab/>
        </w:r>
        <w:r>
          <w:rPr>
            <w:noProof/>
            <w:webHidden/>
          </w:rPr>
          <w:fldChar w:fldCharType="begin"/>
        </w:r>
        <w:r>
          <w:rPr>
            <w:noProof/>
            <w:webHidden/>
          </w:rPr>
          <w:instrText xml:space="preserve"> PAGEREF _Toc215578713 \h </w:instrText>
        </w:r>
        <w:r>
          <w:rPr>
            <w:noProof/>
            <w:webHidden/>
          </w:rPr>
        </w:r>
        <w:r>
          <w:rPr>
            <w:noProof/>
            <w:webHidden/>
          </w:rPr>
          <w:fldChar w:fldCharType="separate"/>
        </w:r>
        <w:r>
          <w:rPr>
            <w:noProof/>
            <w:webHidden/>
          </w:rPr>
          <w:t>19</w:t>
        </w:r>
        <w:r>
          <w:rPr>
            <w:noProof/>
            <w:webHidden/>
          </w:rPr>
          <w:fldChar w:fldCharType="end"/>
        </w:r>
      </w:hyperlink>
    </w:p>
    <w:p w14:paraId="47039CF8" w14:textId="6FDEC477" w:rsidR="00FF12BF" w:rsidRPr="000C6C55" w:rsidRDefault="00FF12BF">
      <w:pPr>
        <w:pStyle w:val="TOC2"/>
        <w:tabs>
          <w:tab w:val="right" w:leader="dot" w:pos="9629"/>
        </w:tabs>
      </w:pPr>
      <w:hyperlink w:anchor="_Toc215578714" w:history="1">
        <w:r w:rsidRPr="00516652">
          <w:rPr>
            <w:rStyle w:val="Hyperlink"/>
            <w:noProof/>
            <w:lang w:val="en-GB"/>
          </w:rPr>
          <w:t>Adverse events of special interest</w:t>
        </w:r>
        <w:r>
          <w:rPr>
            <w:noProof/>
            <w:webHidden/>
          </w:rPr>
          <w:tab/>
        </w:r>
        <w:r>
          <w:rPr>
            <w:noProof/>
            <w:webHidden/>
          </w:rPr>
          <w:fldChar w:fldCharType="begin"/>
        </w:r>
        <w:r>
          <w:rPr>
            <w:noProof/>
            <w:webHidden/>
          </w:rPr>
          <w:instrText xml:space="preserve"> PAGEREF _Toc215578714 \h </w:instrText>
        </w:r>
        <w:r>
          <w:rPr>
            <w:noProof/>
            <w:webHidden/>
          </w:rPr>
        </w:r>
        <w:r>
          <w:rPr>
            <w:noProof/>
            <w:webHidden/>
          </w:rPr>
          <w:fldChar w:fldCharType="separate"/>
        </w:r>
        <w:r>
          <w:rPr>
            <w:noProof/>
            <w:webHidden/>
          </w:rPr>
          <w:t>28</w:t>
        </w:r>
        <w:r>
          <w:rPr>
            <w:noProof/>
            <w:webHidden/>
          </w:rPr>
          <w:fldChar w:fldCharType="end"/>
        </w:r>
      </w:hyperlink>
    </w:p>
    <w:p w14:paraId="70A9BFF7" w14:textId="0E6E7CF9" w:rsidR="00FF12BF" w:rsidRPr="000C6C55" w:rsidRDefault="00FF12BF">
      <w:pPr>
        <w:pStyle w:val="TOC2"/>
        <w:tabs>
          <w:tab w:val="right" w:leader="dot" w:pos="9629"/>
        </w:tabs>
      </w:pPr>
      <w:hyperlink w:anchor="_Toc215578715" w:history="1">
        <w:r w:rsidRPr="00516652">
          <w:rPr>
            <w:rStyle w:val="Hyperlink"/>
            <w:noProof/>
            <w:lang w:val="en-GB"/>
          </w:rPr>
          <w:t>Serious adverse events</w:t>
        </w:r>
        <w:r>
          <w:rPr>
            <w:noProof/>
            <w:webHidden/>
          </w:rPr>
          <w:tab/>
        </w:r>
        <w:r>
          <w:rPr>
            <w:noProof/>
            <w:webHidden/>
          </w:rPr>
          <w:fldChar w:fldCharType="begin"/>
        </w:r>
        <w:r>
          <w:rPr>
            <w:noProof/>
            <w:webHidden/>
          </w:rPr>
          <w:instrText xml:space="preserve"> PAGEREF _Toc215578715 \h </w:instrText>
        </w:r>
        <w:r>
          <w:rPr>
            <w:noProof/>
            <w:webHidden/>
          </w:rPr>
        </w:r>
        <w:r>
          <w:rPr>
            <w:noProof/>
            <w:webHidden/>
          </w:rPr>
          <w:fldChar w:fldCharType="separate"/>
        </w:r>
        <w:r>
          <w:rPr>
            <w:noProof/>
            <w:webHidden/>
          </w:rPr>
          <w:t>31</w:t>
        </w:r>
        <w:r>
          <w:rPr>
            <w:noProof/>
            <w:webHidden/>
          </w:rPr>
          <w:fldChar w:fldCharType="end"/>
        </w:r>
      </w:hyperlink>
    </w:p>
    <w:p w14:paraId="3B3659D2" w14:textId="53B72E62" w:rsidR="00FF12BF" w:rsidRPr="000C6C55" w:rsidRDefault="00FF12BF">
      <w:pPr>
        <w:pStyle w:val="TOC2"/>
        <w:tabs>
          <w:tab w:val="right" w:leader="dot" w:pos="9629"/>
        </w:tabs>
      </w:pPr>
      <w:hyperlink w:anchor="_Toc215578716" w:history="1">
        <w:r w:rsidRPr="00516652">
          <w:rPr>
            <w:rStyle w:val="Hyperlink"/>
            <w:noProof/>
            <w:lang w:val="en-GB"/>
          </w:rPr>
          <w:t>Safety monitoring</w:t>
        </w:r>
        <w:r>
          <w:rPr>
            <w:noProof/>
            <w:webHidden/>
          </w:rPr>
          <w:tab/>
        </w:r>
        <w:r>
          <w:rPr>
            <w:noProof/>
            <w:webHidden/>
          </w:rPr>
          <w:fldChar w:fldCharType="begin"/>
        </w:r>
        <w:r>
          <w:rPr>
            <w:noProof/>
            <w:webHidden/>
          </w:rPr>
          <w:instrText xml:space="preserve"> PAGEREF _Toc215578716 \h </w:instrText>
        </w:r>
        <w:r>
          <w:rPr>
            <w:noProof/>
            <w:webHidden/>
          </w:rPr>
        </w:r>
        <w:r>
          <w:rPr>
            <w:noProof/>
            <w:webHidden/>
          </w:rPr>
          <w:fldChar w:fldCharType="separate"/>
        </w:r>
        <w:r>
          <w:rPr>
            <w:noProof/>
            <w:webHidden/>
          </w:rPr>
          <w:t>33</w:t>
        </w:r>
        <w:r>
          <w:rPr>
            <w:noProof/>
            <w:webHidden/>
          </w:rPr>
          <w:fldChar w:fldCharType="end"/>
        </w:r>
      </w:hyperlink>
    </w:p>
    <w:p w14:paraId="2F20A721" w14:textId="54B37E6B" w:rsidR="00FF12BF" w:rsidRPr="000C6C55" w:rsidRDefault="00FF12BF">
      <w:pPr>
        <w:pStyle w:val="TOC1"/>
      </w:pPr>
      <w:hyperlink w:anchor="_Toc215578717" w:history="1">
        <w:r w:rsidRPr="00516652">
          <w:rPr>
            <w:rStyle w:val="Hyperlink"/>
            <w:noProof/>
          </w:rPr>
          <w:t>Discussion</w:t>
        </w:r>
        <w:r>
          <w:rPr>
            <w:noProof/>
            <w:webHidden/>
          </w:rPr>
          <w:tab/>
        </w:r>
        <w:r>
          <w:rPr>
            <w:noProof/>
            <w:webHidden/>
          </w:rPr>
          <w:fldChar w:fldCharType="begin"/>
        </w:r>
        <w:r>
          <w:rPr>
            <w:noProof/>
            <w:webHidden/>
          </w:rPr>
          <w:instrText xml:space="preserve"> PAGEREF _Toc215578717 \h </w:instrText>
        </w:r>
        <w:r>
          <w:rPr>
            <w:noProof/>
            <w:webHidden/>
          </w:rPr>
        </w:r>
        <w:r>
          <w:rPr>
            <w:noProof/>
            <w:webHidden/>
          </w:rPr>
          <w:fldChar w:fldCharType="separate"/>
        </w:r>
        <w:r>
          <w:rPr>
            <w:noProof/>
            <w:webHidden/>
          </w:rPr>
          <w:t>37</w:t>
        </w:r>
        <w:r>
          <w:rPr>
            <w:noProof/>
            <w:webHidden/>
          </w:rPr>
          <w:fldChar w:fldCharType="end"/>
        </w:r>
      </w:hyperlink>
    </w:p>
    <w:p w14:paraId="12B86EAA" w14:textId="4881991F" w:rsidR="00FF12BF" w:rsidRPr="000C6C55" w:rsidRDefault="00FF12BF">
      <w:pPr>
        <w:pStyle w:val="TOC1"/>
      </w:pPr>
      <w:hyperlink w:anchor="_Toc215578718" w:history="1">
        <w:r w:rsidRPr="00516652">
          <w:rPr>
            <w:rStyle w:val="Hyperlink"/>
            <w:noProof/>
          </w:rPr>
          <w:t>Conclusion</w:t>
        </w:r>
        <w:r>
          <w:rPr>
            <w:noProof/>
            <w:webHidden/>
          </w:rPr>
          <w:tab/>
        </w:r>
        <w:r>
          <w:rPr>
            <w:noProof/>
            <w:webHidden/>
          </w:rPr>
          <w:fldChar w:fldCharType="begin"/>
        </w:r>
        <w:r>
          <w:rPr>
            <w:noProof/>
            <w:webHidden/>
          </w:rPr>
          <w:instrText xml:space="preserve"> PAGEREF _Toc215578718 \h </w:instrText>
        </w:r>
        <w:r>
          <w:rPr>
            <w:noProof/>
            <w:webHidden/>
          </w:rPr>
        </w:r>
        <w:r>
          <w:rPr>
            <w:noProof/>
            <w:webHidden/>
          </w:rPr>
          <w:fldChar w:fldCharType="separate"/>
        </w:r>
        <w:r>
          <w:rPr>
            <w:noProof/>
            <w:webHidden/>
          </w:rPr>
          <w:t>41</w:t>
        </w:r>
        <w:r>
          <w:rPr>
            <w:noProof/>
            <w:webHidden/>
          </w:rPr>
          <w:fldChar w:fldCharType="end"/>
        </w:r>
      </w:hyperlink>
    </w:p>
    <w:p w14:paraId="487A22C9" w14:textId="4B3B63C8" w:rsidR="00FF12BF" w:rsidRPr="000C6C55" w:rsidRDefault="00FF12BF">
      <w:pPr>
        <w:pStyle w:val="TOC1"/>
      </w:pPr>
      <w:hyperlink w:anchor="_Toc215578719" w:history="1">
        <w:r w:rsidRPr="00516652">
          <w:rPr>
            <w:rStyle w:val="Hyperlink"/>
            <w:noProof/>
          </w:rPr>
          <w:t>Acknowledgments</w:t>
        </w:r>
        <w:r>
          <w:rPr>
            <w:noProof/>
            <w:webHidden/>
          </w:rPr>
          <w:tab/>
        </w:r>
        <w:r>
          <w:rPr>
            <w:noProof/>
            <w:webHidden/>
          </w:rPr>
          <w:fldChar w:fldCharType="begin"/>
        </w:r>
        <w:r>
          <w:rPr>
            <w:noProof/>
            <w:webHidden/>
          </w:rPr>
          <w:instrText xml:space="preserve"> PAGEREF _Toc215578719 \h </w:instrText>
        </w:r>
        <w:r>
          <w:rPr>
            <w:noProof/>
            <w:webHidden/>
          </w:rPr>
        </w:r>
        <w:r>
          <w:rPr>
            <w:noProof/>
            <w:webHidden/>
          </w:rPr>
          <w:fldChar w:fldCharType="separate"/>
        </w:r>
        <w:r>
          <w:rPr>
            <w:noProof/>
            <w:webHidden/>
          </w:rPr>
          <w:t>42</w:t>
        </w:r>
        <w:r>
          <w:rPr>
            <w:noProof/>
            <w:webHidden/>
          </w:rPr>
          <w:fldChar w:fldCharType="end"/>
        </w:r>
      </w:hyperlink>
    </w:p>
    <w:p w14:paraId="1095473F" w14:textId="1CA2F286" w:rsidR="00FF12BF" w:rsidRPr="000C6C55" w:rsidRDefault="00FF12BF">
      <w:pPr>
        <w:pStyle w:val="TOC1"/>
      </w:pPr>
      <w:hyperlink w:anchor="_Toc215578720" w:history="1">
        <w:r w:rsidRPr="00516652">
          <w:rPr>
            <w:rStyle w:val="Hyperlink"/>
            <w:noProof/>
          </w:rPr>
          <w:t>Author details</w:t>
        </w:r>
        <w:r>
          <w:rPr>
            <w:noProof/>
            <w:webHidden/>
          </w:rPr>
          <w:tab/>
        </w:r>
        <w:r>
          <w:rPr>
            <w:noProof/>
            <w:webHidden/>
          </w:rPr>
          <w:fldChar w:fldCharType="begin"/>
        </w:r>
        <w:r>
          <w:rPr>
            <w:noProof/>
            <w:webHidden/>
          </w:rPr>
          <w:instrText xml:space="preserve"> PAGEREF _Toc215578720 \h </w:instrText>
        </w:r>
        <w:r>
          <w:rPr>
            <w:noProof/>
            <w:webHidden/>
          </w:rPr>
        </w:r>
        <w:r>
          <w:rPr>
            <w:noProof/>
            <w:webHidden/>
          </w:rPr>
          <w:fldChar w:fldCharType="separate"/>
        </w:r>
        <w:r>
          <w:rPr>
            <w:noProof/>
            <w:webHidden/>
          </w:rPr>
          <w:t>43</w:t>
        </w:r>
        <w:r>
          <w:rPr>
            <w:noProof/>
            <w:webHidden/>
          </w:rPr>
          <w:fldChar w:fldCharType="end"/>
        </w:r>
      </w:hyperlink>
    </w:p>
    <w:p w14:paraId="49DB07A4" w14:textId="2EC62658" w:rsidR="00FF12BF" w:rsidRPr="000C6C55" w:rsidRDefault="00FF12BF">
      <w:pPr>
        <w:pStyle w:val="TOC1"/>
      </w:pPr>
      <w:hyperlink w:anchor="_Toc215578721" w:history="1">
        <w:r w:rsidRPr="00516652">
          <w:rPr>
            <w:rStyle w:val="Hyperlink"/>
            <w:noProof/>
          </w:rPr>
          <w:t>References</w:t>
        </w:r>
        <w:r>
          <w:rPr>
            <w:noProof/>
            <w:webHidden/>
          </w:rPr>
          <w:tab/>
        </w:r>
        <w:r>
          <w:rPr>
            <w:noProof/>
            <w:webHidden/>
          </w:rPr>
          <w:fldChar w:fldCharType="begin"/>
        </w:r>
        <w:r>
          <w:rPr>
            <w:noProof/>
            <w:webHidden/>
          </w:rPr>
          <w:instrText xml:space="preserve"> PAGEREF _Toc215578721 \h </w:instrText>
        </w:r>
        <w:r>
          <w:rPr>
            <w:noProof/>
            <w:webHidden/>
          </w:rPr>
        </w:r>
        <w:r>
          <w:rPr>
            <w:noProof/>
            <w:webHidden/>
          </w:rPr>
          <w:fldChar w:fldCharType="separate"/>
        </w:r>
        <w:r>
          <w:rPr>
            <w:noProof/>
            <w:webHidden/>
          </w:rPr>
          <w:t>44</w:t>
        </w:r>
        <w:r>
          <w:rPr>
            <w:noProof/>
            <w:webHidden/>
          </w:rPr>
          <w:fldChar w:fldCharType="end"/>
        </w:r>
      </w:hyperlink>
    </w:p>
    <w:p w14:paraId="72C0EA8D" w14:textId="2E1797B1" w:rsidR="00FF12BF" w:rsidRPr="000C6C55" w:rsidRDefault="00FF12BF">
      <w:pPr>
        <w:pStyle w:val="TOC1"/>
      </w:pPr>
      <w:hyperlink w:anchor="_Toc215578722" w:history="1">
        <w:r w:rsidRPr="00516652">
          <w:rPr>
            <w:rStyle w:val="Hyperlink"/>
            <w:noProof/>
          </w:rPr>
          <w:t>Appendix A</w:t>
        </w:r>
        <w:r>
          <w:rPr>
            <w:noProof/>
            <w:webHidden/>
          </w:rPr>
          <w:tab/>
        </w:r>
        <w:r>
          <w:rPr>
            <w:noProof/>
            <w:webHidden/>
          </w:rPr>
          <w:fldChar w:fldCharType="begin"/>
        </w:r>
        <w:r>
          <w:rPr>
            <w:noProof/>
            <w:webHidden/>
          </w:rPr>
          <w:instrText xml:space="preserve"> PAGEREF _Toc215578722 \h </w:instrText>
        </w:r>
        <w:r>
          <w:rPr>
            <w:noProof/>
            <w:webHidden/>
          </w:rPr>
        </w:r>
        <w:r>
          <w:rPr>
            <w:noProof/>
            <w:webHidden/>
          </w:rPr>
          <w:fldChar w:fldCharType="separate"/>
        </w:r>
        <w:r>
          <w:rPr>
            <w:noProof/>
            <w:webHidden/>
          </w:rPr>
          <w:t>50</w:t>
        </w:r>
        <w:r>
          <w:rPr>
            <w:noProof/>
            <w:webHidden/>
          </w:rPr>
          <w:fldChar w:fldCharType="end"/>
        </w:r>
      </w:hyperlink>
    </w:p>
    <w:p w14:paraId="29B5ED80" w14:textId="6DF32A77" w:rsidR="00F216F0" w:rsidRPr="00F216F0" w:rsidRDefault="005A4E9D" w:rsidP="00F216F0">
      <w:r>
        <w:rPr>
          <w:rFonts w:eastAsiaTheme="minorHAnsi" w:cstheme="minorHAnsi"/>
          <w:szCs w:val="24"/>
          <w:lang w:eastAsia="en-US"/>
        </w:rPr>
        <w:fldChar w:fldCharType="end"/>
      </w:r>
    </w:p>
    <w:p w14:paraId="17ABF013" w14:textId="77777777" w:rsidR="00F216F0" w:rsidRDefault="00F216F0" w:rsidP="0071536A">
      <w:pPr>
        <w:pStyle w:val="Heading2-newpage"/>
      </w:pPr>
      <w:bookmarkStart w:id="9" w:name="_Toc195530497"/>
      <w:bookmarkStart w:id="10" w:name="_Toc195609227"/>
      <w:bookmarkStart w:id="11" w:name="_Toc215572514"/>
      <w:bookmarkStart w:id="12" w:name="_Toc215578701"/>
      <w:bookmarkStart w:id="13" w:name="_Toc195609226"/>
      <w:r>
        <w:lastRenderedPageBreak/>
        <w:t>List of figures</w:t>
      </w:r>
      <w:bookmarkEnd w:id="9"/>
      <w:bookmarkEnd w:id="10"/>
      <w:bookmarkEnd w:id="11"/>
      <w:bookmarkEnd w:id="12"/>
    </w:p>
    <w:p w14:paraId="56468C15" w14:textId="5A239050" w:rsidR="00FF12BF" w:rsidRPr="000C6C55" w:rsidRDefault="005A4E9D">
      <w:pPr>
        <w:pStyle w:val="TableofFigures"/>
        <w:tabs>
          <w:tab w:val="right" w:leader="dot" w:pos="9629"/>
        </w:tabs>
      </w:pPr>
      <w:r>
        <w:fldChar w:fldCharType="begin"/>
      </w:r>
      <w:r>
        <w:instrText xml:space="preserve"> TOC \h \z \t "CDI Figure - Title" \c </w:instrText>
      </w:r>
      <w:r>
        <w:fldChar w:fldCharType="separate"/>
      </w:r>
      <w:hyperlink w:anchor="_Toc215578723" w:history="1">
        <w:r w:rsidR="00FF12BF" w:rsidRPr="00D61188">
          <w:rPr>
            <w:rStyle w:val="Hyperlink"/>
            <w:noProof/>
            <w:lang w:val="en-GB"/>
          </w:rPr>
          <w:t>Figure 1: Adverse event following immunisation reports for COVID-19 vaccines administered in 2021–2022 in the Adverse Event Management System database</w:t>
        </w:r>
        <w:r w:rsidR="00FF12BF" w:rsidRPr="00D61188">
          <w:rPr>
            <w:rStyle w:val="Hyperlink"/>
            <w:noProof/>
            <w:vertAlign w:val="superscript"/>
            <w:lang w:val="en-GB"/>
          </w:rPr>
          <w:t>a</w:t>
        </w:r>
        <w:r w:rsidR="00FF12BF">
          <w:rPr>
            <w:noProof/>
            <w:webHidden/>
          </w:rPr>
          <w:tab/>
        </w:r>
        <w:r w:rsidR="00FF12BF">
          <w:rPr>
            <w:noProof/>
            <w:webHidden/>
          </w:rPr>
          <w:fldChar w:fldCharType="begin"/>
        </w:r>
        <w:r w:rsidR="00FF12BF">
          <w:rPr>
            <w:noProof/>
            <w:webHidden/>
          </w:rPr>
          <w:instrText xml:space="preserve"> PAGEREF _Toc215578723 \h </w:instrText>
        </w:r>
        <w:r w:rsidR="00FF12BF">
          <w:rPr>
            <w:noProof/>
            <w:webHidden/>
          </w:rPr>
        </w:r>
        <w:r w:rsidR="00FF12BF">
          <w:rPr>
            <w:noProof/>
            <w:webHidden/>
          </w:rPr>
          <w:fldChar w:fldCharType="separate"/>
        </w:r>
        <w:r w:rsidR="000C6C55">
          <w:rPr>
            <w:noProof/>
            <w:webHidden/>
          </w:rPr>
          <w:t>17</w:t>
        </w:r>
        <w:r w:rsidR="00FF12BF">
          <w:rPr>
            <w:noProof/>
            <w:webHidden/>
          </w:rPr>
          <w:fldChar w:fldCharType="end"/>
        </w:r>
      </w:hyperlink>
    </w:p>
    <w:p w14:paraId="6B78E6A1" w14:textId="1A1B5EC2" w:rsidR="00FF12BF" w:rsidRPr="000C6C55" w:rsidRDefault="00FF12BF">
      <w:pPr>
        <w:pStyle w:val="TableofFigures"/>
        <w:tabs>
          <w:tab w:val="right" w:leader="dot" w:pos="9629"/>
        </w:tabs>
      </w:pPr>
      <w:hyperlink w:anchor="_Toc215578724" w:history="1">
        <w:r w:rsidRPr="00D61188">
          <w:rPr>
            <w:rStyle w:val="Hyperlink"/>
            <w:noProof/>
            <w:lang w:val="en-GB"/>
          </w:rPr>
          <w:t>Figure 2: Adverse event following immunisation reports for COVID-19 vaccines administered in 2021–2022 in the Adverse Event Management System (AEMS) database, by age group and brand</w:t>
        </w:r>
        <w:r w:rsidRPr="00D61188">
          <w:rPr>
            <w:rStyle w:val="Hyperlink"/>
            <w:noProof/>
            <w:vertAlign w:val="superscript"/>
            <w:lang w:val="en-GB"/>
          </w:rPr>
          <w:t>a,b,c</w:t>
        </w:r>
        <w:r>
          <w:rPr>
            <w:noProof/>
            <w:webHidden/>
          </w:rPr>
          <w:tab/>
        </w:r>
        <w:r>
          <w:rPr>
            <w:noProof/>
            <w:webHidden/>
          </w:rPr>
          <w:fldChar w:fldCharType="begin"/>
        </w:r>
        <w:r>
          <w:rPr>
            <w:noProof/>
            <w:webHidden/>
          </w:rPr>
          <w:instrText xml:space="preserve"> PAGEREF _Toc215578724 \h </w:instrText>
        </w:r>
        <w:r>
          <w:rPr>
            <w:noProof/>
            <w:webHidden/>
          </w:rPr>
        </w:r>
        <w:r>
          <w:rPr>
            <w:noProof/>
            <w:webHidden/>
          </w:rPr>
          <w:fldChar w:fldCharType="separate"/>
        </w:r>
        <w:r w:rsidR="000C6C55">
          <w:rPr>
            <w:noProof/>
            <w:webHidden/>
          </w:rPr>
          <w:t>26</w:t>
        </w:r>
        <w:r>
          <w:rPr>
            <w:noProof/>
            <w:webHidden/>
          </w:rPr>
          <w:fldChar w:fldCharType="end"/>
        </w:r>
      </w:hyperlink>
    </w:p>
    <w:p w14:paraId="1834A900" w14:textId="023CA44B" w:rsidR="00FF12BF" w:rsidRPr="000C6C55" w:rsidRDefault="00FF12BF">
      <w:pPr>
        <w:pStyle w:val="TableofFigures"/>
        <w:tabs>
          <w:tab w:val="right" w:leader="dot" w:pos="9629"/>
        </w:tabs>
      </w:pPr>
      <w:hyperlink w:anchor="_Toc215578725" w:history="1">
        <w:r w:rsidRPr="00D61188">
          <w:rPr>
            <w:rStyle w:val="Hyperlink"/>
            <w:noProof/>
            <w:lang w:val="en-GB"/>
          </w:rPr>
          <w:t>Figure 3: AEFI reporting rates per 100,000 COVID-19 vaccine doses administered in 2022 recorded in the Adverse Event Management System database, by age group and vaccine brand</w:t>
        </w:r>
        <w:r w:rsidRPr="00D61188">
          <w:rPr>
            <w:rStyle w:val="Hyperlink"/>
            <w:noProof/>
            <w:vertAlign w:val="superscript"/>
            <w:lang w:val="en-GB"/>
          </w:rPr>
          <w:t>a</w:t>
        </w:r>
        <w:r>
          <w:rPr>
            <w:noProof/>
            <w:webHidden/>
          </w:rPr>
          <w:tab/>
        </w:r>
        <w:r>
          <w:rPr>
            <w:noProof/>
            <w:webHidden/>
          </w:rPr>
          <w:fldChar w:fldCharType="begin"/>
        </w:r>
        <w:r>
          <w:rPr>
            <w:noProof/>
            <w:webHidden/>
          </w:rPr>
          <w:instrText xml:space="preserve"> PAGEREF _Toc215578725 \h </w:instrText>
        </w:r>
        <w:r>
          <w:rPr>
            <w:noProof/>
            <w:webHidden/>
          </w:rPr>
        </w:r>
        <w:r>
          <w:rPr>
            <w:noProof/>
            <w:webHidden/>
          </w:rPr>
          <w:fldChar w:fldCharType="separate"/>
        </w:r>
        <w:r w:rsidR="000C6C55">
          <w:rPr>
            <w:noProof/>
            <w:webHidden/>
          </w:rPr>
          <w:t>27</w:t>
        </w:r>
        <w:r>
          <w:rPr>
            <w:noProof/>
            <w:webHidden/>
          </w:rPr>
          <w:fldChar w:fldCharType="end"/>
        </w:r>
      </w:hyperlink>
    </w:p>
    <w:p w14:paraId="374417E1" w14:textId="600F42B4" w:rsidR="00FF12BF" w:rsidRPr="000C6C55" w:rsidRDefault="00FF12BF">
      <w:pPr>
        <w:pStyle w:val="TableofFigures"/>
        <w:tabs>
          <w:tab w:val="right" w:leader="dot" w:pos="9629"/>
        </w:tabs>
      </w:pPr>
      <w:hyperlink w:anchor="_Toc215578726" w:history="1">
        <w:r w:rsidRPr="00D61188">
          <w:rPr>
            <w:rStyle w:val="Hyperlink"/>
            <w:noProof/>
            <w:lang w:val="en-GB"/>
          </w:rPr>
          <w:t>Figure 4: Selected AESI reporting rates per 100,000 COVID-19 vaccine doses administered in 2022 recorded in the Adverse Event Management System (AEMS) database, by age group and vaccine brand</w:t>
        </w:r>
        <w:r w:rsidRPr="00D61188">
          <w:rPr>
            <w:rStyle w:val="Hyperlink"/>
            <w:noProof/>
            <w:vertAlign w:val="superscript"/>
            <w:lang w:val="en-GB"/>
          </w:rPr>
          <w:t>a,b</w:t>
        </w:r>
        <w:r>
          <w:rPr>
            <w:noProof/>
            <w:webHidden/>
          </w:rPr>
          <w:tab/>
        </w:r>
        <w:r>
          <w:rPr>
            <w:noProof/>
            <w:webHidden/>
          </w:rPr>
          <w:fldChar w:fldCharType="begin"/>
        </w:r>
        <w:r>
          <w:rPr>
            <w:noProof/>
            <w:webHidden/>
          </w:rPr>
          <w:instrText xml:space="preserve"> PAGEREF _Toc215578726 \h </w:instrText>
        </w:r>
        <w:r>
          <w:rPr>
            <w:noProof/>
            <w:webHidden/>
          </w:rPr>
        </w:r>
        <w:r>
          <w:rPr>
            <w:noProof/>
            <w:webHidden/>
          </w:rPr>
          <w:fldChar w:fldCharType="separate"/>
        </w:r>
        <w:r w:rsidR="000C6C55">
          <w:rPr>
            <w:noProof/>
            <w:webHidden/>
          </w:rPr>
          <w:t>30</w:t>
        </w:r>
        <w:r>
          <w:rPr>
            <w:noProof/>
            <w:webHidden/>
          </w:rPr>
          <w:fldChar w:fldCharType="end"/>
        </w:r>
      </w:hyperlink>
    </w:p>
    <w:p w14:paraId="4A54D307" w14:textId="518E0B58" w:rsidR="00FF12BF" w:rsidRPr="000C6C55" w:rsidRDefault="00FF12BF">
      <w:pPr>
        <w:pStyle w:val="TableofFigures"/>
        <w:tabs>
          <w:tab w:val="right" w:leader="dot" w:pos="9629"/>
        </w:tabs>
      </w:pPr>
      <w:hyperlink w:anchor="_Toc215578727" w:history="1">
        <w:r w:rsidRPr="00D61188">
          <w:rPr>
            <w:rStyle w:val="Hyperlink"/>
            <w:noProof/>
            <w:lang w:val="en-GB"/>
          </w:rPr>
          <w:t>Figure A.1: AEFI reports and reporting rates per 100,000 COVID-19 vaccine doses administered in</w:t>
        </w:r>
        <w:r w:rsidR="00886D5E">
          <w:rPr>
            <w:rStyle w:val="Hyperlink"/>
            <w:noProof/>
            <w:lang w:val="en-GB"/>
          </w:rPr>
          <w:t> </w:t>
        </w:r>
        <w:r w:rsidRPr="00D61188">
          <w:rPr>
            <w:rStyle w:val="Hyperlink"/>
            <w:noProof/>
            <w:lang w:val="en-GB"/>
          </w:rPr>
          <w:t>2021-2022, by reporter type</w:t>
        </w:r>
        <w:r>
          <w:rPr>
            <w:noProof/>
            <w:webHidden/>
          </w:rPr>
          <w:tab/>
        </w:r>
        <w:r>
          <w:rPr>
            <w:noProof/>
            <w:webHidden/>
          </w:rPr>
          <w:fldChar w:fldCharType="begin"/>
        </w:r>
        <w:r>
          <w:rPr>
            <w:noProof/>
            <w:webHidden/>
          </w:rPr>
          <w:instrText xml:space="preserve"> PAGEREF _Toc215578727 \h </w:instrText>
        </w:r>
        <w:r>
          <w:rPr>
            <w:noProof/>
            <w:webHidden/>
          </w:rPr>
        </w:r>
        <w:r>
          <w:rPr>
            <w:noProof/>
            <w:webHidden/>
          </w:rPr>
          <w:fldChar w:fldCharType="separate"/>
        </w:r>
        <w:r w:rsidR="000C6C55">
          <w:rPr>
            <w:noProof/>
            <w:webHidden/>
          </w:rPr>
          <w:t>54</w:t>
        </w:r>
        <w:r>
          <w:rPr>
            <w:noProof/>
            <w:webHidden/>
          </w:rPr>
          <w:fldChar w:fldCharType="end"/>
        </w:r>
      </w:hyperlink>
    </w:p>
    <w:p w14:paraId="590E34FD" w14:textId="3330878A" w:rsidR="00F216F0" w:rsidRDefault="005A4E9D" w:rsidP="00F216F0">
      <w:r>
        <w:fldChar w:fldCharType="end"/>
      </w:r>
    </w:p>
    <w:p w14:paraId="3D199FC3" w14:textId="77777777" w:rsidR="00144F10" w:rsidRDefault="00FE3ED6" w:rsidP="0071536A">
      <w:pPr>
        <w:pStyle w:val="Heading2-newpage"/>
      </w:pPr>
      <w:bookmarkStart w:id="14" w:name="_Toc215572515"/>
      <w:bookmarkStart w:id="15" w:name="_Toc215578702"/>
      <w:r>
        <w:lastRenderedPageBreak/>
        <w:t xml:space="preserve">List of </w:t>
      </w:r>
      <w:r w:rsidR="00F216F0">
        <w:t>t</w:t>
      </w:r>
      <w:r w:rsidR="00144F10">
        <w:t>ables</w:t>
      </w:r>
      <w:bookmarkEnd w:id="8"/>
      <w:bookmarkEnd w:id="13"/>
      <w:bookmarkEnd w:id="14"/>
      <w:bookmarkEnd w:id="15"/>
    </w:p>
    <w:p w14:paraId="2EDD7D6A" w14:textId="6D157970" w:rsidR="00886D5E" w:rsidRPr="000C6C55" w:rsidRDefault="00A709F0">
      <w:pPr>
        <w:pStyle w:val="TableofFigures"/>
        <w:tabs>
          <w:tab w:val="right" w:leader="dot" w:pos="9629"/>
        </w:tabs>
      </w:pPr>
      <w:r>
        <w:fldChar w:fldCharType="begin"/>
      </w:r>
      <w:r>
        <w:instrText xml:space="preserve"> TOC \h \z \t "CDI Table - Title" \c </w:instrText>
      </w:r>
      <w:r>
        <w:fldChar w:fldCharType="separate"/>
      </w:r>
      <w:hyperlink w:anchor="_Toc215578744" w:history="1">
        <w:r w:rsidR="00886D5E" w:rsidRPr="006128DB">
          <w:rPr>
            <w:rStyle w:val="Hyperlink"/>
            <w:noProof/>
            <w:lang w:val="en-GB"/>
          </w:rPr>
          <w:t>Table 1: Adverse event following immunisation (AEFI) reporting rates per 100,000 doses administered for COVID-19 vaccines administered in 2022 in the Adverse Event Management System database, by age group</w:t>
        </w:r>
        <w:r w:rsidR="00886D5E">
          <w:rPr>
            <w:noProof/>
            <w:webHidden/>
          </w:rPr>
          <w:tab/>
        </w:r>
        <w:r w:rsidR="00886D5E">
          <w:rPr>
            <w:noProof/>
            <w:webHidden/>
          </w:rPr>
          <w:fldChar w:fldCharType="begin"/>
        </w:r>
        <w:r w:rsidR="00886D5E">
          <w:rPr>
            <w:noProof/>
            <w:webHidden/>
          </w:rPr>
          <w:instrText xml:space="preserve"> PAGEREF _Toc215578744 \h </w:instrText>
        </w:r>
        <w:r w:rsidR="00886D5E">
          <w:rPr>
            <w:noProof/>
            <w:webHidden/>
          </w:rPr>
        </w:r>
        <w:r w:rsidR="00886D5E">
          <w:rPr>
            <w:noProof/>
            <w:webHidden/>
          </w:rPr>
          <w:fldChar w:fldCharType="separate"/>
        </w:r>
        <w:r w:rsidR="000C6C55">
          <w:rPr>
            <w:noProof/>
            <w:webHidden/>
          </w:rPr>
          <w:t>15</w:t>
        </w:r>
        <w:r w:rsidR="00886D5E">
          <w:rPr>
            <w:noProof/>
            <w:webHidden/>
          </w:rPr>
          <w:fldChar w:fldCharType="end"/>
        </w:r>
      </w:hyperlink>
    </w:p>
    <w:p w14:paraId="02211D09" w14:textId="24DF483C" w:rsidR="00886D5E" w:rsidRPr="000C6C55" w:rsidRDefault="00886D5E">
      <w:pPr>
        <w:pStyle w:val="TableofFigures"/>
        <w:tabs>
          <w:tab w:val="right" w:leader="dot" w:pos="9629"/>
        </w:tabs>
      </w:pPr>
      <w:hyperlink w:anchor="_Toc215578745" w:history="1">
        <w:r w:rsidRPr="006128DB">
          <w:rPr>
            <w:rStyle w:val="Hyperlink"/>
            <w:noProof/>
            <w:lang w:val="en-GB"/>
          </w:rPr>
          <w:t>Table 2: COVID-19 vaccines listed as ‘suspect’ in reports of adverse events following immunisation</w:t>
        </w:r>
        <w:r>
          <w:rPr>
            <w:rStyle w:val="Hyperlink"/>
            <w:noProof/>
            <w:lang w:val="en-GB"/>
          </w:rPr>
          <w:t> </w:t>
        </w:r>
        <w:r w:rsidRPr="006128DB">
          <w:rPr>
            <w:rStyle w:val="Hyperlink"/>
            <w:noProof/>
            <w:lang w:val="en-GB"/>
          </w:rPr>
          <w:t>for vaccines administered in 2022 in the Adverse Event Management System database</w:t>
        </w:r>
        <w:r w:rsidRPr="006128DB">
          <w:rPr>
            <w:rStyle w:val="Hyperlink"/>
            <w:noProof/>
            <w:vertAlign w:val="superscript"/>
            <w:lang w:val="en-GB"/>
          </w:rPr>
          <w:t>a</w:t>
        </w:r>
        <w:r>
          <w:rPr>
            <w:noProof/>
            <w:webHidden/>
          </w:rPr>
          <w:tab/>
        </w:r>
        <w:r>
          <w:rPr>
            <w:noProof/>
            <w:webHidden/>
          </w:rPr>
          <w:fldChar w:fldCharType="begin"/>
        </w:r>
        <w:r>
          <w:rPr>
            <w:noProof/>
            <w:webHidden/>
          </w:rPr>
          <w:instrText xml:space="preserve"> PAGEREF _Toc215578745 \h </w:instrText>
        </w:r>
        <w:r>
          <w:rPr>
            <w:noProof/>
            <w:webHidden/>
          </w:rPr>
        </w:r>
        <w:r>
          <w:rPr>
            <w:noProof/>
            <w:webHidden/>
          </w:rPr>
          <w:fldChar w:fldCharType="separate"/>
        </w:r>
        <w:r w:rsidR="000C6C55">
          <w:rPr>
            <w:noProof/>
            <w:webHidden/>
          </w:rPr>
          <w:t>16</w:t>
        </w:r>
        <w:r>
          <w:rPr>
            <w:noProof/>
            <w:webHidden/>
          </w:rPr>
          <w:fldChar w:fldCharType="end"/>
        </w:r>
      </w:hyperlink>
    </w:p>
    <w:p w14:paraId="4B63875C" w14:textId="333C6479" w:rsidR="00886D5E" w:rsidRPr="000C6C55" w:rsidRDefault="00886D5E">
      <w:pPr>
        <w:pStyle w:val="TableofFigures"/>
        <w:tabs>
          <w:tab w:val="right" w:leader="dot" w:pos="9629"/>
        </w:tabs>
      </w:pPr>
      <w:hyperlink w:anchor="_Toc215578746" w:history="1">
        <w:r w:rsidRPr="006128DB">
          <w:rPr>
            <w:rStyle w:val="Hyperlink"/>
            <w:noProof/>
            <w:lang w:val="en-GB"/>
          </w:rPr>
          <w:t>Table 3: Adverse event following immunisation reports in the Adverse Event Management System</w:t>
        </w:r>
        <w:r>
          <w:rPr>
            <w:rStyle w:val="Hyperlink"/>
            <w:noProof/>
            <w:lang w:val="en-GB"/>
          </w:rPr>
          <w:t> </w:t>
        </w:r>
        <w:r w:rsidRPr="006128DB">
          <w:rPr>
            <w:rStyle w:val="Hyperlink"/>
            <w:noProof/>
            <w:lang w:val="en-GB"/>
          </w:rPr>
          <w:t>database for COVID-19 vaccines administered in 2022, by jurisdiction</w:t>
        </w:r>
        <w:r>
          <w:rPr>
            <w:noProof/>
            <w:webHidden/>
          </w:rPr>
          <w:tab/>
        </w:r>
        <w:r>
          <w:rPr>
            <w:noProof/>
            <w:webHidden/>
          </w:rPr>
          <w:fldChar w:fldCharType="begin"/>
        </w:r>
        <w:r>
          <w:rPr>
            <w:noProof/>
            <w:webHidden/>
          </w:rPr>
          <w:instrText xml:space="preserve"> PAGEREF _Toc215578746 \h </w:instrText>
        </w:r>
        <w:r>
          <w:rPr>
            <w:noProof/>
            <w:webHidden/>
          </w:rPr>
        </w:r>
        <w:r>
          <w:rPr>
            <w:noProof/>
            <w:webHidden/>
          </w:rPr>
          <w:fldChar w:fldCharType="separate"/>
        </w:r>
        <w:r w:rsidR="000C6C55">
          <w:rPr>
            <w:noProof/>
            <w:webHidden/>
          </w:rPr>
          <w:t>18</w:t>
        </w:r>
        <w:r>
          <w:rPr>
            <w:noProof/>
            <w:webHidden/>
          </w:rPr>
          <w:fldChar w:fldCharType="end"/>
        </w:r>
      </w:hyperlink>
    </w:p>
    <w:p w14:paraId="444CAAE4" w14:textId="7BB64DBA" w:rsidR="00886D5E" w:rsidRPr="000C6C55" w:rsidRDefault="00886D5E">
      <w:pPr>
        <w:pStyle w:val="TableofFigures"/>
        <w:tabs>
          <w:tab w:val="right" w:leader="dot" w:pos="9629"/>
        </w:tabs>
      </w:pPr>
      <w:hyperlink w:anchor="_Toc215578747" w:history="1">
        <w:r w:rsidRPr="006128DB">
          <w:rPr>
            <w:rStyle w:val="Hyperlink"/>
            <w:noProof/>
            <w:lang w:val="en-GB"/>
          </w:rPr>
          <w:t>Table 4: The 30 most frequently reported adverse events classified by MedDRA preferred terms</w:t>
        </w:r>
        <w:r>
          <w:rPr>
            <w:rStyle w:val="Hyperlink"/>
            <w:noProof/>
            <w:lang w:val="en-GB"/>
          </w:rPr>
          <w:t> </w:t>
        </w:r>
        <w:r w:rsidRPr="006128DB">
          <w:rPr>
            <w:rStyle w:val="Hyperlink"/>
            <w:noProof/>
            <w:lang w:val="en-GB"/>
          </w:rPr>
          <w:t xml:space="preserve">(PTs) or standardised MedDRA queries (SMQs) </w:t>
        </w:r>
        <w:r w:rsidRPr="006128DB">
          <w:rPr>
            <w:rStyle w:val="Hyperlink"/>
            <w:noProof/>
          </w:rPr>
          <w:t>in</w:t>
        </w:r>
        <w:r w:rsidRPr="006128DB">
          <w:rPr>
            <w:rStyle w:val="Hyperlink"/>
            <w:noProof/>
            <w:lang w:val="en-GB"/>
          </w:rPr>
          <w:t xml:space="preserve"> reports of adverse events following immunisation with COVID-19 vaccines administered in 2022 in the Adverse Event Management System database</w:t>
        </w:r>
        <w:r w:rsidRPr="006128DB">
          <w:rPr>
            <w:rStyle w:val="Hyperlink"/>
            <w:noProof/>
            <w:vertAlign w:val="superscript"/>
            <w:lang w:val="en-GB"/>
          </w:rPr>
          <w:t>a</w:t>
        </w:r>
        <w:r>
          <w:rPr>
            <w:noProof/>
            <w:webHidden/>
          </w:rPr>
          <w:tab/>
        </w:r>
        <w:r>
          <w:rPr>
            <w:noProof/>
            <w:webHidden/>
          </w:rPr>
          <w:fldChar w:fldCharType="begin"/>
        </w:r>
        <w:r>
          <w:rPr>
            <w:noProof/>
            <w:webHidden/>
          </w:rPr>
          <w:instrText xml:space="preserve"> PAGEREF _Toc215578747 \h </w:instrText>
        </w:r>
        <w:r>
          <w:rPr>
            <w:noProof/>
            <w:webHidden/>
          </w:rPr>
        </w:r>
        <w:r>
          <w:rPr>
            <w:noProof/>
            <w:webHidden/>
          </w:rPr>
          <w:fldChar w:fldCharType="separate"/>
        </w:r>
        <w:r w:rsidR="000C6C55">
          <w:rPr>
            <w:noProof/>
            <w:webHidden/>
          </w:rPr>
          <w:t>20</w:t>
        </w:r>
        <w:r>
          <w:rPr>
            <w:noProof/>
            <w:webHidden/>
          </w:rPr>
          <w:fldChar w:fldCharType="end"/>
        </w:r>
      </w:hyperlink>
    </w:p>
    <w:p w14:paraId="4C44CED5" w14:textId="330B18DB" w:rsidR="00886D5E" w:rsidRPr="000C6C55" w:rsidRDefault="00886D5E">
      <w:pPr>
        <w:pStyle w:val="TableofFigures"/>
        <w:tabs>
          <w:tab w:val="right" w:leader="dot" w:pos="9629"/>
        </w:tabs>
      </w:pPr>
      <w:hyperlink w:anchor="_Toc215578748" w:history="1">
        <w:r w:rsidRPr="006128DB">
          <w:rPr>
            <w:rStyle w:val="Hyperlink"/>
            <w:noProof/>
            <w:lang w:val="en-GB"/>
          </w:rPr>
          <w:t>Table 5: The 30 most frequently reported adverse events classified by MedDRA Preferred Terms</w:t>
        </w:r>
        <w:r>
          <w:rPr>
            <w:rStyle w:val="Hyperlink"/>
            <w:noProof/>
            <w:lang w:val="en-GB"/>
          </w:rPr>
          <w:t> </w:t>
        </w:r>
        <w:r w:rsidRPr="006128DB">
          <w:rPr>
            <w:rStyle w:val="Hyperlink"/>
            <w:noProof/>
            <w:lang w:val="en-GB"/>
          </w:rPr>
          <w:t>(PTs) or Standardised MedDRA queries (SMQs) in reports of adverse events following immunisation with COVID-19 vaccines administered in 2022 in the Adverse Event Management System database, by brand</w:t>
        </w:r>
        <w:r w:rsidRPr="006128DB">
          <w:rPr>
            <w:rStyle w:val="Hyperlink"/>
            <w:noProof/>
            <w:vertAlign w:val="superscript"/>
            <w:lang w:val="en-GB"/>
          </w:rPr>
          <w:t>a</w:t>
        </w:r>
        <w:r>
          <w:rPr>
            <w:noProof/>
            <w:webHidden/>
          </w:rPr>
          <w:tab/>
        </w:r>
        <w:r>
          <w:rPr>
            <w:noProof/>
            <w:webHidden/>
          </w:rPr>
          <w:fldChar w:fldCharType="begin"/>
        </w:r>
        <w:r>
          <w:rPr>
            <w:noProof/>
            <w:webHidden/>
          </w:rPr>
          <w:instrText xml:space="preserve"> PAGEREF _Toc215578748 \h </w:instrText>
        </w:r>
        <w:r>
          <w:rPr>
            <w:noProof/>
            <w:webHidden/>
          </w:rPr>
        </w:r>
        <w:r>
          <w:rPr>
            <w:noProof/>
            <w:webHidden/>
          </w:rPr>
          <w:fldChar w:fldCharType="separate"/>
        </w:r>
        <w:r w:rsidR="000C6C55">
          <w:rPr>
            <w:noProof/>
            <w:webHidden/>
          </w:rPr>
          <w:t>23</w:t>
        </w:r>
        <w:r>
          <w:rPr>
            <w:noProof/>
            <w:webHidden/>
          </w:rPr>
          <w:fldChar w:fldCharType="end"/>
        </w:r>
      </w:hyperlink>
    </w:p>
    <w:p w14:paraId="06BFB1B3" w14:textId="6AFF5A34" w:rsidR="00886D5E" w:rsidRPr="000C6C55" w:rsidRDefault="00886D5E">
      <w:pPr>
        <w:pStyle w:val="TableofFigures"/>
        <w:tabs>
          <w:tab w:val="right" w:leader="dot" w:pos="9629"/>
        </w:tabs>
      </w:pPr>
      <w:hyperlink w:anchor="_Toc215578749" w:history="1">
        <w:r w:rsidRPr="006128DB">
          <w:rPr>
            <w:rStyle w:val="Hyperlink"/>
            <w:noProof/>
            <w:lang w:val="en-GB"/>
          </w:rPr>
          <w:t>Table 6: Adverse events of special interest (AESI) reported in reports of adverse events following immunisation (AEFI) with COVID-19 vaccines in 2022 in the Adverse Event Management System</w:t>
        </w:r>
        <w:r>
          <w:rPr>
            <w:rStyle w:val="Hyperlink"/>
            <w:noProof/>
            <w:lang w:val="en-GB"/>
          </w:rPr>
          <w:t> </w:t>
        </w:r>
        <w:r w:rsidRPr="006128DB">
          <w:rPr>
            <w:rStyle w:val="Hyperlink"/>
            <w:noProof/>
            <w:lang w:val="en-GB"/>
          </w:rPr>
          <w:t>database</w:t>
        </w:r>
        <w:r>
          <w:rPr>
            <w:noProof/>
            <w:webHidden/>
          </w:rPr>
          <w:tab/>
        </w:r>
        <w:r>
          <w:rPr>
            <w:noProof/>
            <w:webHidden/>
          </w:rPr>
          <w:fldChar w:fldCharType="begin"/>
        </w:r>
        <w:r>
          <w:rPr>
            <w:noProof/>
            <w:webHidden/>
          </w:rPr>
          <w:instrText xml:space="preserve"> PAGEREF _Toc215578749 \h </w:instrText>
        </w:r>
        <w:r>
          <w:rPr>
            <w:noProof/>
            <w:webHidden/>
          </w:rPr>
        </w:r>
        <w:r>
          <w:rPr>
            <w:noProof/>
            <w:webHidden/>
          </w:rPr>
          <w:fldChar w:fldCharType="separate"/>
        </w:r>
        <w:r w:rsidR="000C6C55">
          <w:rPr>
            <w:noProof/>
            <w:webHidden/>
          </w:rPr>
          <w:t>29</w:t>
        </w:r>
        <w:r>
          <w:rPr>
            <w:noProof/>
            <w:webHidden/>
          </w:rPr>
          <w:fldChar w:fldCharType="end"/>
        </w:r>
      </w:hyperlink>
    </w:p>
    <w:p w14:paraId="0310DE39" w14:textId="3373CD21" w:rsidR="00886D5E" w:rsidRPr="000C6C55" w:rsidRDefault="00886D5E">
      <w:pPr>
        <w:pStyle w:val="TableofFigures"/>
        <w:tabs>
          <w:tab w:val="right" w:leader="dot" w:pos="9629"/>
        </w:tabs>
      </w:pPr>
      <w:hyperlink w:anchor="_Toc215578750" w:history="1">
        <w:r w:rsidRPr="006128DB">
          <w:rPr>
            <w:rStyle w:val="Hyperlink"/>
            <w:noProof/>
            <w:lang w:val="en-GB"/>
          </w:rPr>
          <w:t>Table 7: Age distribution and median time to death for reports of death following immunisation with</w:t>
        </w:r>
        <w:r>
          <w:rPr>
            <w:rStyle w:val="Hyperlink"/>
            <w:noProof/>
            <w:lang w:val="en-GB"/>
          </w:rPr>
          <w:t> </w:t>
        </w:r>
        <w:r w:rsidRPr="006128DB">
          <w:rPr>
            <w:rStyle w:val="Hyperlink"/>
            <w:noProof/>
            <w:lang w:val="en-GB"/>
          </w:rPr>
          <w:t>COVID-19 vaccines in 2022 in the Adverse Event Management System database</w:t>
        </w:r>
        <w:r w:rsidRPr="006128DB">
          <w:rPr>
            <w:rStyle w:val="Hyperlink"/>
            <w:noProof/>
            <w:vertAlign w:val="superscript"/>
            <w:lang w:val="en-GB"/>
          </w:rPr>
          <w:t>a</w:t>
        </w:r>
        <w:r>
          <w:rPr>
            <w:noProof/>
            <w:webHidden/>
          </w:rPr>
          <w:tab/>
        </w:r>
        <w:r>
          <w:rPr>
            <w:noProof/>
            <w:webHidden/>
          </w:rPr>
          <w:fldChar w:fldCharType="begin"/>
        </w:r>
        <w:r>
          <w:rPr>
            <w:noProof/>
            <w:webHidden/>
          </w:rPr>
          <w:instrText xml:space="preserve"> PAGEREF _Toc215578750 \h </w:instrText>
        </w:r>
        <w:r>
          <w:rPr>
            <w:noProof/>
            <w:webHidden/>
          </w:rPr>
        </w:r>
        <w:r>
          <w:rPr>
            <w:noProof/>
            <w:webHidden/>
          </w:rPr>
          <w:fldChar w:fldCharType="separate"/>
        </w:r>
        <w:r w:rsidR="000C6C55">
          <w:rPr>
            <w:noProof/>
            <w:webHidden/>
          </w:rPr>
          <w:t>32</w:t>
        </w:r>
        <w:r>
          <w:rPr>
            <w:noProof/>
            <w:webHidden/>
          </w:rPr>
          <w:fldChar w:fldCharType="end"/>
        </w:r>
      </w:hyperlink>
    </w:p>
    <w:p w14:paraId="3929DB0B" w14:textId="686414B7" w:rsidR="00886D5E" w:rsidRPr="000C6C55" w:rsidRDefault="00886D5E">
      <w:pPr>
        <w:pStyle w:val="TableofFigures"/>
        <w:tabs>
          <w:tab w:val="right" w:leader="dot" w:pos="9629"/>
        </w:tabs>
      </w:pPr>
      <w:hyperlink w:anchor="_Toc215578751" w:history="1">
        <w:r w:rsidRPr="006128DB">
          <w:rPr>
            <w:rStyle w:val="Hyperlink"/>
            <w:noProof/>
            <w:lang w:val="en-GB"/>
          </w:rPr>
          <w:t>Table 8: Safety topics investigated for COVID-19 vaccines undertaken by the TGA in 2022</w:t>
        </w:r>
        <w:r w:rsidRPr="006128DB">
          <w:rPr>
            <w:rStyle w:val="Hyperlink"/>
            <w:noProof/>
            <w:vertAlign w:val="superscript"/>
            <w:lang w:val="en-GB"/>
          </w:rPr>
          <w:t>a</w:t>
        </w:r>
        <w:r>
          <w:rPr>
            <w:noProof/>
            <w:webHidden/>
          </w:rPr>
          <w:tab/>
        </w:r>
        <w:r>
          <w:rPr>
            <w:noProof/>
            <w:webHidden/>
          </w:rPr>
          <w:fldChar w:fldCharType="begin"/>
        </w:r>
        <w:r>
          <w:rPr>
            <w:noProof/>
            <w:webHidden/>
          </w:rPr>
          <w:instrText xml:space="preserve"> PAGEREF _Toc215578751 \h </w:instrText>
        </w:r>
        <w:r>
          <w:rPr>
            <w:noProof/>
            <w:webHidden/>
          </w:rPr>
        </w:r>
        <w:r>
          <w:rPr>
            <w:noProof/>
            <w:webHidden/>
          </w:rPr>
          <w:fldChar w:fldCharType="separate"/>
        </w:r>
        <w:r w:rsidR="000C6C55">
          <w:rPr>
            <w:noProof/>
            <w:webHidden/>
          </w:rPr>
          <w:t>34</w:t>
        </w:r>
        <w:r>
          <w:rPr>
            <w:noProof/>
            <w:webHidden/>
          </w:rPr>
          <w:fldChar w:fldCharType="end"/>
        </w:r>
      </w:hyperlink>
    </w:p>
    <w:p w14:paraId="15C50087" w14:textId="3DA641B6" w:rsidR="00886D5E" w:rsidRPr="000C6C55" w:rsidRDefault="00886D5E">
      <w:pPr>
        <w:pStyle w:val="TableofFigures"/>
        <w:tabs>
          <w:tab w:val="right" w:leader="dot" w:pos="9629"/>
        </w:tabs>
      </w:pPr>
      <w:hyperlink w:anchor="_Toc215578752" w:history="1">
        <w:r w:rsidRPr="006128DB">
          <w:rPr>
            <w:rStyle w:val="Hyperlink"/>
            <w:noProof/>
            <w:lang w:val="en-GB"/>
          </w:rPr>
          <w:t>Table A.1: Changes in COVID-19 immunisation policy and program in 2022</w:t>
        </w:r>
        <w:r w:rsidRPr="006128DB">
          <w:rPr>
            <w:rStyle w:val="Hyperlink"/>
            <w:noProof/>
            <w:vertAlign w:val="superscript"/>
            <w:lang w:val="en-GB"/>
          </w:rPr>
          <w:t>2</w:t>
        </w:r>
        <w:r>
          <w:rPr>
            <w:noProof/>
            <w:webHidden/>
          </w:rPr>
          <w:tab/>
        </w:r>
        <w:r>
          <w:rPr>
            <w:noProof/>
            <w:webHidden/>
          </w:rPr>
          <w:fldChar w:fldCharType="begin"/>
        </w:r>
        <w:r>
          <w:rPr>
            <w:noProof/>
            <w:webHidden/>
          </w:rPr>
          <w:instrText xml:space="preserve"> PAGEREF _Toc215578752 \h </w:instrText>
        </w:r>
        <w:r>
          <w:rPr>
            <w:noProof/>
            <w:webHidden/>
          </w:rPr>
        </w:r>
        <w:r>
          <w:rPr>
            <w:noProof/>
            <w:webHidden/>
          </w:rPr>
          <w:fldChar w:fldCharType="separate"/>
        </w:r>
        <w:r w:rsidR="000C6C55">
          <w:rPr>
            <w:noProof/>
            <w:webHidden/>
          </w:rPr>
          <w:t>50</w:t>
        </w:r>
        <w:r>
          <w:rPr>
            <w:noProof/>
            <w:webHidden/>
          </w:rPr>
          <w:fldChar w:fldCharType="end"/>
        </w:r>
      </w:hyperlink>
    </w:p>
    <w:p w14:paraId="41B2091E" w14:textId="13F5BCE2" w:rsidR="00886D5E" w:rsidRPr="000C6C55" w:rsidRDefault="00886D5E">
      <w:pPr>
        <w:pStyle w:val="TableofFigures"/>
        <w:tabs>
          <w:tab w:val="right" w:leader="dot" w:pos="9629"/>
        </w:tabs>
      </w:pPr>
      <w:hyperlink w:anchor="_Toc215578753" w:history="1">
        <w:r w:rsidRPr="006128DB">
          <w:rPr>
            <w:rStyle w:val="Hyperlink"/>
            <w:noProof/>
            <w:lang w:val="en-GB"/>
          </w:rPr>
          <w:t>Table A.2: Description of MedDRA preferred term (PT) to standardised MedDRA query (SMQ) mapping – overall process</w:t>
        </w:r>
        <w:r>
          <w:rPr>
            <w:noProof/>
            <w:webHidden/>
          </w:rPr>
          <w:tab/>
        </w:r>
        <w:r>
          <w:rPr>
            <w:noProof/>
            <w:webHidden/>
          </w:rPr>
          <w:fldChar w:fldCharType="begin"/>
        </w:r>
        <w:r>
          <w:rPr>
            <w:noProof/>
            <w:webHidden/>
          </w:rPr>
          <w:instrText xml:space="preserve"> PAGEREF _Toc215578753 \h </w:instrText>
        </w:r>
        <w:r>
          <w:rPr>
            <w:noProof/>
            <w:webHidden/>
          </w:rPr>
        </w:r>
        <w:r>
          <w:rPr>
            <w:noProof/>
            <w:webHidden/>
          </w:rPr>
          <w:fldChar w:fldCharType="separate"/>
        </w:r>
        <w:r w:rsidR="000C6C55">
          <w:rPr>
            <w:noProof/>
            <w:webHidden/>
          </w:rPr>
          <w:t>51</w:t>
        </w:r>
        <w:r>
          <w:rPr>
            <w:noProof/>
            <w:webHidden/>
          </w:rPr>
          <w:fldChar w:fldCharType="end"/>
        </w:r>
      </w:hyperlink>
    </w:p>
    <w:p w14:paraId="6614A813" w14:textId="4197F9B2" w:rsidR="00886D5E" w:rsidRPr="000C6C55" w:rsidRDefault="00886D5E">
      <w:pPr>
        <w:pStyle w:val="TableofFigures"/>
        <w:tabs>
          <w:tab w:val="right" w:leader="dot" w:pos="9629"/>
        </w:tabs>
      </w:pPr>
      <w:hyperlink w:anchor="_Toc215578754" w:history="1">
        <w:r w:rsidRPr="006128DB">
          <w:rPr>
            <w:rStyle w:val="Hyperlink"/>
            <w:noProof/>
            <w:lang w:val="en-GB"/>
          </w:rPr>
          <w:t>Table A.3: MedDRA preferred terms (PTs) mapped to specific standardised MedDRA queries (SMQs)</w:t>
        </w:r>
        <w:r w:rsidRPr="006128DB">
          <w:rPr>
            <w:rStyle w:val="Hyperlink"/>
            <w:noProof/>
            <w:vertAlign w:val="superscript"/>
            <w:lang w:val="en-GB"/>
          </w:rPr>
          <w:t>a,8,10</w:t>
        </w:r>
        <w:r>
          <w:rPr>
            <w:noProof/>
            <w:webHidden/>
          </w:rPr>
          <w:tab/>
        </w:r>
        <w:r>
          <w:rPr>
            <w:noProof/>
            <w:webHidden/>
          </w:rPr>
          <w:fldChar w:fldCharType="begin"/>
        </w:r>
        <w:r>
          <w:rPr>
            <w:noProof/>
            <w:webHidden/>
          </w:rPr>
          <w:instrText xml:space="preserve"> PAGEREF _Toc215578754 \h </w:instrText>
        </w:r>
        <w:r>
          <w:rPr>
            <w:noProof/>
            <w:webHidden/>
          </w:rPr>
        </w:r>
        <w:r>
          <w:rPr>
            <w:noProof/>
            <w:webHidden/>
          </w:rPr>
          <w:fldChar w:fldCharType="separate"/>
        </w:r>
        <w:r w:rsidR="000C6C55">
          <w:rPr>
            <w:noProof/>
            <w:webHidden/>
          </w:rPr>
          <w:t>51</w:t>
        </w:r>
        <w:r>
          <w:rPr>
            <w:noProof/>
            <w:webHidden/>
          </w:rPr>
          <w:fldChar w:fldCharType="end"/>
        </w:r>
      </w:hyperlink>
    </w:p>
    <w:p w14:paraId="4180DB7C" w14:textId="4F0BE69B" w:rsidR="00886D5E" w:rsidRPr="000C6C55" w:rsidRDefault="00886D5E">
      <w:pPr>
        <w:pStyle w:val="TableofFigures"/>
        <w:tabs>
          <w:tab w:val="right" w:leader="dot" w:pos="9629"/>
        </w:tabs>
      </w:pPr>
      <w:hyperlink w:anchor="_Toc215578755" w:history="1">
        <w:r w:rsidRPr="006128DB">
          <w:rPr>
            <w:rStyle w:val="Hyperlink"/>
            <w:noProof/>
            <w:lang w:val="en-GB"/>
          </w:rPr>
          <w:t>Table A.4: MedDRA terms (LLTs and PTs) included in specific AESI, as per Brighton Collaboration</w:t>
        </w:r>
        <w:r>
          <w:rPr>
            <w:rStyle w:val="Hyperlink"/>
            <w:noProof/>
            <w:lang w:val="en-GB"/>
          </w:rPr>
          <w:t> </w:t>
        </w:r>
        <w:r w:rsidRPr="006128DB">
          <w:rPr>
            <w:rStyle w:val="Hyperlink"/>
            <w:noProof/>
            <w:lang w:val="en-GB"/>
          </w:rPr>
          <w:t>Case Definition Companion Guides</w:t>
        </w:r>
        <w:r w:rsidRPr="006128DB">
          <w:rPr>
            <w:rStyle w:val="Hyperlink"/>
            <w:noProof/>
            <w:vertAlign w:val="superscript"/>
            <w:lang w:val="en-GB"/>
          </w:rPr>
          <w:t>a,21,23</w:t>
        </w:r>
        <w:r>
          <w:rPr>
            <w:noProof/>
            <w:webHidden/>
          </w:rPr>
          <w:tab/>
        </w:r>
        <w:r>
          <w:rPr>
            <w:noProof/>
            <w:webHidden/>
          </w:rPr>
          <w:fldChar w:fldCharType="begin"/>
        </w:r>
        <w:r>
          <w:rPr>
            <w:noProof/>
            <w:webHidden/>
          </w:rPr>
          <w:instrText xml:space="preserve"> PAGEREF _Toc215578755 \h </w:instrText>
        </w:r>
        <w:r>
          <w:rPr>
            <w:noProof/>
            <w:webHidden/>
          </w:rPr>
        </w:r>
        <w:r>
          <w:rPr>
            <w:noProof/>
            <w:webHidden/>
          </w:rPr>
          <w:fldChar w:fldCharType="separate"/>
        </w:r>
        <w:r w:rsidR="000C6C55">
          <w:rPr>
            <w:noProof/>
            <w:webHidden/>
          </w:rPr>
          <w:t>52</w:t>
        </w:r>
        <w:r>
          <w:rPr>
            <w:noProof/>
            <w:webHidden/>
          </w:rPr>
          <w:fldChar w:fldCharType="end"/>
        </w:r>
      </w:hyperlink>
    </w:p>
    <w:p w14:paraId="0771042F" w14:textId="46485219" w:rsidR="00886D5E" w:rsidRPr="000C6C55" w:rsidRDefault="00886D5E">
      <w:pPr>
        <w:pStyle w:val="TableofFigures"/>
        <w:tabs>
          <w:tab w:val="right" w:leader="dot" w:pos="9629"/>
        </w:tabs>
      </w:pPr>
      <w:hyperlink w:anchor="_Toc215578756" w:history="1">
        <w:r w:rsidRPr="006128DB">
          <w:rPr>
            <w:rStyle w:val="Hyperlink"/>
            <w:noProof/>
            <w:lang w:val="en-GB"/>
          </w:rPr>
          <w:t>Table A.5: Abbreviations of vaccine types and other terms</w:t>
        </w:r>
        <w:r>
          <w:rPr>
            <w:noProof/>
            <w:webHidden/>
          </w:rPr>
          <w:tab/>
        </w:r>
        <w:r>
          <w:rPr>
            <w:noProof/>
            <w:webHidden/>
          </w:rPr>
          <w:fldChar w:fldCharType="begin"/>
        </w:r>
        <w:r>
          <w:rPr>
            <w:noProof/>
            <w:webHidden/>
          </w:rPr>
          <w:instrText xml:space="preserve"> PAGEREF _Toc215578756 \h </w:instrText>
        </w:r>
        <w:r>
          <w:rPr>
            <w:noProof/>
            <w:webHidden/>
          </w:rPr>
        </w:r>
        <w:r>
          <w:rPr>
            <w:noProof/>
            <w:webHidden/>
          </w:rPr>
          <w:fldChar w:fldCharType="separate"/>
        </w:r>
        <w:r w:rsidR="000C6C55">
          <w:rPr>
            <w:noProof/>
            <w:webHidden/>
          </w:rPr>
          <w:t>53</w:t>
        </w:r>
        <w:r>
          <w:rPr>
            <w:noProof/>
            <w:webHidden/>
          </w:rPr>
          <w:fldChar w:fldCharType="end"/>
        </w:r>
      </w:hyperlink>
    </w:p>
    <w:p w14:paraId="423FF957" w14:textId="15BA3447" w:rsidR="00425757" w:rsidRDefault="00A709F0" w:rsidP="00144F10">
      <w:r>
        <w:fldChar w:fldCharType="end"/>
      </w:r>
    </w:p>
    <w:p w14:paraId="4F839364" w14:textId="77777777" w:rsidR="00F25C00" w:rsidRDefault="0098426C" w:rsidP="00A24E95">
      <w:pPr>
        <w:pStyle w:val="Heading1"/>
      </w:pPr>
      <w:bookmarkStart w:id="16" w:name="_Toc195530498"/>
      <w:bookmarkStart w:id="17" w:name="_Toc215578703"/>
      <w:r>
        <w:lastRenderedPageBreak/>
        <w:t>Abstract</w:t>
      </w:r>
      <w:bookmarkEnd w:id="16"/>
      <w:bookmarkEnd w:id="17"/>
    </w:p>
    <w:p w14:paraId="2FBA3DD5" w14:textId="77777777" w:rsidR="00F25CB3" w:rsidRPr="00F25CB3" w:rsidRDefault="00F25CB3" w:rsidP="00F25CB3">
      <w:pPr>
        <w:rPr>
          <w:lang w:val="en-GB"/>
        </w:rPr>
      </w:pPr>
      <w:r w:rsidRPr="00F25CB3">
        <w:rPr>
          <w:lang w:val="en-GB"/>
        </w:rPr>
        <w:t>This report summarises Australia’s spontaneous surveillance data for adverse events following immunisation (AEFI) for COVID-19 vaccines given in 2022 reported to the Therapeutic Goods Administration (TGA). The TGA strongly promoted and facilitated adverse event reporting in preparation for and during the COVID-19 vaccine rollout as a core component of the most intensive vaccine safety monitoring ever conducted in Australia.</w:t>
      </w:r>
    </w:p>
    <w:p w14:paraId="16E2EB86" w14:textId="77777777" w:rsidR="00F25CB3" w:rsidRPr="00F25CB3" w:rsidRDefault="00F25CB3" w:rsidP="00F25CB3">
      <w:pPr>
        <w:rPr>
          <w:lang w:val="en-GB"/>
        </w:rPr>
      </w:pPr>
      <w:r w:rsidRPr="00F25CB3">
        <w:rPr>
          <w:lang w:val="en-GB"/>
        </w:rPr>
        <w:t xml:space="preserve">There were 18,398 AEFI reports for COVID-19 vaccines administered in 2022, corresponding to an annual AEFI reporting rate of 89.6 per 100,000 doses of COVID-19 vaccines administered. The annual AEFI reporting rate for non-COVID-19 vaccines in 2022 was 18.8 per 100,000 doses administered to people of all ages. </w:t>
      </w:r>
    </w:p>
    <w:p w14:paraId="1A7230AD" w14:textId="77777777" w:rsidR="00F25CB3" w:rsidRPr="00F25CB3" w:rsidRDefault="00F25CB3" w:rsidP="00F25CB3">
      <w:pPr>
        <w:rPr>
          <w:lang w:val="en-GB"/>
        </w:rPr>
      </w:pPr>
      <w:r w:rsidRPr="00F25CB3">
        <w:rPr>
          <w:lang w:val="en-GB"/>
        </w:rPr>
        <w:t xml:space="preserve">Overall, the most frequently reported symptoms were adverse events consistent with the expected side effects from vaccines, as reported in clinical trials. These were classified as ‘gastrointestinal nonspecific symptoms and therapeutic procedures’, headache, chest pain, myalgia and pyrexia. The most frequently reported adverse events of special interest were myocarditis and/or pericarditis, followed by thrombosis and thromboembolism, and anaphylaxis. Of all COVID-19 vaccine AEFI reports, 160 (0.9%) included a fatal outcome, of which over 60% were in people aged ≥ 60 years. Of these 160 reports, only one was assessed by a Vaccine Safety Investigation Group (VSIG) as a death likely to be causally linked to vaccination. </w:t>
      </w:r>
    </w:p>
    <w:p w14:paraId="29C20AC8" w14:textId="77777777" w:rsidR="00F25CB3" w:rsidRPr="00F25CB3" w:rsidRDefault="00F25CB3" w:rsidP="00F25CB3">
      <w:pPr>
        <w:pStyle w:val="Normal-morespaceafter"/>
        <w:rPr>
          <w:lang w:val="en-GB"/>
        </w:rPr>
      </w:pPr>
      <w:r w:rsidRPr="00F25CB3">
        <w:rPr>
          <w:lang w:val="en-GB"/>
        </w:rPr>
        <w:t>This report confirms the value of spontaneous post-marketing vaccine pharmacovigilance, especially in the context of new vaccines using novel technologies and a near whole-of-population pandemic vaccination program. Ongoing safety monitoring continued to review and respond to reports of rare, unexpected conditions, such as myocarditis/pericarditis, with investigations resulting in changes to vaccine recommendations and product information. Overall, COVID-19 vaccine safety monitoring continued to demonstrate a reassuring safety profile for these vaccines, especially among children and adolescents aged 11 years and below, in whom COVID-19 vaccines were used for the first time in 2022 in Australia.</w:t>
      </w:r>
    </w:p>
    <w:p w14:paraId="7FAB4CD5" w14:textId="6E12AB13" w:rsidR="00B73144" w:rsidRDefault="00B73144" w:rsidP="00E61A68">
      <w:pPr>
        <w:pStyle w:val="CDIBoxText"/>
        <w:rPr>
          <w:lang w:val="en-GB"/>
        </w:rPr>
      </w:pPr>
      <w:r w:rsidRPr="00E61A68">
        <w:t>Keywords</w:t>
      </w:r>
      <w:r w:rsidR="00BF1476">
        <w:t xml:space="preserve">: </w:t>
      </w:r>
      <w:r w:rsidR="00F25CB3" w:rsidRPr="00F25CB3">
        <w:t>AEFI; coronavirus disease 2019; COVID-19; adverse events; vaccines; surveillance; immunisation; vaccine</w:t>
      </w:r>
    </w:p>
    <w:p w14:paraId="69AF863B" w14:textId="77777777" w:rsidR="0037146D" w:rsidRDefault="00B73144" w:rsidP="00B73144">
      <w:pPr>
        <w:pStyle w:val="Heading1"/>
      </w:pPr>
      <w:bookmarkStart w:id="18" w:name="_Toc195530501"/>
      <w:bookmarkStart w:id="19" w:name="_Toc215578704"/>
      <w:r>
        <w:lastRenderedPageBreak/>
        <w:t>Introduction</w:t>
      </w:r>
      <w:bookmarkEnd w:id="18"/>
      <w:bookmarkEnd w:id="19"/>
    </w:p>
    <w:p w14:paraId="400E46A2" w14:textId="77777777" w:rsidR="00F25CB3" w:rsidRPr="00F25CB3" w:rsidRDefault="00F25CB3" w:rsidP="00F25CB3">
      <w:pPr>
        <w:rPr>
          <w:lang w:val="en-GB"/>
        </w:rPr>
      </w:pPr>
      <w:r w:rsidRPr="00F25CB3">
        <w:rPr>
          <w:lang w:val="en-GB"/>
        </w:rPr>
        <w:t>In 2022, the Australian coronavirus disease 2019 (COVID-19) vaccination program continued to adapt to the COVID-19 pandemic and to the evolution of SARS-CoV-2, including the emergence of new viral variants. There was an expansion of age groups recommended to receive vaccination, and new vaccine types (protein subunit) and formulations were administered: Comirnaty for those in the 6 months – 4 years and 5–11 years age groups, and bivalent Original/Omicron BA.1; and Spikevax for those in the 6 months – 4 years age group.</w:t>
      </w:r>
      <w:r w:rsidRPr="00F25CB3">
        <w:rPr>
          <w:vertAlign w:val="superscript"/>
          <w:lang w:val="en-GB"/>
        </w:rPr>
        <w:t>1,2</w:t>
      </w:r>
      <w:r w:rsidRPr="00F25CB3">
        <w:rPr>
          <w:lang w:val="en-GB"/>
        </w:rPr>
        <w:t xml:space="preserve"> Four COVID-19 vaccine brands—Comirnaty (Pfizer-BioNTech BNT162b2), Nuvaxovid (Novavax; NVX-CoV2373), Spikevax (Moderna; mRNA-1273) and Vaxzevria (Oxford-AstraZeneca; AZD1222)—were available as part of the COVID-19 vaccination program in 2022, with an eligible population from 6 months of age upwards. Details of population eligibility, time interval between doses, and access to vaccines and brands evolved over time according to changes in national vaccination policies and vaccine availability, as outlined in Appendix A, Table A.1.</w:t>
      </w:r>
      <w:r w:rsidRPr="00F25CB3">
        <w:rPr>
          <w:rStyle w:val="FootnoteReference"/>
          <w:lang w:val="en-GB"/>
        </w:rPr>
        <w:footnoteReference w:id="2"/>
      </w:r>
    </w:p>
    <w:p w14:paraId="7EB87B6E" w14:textId="77777777" w:rsidR="00F25CB3" w:rsidRPr="00F25CB3" w:rsidRDefault="00F25CB3" w:rsidP="00F25CB3">
      <w:pPr>
        <w:rPr>
          <w:lang w:val="en-GB"/>
        </w:rPr>
      </w:pPr>
      <w:r w:rsidRPr="00F25CB3">
        <w:rPr>
          <w:lang w:val="en-GB"/>
        </w:rPr>
        <w:t xml:space="preserve">As with all vaccines used in Australia, post-marketing surveillance of adverse events following immunisation (AEFI) occurred through a national spontaneous (passive) surveillance system managed by the Therapeutic Goods Administration (TGA). The TGA’s monitoring relied on regularly reviewing and analysing adverse event report data, working with international regulators, and reviewing medical literature, media, and other potential sources of new safety information. The system can rapidly detect, investigate and respond to emerging vaccine safety issues identified, including rare and unexpected AEFI that may not have been detected in pre-registration vaccine trials. </w:t>
      </w:r>
    </w:p>
    <w:p w14:paraId="06642F37" w14:textId="77777777" w:rsidR="00F25CB3" w:rsidRPr="00F25CB3" w:rsidRDefault="00F25CB3" w:rsidP="00F25CB3">
      <w:pPr>
        <w:rPr>
          <w:lang w:val="en-GB"/>
        </w:rPr>
      </w:pPr>
      <w:r w:rsidRPr="00F25CB3">
        <w:rPr>
          <w:lang w:val="en-GB"/>
        </w:rPr>
        <w:t>An AEFI is defined as any untoward medical occurrence that follows immunisation, noting that the event does not necessarily have a causal relationship with the usage of the vaccine.</w:t>
      </w:r>
      <w:r w:rsidRPr="00F25CB3">
        <w:rPr>
          <w:vertAlign w:val="superscript"/>
          <w:lang w:val="en-GB"/>
        </w:rPr>
        <w:t>3</w:t>
      </w:r>
      <w:r w:rsidRPr="00F25CB3">
        <w:rPr>
          <w:lang w:val="en-GB"/>
        </w:rPr>
        <w:t xml:space="preserve"> The AEFI may be an unfavourable or unintended sign, abnormal laboratory finding, symptom, or disease. AEFI can be caused by the vaccine(s) or can be a coincidental event, and can be classified into the following categories: </w:t>
      </w:r>
    </w:p>
    <w:p w14:paraId="4C73F505" w14:textId="77777777" w:rsidR="00F25CB3" w:rsidRPr="00F25CB3" w:rsidRDefault="00F25CB3" w:rsidP="00F25CB3">
      <w:pPr>
        <w:pStyle w:val="CDINumberedList1L1"/>
        <w:rPr>
          <w:lang w:val="en-GB"/>
        </w:rPr>
      </w:pPr>
      <w:r w:rsidRPr="00F25CB3">
        <w:rPr>
          <w:lang w:val="en-GB"/>
        </w:rPr>
        <w:t xml:space="preserve">vaccine product-related </w:t>
      </w:r>
      <w:proofErr w:type="gramStart"/>
      <w:r w:rsidRPr="00F25CB3">
        <w:rPr>
          <w:lang w:val="en-GB"/>
        </w:rPr>
        <w:t>reaction;</w:t>
      </w:r>
      <w:proofErr w:type="gramEnd"/>
      <w:r w:rsidRPr="00F25CB3">
        <w:rPr>
          <w:lang w:val="en-GB"/>
        </w:rPr>
        <w:t xml:space="preserve"> </w:t>
      </w:r>
    </w:p>
    <w:p w14:paraId="178BA8D2" w14:textId="77777777" w:rsidR="00F25CB3" w:rsidRPr="00F25CB3" w:rsidRDefault="00F25CB3" w:rsidP="00F25CB3">
      <w:pPr>
        <w:pStyle w:val="CDINumberedList1-L1lessspace"/>
        <w:rPr>
          <w:lang w:val="en-GB"/>
        </w:rPr>
      </w:pPr>
      <w:r w:rsidRPr="00F25CB3">
        <w:rPr>
          <w:lang w:val="en-GB"/>
        </w:rPr>
        <w:t xml:space="preserve">vaccine quality defect-related </w:t>
      </w:r>
      <w:proofErr w:type="gramStart"/>
      <w:r w:rsidRPr="00F25CB3">
        <w:rPr>
          <w:lang w:val="en-GB"/>
        </w:rPr>
        <w:t>reaction;</w:t>
      </w:r>
      <w:proofErr w:type="gramEnd"/>
      <w:r w:rsidRPr="00F25CB3">
        <w:rPr>
          <w:lang w:val="en-GB"/>
        </w:rPr>
        <w:t xml:space="preserve"> </w:t>
      </w:r>
    </w:p>
    <w:p w14:paraId="63D83842" w14:textId="77777777" w:rsidR="00F25CB3" w:rsidRPr="00F25CB3" w:rsidRDefault="00F25CB3" w:rsidP="00F25CB3">
      <w:pPr>
        <w:pStyle w:val="CDINumberedList1-L1lessspace"/>
        <w:rPr>
          <w:lang w:val="en-GB"/>
        </w:rPr>
      </w:pPr>
      <w:r w:rsidRPr="00F25CB3">
        <w:rPr>
          <w:lang w:val="en-GB"/>
        </w:rPr>
        <w:t xml:space="preserve">immunisation error-related </w:t>
      </w:r>
      <w:proofErr w:type="gramStart"/>
      <w:r w:rsidRPr="00F25CB3">
        <w:rPr>
          <w:lang w:val="en-GB"/>
        </w:rPr>
        <w:t>reaction;</w:t>
      </w:r>
      <w:proofErr w:type="gramEnd"/>
      <w:r w:rsidRPr="00F25CB3">
        <w:rPr>
          <w:lang w:val="en-GB"/>
        </w:rPr>
        <w:t xml:space="preserve"> </w:t>
      </w:r>
    </w:p>
    <w:p w14:paraId="78F3301D" w14:textId="77777777" w:rsidR="00F25CB3" w:rsidRPr="00F25CB3" w:rsidRDefault="00F25CB3" w:rsidP="00F25CB3">
      <w:pPr>
        <w:pStyle w:val="CDINumberedList1-L1lessspace"/>
        <w:rPr>
          <w:lang w:val="en-GB"/>
        </w:rPr>
      </w:pPr>
      <w:r w:rsidRPr="00F25CB3">
        <w:rPr>
          <w:lang w:val="en-GB"/>
        </w:rPr>
        <w:t xml:space="preserve">immunisation anxiety-related reaction (also known as immunisation stress-related response); and </w:t>
      </w:r>
    </w:p>
    <w:p w14:paraId="2489B735" w14:textId="77777777" w:rsidR="00F25CB3" w:rsidRPr="00F25CB3" w:rsidRDefault="00F25CB3" w:rsidP="00F25CB3">
      <w:pPr>
        <w:pStyle w:val="CDINumberedList1-L1lessspace"/>
        <w:rPr>
          <w:lang w:val="en-GB"/>
        </w:rPr>
      </w:pPr>
      <w:r w:rsidRPr="00F25CB3">
        <w:rPr>
          <w:lang w:val="en-GB"/>
        </w:rPr>
        <w:t xml:space="preserve">coincidental event. </w:t>
      </w:r>
    </w:p>
    <w:p w14:paraId="52462AAB" w14:textId="77777777" w:rsidR="00F25CB3" w:rsidRPr="00F25CB3" w:rsidRDefault="00F25CB3" w:rsidP="00F25CB3">
      <w:pPr>
        <w:rPr>
          <w:lang w:val="en-GB"/>
        </w:rPr>
      </w:pPr>
      <w:r w:rsidRPr="00F25CB3">
        <w:rPr>
          <w:lang w:val="en-GB"/>
        </w:rPr>
        <w:t>Anyone can report AEFI to the TGA; the main categories of reporters are state and territory health departments, health professionals, vaccine companies, and consumers (members of the public).</w:t>
      </w:r>
      <w:r w:rsidRPr="00F25CB3">
        <w:rPr>
          <w:vertAlign w:val="superscript"/>
          <w:lang w:val="en-GB"/>
        </w:rPr>
        <w:t>4</w:t>
      </w:r>
      <w:r w:rsidRPr="00F25CB3">
        <w:rPr>
          <w:lang w:val="en-GB"/>
        </w:rPr>
        <w:t xml:space="preserve"> All reported AEFI are entered into the Australian Adverse Event Management System (AEMS) database. Where the initial report contains insufficient information, the TGA may contact the reporter or relevant state or territory health department to elicit further information. The TGA continually analyses AEFI data to detect new potential safety issues, or changes to known safety issues, that may require regulatory or other action. </w:t>
      </w:r>
    </w:p>
    <w:p w14:paraId="0DBD7335" w14:textId="4339C16D" w:rsidR="00AC46DC" w:rsidRPr="00AC46DC" w:rsidRDefault="00F25CB3" w:rsidP="00AC46DC">
      <w:r w:rsidRPr="00F25CB3">
        <w:rPr>
          <w:lang w:val="en-GB"/>
        </w:rPr>
        <w:lastRenderedPageBreak/>
        <w:t xml:space="preserve">This report summarises national spontaneous surveillance data for COVID-19 vaccine AEFI reported to the TGA in 2022. AEFI reports following non-COVID-19 vaccines in 2022 are analysed and presented in a separate companion report. </w:t>
      </w:r>
    </w:p>
    <w:p w14:paraId="37F96FB4" w14:textId="77777777" w:rsidR="00A24E95" w:rsidRDefault="00B73144" w:rsidP="00B73144">
      <w:pPr>
        <w:pStyle w:val="Heading1"/>
        <w:rPr>
          <w:lang w:val="en-GB"/>
        </w:rPr>
      </w:pPr>
      <w:bookmarkStart w:id="20" w:name="_Toc195530502"/>
      <w:bookmarkStart w:id="21" w:name="_Toc215578705"/>
      <w:r>
        <w:rPr>
          <w:lang w:val="en-GB"/>
        </w:rPr>
        <w:lastRenderedPageBreak/>
        <w:t>Methods</w:t>
      </w:r>
      <w:bookmarkEnd w:id="20"/>
      <w:bookmarkEnd w:id="21"/>
    </w:p>
    <w:p w14:paraId="5F08B7E6" w14:textId="18A2A9BB" w:rsidR="00F25CB3" w:rsidRPr="00F25CB3" w:rsidRDefault="00F25CB3" w:rsidP="00F25CB3">
      <w:pPr>
        <w:pStyle w:val="Heading2-lessspacebefore"/>
        <w:rPr>
          <w:lang w:val="en-GB"/>
        </w:rPr>
      </w:pPr>
      <w:bookmarkStart w:id="22" w:name="_Toc215578706"/>
      <w:r w:rsidRPr="00F25CB3">
        <w:rPr>
          <w:lang w:val="en-GB"/>
        </w:rPr>
        <w:t>AEFI data</w:t>
      </w:r>
      <w:bookmarkEnd w:id="22"/>
    </w:p>
    <w:p w14:paraId="6C83E4AB" w14:textId="77777777" w:rsidR="00F25CB3" w:rsidRPr="00F25CB3" w:rsidRDefault="00F25CB3" w:rsidP="00F25CB3">
      <w:pPr>
        <w:rPr>
          <w:lang w:val="en-GB"/>
        </w:rPr>
      </w:pPr>
      <w:r w:rsidRPr="00F25CB3">
        <w:rPr>
          <w:lang w:val="en-GB"/>
        </w:rPr>
        <w:t>De-identified data on all AEFI for vaccines administered up to 28 February 2023, reported to the TGA and stored in the AEMS database, were extracted and provided to the National Centre for Immunisation Research and Surveillance (NCIRS) on 12 October 2023. Please refer to previous reports for a detailed description of the surveillance system.</w:t>
      </w:r>
      <w:r w:rsidRPr="00F25CB3">
        <w:rPr>
          <w:vertAlign w:val="superscript"/>
          <w:lang w:val="en-GB"/>
        </w:rPr>
        <w:t>5,6</w:t>
      </w:r>
      <w:r w:rsidRPr="00F25CB3">
        <w:rPr>
          <w:lang w:val="en-GB"/>
        </w:rPr>
        <w:t xml:space="preserve"> </w:t>
      </w:r>
    </w:p>
    <w:p w14:paraId="1AE871EE" w14:textId="77777777" w:rsidR="00F25CB3" w:rsidRPr="00F25CB3" w:rsidRDefault="00F25CB3" w:rsidP="00F25CB3">
      <w:pPr>
        <w:pStyle w:val="Heading3"/>
        <w:rPr>
          <w:lang w:val="en-GB"/>
        </w:rPr>
      </w:pPr>
      <w:r w:rsidRPr="00F25CB3">
        <w:rPr>
          <w:lang w:val="en-GB"/>
        </w:rPr>
        <w:t>AEFI report data management</w:t>
      </w:r>
    </w:p>
    <w:p w14:paraId="62676A09" w14:textId="77777777" w:rsidR="00F25CB3" w:rsidRPr="00F25CB3" w:rsidRDefault="00F25CB3" w:rsidP="00F25CB3">
      <w:pPr>
        <w:rPr>
          <w:lang w:val="en-GB"/>
        </w:rPr>
      </w:pPr>
      <w:r w:rsidRPr="00F25CB3">
        <w:rPr>
          <w:lang w:val="en-GB"/>
        </w:rPr>
        <w:t>Only accepted AEFI reports were included in this analysis, meaning that the report must contain sufficient information pertaining to four key elements: a reporter; a patient; one or more suspected vaccines; and one or more reaction terms.</w:t>
      </w:r>
      <w:r w:rsidRPr="00F25CB3">
        <w:rPr>
          <w:vertAlign w:val="superscript"/>
          <w:lang w:val="en-GB"/>
        </w:rPr>
        <w:t>7</w:t>
      </w:r>
      <w:r w:rsidRPr="00F25CB3">
        <w:rPr>
          <w:lang w:val="en-GB"/>
        </w:rPr>
        <w:t xml:space="preserve"> Reports accepted by the TGA are assigned a default decision type of ‘causality possible’ due to the event being reported to occur after the vaccine was given.</w:t>
      </w:r>
    </w:p>
    <w:p w14:paraId="345BCC6A" w14:textId="77777777" w:rsidR="00F25CB3" w:rsidRPr="00F25CB3" w:rsidRDefault="00F25CB3" w:rsidP="00F25CB3">
      <w:pPr>
        <w:rPr>
          <w:lang w:val="en-GB"/>
        </w:rPr>
      </w:pPr>
      <w:r w:rsidRPr="00F25CB3">
        <w:rPr>
          <w:lang w:val="en-GB"/>
        </w:rPr>
        <w:t>AEFI reports were defined by unique identifiers assigned by the TGA. In this analysis, each AEFI report was assigned a date based on:</w:t>
      </w:r>
    </w:p>
    <w:p w14:paraId="40BDBCA0" w14:textId="77777777" w:rsidR="00F25CB3" w:rsidRPr="00F25CB3" w:rsidRDefault="00F25CB3" w:rsidP="00F25CB3">
      <w:pPr>
        <w:pStyle w:val="CDINumberedList1L1"/>
        <w:numPr>
          <w:ilvl w:val="0"/>
          <w:numId w:val="10"/>
        </w:numPr>
        <w:ind w:left="397" w:hanging="397"/>
        <w:rPr>
          <w:lang w:val="en-GB"/>
        </w:rPr>
      </w:pPr>
      <w:r w:rsidRPr="00F25CB3">
        <w:rPr>
          <w:lang w:val="en-GB"/>
        </w:rPr>
        <w:t xml:space="preserve">the earliest COVID-19 vaccination date associated with the report; or, where a vaccination date was missing: </w:t>
      </w:r>
    </w:p>
    <w:p w14:paraId="49FA0FDB" w14:textId="77777777" w:rsidR="00F25CB3" w:rsidRPr="00F25CB3" w:rsidRDefault="00F25CB3" w:rsidP="00F25CB3">
      <w:pPr>
        <w:pStyle w:val="CDINumberedList1L1"/>
        <w:ind w:left="397" w:hanging="397"/>
        <w:rPr>
          <w:lang w:val="en-GB"/>
        </w:rPr>
      </w:pPr>
      <w:r w:rsidRPr="00F25CB3">
        <w:rPr>
          <w:lang w:val="en-GB"/>
        </w:rPr>
        <w:t xml:space="preserve">the earliest symptom onset date was used; or, where dates for both vaccination and symptom onset were missing: </w:t>
      </w:r>
    </w:p>
    <w:p w14:paraId="193F1436" w14:textId="77777777" w:rsidR="00F25CB3" w:rsidRPr="00F25CB3" w:rsidRDefault="00F25CB3" w:rsidP="00F25CB3">
      <w:pPr>
        <w:pStyle w:val="CDINumberedList1L1"/>
        <w:ind w:left="397" w:hanging="397"/>
        <w:rPr>
          <w:lang w:val="en-GB"/>
        </w:rPr>
      </w:pPr>
      <w:proofErr w:type="spellStart"/>
      <w:r w:rsidRPr="00F25CB3">
        <w:rPr>
          <w:lang w:val="en-GB"/>
        </w:rPr>
        <w:t>the</w:t>
      </w:r>
      <w:proofErr w:type="spellEnd"/>
      <w:r w:rsidRPr="00F25CB3">
        <w:rPr>
          <w:lang w:val="en-GB"/>
        </w:rPr>
        <w:t xml:space="preserve"> received date (the date when the reporter of the case first received the minimum valid information as described above from the primary source). </w:t>
      </w:r>
    </w:p>
    <w:p w14:paraId="23F71251" w14:textId="77777777" w:rsidR="00F25CB3" w:rsidRPr="00F25CB3" w:rsidRDefault="00F25CB3" w:rsidP="00F25CB3">
      <w:pPr>
        <w:rPr>
          <w:lang w:val="en-GB"/>
        </w:rPr>
      </w:pPr>
      <w:r w:rsidRPr="00F25CB3">
        <w:rPr>
          <w:lang w:val="en-GB"/>
        </w:rPr>
        <w:t>Reports with a 2022 date of vaccination, symptom onset or received date, based on the hierarchy above, were included in the 2022-specific sections of this analysis.</w:t>
      </w:r>
    </w:p>
    <w:p w14:paraId="588677D4" w14:textId="77777777" w:rsidR="00F25CB3" w:rsidRPr="00F25CB3" w:rsidRDefault="00F25CB3" w:rsidP="00F25CB3">
      <w:pPr>
        <w:rPr>
          <w:lang w:val="en-GB"/>
        </w:rPr>
      </w:pPr>
      <w:r w:rsidRPr="00F25CB3">
        <w:rPr>
          <w:lang w:val="en-GB"/>
        </w:rPr>
        <w:t>Where the date of birth was available, it was used to calculate age at time of COVID-19 vaccination, symptom onset, or received date; where date of birth was missing, the age at symptom onset provided to the TGA by the reporter was used. Reports were grouped by age (&lt; 5; 5–11; 12–15; 16–59; and ≥ 60 years) according to broad policy recommendations for vaccination.</w:t>
      </w:r>
    </w:p>
    <w:p w14:paraId="39AFE804" w14:textId="77777777" w:rsidR="00F25CB3" w:rsidRPr="00F25CB3" w:rsidRDefault="00F25CB3" w:rsidP="00F25CB3">
      <w:pPr>
        <w:pStyle w:val="Heading3"/>
        <w:rPr>
          <w:lang w:val="en-GB"/>
        </w:rPr>
      </w:pPr>
      <w:r w:rsidRPr="00F25CB3">
        <w:rPr>
          <w:lang w:val="en-GB"/>
        </w:rPr>
        <w:t>Vaccine data</w:t>
      </w:r>
    </w:p>
    <w:p w14:paraId="2C64BFCA" w14:textId="77777777" w:rsidR="00F25CB3" w:rsidRPr="00F25CB3" w:rsidRDefault="00F25CB3" w:rsidP="00F25CB3">
      <w:pPr>
        <w:rPr>
          <w:lang w:val="en-GB"/>
        </w:rPr>
      </w:pPr>
      <w:r w:rsidRPr="00F25CB3">
        <w:rPr>
          <w:lang w:val="en-GB"/>
        </w:rPr>
        <w:t xml:space="preserve">Vaccines were identified by trade name (standardised term in the TGA reference dataset); where the trade name was not specified, the generic name (active ingredients associated with a trade name) and reported product name (product name used by the reporter) were used. Formulations of vaccines were grouped by brand, meaning that, for example, the paediatric and bivalent Original/Omicron BA.1 formulations of the Comirnaty vaccine were included in the data for all Comirnaty vaccines. All AEFI reports that included COVID-19 vaccines with a role in relation to the reported adverse event of ‘suspect’ were included in analysis, including reports with both non-COVID-19 and COVID-19 vaccines. More than one vaccine with a ‘suspect’ role can be included in a report, without implying that all vaccines were necessarily co-administered on the same occasion. </w:t>
      </w:r>
    </w:p>
    <w:p w14:paraId="301E7629" w14:textId="77777777" w:rsidR="00F25CB3" w:rsidRPr="00F25CB3" w:rsidRDefault="00F25CB3" w:rsidP="00F25CB3">
      <w:pPr>
        <w:pStyle w:val="Heading3"/>
        <w:rPr>
          <w:lang w:val="en-GB"/>
        </w:rPr>
      </w:pPr>
      <w:r w:rsidRPr="00F25CB3">
        <w:rPr>
          <w:lang w:val="en-GB"/>
        </w:rPr>
        <w:lastRenderedPageBreak/>
        <w:t>Adverse event data</w:t>
      </w:r>
    </w:p>
    <w:p w14:paraId="1BA7CB34" w14:textId="77777777" w:rsidR="00F25CB3" w:rsidRPr="00F25CB3" w:rsidRDefault="00F25CB3" w:rsidP="00F25CB3">
      <w:pPr>
        <w:rPr>
          <w:lang w:val="en-GB"/>
        </w:rPr>
      </w:pPr>
      <w:r w:rsidRPr="00F25CB3">
        <w:rPr>
          <w:lang w:val="en-GB"/>
        </w:rPr>
        <w:t xml:space="preserve">AEFI reports included reaction terms that were symptoms, signs, and/or diagnoses; these were coded by TGA staff from the reporter’s description into </w:t>
      </w:r>
      <w:proofErr w:type="gramStart"/>
      <w:r w:rsidRPr="00F25CB3">
        <w:rPr>
          <w:lang w:val="en-GB"/>
        </w:rPr>
        <w:t>lower level</w:t>
      </w:r>
      <w:proofErr w:type="gramEnd"/>
      <w:r w:rsidRPr="00F25CB3">
        <w:rPr>
          <w:lang w:val="en-GB"/>
        </w:rPr>
        <w:t xml:space="preserve"> terms (LLT), which were then mapped to associated preferred terms (PT) using the Medical Dictionary for Regulatory Activities (MedDRA</w:t>
      </w:r>
      <w:r w:rsidRPr="00F25CB3">
        <w:rPr>
          <w:vertAlign w:val="superscript"/>
          <w:lang w:val="en-GB"/>
        </w:rPr>
        <w:t>®</w:t>
      </w:r>
      <w:r w:rsidRPr="00F25CB3">
        <w:rPr>
          <w:lang w:val="en-GB"/>
        </w:rPr>
        <w:t>).</w:t>
      </w:r>
      <w:r w:rsidRPr="00F25CB3">
        <w:rPr>
          <w:vertAlign w:val="superscript"/>
          <w:lang w:val="en-GB"/>
        </w:rPr>
        <w:t>8</w:t>
      </w:r>
      <w:r w:rsidRPr="00F25CB3">
        <w:rPr>
          <w:lang w:val="en-GB"/>
        </w:rPr>
        <w:t xml:space="preserve"> </w:t>
      </w:r>
    </w:p>
    <w:p w14:paraId="0F2B483C" w14:textId="77777777" w:rsidR="00F25CB3" w:rsidRPr="00F25CB3" w:rsidRDefault="00F25CB3" w:rsidP="00F25CB3">
      <w:pPr>
        <w:rPr>
          <w:lang w:val="en-GB"/>
        </w:rPr>
      </w:pPr>
      <w:r w:rsidRPr="00F25CB3">
        <w:rPr>
          <w:lang w:val="en-GB"/>
        </w:rPr>
        <w:t>Standardised MedDRA queries (SMQ) are sets of MedDRA terms that have been grouped after extensive testing, analysis, and expert discussion to facilitate pharmacovigilance investigation.</w:t>
      </w:r>
      <w:r w:rsidRPr="00F25CB3">
        <w:rPr>
          <w:vertAlign w:val="superscript"/>
          <w:lang w:val="en-GB"/>
        </w:rPr>
        <w:t>9</w:t>
      </w:r>
      <w:r w:rsidRPr="00F25CB3">
        <w:rPr>
          <w:lang w:val="en-GB"/>
        </w:rPr>
        <w:t xml:space="preserve"> For this analysis, the MedDRA Browser SMQ Analysis tool, running MedDRA version 26.1, was used to group related PT to SMQ to reduce the number of unique PT under analysis while providing meaningful results.</w:t>
      </w:r>
      <w:r w:rsidRPr="00F25CB3">
        <w:rPr>
          <w:vertAlign w:val="superscript"/>
          <w:lang w:val="en-GB"/>
        </w:rPr>
        <w:t>10</w:t>
      </w:r>
      <w:r w:rsidRPr="00F25CB3">
        <w:rPr>
          <w:lang w:val="en-GB"/>
        </w:rPr>
        <w:t xml:space="preserve"> A narrow search was performed to increase the specificity of the PT to SMQ mapping. As individual PT may map to zero, one, or more than one SMQ, the term selected (PT or SMQ) was determined as described in Appendix A, Table A.2. Following the decision process, a one-to-one PT-SMQ mapping was performed to ensure that each PT was counted only once and that there was no overlap in terms between SMQ. </w:t>
      </w:r>
    </w:p>
    <w:p w14:paraId="0A7EDE12" w14:textId="77777777" w:rsidR="00F25CB3" w:rsidRPr="00F25CB3" w:rsidRDefault="00F25CB3" w:rsidP="00192DC3">
      <w:pPr>
        <w:pStyle w:val="Heading3"/>
        <w:rPr>
          <w:lang w:val="en-GB"/>
        </w:rPr>
      </w:pPr>
      <w:r w:rsidRPr="00F25CB3">
        <w:rPr>
          <w:lang w:val="en-GB"/>
        </w:rPr>
        <w:t>Adverse events of special interest data</w:t>
      </w:r>
    </w:p>
    <w:p w14:paraId="401A1BD3" w14:textId="77777777" w:rsidR="00F25CB3" w:rsidRPr="00F25CB3" w:rsidRDefault="00F25CB3" w:rsidP="00F25CB3">
      <w:pPr>
        <w:rPr>
          <w:lang w:val="en-GB"/>
        </w:rPr>
      </w:pPr>
      <w:r w:rsidRPr="00F25CB3">
        <w:rPr>
          <w:lang w:val="en-GB"/>
        </w:rPr>
        <w:t>Adverse events of special interest (AESI), defined as pre-specified, medically important events potentially associated with a vaccine requiring careful monitoring and confirmation by specialised studies, were reviewed using the same methods as those used for the 2021 AEFI surveillance report for COVID-19 vaccines to allow comparability.</w:t>
      </w:r>
      <w:r w:rsidRPr="00F25CB3">
        <w:rPr>
          <w:vertAlign w:val="superscript"/>
          <w:lang w:val="en-GB"/>
        </w:rPr>
        <w:t>6</w:t>
      </w:r>
      <w:r w:rsidRPr="00F25CB3">
        <w:rPr>
          <w:lang w:val="en-GB"/>
        </w:rPr>
        <w:t xml:space="preserve"> The AESI list was sourced from the Brighton Collaboration and Safety Platform for Emergency Vaccines list of COVID-19 AESI, and refined to include only AESI where Brighton Collaboration Companion Guides specifying narrow-search MedDRA LLT and PT codes were available:</w:t>
      </w:r>
      <w:r w:rsidRPr="00F25CB3">
        <w:rPr>
          <w:vertAlign w:val="superscript"/>
          <w:lang w:val="en-GB"/>
        </w:rPr>
        <w:t>11</w:t>
      </w:r>
      <w:r w:rsidRPr="00F25CB3">
        <w:rPr>
          <w:lang w:val="en-GB"/>
        </w:rPr>
        <w:t xml:space="preserve"> </w:t>
      </w:r>
    </w:p>
    <w:p w14:paraId="44AA4BD6" w14:textId="77777777" w:rsidR="00F25CB3" w:rsidRPr="00F25CB3" w:rsidRDefault="00F25CB3" w:rsidP="00192DC3">
      <w:pPr>
        <w:pStyle w:val="CDIBullets"/>
        <w:rPr>
          <w:lang w:val="en-GB"/>
        </w:rPr>
      </w:pPr>
      <w:r w:rsidRPr="00F25CB3">
        <w:rPr>
          <w:lang w:val="en-GB"/>
        </w:rPr>
        <w:t>acute disseminated encephalomyelitis;</w:t>
      </w:r>
      <w:r w:rsidRPr="00F25CB3">
        <w:rPr>
          <w:vertAlign w:val="superscript"/>
          <w:lang w:val="en-GB"/>
        </w:rPr>
        <w:t>12</w:t>
      </w:r>
    </w:p>
    <w:p w14:paraId="542C36F2" w14:textId="77777777" w:rsidR="00F25CB3" w:rsidRPr="00F25CB3" w:rsidRDefault="00F25CB3" w:rsidP="00192DC3">
      <w:pPr>
        <w:pStyle w:val="CDIBullets"/>
        <w:spacing w:before="120"/>
        <w:ind w:left="714" w:hanging="357"/>
        <w:rPr>
          <w:lang w:val="en-GB"/>
        </w:rPr>
      </w:pPr>
      <w:r w:rsidRPr="00F25CB3">
        <w:rPr>
          <w:lang w:val="en-GB"/>
        </w:rPr>
        <w:t>anaphylaxis;</w:t>
      </w:r>
      <w:r w:rsidRPr="00F25CB3">
        <w:rPr>
          <w:vertAlign w:val="superscript"/>
          <w:lang w:val="en-GB"/>
        </w:rPr>
        <w:t>13</w:t>
      </w:r>
    </w:p>
    <w:p w14:paraId="3F44B276" w14:textId="77777777" w:rsidR="00F25CB3" w:rsidRPr="00F25CB3" w:rsidRDefault="00F25CB3" w:rsidP="00192DC3">
      <w:pPr>
        <w:pStyle w:val="CDIBullets"/>
        <w:spacing w:before="120"/>
        <w:ind w:left="714" w:hanging="357"/>
        <w:rPr>
          <w:lang w:val="en-GB"/>
        </w:rPr>
      </w:pPr>
      <w:r w:rsidRPr="00F25CB3">
        <w:rPr>
          <w:lang w:val="en-GB"/>
        </w:rPr>
        <w:t>acute respiratory distress syndrome;</w:t>
      </w:r>
      <w:r w:rsidRPr="00F25CB3">
        <w:rPr>
          <w:vertAlign w:val="superscript"/>
          <w:lang w:val="en-GB"/>
        </w:rPr>
        <w:t>14</w:t>
      </w:r>
    </w:p>
    <w:p w14:paraId="497F3CD2" w14:textId="77777777" w:rsidR="00F25CB3" w:rsidRPr="00F25CB3" w:rsidRDefault="00F25CB3" w:rsidP="00192DC3">
      <w:pPr>
        <w:pStyle w:val="CDIBullets"/>
        <w:spacing w:before="120"/>
        <w:ind w:left="714" w:hanging="357"/>
        <w:rPr>
          <w:lang w:val="en-GB"/>
        </w:rPr>
      </w:pPr>
      <w:r w:rsidRPr="00F25CB3">
        <w:rPr>
          <w:lang w:val="en-GB"/>
        </w:rPr>
        <w:t>aseptic meningitis;</w:t>
      </w:r>
      <w:r w:rsidRPr="00F25CB3">
        <w:rPr>
          <w:vertAlign w:val="superscript"/>
          <w:lang w:val="en-GB"/>
        </w:rPr>
        <w:t>15</w:t>
      </w:r>
    </w:p>
    <w:p w14:paraId="314D29F8" w14:textId="77777777" w:rsidR="00F25CB3" w:rsidRPr="00F25CB3" w:rsidRDefault="00F25CB3" w:rsidP="00192DC3">
      <w:pPr>
        <w:pStyle w:val="CDIBullets"/>
        <w:spacing w:before="120"/>
        <w:ind w:left="714" w:hanging="357"/>
        <w:rPr>
          <w:lang w:val="en-GB"/>
        </w:rPr>
      </w:pPr>
      <w:r w:rsidRPr="00F25CB3">
        <w:rPr>
          <w:lang w:val="en-GB"/>
        </w:rPr>
        <w:t>Bell’s palsy and facial nerve palsy;</w:t>
      </w:r>
      <w:r w:rsidRPr="00F25CB3">
        <w:rPr>
          <w:vertAlign w:val="superscript"/>
          <w:lang w:val="en-GB"/>
        </w:rPr>
        <w:t>16</w:t>
      </w:r>
    </w:p>
    <w:p w14:paraId="784FD539" w14:textId="77777777" w:rsidR="00F25CB3" w:rsidRPr="00F25CB3" w:rsidRDefault="00F25CB3" w:rsidP="00192DC3">
      <w:pPr>
        <w:pStyle w:val="CDIBullets"/>
        <w:spacing w:before="120"/>
        <w:ind w:left="714" w:hanging="357"/>
        <w:rPr>
          <w:lang w:val="en-GB"/>
        </w:rPr>
      </w:pPr>
      <w:r w:rsidRPr="00F25CB3">
        <w:rPr>
          <w:lang w:val="en-GB"/>
        </w:rPr>
        <w:t>encephalitis/encephalomyelitis;</w:t>
      </w:r>
      <w:r w:rsidRPr="00F25CB3">
        <w:rPr>
          <w:vertAlign w:val="superscript"/>
          <w:lang w:val="en-GB"/>
        </w:rPr>
        <w:t>17</w:t>
      </w:r>
    </w:p>
    <w:p w14:paraId="29B3EC83" w14:textId="77777777" w:rsidR="00F25CB3" w:rsidRPr="00F25CB3" w:rsidRDefault="00F25CB3" w:rsidP="00192DC3">
      <w:pPr>
        <w:pStyle w:val="CDIBullets"/>
        <w:spacing w:before="120"/>
        <w:ind w:left="714" w:hanging="357"/>
        <w:rPr>
          <w:lang w:val="en-GB"/>
        </w:rPr>
      </w:pPr>
      <w:r w:rsidRPr="00F25CB3">
        <w:rPr>
          <w:lang w:val="en-GB"/>
        </w:rPr>
        <w:t>generalised convulsion;</w:t>
      </w:r>
      <w:r w:rsidRPr="00F25CB3">
        <w:rPr>
          <w:vertAlign w:val="superscript"/>
          <w:lang w:val="en-GB"/>
        </w:rPr>
        <w:t>18</w:t>
      </w:r>
    </w:p>
    <w:p w14:paraId="76851A5B" w14:textId="77777777" w:rsidR="00F25CB3" w:rsidRPr="00F25CB3" w:rsidRDefault="00F25CB3" w:rsidP="00192DC3">
      <w:pPr>
        <w:pStyle w:val="CDIBullets"/>
        <w:spacing w:before="120"/>
        <w:ind w:left="714" w:hanging="357"/>
        <w:rPr>
          <w:lang w:val="en-GB"/>
        </w:rPr>
      </w:pPr>
      <w:r w:rsidRPr="00F25CB3">
        <w:rPr>
          <w:lang w:val="en-GB"/>
        </w:rPr>
        <w:t>Guillain-Barré syndrome;</w:t>
      </w:r>
      <w:r w:rsidRPr="00F25CB3">
        <w:rPr>
          <w:vertAlign w:val="superscript"/>
          <w:lang w:val="en-GB"/>
        </w:rPr>
        <w:t>19</w:t>
      </w:r>
    </w:p>
    <w:p w14:paraId="6B50FACF" w14:textId="77777777" w:rsidR="00F25CB3" w:rsidRPr="00F25CB3" w:rsidRDefault="00F25CB3" w:rsidP="00192DC3">
      <w:pPr>
        <w:pStyle w:val="CDIBullets"/>
        <w:spacing w:before="120"/>
        <w:ind w:left="714" w:hanging="357"/>
        <w:rPr>
          <w:lang w:val="en-GB"/>
        </w:rPr>
      </w:pPr>
      <w:r w:rsidRPr="00F25CB3">
        <w:rPr>
          <w:lang w:val="en-GB"/>
        </w:rPr>
        <w:t>multisystem inflammatory syndrome in children/adults;</w:t>
      </w:r>
      <w:r w:rsidRPr="00F25CB3">
        <w:rPr>
          <w:vertAlign w:val="superscript"/>
          <w:lang w:val="en-GB"/>
        </w:rPr>
        <w:t>20</w:t>
      </w:r>
    </w:p>
    <w:p w14:paraId="1CB2CAD1" w14:textId="77777777" w:rsidR="00F25CB3" w:rsidRPr="00F25CB3" w:rsidRDefault="00F25CB3" w:rsidP="00192DC3">
      <w:pPr>
        <w:pStyle w:val="CDIBullets"/>
        <w:spacing w:before="120"/>
        <w:ind w:left="714" w:hanging="357"/>
        <w:rPr>
          <w:lang w:val="en-GB"/>
        </w:rPr>
      </w:pPr>
      <w:r w:rsidRPr="00F25CB3">
        <w:rPr>
          <w:lang w:val="en-GB"/>
        </w:rPr>
        <w:t>myocarditis and/or pericarditis;</w:t>
      </w:r>
      <w:r w:rsidRPr="00F25CB3">
        <w:rPr>
          <w:vertAlign w:val="superscript"/>
          <w:lang w:val="en-GB"/>
        </w:rPr>
        <w:t>21</w:t>
      </w:r>
    </w:p>
    <w:p w14:paraId="121B71E5" w14:textId="77777777" w:rsidR="00F25CB3" w:rsidRPr="00F25CB3" w:rsidRDefault="00F25CB3" w:rsidP="00192DC3">
      <w:pPr>
        <w:pStyle w:val="CDIBullets"/>
        <w:spacing w:before="120"/>
        <w:ind w:left="714" w:hanging="357"/>
        <w:rPr>
          <w:lang w:val="en-GB"/>
        </w:rPr>
      </w:pPr>
      <w:r w:rsidRPr="00F25CB3">
        <w:rPr>
          <w:lang w:val="en-GB"/>
        </w:rPr>
        <w:t>thrombocytopenia;</w:t>
      </w:r>
      <w:r w:rsidRPr="00F25CB3">
        <w:rPr>
          <w:vertAlign w:val="superscript"/>
          <w:lang w:val="en-GB"/>
        </w:rPr>
        <w:t>22</w:t>
      </w:r>
      <w:r w:rsidRPr="00F25CB3">
        <w:rPr>
          <w:lang w:val="en-GB"/>
        </w:rPr>
        <w:t xml:space="preserve"> and</w:t>
      </w:r>
    </w:p>
    <w:p w14:paraId="41ED19FC" w14:textId="77777777" w:rsidR="00F25CB3" w:rsidRPr="00F25CB3" w:rsidRDefault="00F25CB3" w:rsidP="00192DC3">
      <w:pPr>
        <w:pStyle w:val="CDIBullets"/>
        <w:spacing w:before="120"/>
        <w:ind w:left="714" w:hanging="357"/>
        <w:rPr>
          <w:lang w:val="en-GB"/>
        </w:rPr>
      </w:pPr>
      <w:r w:rsidRPr="00F25CB3">
        <w:rPr>
          <w:lang w:val="en-GB"/>
        </w:rPr>
        <w:t>thrombosis and thromboembolism.</w:t>
      </w:r>
      <w:r w:rsidRPr="00F25CB3">
        <w:rPr>
          <w:vertAlign w:val="superscript"/>
          <w:lang w:val="en-GB"/>
        </w:rPr>
        <w:t>23</w:t>
      </w:r>
    </w:p>
    <w:p w14:paraId="400AB070" w14:textId="77777777" w:rsidR="00F25CB3" w:rsidRPr="00F25CB3" w:rsidRDefault="00F25CB3" w:rsidP="00F25CB3">
      <w:pPr>
        <w:rPr>
          <w:lang w:val="en-GB"/>
        </w:rPr>
      </w:pPr>
      <w:r w:rsidRPr="00F25CB3">
        <w:rPr>
          <w:lang w:val="en-GB"/>
        </w:rPr>
        <w:t>Thrombosis and thromboembolism is an AESI term that covers a range of adverse events, as specified by its Brighton Collaboration Companion Guide listing the MedDRA LLT/PT that fall within this grouping (further details in Appendix A, Table A.4).</w:t>
      </w:r>
      <w:r w:rsidRPr="00F25CB3">
        <w:rPr>
          <w:vertAlign w:val="superscript"/>
          <w:lang w:val="en-GB"/>
        </w:rPr>
        <w:t>23</w:t>
      </w:r>
      <w:r w:rsidRPr="00F25CB3">
        <w:rPr>
          <w:lang w:val="en-GB"/>
        </w:rPr>
        <w:t xml:space="preserve"> This AESI term does not specifically include the PT ‘thrombosis with thrombocytopenia syndrome’ (TTS), but includes a range of thrombotic events that may occur in association with TTS.</w:t>
      </w:r>
    </w:p>
    <w:p w14:paraId="751F94FF" w14:textId="77777777" w:rsidR="00F25CB3" w:rsidRPr="00F25CB3" w:rsidRDefault="00F25CB3" w:rsidP="00F25CB3">
      <w:pPr>
        <w:rPr>
          <w:lang w:val="en-GB"/>
        </w:rPr>
      </w:pPr>
      <w:r w:rsidRPr="00F25CB3">
        <w:rPr>
          <w:lang w:val="en-GB"/>
        </w:rPr>
        <w:lastRenderedPageBreak/>
        <w:t>The AESI ‘acute respiratory distress syndrome’ (ARDS) and ‘multisystem inflammatory syndrome in children/adults’ (MIS-C/A) were new additions in 2022, meeting the inclusion criteria as outlined above after their Brighton Collaboration Companion Guides became available.</w:t>
      </w:r>
      <w:r w:rsidRPr="00F25CB3">
        <w:rPr>
          <w:vertAlign w:val="superscript"/>
          <w:lang w:val="en-GB"/>
        </w:rPr>
        <w:t>14,20</w:t>
      </w:r>
    </w:p>
    <w:p w14:paraId="57A3F272" w14:textId="77777777" w:rsidR="00F25CB3" w:rsidRPr="00F25CB3" w:rsidRDefault="00F25CB3" w:rsidP="00F25CB3">
      <w:pPr>
        <w:rPr>
          <w:lang w:val="en-GB"/>
        </w:rPr>
      </w:pPr>
      <w:r w:rsidRPr="00F25CB3">
        <w:rPr>
          <w:lang w:val="en-GB"/>
        </w:rPr>
        <w:t xml:space="preserve">The narrow-search MedDRA LLT codes from the Brighton Collaboration Companion Guide were mapped to the corresponding PT, generating a PT search list for each AESI. AEMS AEFI reports containing a PT found in a particular search list were classified as having reported the corresponding AESI. </w:t>
      </w:r>
    </w:p>
    <w:p w14:paraId="4798EA56" w14:textId="77777777" w:rsidR="00F25CB3" w:rsidRPr="00F25CB3" w:rsidRDefault="00F25CB3" w:rsidP="00F25CB3">
      <w:pPr>
        <w:rPr>
          <w:lang w:val="en-GB"/>
        </w:rPr>
      </w:pPr>
      <w:r w:rsidRPr="00F25CB3">
        <w:rPr>
          <w:lang w:val="en-GB"/>
        </w:rPr>
        <w:t>Relevant additional information from TGA investigations into specific AESI was also included in this report, including information on the TTS cases assessed for classification by the TGA.</w:t>
      </w:r>
    </w:p>
    <w:p w14:paraId="5062C6CC" w14:textId="77777777" w:rsidR="00F25CB3" w:rsidRPr="00F25CB3" w:rsidRDefault="00F25CB3" w:rsidP="00192DC3">
      <w:pPr>
        <w:pStyle w:val="Heading2"/>
        <w:rPr>
          <w:lang w:val="en-GB"/>
        </w:rPr>
      </w:pPr>
      <w:bookmarkStart w:id="23" w:name="_Toc215578707"/>
      <w:r w:rsidRPr="00F25CB3">
        <w:rPr>
          <w:lang w:val="en-GB"/>
        </w:rPr>
        <w:t>Serious and non-serious AEFI</w:t>
      </w:r>
      <w:bookmarkEnd w:id="23"/>
    </w:p>
    <w:p w14:paraId="78716CFA" w14:textId="77777777" w:rsidR="00F25CB3" w:rsidRPr="00F25CB3" w:rsidRDefault="00F25CB3" w:rsidP="00F25CB3">
      <w:pPr>
        <w:rPr>
          <w:lang w:val="en-GB"/>
        </w:rPr>
      </w:pPr>
      <w:r w:rsidRPr="00F25CB3">
        <w:rPr>
          <w:lang w:val="en-GB"/>
        </w:rPr>
        <w:t>AEFI reports were coded as ‘</w:t>
      </w:r>
      <w:proofErr w:type="spellStart"/>
      <w:r w:rsidRPr="00F25CB3">
        <w:rPr>
          <w:lang w:val="en-GB"/>
        </w:rPr>
        <w:t>serious’</w:t>
      </w:r>
      <w:proofErr w:type="spellEnd"/>
      <w:r w:rsidRPr="00F25CB3">
        <w:rPr>
          <w:lang w:val="en-GB"/>
        </w:rPr>
        <w:t xml:space="preserve"> or ‘non-</w:t>
      </w:r>
      <w:proofErr w:type="spellStart"/>
      <w:r w:rsidRPr="00F25CB3">
        <w:rPr>
          <w:lang w:val="en-GB"/>
        </w:rPr>
        <w:t>serious’</w:t>
      </w:r>
      <w:proofErr w:type="spellEnd"/>
      <w:r w:rsidRPr="00F25CB3">
        <w:rPr>
          <w:lang w:val="en-GB"/>
        </w:rPr>
        <w:t xml:space="preserve"> based on criteria used by the World Health Organization (WHO), where an adverse event report is defined as ‘</w:t>
      </w:r>
      <w:proofErr w:type="spellStart"/>
      <w:r w:rsidRPr="00F25CB3">
        <w:rPr>
          <w:lang w:val="en-GB"/>
        </w:rPr>
        <w:t>serious’</w:t>
      </w:r>
      <w:proofErr w:type="spellEnd"/>
      <w:r w:rsidRPr="00F25CB3">
        <w:rPr>
          <w:lang w:val="en-GB"/>
        </w:rPr>
        <w:t xml:space="preserve"> if it involves one or more of the following outcomes: </w:t>
      </w:r>
    </w:p>
    <w:p w14:paraId="326EB01A" w14:textId="77777777" w:rsidR="00F25CB3" w:rsidRPr="00F25CB3" w:rsidRDefault="00F25CB3" w:rsidP="00192DC3">
      <w:pPr>
        <w:pStyle w:val="CDIBullets"/>
        <w:rPr>
          <w:lang w:val="en-GB"/>
        </w:rPr>
      </w:pPr>
      <w:r w:rsidRPr="00F25CB3">
        <w:rPr>
          <w:lang w:val="en-GB"/>
        </w:rPr>
        <w:t>fatal or life-threatening condition(s</w:t>
      </w:r>
      <w:proofErr w:type="gramStart"/>
      <w:r w:rsidRPr="00F25CB3">
        <w:rPr>
          <w:lang w:val="en-GB"/>
        </w:rPr>
        <w:t>);</w:t>
      </w:r>
      <w:proofErr w:type="gramEnd"/>
    </w:p>
    <w:p w14:paraId="5B66A3E5" w14:textId="77777777" w:rsidR="00F25CB3" w:rsidRPr="00F25CB3" w:rsidRDefault="00F25CB3" w:rsidP="00192DC3">
      <w:pPr>
        <w:pStyle w:val="CDIBullets"/>
        <w:spacing w:before="120"/>
        <w:rPr>
          <w:lang w:val="en-GB"/>
        </w:rPr>
      </w:pPr>
      <w:r w:rsidRPr="00F25CB3">
        <w:rPr>
          <w:lang w:val="en-GB"/>
        </w:rPr>
        <w:t xml:space="preserve">new or prolonged </w:t>
      </w:r>
      <w:proofErr w:type="gramStart"/>
      <w:r w:rsidRPr="00F25CB3">
        <w:rPr>
          <w:lang w:val="en-GB"/>
        </w:rPr>
        <w:t>hospitalisation;</w:t>
      </w:r>
      <w:proofErr w:type="gramEnd"/>
    </w:p>
    <w:p w14:paraId="0BAA68DA" w14:textId="77777777" w:rsidR="00F25CB3" w:rsidRPr="00F25CB3" w:rsidRDefault="00F25CB3" w:rsidP="00192DC3">
      <w:pPr>
        <w:pStyle w:val="CDIBullets"/>
        <w:spacing w:before="120"/>
        <w:rPr>
          <w:lang w:val="en-GB"/>
        </w:rPr>
      </w:pPr>
      <w:r w:rsidRPr="00F25CB3">
        <w:rPr>
          <w:lang w:val="en-GB"/>
        </w:rPr>
        <w:t xml:space="preserve">persistent or significant </w:t>
      </w:r>
      <w:proofErr w:type="gramStart"/>
      <w:r w:rsidRPr="00F25CB3">
        <w:rPr>
          <w:lang w:val="en-GB"/>
        </w:rPr>
        <w:t>disability;</w:t>
      </w:r>
      <w:proofErr w:type="gramEnd"/>
      <w:r w:rsidRPr="00F25CB3">
        <w:rPr>
          <w:lang w:val="en-GB"/>
        </w:rPr>
        <w:t xml:space="preserve"> </w:t>
      </w:r>
    </w:p>
    <w:p w14:paraId="238532D0" w14:textId="77777777" w:rsidR="00F25CB3" w:rsidRPr="00F25CB3" w:rsidRDefault="00F25CB3" w:rsidP="00192DC3">
      <w:pPr>
        <w:pStyle w:val="CDIBullets"/>
        <w:spacing w:before="120"/>
        <w:rPr>
          <w:lang w:val="en-GB"/>
        </w:rPr>
      </w:pPr>
      <w:r w:rsidRPr="00F25CB3">
        <w:rPr>
          <w:lang w:val="en-GB"/>
        </w:rPr>
        <w:t xml:space="preserve">congenital anomaly or birth defect; or </w:t>
      </w:r>
    </w:p>
    <w:p w14:paraId="47FB1135" w14:textId="77777777" w:rsidR="00F25CB3" w:rsidRPr="00F25CB3" w:rsidRDefault="00F25CB3" w:rsidP="00192DC3">
      <w:pPr>
        <w:pStyle w:val="CDIBullets"/>
        <w:spacing w:before="120"/>
        <w:rPr>
          <w:lang w:val="en-GB"/>
        </w:rPr>
      </w:pPr>
      <w:r w:rsidRPr="00F25CB3">
        <w:rPr>
          <w:lang w:val="en-GB"/>
        </w:rPr>
        <w:t>any medical event that requires an intervention to prevent the above outcomes.</w:t>
      </w:r>
      <w:r w:rsidRPr="00F25CB3">
        <w:rPr>
          <w:vertAlign w:val="superscript"/>
          <w:lang w:val="en-GB"/>
        </w:rPr>
        <w:t>24</w:t>
      </w:r>
    </w:p>
    <w:p w14:paraId="05CFE836" w14:textId="77777777" w:rsidR="00F25CB3" w:rsidRPr="00F25CB3" w:rsidRDefault="00F25CB3" w:rsidP="00F25CB3">
      <w:pPr>
        <w:rPr>
          <w:lang w:val="en-GB"/>
        </w:rPr>
      </w:pPr>
      <w:r w:rsidRPr="00F25CB3">
        <w:rPr>
          <w:lang w:val="en-GB"/>
        </w:rPr>
        <w:t>For AEFI reports submitted by sponsors (vaccine companies), the seriousness classification was applied by sponsors to ensure they meet legislated requirements. For other AEFI reports submitted to the TGA, the seriousness classification either reflected the view of the reporter or may have been applied by the TGA following review.</w:t>
      </w:r>
    </w:p>
    <w:p w14:paraId="140C1DD0" w14:textId="77777777" w:rsidR="00F25CB3" w:rsidRPr="00F25CB3" w:rsidRDefault="00F25CB3" w:rsidP="00F25CB3">
      <w:pPr>
        <w:rPr>
          <w:lang w:val="en-GB"/>
        </w:rPr>
      </w:pPr>
      <w:r w:rsidRPr="00F25CB3">
        <w:rPr>
          <w:lang w:val="en-GB"/>
        </w:rPr>
        <w:t>All AEFI reports where a fatal outcome is reported, or the individual was admitted to an intensive care unit (ICU; including paediatric intensive care), are reviewed by the TGA. This review is designed to assess whether the medical condition(s) that caused the ICU admission and/or death is causally related to the vaccine and whether it represents an emerging safety concern. The TGA reviews each of these reports and considers the strength of the evidence for a link between vaccination and the condition that caused the death, using a standardised process based on the WHO causality assessment guidelines.</w:t>
      </w:r>
      <w:r w:rsidRPr="00F25CB3">
        <w:rPr>
          <w:vertAlign w:val="superscript"/>
          <w:lang w:val="en-GB"/>
        </w:rPr>
        <w:t>25</w:t>
      </w:r>
      <w:r w:rsidRPr="00F25CB3">
        <w:rPr>
          <w:lang w:val="en-GB"/>
        </w:rPr>
        <w:t xml:space="preserve"> When the cause for the events that resulted in ICU admission and/or death is not medically obvious, not stated, or cannot be determined from the initial report, the TGA may request further information from the reporter, which may include the results of investigations relating to the ICU admission and/or death, past medical history, post-mortem examination findings, the death certificate, and/or results of a Coronial Office investigation.</w:t>
      </w:r>
    </w:p>
    <w:p w14:paraId="2FE05EE6" w14:textId="77777777" w:rsidR="00F25CB3" w:rsidRPr="00F25CB3" w:rsidRDefault="00F25CB3" w:rsidP="00F25CB3">
      <w:pPr>
        <w:rPr>
          <w:lang w:val="en-GB"/>
        </w:rPr>
      </w:pPr>
      <w:r w:rsidRPr="00F25CB3">
        <w:rPr>
          <w:lang w:val="en-GB"/>
        </w:rPr>
        <w:t>In addition, the TGA can seek expert causality assessment advice from a Vaccine Safety Investigation Group (VSIG), which consists of clinical experts in domains including infectious diseases, vaccinology, haematology, respiratory medicine, immunology and public health, together with a consumer representative and, often, a communication expert.</w:t>
      </w:r>
      <w:r w:rsidRPr="00F25CB3">
        <w:rPr>
          <w:vertAlign w:val="superscript"/>
          <w:lang w:val="en-GB"/>
        </w:rPr>
        <w:t>26</w:t>
      </w:r>
      <w:r w:rsidRPr="00F25CB3">
        <w:rPr>
          <w:lang w:val="en-GB"/>
        </w:rPr>
        <w:t xml:space="preserve"> The purpose of the VSIG is to provide independent specialist immunisation (and other relevant) expertise to assist the TGA in investigating and undertaking regulatory action for vaccine safety signals of concern. Where a VSIG is required, an internationally accepted method is used to determine the level of certainty of a link between the event and vaccine.</w:t>
      </w:r>
      <w:r w:rsidRPr="00F25CB3">
        <w:rPr>
          <w:vertAlign w:val="superscript"/>
          <w:lang w:val="en-GB"/>
        </w:rPr>
        <w:t>25</w:t>
      </w:r>
      <w:r w:rsidRPr="00F25CB3">
        <w:rPr>
          <w:lang w:val="en-GB"/>
        </w:rPr>
        <w:t xml:space="preserve"> </w:t>
      </w:r>
    </w:p>
    <w:p w14:paraId="4DA56915" w14:textId="77777777" w:rsidR="00F25CB3" w:rsidRPr="00F25CB3" w:rsidRDefault="00F25CB3" w:rsidP="00192DC3">
      <w:pPr>
        <w:pStyle w:val="Heading3"/>
        <w:rPr>
          <w:lang w:val="en-GB"/>
        </w:rPr>
      </w:pPr>
      <w:proofErr w:type="gramStart"/>
      <w:r w:rsidRPr="00F25CB3">
        <w:rPr>
          <w:lang w:val="en-GB"/>
        </w:rPr>
        <w:lastRenderedPageBreak/>
        <w:t>Deaths</w:t>
      </w:r>
      <w:proofErr w:type="gramEnd"/>
      <w:r w:rsidRPr="00F25CB3">
        <w:rPr>
          <w:lang w:val="en-GB"/>
        </w:rPr>
        <w:t xml:space="preserve"> data</w:t>
      </w:r>
    </w:p>
    <w:p w14:paraId="5DBD2810" w14:textId="77777777" w:rsidR="00F25CB3" w:rsidRPr="00F25CB3" w:rsidRDefault="00F25CB3" w:rsidP="00F25CB3">
      <w:pPr>
        <w:rPr>
          <w:lang w:val="en-GB"/>
        </w:rPr>
      </w:pPr>
      <w:r w:rsidRPr="00F25CB3">
        <w:rPr>
          <w:lang w:val="en-GB"/>
        </w:rPr>
        <w:t xml:space="preserve">For this analysis, the age at death for AEFI reports that included a fatal outcome was calculated using date of birth and date of death, where available. Where date of death was not recorded, the most recent COVID-19 vaccination date prior to death was used. Where no COVID-19 vaccination date was recorded, the age in years on the report form was used. </w:t>
      </w:r>
    </w:p>
    <w:p w14:paraId="3CB6DB0F" w14:textId="77777777" w:rsidR="00F25CB3" w:rsidRPr="00F25CB3" w:rsidRDefault="00F25CB3" w:rsidP="00192DC3">
      <w:pPr>
        <w:pStyle w:val="Heading2"/>
        <w:rPr>
          <w:lang w:val="en-GB"/>
        </w:rPr>
      </w:pPr>
      <w:bookmarkStart w:id="24" w:name="_Toc215578708"/>
      <w:r w:rsidRPr="00F25CB3">
        <w:rPr>
          <w:lang w:val="en-GB"/>
        </w:rPr>
        <w:t>Safety monitoring</w:t>
      </w:r>
      <w:bookmarkEnd w:id="24"/>
    </w:p>
    <w:p w14:paraId="4DFEA1D8" w14:textId="77777777" w:rsidR="00F25CB3" w:rsidRPr="00F25CB3" w:rsidRDefault="00F25CB3" w:rsidP="00F25CB3">
      <w:pPr>
        <w:rPr>
          <w:lang w:val="en-GB"/>
        </w:rPr>
      </w:pPr>
      <w:r w:rsidRPr="00F25CB3">
        <w:rPr>
          <w:lang w:val="en-GB"/>
        </w:rPr>
        <w:t xml:space="preserve">The TGA conducts analyses across all AEFI reports to detect safety signals. Medical literature, media, and other potential sources of new safety information are reviewed and considered in relation to national data in AEMS. The TGA also collaborates with international regulators to consider global safety data. This process is in addition to other safety monitoring processes, including the safety monitoring responsibilities of vaccine sponsors. </w:t>
      </w:r>
    </w:p>
    <w:p w14:paraId="3C93BBAD" w14:textId="77777777" w:rsidR="00F25CB3" w:rsidRPr="00F25CB3" w:rsidRDefault="00F25CB3" w:rsidP="00192DC3">
      <w:pPr>
        <w:pStyle w:val="Heading3"/>
        <w:rPr>
          <w:lang w:val="en-GB"/>
        </w:rPr>
      </w:pPr>
      <w:r w:rsidRPr="00F25CB3">
        <w:rPr>
          <w:lang w:val="en-GB"/>
        </w:rPr>
        <w:t>Safety investigations</w:t>
      </w:r>
    </w:p>
    <w:p w14:paraId="0A93BE62" w14:textId="77777777" w:rsidR="00F25CB3" w:rsidRPr="00F25CB3" w:rsidRDefault="00F25CB3" w:rsidP="00F25CB3">
      <w:pPr>
        <w:rPr>
          <w:lang w:val="en-GB"/>
        </w:rPr>
      </w:pPr>
      <w:r w:rsidRPr="00F25CB3">
        <w:rPr>
          <w:lang w:val="en-GB"/>
        </w:rPr>
        <w:t xml:space="preserve">The TGA safety monitoring processes are used to identify potential new safety issues for a vaccine. When the TGA detects a potential new safety issue, an investigation is undertaken to identify the strength of evidence between the adverse event and a vaccine product. In the context of rapidly emerging evidence in the COVID-19 pandemic, the TGA investigation process is considered a ‘point in time’ assessment of known </w:t>
      </w:r>
      <w:proofErr w:type="gramStart"/>
      <w:r w:rsidRPr="00F25CB3">
        <w:rPr>
          <w:lang w:val="en-GB"/>
        </w:rPr>
        <w:t>information, and</w:t>
      </w:r>
      <w:proofErr w:type="gramEnd"/>
      <w:r w:rsidRPr="00F25CB3">
        <w:rPr>
          <w:lang w:val="en-GB"/>
        </w:rPr>
        <w:t xml:space="preserve"> is repeated when new evidence becomes available. This allows the TGA investigation process to be responsive and adaptive in a rapidly changing environment. A targeted investigation may be initiated by the TGA following a preliminary assessment of information arising from spontaneous reporting patterns observed, international regulators, published literature and other sources of safety data. Safety data may also be reviewed through other processes, such as a TGA review of sponsor safety data. As new information arises about a potential issue, multiple sequential targeted investigations may be undertaken. </w:t>
      </w:r>
    </w:p>
    <w:p w14:paraId="60FB639B" w14:textId="77777777" w:rsidR="00F25CB3" w:rsidRPr="00F25CB3" w:rsidRDefault="00F25CB3" w:rsidP="00F25CB3">
      <w:pPr>
        <w:rPr>
          <w:lang w:val="en-GB"/>
        </w:rPr>
      </w:pPr>
      <w:r w:rsidRPr="00F25CB3">
        <w:rPr>
          <w:lang w:val="en-GB"/>
        </w:rPr>
        <w:t xml:space="preserve">If the TGA identifies a new vaccine safety issue through the processes outlined, it responds with appropriate regulatory action. Actions can include negotiating with the vaccine sponsor to add warnings to the product information; providing safety information to vaccine providers; changing labelling or packaging; or, if required in very serious circumstances, suspending use of the vaccine if the benefits of vaccination no longer outweigh the risks. In addition, safety data informs clinical guidance and actions on the use of the vaccines in Australia, as provided by the Australian Technical Advisory Group on Immunisation (ATAGI) and published in immunisation program guidelines (such as the Australian Immunisation Handbook and ATAGI COVID-19 vaccination guidance). This report summarises the main safety topics that underwent a TGA-initiated targeted investigation in 2022 and the outcomes of investigations at the end of 2022. </w:t>
      </w:r>
    </w:p>
    <w:p w14:paraId="27291F61" w14:textId="77777777" w:rsidR="00F25CB3" w:rsidRPr="00F25CB3" w:rsidRDefault="00F25CB3" w:rsidP="00192DC3">
      <w:pPr>
        <w:pStyle w:val="Heading2"/>
        <w:rPr>
          <w:lang w:val="en-GB"/>
        </w:rPr>
      </w:pPr>
      <w:bookmarkStart w:id="25" w:name="_Toc215578709"/>
      <w:r w:rsidRPr="00F25CB3">
        <w:rPr>
          <w:lang w:val="en-GB"/>
        </w:rPr>
        <w:t>Data analysis</w:t>
      </w:r>
      <w:bookmarkEnd w:id="25"/>
    </w:p>
    <w:p w14:paraId="6FA59F8E" w14:textId="77777777" w:rsidR="00F25CB3" w:rsidRPr="00F25CB3" w:rsidRDefault="00F25CB3" w:rsidP="00F25CB3">
      <w:pPr>
        <w:rPr>
          <w:lang w:val="en-GB"/>
        </w:rPr>
      </w:pPr>
      <w:r w:rsidRPr="00F25CB3">
        <w:rPr>
          <w:lang w:val="en-GB"/>
        </w:rPr>
        <w:t>AEFI reporting rates per 100,000 administered doses were estimated for the year 2022. The number of doses administered for each vaccine in 2022 was obtained on 2 April 2023 from the Australian Immunisation Register (AIR), a national population-based register.</w:t>
      </w:r>
      <w:r w:rsidRPr="00F25CB3">
        <w:rPr>
          <w:vertAlign w:val="superscript"/>
          <w:lang w:val="en-GB"/>
        </w:rPr>
        <w:t>27</w:t>
      </w:r>
      <w:r w:rsidRPr="00F25CB3">
        <w:rPr>
          <w:lang w:val="en-GB"/>
        </w:rPr>
        <w:t xml:space="preserve"> Vaccination providers were required by law to enter into the AIR every dose of COVID-19 vaccine administered.</w:t>
      </w:r>
      <w:r w:rsidRPr="00F25CB3">
        <w:rPr>
          <w:vertAlign w:val="superscript"/>
          <w:lang w:val="en-GB"/>
        </w:rPr>
        <w:t>28</w:t>
      </w:r>
      <w:r w:rsidRPr="00F25CB3">
        <w:rPr>
          <w:lang w:val="en-GB"/>
        </w:rPr>
        <w:t xml:space="preserve"> Vaccine doses that had been administered overseas could also be entered into the AIR retrospectively.</w:t>
      </w:r>
      <w:r w:rsidRPr="00F25CB3">
        <w:rPr>
          <w:vertAlign w:val="superscript"/>
          <w:lang w:val="en-GB"/>
        </w:rPr>
        <w:t>29</w:t>
      </w:r>
      <w:r w:rsidRPr="00F25CB3">
        <w:rPr>
          <w:lang w:val="en-GB"/>
        </w:rPr>
        <w:t xml:space="preserve"> </w:t>
      </w:r>
    </w:p>
    <w:p w14:paraId="3FE70A30" w14:textId="77777777" w:rsidR="00F25CB3" w:rsidRPr="00F25CB3" w:rsidRDefault="00F25CB3" w:rsidP="00F25CB3">
      <w:pPr>
        <w:rPr>
          <w:lang w:val="en-GB"/>
        </w:rPr>
      </w:pPr>
      <w:r w:rsidRPr="00F25CB3">
        <w:rPr>
          <w:lang w:val="en-GB"/>
        </w:rPr>
        <w:lastRenderedPageBreak/>
        <w:t>Average annual population-based AEFI reporting rates were calculated for each state and territory, and by age group, using June 2022 population estimates obtained from the Australian Bureau of Statistics (ABS).</w:t>
      </w:r>
      <w:r w:rsidRPr="00F25CB3">
        <w:rPr>
          <w:vertAlign w:val="superscript"/>
          <w:lang w:val="en-GB"/>
        </w:rPr>
        <w:t>30</w:t>
      </w:r>
      <w:r w:rsidRPr="00F25CB3">
        <w:rPr>
          <w:lang w:val="en-GB"/>
        </w:rPr>
        <w:t xml:space="preserve"> Comparisons with the previous year were made using ABS mid-year estimated resident population (ERP) data for 2021. While dose-based AEFI reporting rates are generally more reliable, both dose-based and population-based reporting rates are included in this report to allow comparability with previous reports and with other local and international data.</w:t>
      </w:r>
    </w:p>
    <w:p w14:paraId="1D7EBA2B" w14:textId="77777777" w:rsidR="00F25CB3" w:rsidRPr="00F25CB3" w:rsidRDefault="00F25CB3" w:rsidP="00F25CB3">
      <w:pPr>
        <w:rPr>
          <w:lang w:val="en-GB"/>
        </w:rPr>
      </w:pPr>
      <w:r w:rsidRPr="00F25CB3">
        <w:rPr>
          <w:lang w:val="en-GB"/>
        </w:rPr>
        <w:t>All data cleaning and analyses were performed using R version 4.3.1.</w:t>
      </w:r>
      <w:r w:rsidRPr="00F25CB3">
        <w:rPr>
          <w:vertAlign w:val="superscript"/>
          <w:lang w:val="en-GB"/>
        </w:rPr>
        <w:t>31</w:t>
      </w:r>
      <w:r w:rsidRPr="00F25CB3">
        <w:rPr>
          <w:lang w:val="en-GB"/>
        </w:rPr>
        <w:t xml:space="preserve"> Confidence intervals presented are 95% exact binomial confidence intervals for proportions (95% CI). </w:t>
      </w:r>
    </w:p>
    <w:p w14:paraId="21B8B839" w14:textId="465A2E17" w:rsidR="00F25CB3" w:rsidRPr="00F25CB3" w:rsidRDefault="00F25CB3" w:rsidP="00192DC3">
      <w:pPr>
        <w:pStyle w:val="Heading2"/>
        <w:rPr>
          <w:lang w:val="en-GB"/>
        </w:rPr>
      </w:pPr>
      <w:bookmarkStart w:id="26" w:name="_Toc215578710"/>
      <w:r w:rsidRPr="00F25CB3">
        <w:rPr>
          <w:lang w:val="en-GB"/>
        </w:rPr>
        <w:t>Notes on interpretation</w:t>
      </w:r>
      <w:bookmarkEnd w:id="26"/>
    </w:p>
    <w:p w14:paraId="468029D0" w14:textId="77777777" w:rsidR="00F25CB3" w:rsidRPr="00F25CB3" w:rsidRDefault="00F25CB3" w:rsidP="00F25CB3">
      <w:pPr>
        <w:rPr>
          <w:lang w:val="en-GB"/>
        </w:rPr>
      </w:pPr>
      <w:r w:rsidRPr="00F25CB3">
        <w:rPr>
          <w:lang w:val="en-GB"/>
        </w:rPr>
        <w:t>The data reported here are provisional, particularly for the fourth quarter of 2022, due to reporting delays and a longer time to onset of some reported AEFI. In addition, AEFI may have been reported in 2022 for COVID-19 vaccines administered in 2021. Therefore, statistics published in this report relating to AEFI reports from 2021 may not match those in the 2021 report.</w:t>
      </w:r>
    </w:p>
    <w:p w14:paraId="773F0FC0" w14:textId="0CA6FEAE" w:rsidR="00BE73E6" w:rsidRPr="00BE73E6" w:rsidRDefault="00F25CB3" w:rsidP="00BE73E6">
      <w:pPr>
        <w:rPr>
          <w:lang w:val="en-GB"/>
        </w:rPr>
      </w:pPr>
      <w:r w:rsidRPr="00F25CB3">
        <w:rPr>
          <w:lang w:val="en-GB"/>
        </w:rPr>
        <w:t xml:space="preserve">As this report analysed data from the AEMS database, the numbers published in this report may be different to the numbers found the </w:t>
      </w:r>
      <w:r w:rsidRPr="00F25CB3">
        <w:rPr>
          <w:i/>
          <w:iCs/>
          <w:lang w:val="en-GB"/>
        </w:rPr>
        <w:t>Database of Adverse Event Notifications (DAEN) – medicines</w:t>
      </w:r>
      <w:r w:rsidRPr="00F25CB3">
        <w:rPr>
          <w:lang w:val="en-GB"/>
        </w:rPr>
        <w:t>, a public online database maintained by the TGA that contains reports of adverse events for medicines and vaccines.</w:t>
      </w:r>
      <w:r w:rsidRPr="00F25CB3">
        <w:rPr>
          <w:vertAlign w:val="superscript"/>
          <w:lang w:val="en-GB"/>
        </w:rPr>
        <w:t>32</w:t>
      </w:r>
      <w:r w:rsidRPr="00F25CB3">
        <w:rPr>
          <w:lang w:val="en-GB"/>
        </w:rPr>
        <w:t xml:space="preserve"> Differences in case numbers between the DAEN—medicines and AEMS can be due to rejected reports, for example those with insufficient information, which remain in the Adverse Event Management System (AEMS) and are updated and added to the DAEN—medicines as and when sufficient information is provided.</w:t>
      </w:r>
      <w:r w:rsidRPr="00F25CB3">
        <w:rPr>
          <w:vertAlign w:val="superscript"/>
          <w:lang w:val="en-GB"/>
        </w:rPr>
        <w:t>33</w:t>
      </w:r>
      <w:r w:rsidRPr="00F25CB3">
        <w:rPr>
          <w:lang w:val="en-GB"/>
        </w:rPr>
        <w:t xml:space="preserve"> There is also a 14-day time lag between cases being entered in AEMS and then added to the DAEN—medicines. As the data for this analysis were extracted from AEMS in October 2023, there may be discrepancies with the DAEN—medicines, which would reflect any new information made available to the TGA after October 2023. </w:t>
      </w:r>
    </w:p>
    <w:p w14:paraId="494C1DE7" w14:textId="77777777" w:rsidR="008A0736" w:rsidRDefault="000073ED" w:rsidP="005A4E9D">
      <w:pPr>
        <w:pStyle w:val="Heading1"/>
      </w:pPr>
      <w:bookmarkStart w:id="27" w:name="_Toc195530503"/>
      <w:bookmarkStart w:id="28" w:name="_Toc215578711"/>
      <w:r>
        <w:lastRenderedPageBreak/>
        <w:t>Results</w:t>
      </w:r>
      <w:bookmarkEnd w:id="27"/>
      <w:bookmarkEnd w:id="28"/>
    </w:p>
    <w:p w14:paraId="5883D416" w14:textId="77777777" w:rsidR="00192DC3" w:rsidRPr="00192DC3" w:rsidRDefault="00192DC3" w:rsidP="00192DC3">
      <w:pPr>
        <w:rPr>
          <w:lang w:val="en-GB"/>
        </w:rPr>
      </w:pPr>
      <w:r w:rsidRPr="00192DC3">
        <w:rPr>
          <w:lang w:val="en-GB"/>
        </w:rPr>
        <w:t>In the AEMS database, there were 18,398 AEFI reports where the date of COVID-19 vaccination (or onset of adverse event or report received date, if the date of vaccination was not reported) was between 1 January and 31 December 2022 (Table 1). Of all COVID-19 AEFI reports, 13,859 (75.3%) included Comirnaty, 3,002 (16.3%) included Spikevax, 948 (5.2%) included Nuvaxovid, and 680 (3.7%) included Vaxzevria. There were 168 reports (0.9%) which nominated a COVID-19 vaccine but did not provide a vaccine name (Table 2). Note that more than one COVID-19 vaccine (of the same or a different brand) may be included in one AEFI report; where this occurs, it does not necessarily indicate concomitant administration of the vaccines.</w:t>
      </w:r>
    </w:p>
    <w:p w14:paraId="546C43C1" w14:textId="77777777" w:rsidR="00192DC3" w:rsidRPr="00192DC3" w:rsidRDefault="00192DC3" w:rsidP="00192DC3">
      <w:pPr>
        <w:rPr>
          <w:lang w:val="en-GB"/>
        </w:rPr>
      </w:pPr>
      <w:r w:rsidRPr="00192DC3">
        <w:rPr>
          <w:lang w:val="en-GB"/>
        </w:rPr>
        <w:t>Of the 17,986 COVID-19 AEFI reports (97.8% of total) with sex provided, 11,388 (63.3%) described AEFI in females and 6,598 (36.7%) were in males. A response to a question on Indigenous status was provided in 10,451 reports (56.8% of total), out of which 393 AEFI reports (3.8%) were for people who identified as Aboriginal and/or Torres Strait Islander.</w:t>
      </w:r>
    </w:p>
    <w:p w14:paraId="5870354E" w14:textId="77777777" w:rsidR="00192DC3" w:rsidRPr="00192DC3" w:rsidRDefault="00192DC3" w:rsidP="00192DC3">
      <w:pPr>
        <w:rPr>
          <w:lang w:val="en-GB"/>
        </w:rPr>
      </w:pPr>
      <w:r w:rsidRPr="00192DC3">
        <w:rPr>
          <w:lang w:val="en-GB"/>
        </w:rPr>
        <w:t>Of the 17,384 reports (94.5% of total) with age or date of birth provided, 29 (0.2%) were for children aged under 5 years; 1,648 (9.5%) were for children aged 5–11 years; 621 (3.6%) were for adolescents aged 12–15 years; 11,524 (66.3%) were for people aged 16–59 years; and 3,650 (20.5%) were for adults aged ≥ 60 years (Table 1).</w:t>
      </w:r>
    </w:p>
    <w:p w14:paraId="63B9C448" w14:textId="77777777" w:rsidR="00192DC3" w:rsidRPr="00192DC3" w:rsidRDefault="00192DC3" w:rsidP="00192DC3">
      <w:pPr>
        <w:rPr>
          <w:lang w:val="en-GB"/>
        </w:rPr>
      </w:pPr>
      <w:r w:rsidRPr="00192DC3">
        <w:rPr>
          <w:lang w:val="en-GB"/>
        </w:rPr>
        <w:t xml:space="preserve">Over half of AEFI reports (11,909/18,398; 64.7%) were submitted to the TGA by a state or territory health department (termed ‘regional pharmacovigilance centre’ in AEMS); 24.4% of reports (4,482/18,398) were sent by consumers; 7.1% were submitted by health professionals (1,302/18,398), including coroners courts; and 3.8% (705/18,398) were sent by pharmaceutical companies (Appendix A, Figure A.1). Please note that it is possible for one case to be the subject of more than one AEFI report, where the reports have been submitted independently by multiple sources and where there is insufficient information provided to confirm duplication. </w:t>
      </w:r>
    </w:p>
    <w:p w14:paraId="322C052B" w14:textId="4C0AEC70" w:rsidR="00665BBE" w:rsidRDefault="00192DC3" w:rsidP="00665BBE">
      <w:pPr>
        <w:rPr>
          <w:vertAlign w:val="superscript"/>
          <w:lang w:val="en-GB"/>
        </w:rPr>
      </w:pPr>
      <w:r w:rsidRPr="00192DC3">
        <w:rPr>
          <w:lang w:val="en-GB"/>
        </w:rPr>
        <w:t>This report includes 121 AEFI reports where non-COVID-19 vaccines were listed together with COVID-19 vaccines, which have been excluded from the companion report describing 2022 AEFI reports in AEMS involving all other (non-COVID-19) vaccines.</w:t>
      </w:r>
      <w:r w:rsidRPr="00192DC3">
        <w:rPr>
          <w:vertAlign w:val="superscript"/>
          <w:lang w:val="en-GB"/>
        </w:rPr>
        <w:t>34</w:t>
      </w:r>
      <w:r w:rsidR="00665BBE">
        <w:rPr>
          <w:vertAlign w:val="superscript"/>
          <w:lang w:val="en-GB"/>
        </w:rPr>
        <w:br w:type="page"/>
      </w:r>
    </w:p>
    <w:p w14:paraId="042EEB7C" w14:textId="77777777" w:rsidR="00665BBE" w:rsidRPr="00192DC3" w:rsidRDefault="00665BBE" w:rsidP="00665BBE">
      <w:pPr>
        <w:pStyle w:val="CDITable-Title"/>
        <w:rPr>
          <w:lang w:val="en-GB"/>
        </w:rPr>
      </w:pPr>
      <w:bookmarkStart w:id="29" w:name="_Toc215578744"/>
      <w:r w:rsidRPr="00192DC3">
        <w:rPr>
          <w:lang w:val="en-GB"/>
        </w:rPr>
        <w:lastRenderedPageBreak/>
        <w:t>Table 1: Adverse event following immunisation (AEFI) reporting rates per 100,000 doses administered for COVID-19 vaccines administered in 2022 in the Adverse Event Management System database, by age group</w:t>
      </w:r>
      <w:bookmarkEnd w:id="29"/>
    </w:p>
    <w:tbl>
      <w:tblPr>
        <w:tblW w:w="0" w:type="auto"/>
        <w:tblLayout w:type="fixed"/>
        <w:tblCellMar>
          <w:left w:w="0" w:type="dxa"/>
          <w:right w:w="0" w:type="dxa"/>
        </w:tblCellMar>
        <w:tblLook w:val="0000" w:firstRow="0" w:lastRow="0" w:firstColumn="0" w:lastColumn="0" w:noHBand="0" w:noVBand="0"/>
        <w:tblCaption w:val="Table 1: Adverse event following immunisation (AEFI) reporting rates per 100,000 doses administered for COVID-19 vaccines administered in 2022 in the Adverse Event Management System database, by age group"/>
        <w:tblDescription w:val="Table 1 shows five age groups corresponding roughly to COVID-19 vaccine recommendations in 2022: &lt; 5 years, 5-11 years, 12-15 years, 16-59 years and ≥ 60 years. Within each age group, data are provided on the number of AEFI reported for each specific COVID-19 vaccine brand, and on the number of doses of each vaccine administered, allowing the adverse event reporting rate per 100,000 doses of each vaccine to be calculated."/>
      </w:tblPr>
      <w:tblGrid>
        <w:gridCol w:w="1474"/>
        <w:gridCol w:w="2268"/>
        <w:gridCol w:w="1701"/>
        <w:gridCol w:w="1700"/>
        <w:gridCol w:w="2495"/>
      </w:tblGrid>
      <w:tr w:rsidR="00665BBE" w:rsidRPr="000C697F" w14:paraId="50A50BBC" w14:textId="77777777" w:rsidTr="009220D2">
        <w:trPr>
          <w:trHeight w:val="60"/>
          <w:tblHeader/>
        </w:trPr>
        <w:tc>
          <w:tcPr>
            <w:tcW w:w="1474" w:type="dxa"/>
            <w:shd w:val="clear" w:color="auto" w:fill="1E4496" w:themeFill="text2"/>
            <w:tcMar>
              <w:top w:w="113" w:type="dxa"/>
              <w:left w:w="113" w:type="dxa"/>
              <w:bottom w:w="113" w:type="dxa"/>
              <w:right w:w="113" w:type="dxa"/>
            </w:tcMar>
            <w:vAlign w:val="bottom"/>
          </w:tcPr>
          <w:p w14:paraId="170C9E3C" w14:textId="77777777" w:rsidR="00665BBE" w:rsidRPr="000C697F" w:rsidRDefault="00665BBE" w:rsidP="009220D2">
            <w:pPr>
              <w:pStyle w:val="CDITable-HeaderRowLeft"/>
            </w:pPr>
            <w:r w:rsidRPr="000C697F">
              <w:t xml:space="preserve">Age </w:t>
            </w:r>
            <w:proofErr w:type="spellStart"/>
            <w:r w:rsidRPr="000C697F">
              <w:t>group</w:t>
            </w:r>
            <w:r w:rsidRPr="000C697F">
              <w:rPr>
                <w:vertAlign w:val="superscript"/>
              </w:rPr>
              <w:t>a</w:t>
            </w:r>
            <w:proofErr w:type="spellEnd"/>
          </w:p>
        </w:tc>
        <w:tc>
          <w:tcPr>
            <w:tcW w:w="2268" w:type="dxa"/>
            <w:shd w:val="clear" w:color="auto" w:fill="1E4496" w:themeFill="text2"/>
            <w:tcMar>
              <w:top w:w="113" w:type="dxa"/>
              <w:left w:w="113" w:type="dxa"/>
              <w:bottom w:w="113" w:type="dxa"/>
              <w:right w:w="113" w:type="dxa"/>
            </w:tcMar>
            <w:vAlign w:val="bottom"/>
          </w:tcPr>
          <w:p w14:paraId="5A1F2163" w14:textId="77777777" w:rsidR="00665BBE" w:rsidRPr="000C697F" w:rsidRDefault="00665BBE" w:rsidP="009220D2">
            <w:pPr>
              <w:pStyle w:val="CDITable-HeaderRowLeft"/>
            </w:pPr>
            <w:proofErr w:type="spellStart"/>
            <w:proofErr w:type="gramStart"/>
            <w:r w:rsidRPr="000C697F">
              <w:t>Vaccine</w:t>
            </w:r>
            <w:r w:rsidRPr="000C697F">
              <w:rPr>
                <w:vertAlign w:val="superscript"/>
              </w:rPr>
              <w:t>b,c</w:t>
            </w:r>
            <w:proofErr w:type="spellEnd"/>
            <w:proofErr w:type="gramEnd"/>
          </w:p>
        </w:tc>
        <w:tc>
          <w:tcPr>
            <w:tcW w:w="1701" w:type="dxa"/>
            <w:shd w:val="clear" w:color="auto" w:fill="1E4496" w:themeFill="text2"/>
            <w:tcMar>
              <w:top w:w="113" w:type="dxa"/>
              <w:left w:w="113" w:type="dxa"/>
              <w:bottom w:w="113" w:type="dxa"/>
              <w:right w:w="113" w:type="dxa"/>
            </w:tcMar>
            <w:vAlign w:val="bottom"/>
          </w:tcPr>
          <w:p w14:paraId="7750B8A4" w14:textId="77777777" w:rsidR="00665BBE" w:rsidRPr="000C697F" w:rsidRDefault="00665BBE" w:rsidP="009220D2">
            <w:pPr>
              <w:pStyle w:val="CDITable-HeaderRowCentre"/>
            </w:pPr>
            <w:r w:rsidRPr="000C697F">
              <w:t xml:space="preserve">AEFI </w:t>
            </w:r>
            <w:proofErr w:type="spellStart"/>
            <w:r w:rsidRPr="000C697F">
              <w:t>reports</w:t>
            </w:r>
            <w:r w:rsidRPr="000C697F">
              <w:rPr>
                <w:vertAlign w:val="superscript"/>
              </w:rPr>
              <w:t>d</w:t>
            </w:r>
            <w:proofErr w:type="spellEnd"/>
          </w:p>
        </w:tc>
        <w:tc>
          <w:tcPr>
            <w:tcW w:w="1700" w:type="dxa"/>
            <w:shd w:val="clear" w:color="auto" w:fill="1E4496" w:themeFill="text2"/>
            <w:tcMar>
              <w:top w:w="113" w:type="dxa"/>
              <w:left w:w="113" w:type="dxa"/>
              <w:bottom w:w="113" w:type="dxa"/>
              <w:right w:w="113" w:type="dxa"/>
            </w:tcMar>
            <w:vAlign w:val="bottom"/>
          </w:tcPr>
          <w:p w14:paraId="6EC85812" w14:textId="77777777" w:rsidR="00665BBE" w:rsidRPr="000C697F" w:rsidRDefault="00665BBE" w:rsidP="009220D2">
            <w:pPr>
              <w:pStyle w:val="CDITable-HeaderRowCentre"/>
            </w:pPr>
            <w:r w:rsidRPr="000C697F">
              <w:t xml:space="preserve">Vaccine </w:t>
            </w:r>
            <w:proofErr w:type="spellStart"/>
            <w:r w:rsidRPr="000C697F">
              <w:t>doses</w:t>
            </w:r>
            <w:r w:rsidRPr="000C697F">
              <w:rPr>
                <w:vertAlign w:val="superscript"/>
              </w:rPr>
              <w:t>e</w:t>
            </w:r>
            <w:proofErr w:type="spellEnd"/>
          </w:p>
        </w:tc>
        <w:tc>
          <w:tcPr>
            <w:tcW w:w="2495" w:type="dxa"/>
            <w:shd w:val="clear" w:color="auto" w:fill="1E4496" w:themeFill="text2"/>
            <w:tcMar>
              <w:top w:w="113" w:type="dxa"/>
              <w:left w:w="113" w:type="dxa"/>
              <w:bottom w:w="113" w:type="dxa"/>
              <w:right w:w="113" w:type="dxa"/>
            </w:tcMar>
            <w:vAlign w:val="bottom"/>
          </w:tcPr>
          <w:p w14:paraId="16E7AB58" w14:textId="77777777" w:rsidR="00665BBE" w:rsidRPr="000C697F" w:rsidRDefault="00665BBE" w:rsidP="009220D2">
            <w:pPr>
              <w:pStyle w:val="CDITable-HeaderRowCentre"/>
            </w:pPr>
            <w:r w:rsidRPr="000C697F">
              <w:t>Reporting rate per 100,000</w:t>
            </w:r>
            <w:r>
              <w:t> </w:t>
            </w:r>
            <w:r w:rsidRPr="000C697F">
              <w:t xml:space="preserve">doses (95% </w:t>
            </w:r>
            <w:proofErr w:type="gramStart"/>
            <w:r w:rsidRPr="000C697F">
              <w:t>CI)</w:t>
            </w:r>
            <w:r w:rsidRPr="000C697F">
              <w:rPr>
                <w:vertAlign w:val="superscript"/>
              </w:rPr>
              <w:t>f</w:t>
            </w:r>
            <w:proofErr w:type="gramEnd"/>
          </w:p>
        </w:tc>
      </w:tr>
      <w:tr w:rsidR="00665BBE" w:rsidRPr="000C697F" w14:paraId="5933F888" w14:textId="77777777" w:rsidTr="009220D2">
        <w:trPr>
          <w:trHeight w:val="60"/>
        </w:trPr>
        <w:tc>
          <w:tcPr>
            <w:tcW w:w="1474" w:type="dxa"/>
            <w:tcBorders>
              <w:bottom w:val="single" w:sz="6" w:space="0" w:color="1E4496" w:themeColor="text2"/>
            </w:tcBorders>
            <w:tcMar>
              <w:top w:w="113" w:type="dxa"/>
              <w:left w:w="113" w:type="dxa"/>
              <w:bottom w:w="113" w:type="dxa"/>
              <w:right w:w="113" w:type="dxa"/>
            </w:tcMar>
            <w:vAlign w:val="center"/>
          </w:tcPr>
          <w:p w14:paraId="66C0110C" w14:textId="77777777" w:rsidR="00665BBE" w:rsidRPr="000C697F" w:rsidRDefault="00665BBE" w:rsidP="009220D2">
            <w:pPr>
              <w:pStyle w:val="CDITable-RowLeft"/>
            </w:pPr>
            <w:r w:rsidRPr="000C697F">
              <w:t>&lt; 5 years</w:t>
            </w:r>
          </w:p>
        </w:tc>
        <w:tc>
          <w:tcPr>
            <w:tcW w:w="2268"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5AECD2" w14:textId="77777777" w:rsidR="00665BBE" w:rsidRPr="00665BBE" w:rsidRDefault="00665BBE" w:rsidP="009220D2">
            <w:pPr>
              <w:pStyle w:val="CDITable-RowLeft"/>
              <w:rPr>
                <w:b/>
                <w:bCs/>
              </w:rPr>
            </w:pPr>
            <w:r w:rsidRPr="00665BBE">
              <w:rPr>
                <w:b/>
                <w:bCs/>
              </w:rPr>
              <w:t>COVID-19 (all brands)</w:t>
            </w:r>
          </w:p>
        </w:tc>
        <w:tc>
          <w:tcPr>
            <w:tcW w:w="170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3C30F8" w14:textId="77777777" w:rsidR="00665BBE" w:rsidRPr="00665BBE" w:rsidRDefault="00665BBE" w:rsidP="009220D2">
            <w:pPr>
              <w:pStyle w:val="CDITable-RowCentre"/>
              <w:rPr>
                <w:b/>
                <w:bCs/>
              </w:rPr>
            </w:pPr>
            <w:r w:rsidRPr="00665BBE">
              <w:rPr>
                <w:b/>
                <w:bCs/>
              </w:rPr>
              <w:t>29</w:t>
            </w:r>
          </w:p>
        </w:tc>
        <w:tc>
          <w:tcPr>
            <w:tcW w:w="170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2F7D86" w14:textId="77777777" w:rsidR="00665BBE" w:rsidRPr="00665BBE" w:rsidRDefault="00665BBE" w:rsidP="009220D2">
            <w:pPr>
              <w:pStyle w:val="CDITable-RowCentre"/>
              <w:rPr>
                <w:b/>
                <w:bCs/>
              </w:rPr>
            </w:pPr>
            <w:r w:rsidRPr="00665BBE">
              <w:rPr>
                <w:b/>
                <w:bCs/>
              </w:rPr>
              <w:t>1,187</w:t>
            </w:r>
          </w:p>
        </w:tc>
        <w:tc>
          <w:tcPr>
            <w:tcW w:w="2495"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EF58F1" w14:textId="77777777" w:rsidR="00665BBE" w:rsidRPr="00665BBE" w:rsidRDefault="00665BBE" w:rsidP="009220D2">
            <w:pPr>
              <w:pStyle w:val="CDITable-RowCentre"/>
              <w:rPr>
                <w:b/>
                <w:bCs/>
              </w:rPr>
            </w:pPr>
            <w:r w:rsidRPr="00665BBE">
              <w:rPr>
                <w:b/>
                <w:bCs/>
              </w:rPr>
              <w:t>2,443.1 (1642.2–3490.0)</w:t>
            </w:r>
          </w:p>
        </w:tc>
      </w:tr>
      <w:tr w:rsidR="00665BBE" w:rsidRPr="000C697F" w14:paraId="4B3E3BDB" w14:textId="77777777" w:rsidTr="009220D2">
        <w:trPr>
          <w:trHeight w:val="60"/>
        </w:trPr>
        <w:tc>
          <w:tcPr>
            <w:tcW w:w="147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D25139" w14:textId="77777777" w:rsidR="00665BBE" w:rsidRPr="000C697F" w:rsidRDefault="00665BBE" w:rsidP="009220D2">
            <w:pPr>
              <w:pStyle w:val="CDITable-RowLeft"/>
            </w:pPr>
            <w:r w:rsidRPr="000C697F">
              <w:t>5–11 years</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2CD0D" w14:textId="77777777" w:rsidR="00665BBE" w:rsidRPr="000C697F" w:rsidRDefault="00665BBE" w:rsidP="009220D2">
            <w:pPr>
              <w:pStyle w:val="CDITable-RowLeft"/>
            </w:pPr>
            <w:r w:rsidRPr="000C697F">
              <w:t>Comirnaty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01414B" w14:textId="77777777" w:rsidR="00665BBE" w:rsidRPr="000C697F" w:rsidRDefault="00665BBE" w:rsidP="009220D2">
            <w:pPr>
              <w:pStyle w:val="CDITable-RowCentre"/>
            </w:pPr>
            <w:r w:rsidRPr="000C697F">
              <w:t>1,621</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329E5C" w14:textId="77777777" w:rsidR="00665BBE" w:rsidRPr="000C697F" w:rsidRDefault="00665BBE" w:rsidP="009220D2">
            <w:pPr>
              <w:pStyle w:val="CDITable-RowCentre"/>
            </w:pPr>
            <w:r w:rsidRPr="000C697F">
              <w:t>2,004,711</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F1E72B" w14:textId="77777777" w:rsidR="00665BBE" w:rsidRPr="000C697F" w:rsidRDefault="00665BBE" w:rsidP="009220D2">
            <w:pPr>
              <w:pStyle w:val="CDITable-RowCentre"/>
            </w:pPr>
            <w:r w:rsidRPr="000C697F">
              <w:t>80.9 (77.0–84.9)</w:t>
            </w:r>
          </w:p>
        </w:tc>
      </w:tr>
      <w:tr w:rsidR="00665BBE" w:rsidRPr="000C697F" w14:paraId="4EFF52CC" w14:textId="77777777" w:rsidTr="009220D2">
        <w:trPr>
          <w:trHeight w:val="60"/>
        </w:trPr>
        <w:tc>
          <w:tcPr>
            <w:tcW w:w="1474" w:type="dxa"/>
            <w:vMerge/>
            <w:tcBorders>
              <w:bottom w:val="single" w:sz="6" w:space="0" w:color="1E4496" w:themeColor="text2"/>
            </w:tcBorders>
          </w:tcPr>
          <w:p w14:paraId="2D8B239E"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21CD2" w14:textId="77777777" w:rsidR="00665BBE" w:rsidRPr="000C697F" w:rsidRDefault="00665BBE" w:rsidP="009220D2">
            <w:pPr>
              <w:pStyle w:val="CDITable-RowLeft"/>
            </w:pPr>
            <w:r w:rsidRPr="000C697F">
              <w:t>Spikevax</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87582" w14:textId="77777777" w:rsidR="00665BBE" w:rsidRPr="000C697F" w:rsidRDefault="00665BBE" w:rsidP="009220D2">
            <w:pPr>
              <w:pStyle w:val="CDITable-RowCentre"/>
            </w:pPr>
            <w:r w:rsidRPr="000C697F">
              <w:t>14</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0F889" w14:textId="77777777" w:rsidR="00665BBE" w:rsidRPr="000C697F" w:rsidRDefault="00665BBE" w:rsidP="009220D2">
            <w:pPr>
              <w:pStyle w:val="CDITable-RowCentre"/>
            </w:pPr>
            <w:r w:rsidRPr="000C697F">
              <w:t>3,515</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B6070" w14:textId="77777777" w:rsidR="00665BBE" w:rsidRPr="000C697F" w:rsidRDefault="00665BBE" w:rsidP="009220D2">
            <w:pPr>
              <w:pStyle w:val="CDITable-RowCentre"/>
            </w:pPr>
            <w:r w:rsidRPr="000C697F">
              <w:t>398.3 (217.9–667.4)</w:t>
            </w:r>
          </w:p>
        </w:tc>
      </w:tr>
      <w:tr w:rsidR="00665BBE" w:rsidRPr="000C697F" w14:paraId="1E55550B" w14:textId="77777777" w:rsidTr="009220D2">
        <w:trPr>
          <w:trHeight w:val="60"/>
        </w:trPr>
        <w:tc>
          <w:tcPr>
            <w:tcW w:w="1474" w:type="dxa"/>
            <w:vMerge/>
            <w:tcBorders>
              <w:bottom w:val="single" w:sz="6" w:space="0" w:color="1E4496" w:themeColor="text2"/>
            </w:tcBorders>
          </w:tcPr>
          <w:p w14:paraId="34183919"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0533785" w14:textId="77777777" w:rsidR="00665BBE" w:rsidRPr="00665BBE" w:rsidRDefault="00665BBE" w:rsidP="009220D2">
            <w:pPr>
              <w:pStyle w:val="CDITable-RowLeft"/>
              <w:rPr>
                <w:b/>
                <w:bCs/>
              </w:rPr>
            </w:pPr>
            <w:r w:rsidRPr="00665BBE">
              <w:rPr>
                <w:b/>
                <w:bCs/>
              </w:rPr>
              <w:t>COVID-19 (all brands)</w:t>
            </w:r>
          </w:p>
        </w:tc>
        <w:tc>
          <w:tcPr>
            <w:tcW w:w="170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385AF13" w14:textId="77777777" w:rsidR="00665BBE" w:rsidRPr="00665BBE" w:rsidRDefault="00665BBE" w:rsidP="009220D2">
            <w:pPr>
              <w:pStyle w:val="CDITable-RowCentre"/>
              <w:rPr>
                <w:b/>
                <w:bCs/>
              </w:rPr>
            </w:pPr>
            <w:r w:rsidRPr="00665BBE">
              <w:rPr>
                <w:b/>
                <w:bCs/>
              </w:rPr>
              <w:t>1,648</w:t>
            </w:r>
          </w:p>
        </w:tc>
        <w:tc>
          <w:tcPr>
            <w:tcW w:w="170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9A49DD" w14:textId="77777777" w:rsidR="00665BBE" w:rsidRPr="00665BBE" w:rsidRDefault="00665BBE" w:rsidP="009220D2">
            <w:pPr>
              <w:pStyle w:val="CDITable-RowCentre"/>
              <w:rPr>
                <w:b/>
                <w:bCs/>
              </w:rPr>
            </w:pPr>
            <w:r w:rsidRPr="00665BBE">
              <w:rPr>
                <w:b/>
                <w:bCs/>
              </w:rPr>
              <w:t>2,008,240</w:t>
            </w:r>
          </w:p>
        </w:tc>
        <w:tc>
          <w:tcPr>
            <w:tcW w:w="249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107494" w14:textId="77777777" w:rsidR="00665BBE" w:rsidRPr="00665BBE" w:rsidRDefault="00665BBE" w:rsidP="009220D2">
            <w:pPr>
              <w:pStyle w:val="CDITable-RowCentre"/>
              <w:rPr>
                <w:b/>
                <w:bCs/>
              </w:rPr>
            </w:pPr>
            <w:r w:rsidRPr="00665BBE">
              <w:rPr>
                <w:b/>
                <w:bCs/>
              </w:rPr>
              <w:t>82.1 (78.1–86.1)</w:t>
            </w:r>
          </w:p>
        </w:tc>
      </w:tr>
      <w:tr w:rsidR="00665BBE" w:rsidRPr="000C697F" w14:paraId="60EC4FCC" w14:textId="77777777" w:rsidTr="009220D2">
        <w:trPr>
          <w:trHeight w:val="60"/>
        </w:trPr>
        <w:tc>
          <w:tcPr>
            <w:tcW w:w="147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C4377" w14:textId="77777777" w:rsidR="00665BBE" w:rsidRPr="000C697F" w:rsidRDefault="00665BBE" w:rsidP="009220D2">
            <w:pPr>
              <w:pStyle w:val="CDITable-RowLeft"/>
            </w:pPr>
            <w:r w:rsidRPr="000C697F">
              <w:t>12–15 years</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4F61C" w14:textId="77777777" w:rsidR="00665BBE" w:rsidRPr="000C697F" w:rsidRDefault="00665BBE" w:rsidP="009220D2">
            <w:pPr>
              <w:pStyle w:val="CDITable-RowLeft"/>
            </w:pPr>
            <w:r w:rsidRPr="000C697F">
              <w:t>Comirnaty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26DC2" w14:textId="77777777" w:rsidR="00665BBE" w:rsidRPr="000C697F" w:rsidRDefault="00665BBE" w:rsidP="009220D2">
            <w:pPr>
              <w:pStyle w:val="CDITable-RowCentre"/>
            </w:pPr>
            <w:r w:rsidRPr="000C697F">
              <w:t>555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9804C" w14:textId="77777777" w:rsidR="00665BBE" w:rsidRPr="000C697F" w:rsidRDefault="00665BBE" w:rsidP="009220D2">
            <w:pPr>
              <w:pStyle w:val="CDITable-RowCentre"/>
            </w:pPr>
            <w:r w:rsidRPr="000C697F">
              <w:t>557,400</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BAEC3" w14:textId="77777777" w:rsidR="00665BBE" w:rsidRPr="000C697F" w:rsidRDefault="00665BBE" w:rsidP="009220D2">
            <w:pPr>
              <w:pStyle w:val="CDITable-RowCentre"/>
            </w:pPr>
            <w:r w:rsidRPr="000C697F">
              <w:t>99.6 (91.5–108.2)</w:t>
            </w:r>
          </w:p>
        </w:tc>
      </w:tr>
      <w:tr w:rsidR="00665BBE" w:rsidRPr="000C697F" w14:paraId="235339CE" w14:textId="77777777" w:rsidTr="009220D2">
        <w:trPr>
          <w:trHeight w:val="60"/>
        </w:trPr>
        <w:tc>
          <w:tcPr>
            <w:tcW w:w="1474" w:type="dxa"/>
            <w:vMerge/>
            <w:tcBorders>
              <w:bottom w:val="single" w:sz="6" w:space="0" w:color="1E4496" w:themeColor="text2"/>
            </w:tcBorders>
          </w:tcPr>
          <w:p w14:paraId="64BE2098"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55F1A" w14:textId="77777777" w:rsidR="00665BBE" w:rsidRPr="000C697F" w:rsidRDefault="00665BBE" w:rsidP="009220D2">
            <w:pPr>
              <w:pStyle w:val="CDITable-RowLeft"/>
            </w:pPr>
            <w:r w:rsidRPr="000C697F">
              <w:t>Spikevax</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4E5A44" w14:textId="77777777" w:rsidR="00665BBE" w:rsidRPr="000C697F" w:rsidRDefault="00665BBE" w:rsidP="009220D2">
            <w:pPr>
              <w:pStyle w:val="CDITable-RowCentre"/>
            </w:pPr>
            <w:r w:rsidRPr="000C697F">
              <w:t>60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992E3" w14:textId="77777777" w:rsidR="00665BBE" w:rsidRPr="000C697F" w:rsidRDefault="00665BBE" w:rsidP="009220D2">
            <w:pPr>
              <w:pStyle w:val="CDITable-RowCentre"/>
            </w:pPr>
            <w:r w:rsidRPr="000C697F">
              <w:t>25,967</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4BA14" w14:textId="77777777" w:rsidR="00665BBE" w:rsidRPr="000C697F" w:rsidRDefault="00665BBE" w:rsidP="009220D2">
            <w:pPr>
              <w:pStyle w:val="CDITable-RowCentre"/>
            </w:pPr>
            <w:r w:rsidRPr="000C697F">
              <w:t>231.1 (176.4–297.3)</w:t>
            </w:r>
          </w:p>
        </w:tc>
      </w:tr>
      <w:tr w:rsidR="00665BBE" w:rsidRPr="000C697F" w14:paraId="33AF8840" w14:textId="77777777" w:rsidTr="009220D2">
        <w:trPr>
          <w:trHeight w:val="60"/>
        </w:trPr>
        <w:tc>
          <w:tcPr>
            <w:tcW w:w="1474" w:type="dxa"/>
            <w:vMerge/>
            <w:tcBorders>
              <w:bottom w:val="single" w:sz="6" w:space="0" w:color="1E4496" w:themeColor="text2"/>
            </w:tcBorders>
          </w:tcPr>
          <w:p w14:paraId="4ADD5194"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8F6805" w14:textId="77777777" w:rsidR="00665BBE" w:rsidRPr="00665BBE" w:rsidRDefault="00665BBE" w:rsidP="009220D2">
            <w:pPr>
              <w:pStyle w:val="CDITable-RowLeft"/>
              <w:rPr>
                <w:b/>
                <w:bCs/>
              </w:rPr>
            </w:pPr>
            <w:r w:rsidRPr="00665BBE">
              <w:rPr>
                <w:b/>
                <w:bCs/>
              </w:rPr>
              <w:t>COVID-19 (all brands)</w:t>
            </w:r>
          </w:p>
        </w:tc>
        <w:tc>
          <w:tcPr>
            <w:tcW w:w="170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9645B5" w14:textId="77777777" w:rsidR="00665BBE" w:rsidRPr="00665BBE" w:rsidRDefault="00665BBE" w:rsidP="009220D2">
            <w:pPr>
              <w:pStyle w:val="CDITable-RowCentre"/>
              <w:rPr>
                <w:b/>
                <w:bCs/>
              </w:rPr>
            </w:pPr>
            <w:r w:rsidRPr="00665BBE">
              <w:rPr>
                <w:b/>
                <w:bCs/>
              </w:rPr>
              <w:t>621</w:t>
            </w:r>
          </w:p>
        </w:tc>
        <w:tc>
          <w:tcPr>
            <w:tcW w:w="170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6FD0BF0" w14:textId="77777777" w:rsidR="00665BBE" w:rsidRPr="00665BBE" w:rsidRDefault="00665BBE" w:rsidP="009220D2">
            <w:pPr>
              <w:pStyle w:val="CDITable-RowCentre"/>
              <w:rPr>
                <w:b/>
                <w:bCs/>
              </w:rPr>
            </w:pPr>
            <w:r w:rsidRPr="00665BBE">
              <w:rPr>
                <w:b/>
                <w:bCs/>
              </w:rPr>
              <w:t>584,008</w:t>
            </w:r>
          </w:p>
        </w:tc>
        <w:tc>
          <w:tcPr>
            <w:tcW w:w="249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BFF890" w14:textId="77777777" w:rsidR="00665BBE" w:rsidRPr="00665BBE" w:rsidRDefault="00665BBE" w:rsidP="009220D2">
            <w:pPr>
              <w:pStyle w:val="CDITable-RowCentre"/>
              <w:rPr>
                <w:b/>
                <w:bCs/>
              </w:rPr>
            </w:pPr>
            <w:r w:rsidRPr="00665BBE">
              <w:rPr>
                <w:b/>
                <w:bCs/>
              </w:rPr>
              <w:t>106.3 (98.1–115.0)</w:t>
            </w:r>
          </w:p>
        </w:tc>
      </w:tr>
      <w:tr w:rsidR="00665BBE" w:rsidRPr="000C697F" w14:paraId="14CB2696" w14:textId="77777777" w:rsidTr="009220D2">
        <w:trPr>
          <w:trHeight w:val="60"/>
        </w:trPr>
        <w:tc>
          <w:tcPr>
            <w:tcW w:w="147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AD437" w14:textId="77777777" w:rsidR="00665BBE" w:rsidRPr="000C697F" w:rsidRDefault="00665BBE" w:rsidP="009220D2">
            <w:pPr>
              <w:pStyle w:val="CDITable-RowLeft"/>
            </w:pPr>
            <w:r w:rsidRPr="000C697F">
              <w:t>16–59 years</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C416E" w14:textId="77777777" w:rsidR="00665BBE" w:rsidRPr="000C697F" w:rsidRDefault="00665BBE" w:rsidP="009220D2">
            <w:pPr>
              <w:pStyle w:val="CDITable-RowLeft"/>
            </w:pPr>
            <w:r w:rsidRPr="000C697F">
              <w:t>Comirnaty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7181D" w14:textId="77777777" w:rsidR="00665BBE" w:rsidRPr="000C697F" w:rsidRDefault="00665BBE" w:rsidP="009220D2">
            <w:pPr>
              <w:pStyle w:val="CDITable-RowCentre"/>
            </w:pPr>
            <w:r w:rsidRPr="000C697F">
              <w:t>8,420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94F3BE" w14:textId="77777777" w:rsidR="00665BBE" w:rsidRPr="000C697F" w:rsidRDefault="00665BBE" w:rsidP="009220D2">
            <w:pPr>
              <w:pStyle w:val="CDITable-RowCentre"/>
            </w:pPr>
            <w:r w:rsidRPr="000C697F">
              <w:t>7,731,163</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578662" w14:textId="77777777" w:rsidR="00665BBE" w:rsidRPr="000C697F" w:rsidRDefault="00665BBE" w:rsidP="009220D2">
            <w:pPr>
              <w:pStyle w:val="CDITable-RowCentre"/>
            </w:pPr>
            <w:r w:rsidRPr="000C697F">
              <w:t>108.9 (106.6–111.3)</w:t>
            </w:r>
          </w:p>
        </w:tc>
      </w:tr>
      <w:tr w:rsidR="00665BBE" w:rsidRPr="000C697F" w14:paraId="7D2F5F86" w14:textId="77777777" w:rsidTr="009220D2">
        <w:trPr>
          <w:trHeight w:val="60"/>
        </w:trPr>
        <w:tc>
          <w:tcPr>
            <w:tcW w:w="1474" w:type="dxa"/>
            <w:vMerge/>
            <w:tcBorders>
              <w:bottom w:val="single" w:sz="6" w:space="0" w:color="1E4496" w:themeColor="text2"/>
            </w:tcBorders>
          </w:tcPr>
          <w:p w14:paraId="5093F8D2"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BD7032" w14:textId="77777777" w:rsidR="00665BBE" w:rsidRPr="000C697F" w:rsidRDefault="00665BBE" w:rsidP="009220D2">
            <w:pPr>
              <w:pStyle w:val="CDITable-RowLeft"/>
            </w:pPr>
            <w:r w:rsidRPr="000C697F">
              <w:t>Spikevax</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861B30" w14:textId="77777777" w:rsidR="00665BBE" w:rsidRPr="000C697F" w:rsidRDefault="00665BBE" w:rsidP="009220D2">
            <w:pPr>
              <w:pStyle w:val="CDITable-RowCentre"/>
            </w:pPr>
            <w:r w:rsidRPr="000C697F">
              <w:t>2,085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CDBEED" w14:textId="77777777" w:rsidR="00665BBE" w:rsidRPr="000C697F" w:rsidRDefault="00665BBE" w:rsidP="009220D2">
            <w:pPr>
              <w:pStyle w:val="CDITable-RowCentre"/>
            </w:pPr>
            <w:r w:rsidRPr="000C697F">
              <w:t>2,171,546</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2276AC" w14:textId="77777777" w:rsidR="00665BBE" w:rsidRPr="000C697F" w:rsidRDefault="00665BBE" w:rsidP="009220D2">
            <w:pPr>
              <w:pStyle w:val="CDITable-RowCentre"/>
            </w:pPr>
            <w:r w:rsidRPr="000C697F">
              <w:t>96.0 (91.9–100.2)</w:t>
            </w:r>
          </w:p>
        </w:tc>
      </w:tr>
      <w:tr w:rsidR="00665BBE" w:rsidRPr="000C697F" w14:paraId="2D89263D" w14:textId="77777777" w:rsidTr="009220D2">
        <w:trPr>
          <w:trHeight w:val="60"/>
        </w:trPr>
        <w:tc>
          <w:tcPr>
            <w:tcW w:w="1474" w:type="dxa"/>
            <w:vMerge/>
            <w:tcBorders>
              <w:bottom w:val="single" w:sz="6" w:space="0" w:color="1E4496" w:themeColor="text2"/>
            </w:tcBorders>
          </w:tcPr>
          <w:p w14:paraId="1D709CFB"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3020F" w14:textId="77777777" w:rsidR="00665BBE" w:rsidRPr="000C697F" w:rsidRDefault="00665BBE" w:rsidP="009220D2">
            <w:pPr>
              <w:pStyle w:val="CDITable-RowLeft"/>
            </w:pPr>
            <w:r w:rsidRPr="000C697F">
              <w:t>Nuvaxovid</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2A7C2" w14:textId="77777777" w:rsidR="00665BBE" w:rsidRPr="000C697F" w:rsidRDefault="00665BBE" w:rsidP="009220D2">
            <w:pPr>
              <w:pStyle w:val="CDITable-RowCentre"/>
            </w:pPr>
            <w:r w:rsidRPr="000C697F">
              <w:t>765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A7AB1" w14:textId="77777777" w:rsidR="00665BBE" w:rsidRPr="000C697F" w:rsidRDefault="00665BBE" w:rsidP="009220D2">
            <w:pPr>
              <w:pStyle w:val="CDITable-RowCentre"/>
            </w:pPr>
            <w:r w:rsidRPr="000C697F">
              <w:t>165,696</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A1C180" w14:textId="77777777" w:rsidR="00665BBE" w:rsidRPr="000C697F" w:rsidRDefault="00665BBE" w:rsidP="009220D2">
            <w:pPr>
              <w:pStyle w:val="CDITable-RowCentre"/>
            </w:pPr>
            <w:r w:rsidRPr="000C697F">
              <w:t>461.7 (429.6–495.5)</w:t>
            </w:r>
          </w:p>
        </w:tc>
      </w:tr>
      <w:tr w:rsidR="00665BBE" w:rsidRPr="000C697F" w14:paraId="2AF44DC0" w14:textId="77777777" w:rsidTr="009220D2">
        <w:trPr>
          <w:trHeight w:val="60"/>
        </w:trPr>
        <w:tc>
          <w:tcPr>
            <w:tcW w:w="1474" w:type="dxa"/>
            <w:vMerge/>
            <w:tcBorders>
              <w:bottom w:val="single" w:sz="6" w:space="0" w:color="1E4496" w:themeColor="text2"/>
            </w:tcBorders>
          </w:tcPr>
          <w:p w14:paraId="018CCABB"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A0FE0" w14:textId="77777777" w:rsidR="00665BBE" w:rsidRPr="000C697F" w:rsidRDefault="00665BBE" w:rsidP="009220D2">
            <w:pPr>
              <w:pStyle w:val="CDITable-RowLeft"/>
            </w:pPr>
            <w:r w:rsidRPr="000C697F">
              <w:t>Vaxzevria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4FB0BB" w14:textId="77777777" w:rsidR="00665BBE" w:rsidRPr="000C697F" w:rsidRDefault="00665BBE" w:rsidP="009220D2">
            <w:pPr>
              <w:pStyle w:val="CDITable-RowCentre"/>
            </w:pPr>
            <w:r w:rsidRPr="000C697F">
              <w:t>310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BEFA8" w14:textId="77777777" w:rsidR="00665BBE" w:rsidRPr="000C697F" w:rsidRDefault="00665BBE" w:rsidP="009220D2">
            <w:pPr>
              <w:pStyle w:val="CDITable-RowCentre"/>
            </w:pPr>
            <w:r w:rsidRPr="000C697F">
              <w:t>50,217</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5C99D" w14:textId="77777777" w:rsidR="00665BBE" w:rsidRPr="000C697F" w:rsidRDefault="00665BBE" w:rsidP="009220D2">
            <w:pPr>
              <w:pStyle w:val="CDITable-RowCentre"/>
            </w:pPr>
            <w:r w:rsidRPr="000C697F">
              <w:t>617.3 (550.7–689.8)</w:t>
            </w:r>
          </w:p>
        </w:tc>
      </w:tr>
      <w:tr w:rsidR="00665BBE" w:rsidRPr="000C697F" w14:paraId="110F5955" w14:textId="77777777" w:rsidTr="009220D2">
        <w:trPr>
          <w:trHeight w:val="60"/>
        </w:trPr>
        <w:tc>
          <w:tcPr>
            <w:tcW w:w="1474" w:type="dxa"/>
            <w:vMerge/>
            <w:tcBorders>
              <w:bottom w:val="single" w:sz="6" w:space="0" w:color="1E4496" w:themeColor="text2"/>
            </w:tcBorders>
          </w:tcPr>
          <w:p w14:paraId="79577DB0"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C7DB8F5" w14:textId="77777777" w:rsidR="00665BBE" w:rsidRPr="00665BBE" w:rsidRDefault="00665BBE" w:rsidP="009220D2">
            <w:pPr>
              <w:pStyle w:val="CDITable-RowLeft"/>
              <w:rPr>
                <w:b/>
                <w:bCs/>
              </w:rPr>
            </w:pPr>
            <w:r w:rsidRPr="00665BBE">
              <w:rPr>
                <w:b/>
                <w:bCs/>
              </w:rPr>
              <w:t>COVID-19 (all brands)</w:t>
            </w:r>
          </w:p>
        </w:tc>
        <w:tc>
          <w:tcPr>
            <w:tcW w:w="170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E2D57C2" w14:textId="77777777" w:rsidR="00665BBE" w:rsidRPr="00665BBE" w:rsidRDefault="00665BBE" w:rsidP="009220D2">
            <w:pPr>
              <w:pStyle w:val="CDITable-RowCentre"/>
              <w:rPr>
                <w:b/>
                <w:bCs/>
              </w:rPr>
            </w:pPr>
            <w:r w:rsidRPr="00665BBE">
              <w:rPr>
                <w:b/>
                <w:bCs/>
              </w:rPr>
              <w:t>11,660</w:t>
            </w:r>
          </w:p>
        </w:tc>
        <w:tc>
          <w:tcPr>
            <w:tcW w:w="170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8C95A0" w14:textId="77777777" w:rsidR="00665BBE" w:rsidRPr="00665BBE" w:rsidRDefault="00665BBE" w:rsidP="009220D2">
            <w:pPr>
              <w:pStyle w:val="CDITable-RowCentre"/>
              <w:rPr>
                <w:b/>
                <w:bCs/>
              </w:rPr>
            </w:pPr>
            <w:r w:rsidRPr="00665BBE">
              <w:rPr>
                <w:b/>
                <w:bCs/>
              </w:rPr>
              <w:t>10,118,605</w:t>
            </w:r>
          </w:p>
        </w:tc>
        <w:tc>
          <w:tcPr>
            <w:tcW w:w="249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55078D" w14:textId="77777777" w:rsidR="00665BBE" w:rsidRPr="00665BBE" w:rsidRDefault="00665BBE" w:rsidP="009220D2">
            <w:pPr>
              <w:pStyle w:val="CDITable-RowCentre"/>
              <w:rPr>
                <w:b/>
                <w:bCs/>
              </w:rPr>
            </w:pPr>
            <w:r w:rsidRPr="00665BBE">
              <w:rPr>
                <w:b/>
                <w:bCs/>
              </w:rPr>
              <w:t>115.2 (113.2–117.3)</w:t>
            </w:r>
          </w:p>
        </w:tc>
      </w:tr>
      <w:tr w:rsidR="00665BBE" w:rsidRPr="000C697F" w14:paraId="52300399" w14:textId="77777777" w:rsidTr="009220D2">
        <w:trPr>
          <w:trHeight w:val="60"/>
        </w:trPr>
        <w:tc>
          <w:tcPr>
            <w:tcW w:w="1474" w:type="dxa"/>
            <w:vMerge w:val="restart"/>
            <w:tcBorders>
              <w:top w:val="single" w:sz="6" w:space="0" w:color="1E4496" w:themeColor="text2"/>
            </w:tcBorders>
            <w:tcMar>
              <w:top w:w="113" w:type="dxa"/>
              <w:left w:w="113" w:type="dxa"/>
              <w:bottom w:w="113" w:type="dxa"/>
              <w:right w:w="113" w:type="dxa"/>
            </w:tcMar>
            <w:vAlign w:val="center"/>
          </w:tcPr>
          <w:p w14:paraId="14E2D2B2" w14:textId="77777777" w:rsidR="00665BBE" w:rsidRPr="000C697F" w:rsidRDefault="00665BBE" w:rsidP="009220D2">
            <w:pPr>
              <w:pStyle w:val="CDITable-RowLeft"/>
            </w:pPr>
            <w:r w:rsidRPr="000C697F">
              <w:t>≥ 60 years</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B9AEB6" w14:textId="77777777" w:rsidR="00665BBE" w:rsidRPr="000C697F" w:rsidRDefault="00665BBE" w:rsidP="009220D2">
            <w:pPr>
              <w:pStyle w:val="CDITable-RowLeft"/>
            </w:pPr>
            <w:r w:rsidRPr="000C697F">
              <w:t>Comirnaty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050DC" w14:textId="77777777" w:rsidR="00665BBE" w:rsidRPr="000C697F" w:rsidRDefault="00665BBE" w:rsidP="009220D2">
            <w:pPr>
              <w:pStyle w:val="CDITable-RowCentre"/>
            </w:pPr>
            <w:r w:rsidRPr="000C697F">
              <w:t>2,547</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AF279" w14:textId="77777777" w:rsidR="00665BBE" w:rsidRPr="000C697F" w:rsidRDefault="00665BBE" w:rsidP="009220D2">
            <w:pPr>
              <w:pStyle w:val="CDITable-RowCentre"/>
            </w:pPr>
            <w:r w:rsidRPr="000C697F">
              <w:t>6,030,471</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4CAAC" w14:textId="77777777" w:rsidR="00665BBE" w:rsidRPr="000C697F" w:rsidRDefault="00665BBE" w:rsidP="009220D2">
            <w:pPr>
              <w:pStyle w:val="CDITable-RowCentre"/>
            </w:pPr>
            <w:r w:rsidRPr="000C697F">
              <w:t>42.2 (40.6–43.9)</w:t>
            </w:r>
          </w:p>
        </w:tc>
      </w:tr>
      <w:tr w:rsidR="00665BBE" w:rsidRPr="000C697F" w14:paraId="282FBEBD" w14:textId="77777777" w:rsidTr="009220D2">
        <w:trPr>
          <w:trHeight w:val="60"/>
        </w:trPr>
        <w:tc>
          <w:tcPr>
            <w:tcW w:w="1474" w:type="dxa"/>
            <w:vMerge/>
          </w:tcPr>
          <w:p w14:paraId="1706D9A1"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D7AF2E" w14:textId="77777777" w:rsidR="00665BBE" w:rsidRPr="000C697F" w:rsidRDefault="00665BBE" w:rsidP="009220D2">
            <w:pPr>
              <w:pStyle w:val="CDITable-RowLeft"/>
            </w:pPr>
            <w:r w:rsidRPr="000C697F">
              <w:t>Spikevax</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872AA" w14:textId="77777777" w:rsidR="00665BBE" w:rsidRPr="000C697F" w:rsidRDefault="00665BBE" w:rsidP="009220D2">
            <w:pPr>
              <w:pStyle w:val="CDITable-RowCentre"/>
            </w:pPr>
            <w:r w:rsidRPr="000C697F">
              <w:t>689</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03E6CF" w14:textId="77777777" w:rsidR="00665BBE" w:rsidRPr="000C697F" w:rsidRDefault="00665BBE" w:rsidP="009220D2">
            <w:pPr>
              <w:pStyle w:val="CDITable-RowCentre"/>
            </w:pPr>
            <w:r w:rsidRPr="000C697F">
              <w:t>1,644,890</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A6133" w14:textId="77777777" w:rsidR="00665BBE" w:rsidRPr="000C697F" w:rsidRDefault="00665BBE" w:rsidP="009220D2">
            <w:pPr>
              <w:pStyle w:val="CDITable-RowCentre"/>
            </w:pPr>
            <w:r w:rsidRPr="000C697F">
              <w:t>41.9 (38.8–45.1)</w:t>
            </w:r>
          </w:p>
        </w:tc>
      </w:tr>
      <w:tr w:rsidR="00665BBE" w:rsidRPr="000C697F" w14:paraId="43347B60" w14:textId="77777777" w:rsidTr="009220D2">
        <w:trPr>
          <w:trHeight w:val="60"/>
        </w:trPr>
        <w:tc>
          <w:tcPr>
            <w:tcW w:w="1474" w:type="dxa"/>
            <w:vMerge/>
          </w:tcPr>
          <w:p w14:paraId="4AB53100"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25ACC3" w14:textId="77777777" w:rsidR="00665BBE" w:rsidRPr="000C697F" w:rsidRDefault="00665BBE" w:rsidP="009220D2">
            <w:pPr>
              <w:pStyle w:val="CDITable-RowLeft"/>
            </w:pPr>
            <w:r w:rsidRPr="000C697F">
              <w:t>Vaxzevria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16D8F" w14:textId="77777777" w:rsidR="00665BBE" w:rsidRPr="000C697F" w:rsidRDefault="00665BBE" w:rsidP="009220D2">
            <w:pPr>
              <w:pStyle w:val="CDITable-RowCentre"/>
            </w:pPr>
            <w:r w:rsidRPr="000C697F">
              <w:t>252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4F40C" w14:textId="77777777" w:rsidR="00665BBE" w:rsidRPr="000C697F" w:rsidRDefault="00665BBE" w:rsidP="009220D2">
            <w:pPr>
              <w:pStyle w:val="CDITable-RowCentre"/>
            </w:pPr>
            <w:r w:rsidRPr="000C697F">
              <w:t>66,792</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335D2" w14:textId="77777777" w:rsidR="00665BBE" w:rsidRPr="000C697F" w:rsidRDefault="00665BBE" w:rsidP="009220D2">
            <w:pPr>
              <w:pStyle w:val="CDITable-RowCentre"/>
            </w:pPr>
            <w:r w:rsidRPr="000C697F">
              <w:t>377.3 (332.2–426.8)</w:t>
            </w:r>
          </w:p>
        </w:tc>
      </w:tr>
      <w:tr w:rsidR="00665BBE" w:rsidRPr="000C697F" w14:paraId="46F90552" w14:textId="77777777" w:rsidTr="009220D2">
        <w:trPr>
          <w:trHeight w:val="60"/>
        </w:trPr>
        <w:tc>
          <w:tcPr>
            <w:tcW w:w="1474" w:type="dxa"/>
            <w:vMerge/>
          </w:tcPr>
          <w:p w14:paraId="4F6DF3A8" w14:textId="77777777" w:rsidR="00665BBE" w:rsidRPr="000C697F" w:rsidRDefault="00665BBE" w:rsidP="009220D2">
            <w:pPr>
              <w:pStyle w:val="CDITable-RowLeft"/>
            </w:pP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94F72" w14:textId="77777777" w:rsidR="00665BBE" w:rsidRPr="000C697F" w:rsidRDefault="00665BBE" w:rsidP="009220D2">
            <w:pPr>
              <w:pStyle w:val="CDITable-RowLeft"/>
            </w:pPr>
            <w:r w:rsidRPr="000C697F">
              <w:t>Nuvaxovid</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D992F7" w14:textId="77777777" w:rsidR="00665BBE" w:rsidRPr="000C697F" w:rsidRDefault="00665BBE" w:rsidP="009220D2">
            <w:pPr>
              <w:pStyle w:val="CDITable-RowCentre"/>
            </w:pPr>
            <w:r w:rsidRPr="000C697F">
              <w:t>125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803AA" w14:textId="77777777" w:rsidR="00665BBE" w:rsidRPr="000C697F" w:rsidRDefault="00665BBE" w:rsidP="009220D2">
            <w:pPr>
              <w:pStyle w:val="CDITable-RowCentre"/>
            </w:pPr>
            <w:r w:rsidRPr="000C697F">
              <w:t>72,472</w:t>
            </w:r>
          </w:p>
        </w:tc>
        <w:tc>
          <w:tcPr>
            <w:tcW w:w="24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18D5C" w14:textId="77777777" w:rsidR="00665BBE" w:rsidRPr="000C697F" w:rsidRDefault="00665BBE" w:rsidP="009220D2">
            <w:pPr>
              <w:pStyle w:val="CDITable-RowCentre"/>
            </w:pPr>
            <w:r w:rsidRPr="000C697F">
              <w:t>172.5 (143.6–205.5)</w:t>
            </w:r>
          </w:p>
        </w:tc>
      </w:tr>
      <w:tr w:rsidR="00665BBE" w:rsidRPr="000C697F" w14:paraId="4EFDFC3A" w14:textId="77777777" w:rsidTr="009220D2">
        <w:trPr>
          <w:trHeight w:val="60"/>
        </w:trPr>
        <w:tc>
          <w:tcPr>
            <w:tcW w:w="1474" w:type="dxa"/>
            <w:vMerge/>
          </w:tcPr>
          <w:p w14:paraId="5A4E0137" w14:textId="77777777" w:rsidR="00665BBE" w:rsidRPr="000C697F" w:rsidRDefault="00665BBE" w:rsidP="009220D2"/>
        </w:tc>
        <w:tc>
          <w:tcPr>
            <w:tcW w:w="2268"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D91806E" w14:textId="77777777" w:rsidR="00665BBE" w:rsidRPr="00665BBE" w:rsidRDefault="00665BBE" w:rsidP="009220D2">
            <w:pPr>
              <w:pStyle w:val="CDITable-RowLeft"/>
              <w:rPr>
                <w:b/>
                <w:bCs/>
              </w:rPr>
            </w:pPr>
            <w:r w:rsidRPr="00665BBE">
              <w:rPr>
                <w:b/>
                <w:bCs/>
              </w:rPr>
              <w:t>COVID-19 (all brands)</w:t>
            </w:r>
          </w:p>
        </w:tc>
        <w:tc>
          <w:tcPr>
            <w:tcW w:w="170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F8F9EA" w14:textId="77777777" w:rsidR="00665BBE" w:rsidRPr="00665BBE" w:rsidRDefault="00665BBE" w:rsidP="009220D2">
            <w:pPr>
              <w:pStyle w:val="CDITable-RowCentre"/>
              <w:rPr>
                <w:b/>
                <w:bCs/>
              </w:rPr>
            </w:pPr>
            <w:r w:rsidRPr="00665BBE">
              <w:rPr>
                <w:b/>
                <w:bCs/>
              </w:rPr>
              <w:t>3,643</w:t>
            </w:r>
          </w:p>
        </w:tc>
        <w:tc>
          <w:tcPr>
            <w:tcW w:w="170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986CE2" w14:textId="77777777" w:rsidR="00665BBE" w:rsidRPr="00665BBE" w:rsidRDefault="00665BBE" w:rsidP="009220D2">
            <w:pPr>
              <w:pStyle w:val="CDITable-RowCentre"/>
              <w:rPr>
                <w:b/>
                <w:bCs/>
              </w:rPr>
            </w:pPr>
            <w:r w:rsidRPr="00665BBE">
              <w:rPr>
                <w:b/>
                <w:bCs/>
              </w:rPr>
              <w:t>7,814,598</w:t>
            </w:r>
          </w:p>
        </w:tc>
        <w:tc>
          <w:tcPr>
            <w:tcW w:w="2495"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960301" w14:textId="77777777" w:rsidR="00665BBE" w:rsidRPr="00665BBE" w:rsidRDefault="00665BBE" w:rsidP="009220D2">
            <w:pPr>
              <w:pStyle w:val="CDITable-RowCentre"/>
              <w:rPr>
                <w:b/>
                <w:bCs/>
              </w:rPr>
            </w:pPr>
            <w:r w:rsidRPr="00665BBE">
              <w:rPr>
                <w:b/>
                <w:bCs/>
              </w:rPr>
              <w:t>46.6 (45.1–48.2)</w:t>
            </w:r>
          </w:p>
        </w:tc>
      </w:tr>
      <w:tr w:rsidR="00665BBE" w:rsidRPr="000C697F" w14:paraId="5D8D42DF" w14:textId="77777777" w:rsidTr="009220D2">
        <w:trPr>
          <w:trHeight w:val="60"/>
        </w:trPr>
        <w:tc>
          <w:tcPr>
            <w:tcW w:w="14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C22620" w14:textId="77777777" w:rsidR="00665BBE" w:rsidRPr="000C697F" w:rsidRDefault="00665BBE" w:rsidP="009220D2">
            <w:pPr>
              <w:pStyle w:val="CDITable-TotalRowLeft"/>
            </w:pPr>
            <w:r w:rsidRPr="000C697F">
              <w:t>All ages</w:t>
            </w:r>
          </w:p>
        </w:tc>
        <w:tc>
          <w:tcPr>
            <w:tcW w:w="226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33D4010" w14:textId="77777777" w:rsidR="00665BBE" w:rsidRPr="000C697F" w:rsidRDefault="00665BBE" w:rsidP="009220D2">
            <w:pPr>
              <w:pStyle w:val="CDITable-TotalRowLeft"/>
            </w:pPr>
            <w:r w:rsidRPr="000C697F">
              <w:t>COVID-19 (all brands)</w:t>
            </w:r>
          </w:p>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CF869F" w14:textId="77777777" w:rsidR="00665BBE" w:rsidRPr="000C697F" w:rsidRDefault="00665BBE" w:rsidP="009220D2">
            <w:pPr>
              <w:pStyle w:val="CDITable-TotalRowCentre"/>
            </w:pPr>
            <w:r w:rsidRPr="000C697F">
              <w:t>18,398</w:t>
            </w:r>
          </w:p>
        </w:tc>
        <w:tc>
          <w:tcPr>
            <w:tcW w:w="170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76C5AD0" w14:textId="77777777" w:rsidR="00665BBE" w:rsidRPr="000C697F" w:rsidRDefault="00665BBE" w:rsidP="009220D2">
            <w:pPr>
              <w:pStyle w:val="CDITable-TotalRowCentre"/>
            </w:pPr>
            <w:r w:rsidRPr="000C697F">
              <w:t>20,535,954</w:t>
            </w:r>
          </w:p>
        </w:tc>
        <w:tc>
          <w:tcPr>
            <w:tcW w:w="249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E4C603" w14:textId="77777777" w:rsidR="00665BBE" w:rsidRPr="000C697F" w:rsidRDefault="00665BBE" w:rsidP="009220D2">
            <w:pPr>
              <w:pStyle w:val="CDITable-TotalRowCentre"/>
            </w:pPr>
            <w:r w:rsidRPr="000C697F">
              <w:t>89.6 (88.3–90.9)</w:t>
            </w:r>
          </w:p>
        </w:tc>
      </w:tr>
    </w:tbl>
    <w:p w14:paraId="0F4B406D" w14:textId="77777777" w:rsidR="00665BBE" w:rsidRPr="00192DC3" w:rsidRDefault="00665BBE" w:rsidP="00665BBE">
      <w:pPr>
        <w:pStyle w:val="CDITable-FirstFootnote"/>
        <w:rPr>
          <w:lang w:val="en-GB"/>
        </w:rPr>
      </w:pPr>
      <w:r w:rsidRPr="00192DC3">
        <w:rPr>
          <w:lang w:val="en-GB"/>
        </w:rPr>
        <w:t>a</w:t>
      </w:r>
      <w:r w:rsidRPr="00192DC3">
        <w:rPr>
          <w:lang w:val="en-GB"/>
        </w:rPr>
        <w:tab/>
        <w:t>‘All ages’ includes AEFI reports where age was not provided.</w:t>
      </w:r>
    </w:p>
    <w:p w14:paraId="54F36026" w14:textId="77777777" w:rsidR="00665BBE" w:rsidRPr="00192DC3" w:rsidRDefault="00665BBE" w:rsidP="00665BBE">
      <w:pPr>
        <w:pStyle w:val="CDITable-Footnote"/>
        <w:rPr>
          <w:lang w:val="en-GB"/>
        </w:rPr>
      </w:pPr>
      <w:r w:rsidRPr="00192DC3">
        <w:rPr>
          <w:lang w:val="en-GB"/>
        </w:rPr>
        <w:t>b</w:t>
      </w:r>
      <w:r w:rsidRPr="00192DC3">
        <w:rPr>
          <w:lang w:val="en-GB"/>
        </w:rPr>
        <w:tab/>
        <w:t>‘COVID-19 (all brands)’ includes AEFI reports with specified COVID-19 brands as well as reports where the brand was not specified.</w:t>
      </w:r>
    </w:p>
    <w:p w14:paraId="17BC87BF" w14:textId="77777777" w:rsidR="00665BBE" w:rsidRPr="00192DC3" w:rsidRDefault="00665BBE" w:rsidP="00665BBE">
      <w:pPr>
        <w:pStyle w:val="CDITable-Footnote"/>
        <w:rPr>
          <w:lang w:val="en-GB"/>
        </w:rPr>
      </w:pPr>
      <w:r w:rsidRPr="00192DC3">
        <w:rPr>
          <w:lang w:val="en-GB"/>
        </w:rPr>
        <w:t>c</w:t>
      </w:r>
      <w:r w:rsidRPr="00192DC3">
        <w:rPr>
          <w:lang w:val="en-GB"/>
        </w:rPr>
        <w:tab/>
        <w:t>Only vaccine brands where more than 1,000 doses were administered in each specific age group in 2022, or where there were more than 10 AEFI reports in each specific age group in 2022, were included in this table.</w:t>
      </w:r>
    </w:p>
    <w:p w14:paraId="36B05A1E" w14:textId="77777777" w:rsidR="00665BBE" w:rsidRPr="00192DC3" w:rsidRDefault="00665BBE" w:rsidP="00665BBE">
      <w:pPr>
        <w:pStyle w:val="CDITable-Footnote"/>
        <w:rPr>
          <w:lang w:val="en-GB"/>
        </w:rPr>
      </w:pPr>
      <w:r w:rsidRPr="00192DC3">
        <w:rPr>
          <w:lang w:val="en-GB"/>
        </w:rPr>
        <w:t>d</w:t>
      </w:r>
      <w:r w:rsidRPr="00192DC3">
        <w:rPr>
          <w:lang w:val="en-GB"/>
        </w:rPr>
        <w:tab/>
        <w:t>Number of AEFI reports in which the vaccine was coded as ‘suspect’ in relation to causal involvement in the reported adverse event, and the vaccine was administered between 1 January and 31 December 2022. More than one vaccine may be coded as ‘suspect’ if several were administered or reported at the same time.</w:t>
      </w:r>
    </w:p>
    <w:p w14:paraId="267DFF6D" w14:textId="77777777" w:rsidR="00665BBE" w:rsidRPr="00192DC3" w:rsidRDefault="00665BBE" w:rsidP="00665BBE">
      <w:pPr>
        <w:pStyle w:val="CDITable-Footnote"/>
        <w:rPr>
          <w:lang w:val="en-GB"/>
        </w:rPr>
      </w:pPr>
      <w:r w:rsidRPr="00192DC3">
        <w:rPr>
          <w:lang w:val="en-GB"/>
        </w:rPr>
        <w:t>e</w:t>
      </w:r>
      <w:r w:rsidRPr="00192DC3">
        <w:rPr>
          <w:lang w:val="en-GB"/>
        </w:rPr>
        <w:tab/>
        <w:t xml:space="preserve">Number of COVID-19 vaccine doses administered between 1 January and 31 December 2022 and recorded on the Australian Immunisation Register as </w:t>
      </w:r>
      <w:proofErr w:type="gramStart"/>
      <w:r w:rsidRPr="00192DC3">
        <w:rPr>
          <w:lang w:val="en-GB"/>
        </w:rPr>
        <w:t>at</w:t>
      </w:r>
      <w:proofErr w:type="gramEnd"/>
      <w:r w:rsidRPr="00192DC3">
        <w:rPr>
          <w:lang w:val="en-GB"/>
        </w:rPr>
        <w:t xml:space="preserve"> 2 April 2023. Only vaccine brands and formulations available in Australia in 2022 were included in dose count (i.e. excludes vaccines known to have been administered overseas).</w:t>
      </w:r>
    </w:p>
    <w:p w14:paraId="4ABCB9DC" w14:textId="77777777" w:rsidR="00665BBE" w:rsidRDefault="00665BBE" w:rsidP="00665BBE">
      <w:pPr>
        <w:pStyle w:val="CDITable-Footnote"/>
        <w:rPr>
          <w:lang w:val="en-GB"/>
        </w:rPr>
      </w:pPr>
      <w:r w:rsidRPr="00192DC3">
        <w:rPr>
          <w:lang w:val="en-GB"/>
        </w:rPr>
        <w:t>f</w:t>
      </w:r>
      <w:r w:rsidRPr="00192DC3">
        <w:rPr>
          <w:lang w:val="en-GB"/>
        </w:rPr>
        <w:tab/>
        <w:t>95% CI: 95% confidence interval.</w:t>
      </w:r>
      <w:r>
        <w:rPr>
          <w:lang w:val="en-GB"/>
        </w:rPr>
        <w:br w:type="page"/>
      </w:r>
    </w:p>
    <w:p w14:paraId="45330EC7" w14:textId="77777777" w:rsidR="00665BBE" w:rsidRPr="000C697F" w:rsidRDefault="00665BBE" w:rsidP="00665BBE">
      <w:pPr>
        <w:pStyle w:val="CDITable-Title"/>
        <w:rPr>
          <w:lang w:val="en-GB"/>
        </w:rPr>
      </w:pPr>
      <w:bookmarkStart w:id="30" w:name="_Toc215578745"/>
      <w:r w:rsidRPr="000C697F">
        <w:rPr>
          <w:lang w:val="en-GB"/>
        </w:rPr>
        <w:lastRenderedPageBreak/>
        <w:t xml:space="preserve">Table 2: COVID-19 vaccines listed as ‘suspect’ in reports of adverse events following immunisation for vaccines administered in 2022 in the Adverse Event Management System </w:t>
      </w:r>
      <w:proofErr w:type="spellStart"/>
      <w:r w:rsidRPr="000C697F">
        <w:rPr>
          <w:lang w:val="en-GB"/>
        </w:rPr>
        <w:t>database</w:t>
      </w:r>
      <w:r w:rsidRPr="000C697F">
        <w:rPr>
          <w:vertAlign w:val="superscript"/>
          <w:lang w:val="en-GB"/>
        </w:rPr>
        <w:t>a</w:t>
      </w:r>
      <w:bookmarkEnd w:id="30"/>
      <w:proofErr w:type="spellEnd"/>
    </w:p>
    <w:tbl>
      <w:tblPr>
        <w:tblW w:w="0" w:type="auto"/>
        <w:tblLayout w:type="fixed"/>
        <w:tblCellMar>
          <w:left w:w="0" w:type="dxa"/>
          <w:right w:w="0" w:type="dxa"/>
        </w:tblCellMar>
        <w:tblLook w:val="0000" w:firstRow="0" w:lastRow="0" w:firstColumn="0" w:lastColumn="0" w:noHBand="0" w:noVBand="0"/>
        <w:tblCaption w:val="Table 2: COVID-19 vaccines listed as ‘suspect’ in reports of adverse events following immunisation for vaccines administered in 2022 in the Adverse Event Management System database"/>
        <w:tblDescription w:val="Table 2 shows the COVID-19 vaccine nominated as the “suspected” causative agent in adverse event reports in 2022. For each vaccine, the table gives the number and proportion of reports classified as serious, and the number and proportion of reports for recipients in each age group of &lt; 5 years, 5-11 years, 12-15 years, 16-59 years and ≥ 60 years."/>
      </w:tblPr>
      <w:tblGrid>
        <w:gridCol w:w="1304"/>
        <w:gridCol w:w="1035"/>
        <w:gridCol w:w="1034"/>
        <w:gridCol w:w="1035"/>
        <w:gridCol w:w="1035"/>
        <w:gridCol w:w="1034"/>
        <w:gridCol w:w="1035"/>
        <w:gridCol w:w="1034"/>
        <w:gridCol w:w="1106"/>
      </w:tblGrid>
      <w:tr w:rsidR="00665BBE" w:rsidRPr="00665BBE" w14:paraId="7FDB34D7" w14:textId="77777777" w:rsidTr="00A51CB2">
        <w:trPr>
          <w:trHeight w:val="60"/>
          <w:tblHeader/>
        </w:trPr>
        <w:tc>
          <w:tcPr>
            <w:tcW w:w="1304" w:type="dxa"/>
            <w:shd w:val="clear" w:color="auto" w:fill="1E4496" w:themeFill="text2"/>
            <w:tcMar>
              <w:top w:w="113" w:type="dxa"/>
              <w:left w:w="113" w:type="dxa"/>
              <w:bottom w:w="113" w:type="dxa"/>
              <w:right w:w="113" w:type="dxa"/>
            </w:tcMar>
            <w:vAlign w:val="bottom"/>
          </w:tcPr>
          <w:p w14:paraId="52CACAAC" w14:textId="77777777" w:rsidR="00665BBE" w:rsidRPr="00665BBE" w:rsidRDefault="00665BBE" w:rsidP="009220D2">
            <w:pPr>
              <w:pStyle w:val="CDITable-HeaderRowLeft"/>
            </w:pPr>
            <w:r w:rsidRPr="00665BBE">
              <w:t>Vaccine</w:t>
            </w:r>
          </w:p>
        </w:tc>
        <w:tc>
          <w:tcPr>
            <w:tcW w:w="1035" w:type="dxa"/>
            <w:shd w:val="clear" w:color="auto" w:fill="1E4496" w:themeFill="text2"/>
            <w:tcMar>
              <w:top w:w="113" w:type="dxa"/>
              <w:left w:w="113" w:type="dxa"/>
              <w:bottom w:w="113" w:type="dxa"/>
              <w:right w:w="113" w:type="dxa"/>
            </w:tcMar>
            <w:vAlign w:val="bottom"/>
          </w:tcPr>
          <w:p w14:paraId="48CE1548" w14:textId="77777777" w:rsidR="00665BBE" w:rsidRPr="00665BBE" w:rsidRDefault="00665BBE" w:rsidP="009220D2">
            <w:pPr>
              <w:pStyle w:val="CDITable-HeaderRowCentre"/>
            </w:pPr>
            <w:r w:rsidRPr="00665BBE">
              <w:t>AEFI reports n</w:t>
            </w:r>
            <w:r>
              <w:t> </w:t>
            </w:r>
            <w:r w:rsidRPr="00665BBE">
              <w:t>(</w:t>
            </w:r>
            <w:proofErr w:type="gramStart"/>
            <w:r w:rsidRPr="00665BBE">
              <w:t>%)</w:t>
            </w:r>
            <w:r w:rsidRPr="00665BBE">
              <w:rPr>
                <w:vertAlign w:val="superscript"/>
              </w:rPr>
              <w:t>a</w:t>
            </w:r>
            <w:proofErr w:type="gramEnd"/>
          </w:p>
        </w:tc>
        <w:tc>
          <w:tcPr>
            <w:tcW w:w="1034" w:type="dxa"/>
            <w:shd w:val="clear" w:color="auto" w:fill="1E4496" w:themeFill="text2"/>
            <w:tcMar>
              <w:top w:w="113" w:type="dxa"/>
              <w:left w:w="113" w:type="dxa"/>
              <w:bottom w:w="113" w:type="dxa"/>
              <w:right w:w="113" w:type="dxa"/>
            </w:tcMar>
            <w:vAlign w:val="bottom"/>
          </w:tcPr>
          <w:p w14:paraId="25133B1B" w14:textId="77777777" w:rsidR="00665BBE" w:rsidRPr="00665BBE" w:rsidRDefault="00665BBE" w:rsidP="009220D2">
            <w:pPr>
              <w:pStyle w:val="CDITable-HeaderRowCentre"/>
            </w:pPr>
            <w:r w:rsidRPr="00665BBE">
              <w:t>Reports with a single vaccine coded as ‘suspect’ n (</w:t>
            </w:r>
            <w:proofErr w:type="gramStart"/>
            <w:r w:rsidRPr="00665BBE">
              <w:t>%)</w:t>
            </w:r>
            <w:proofErr w:type="spellStart"/>
            <w:r w:rsidRPr="00665BBE">
              <w:rPr>
                <w:vertAlign w:val="superscript"/>
              </w:rPr>
              <w:t>b</w:t>
            </w:r>
            <w:proofErr w:type="gramEnd"/>
            <w:r w:rsidRPr="00665BBE">
              <w:rPr>
                <w:vertAlign w:val="superscript"/>
              </w:rPr>
              <w:t>,e</w:t>
            </w:r>
            <w:proofErr w:type="spellEnd"/>
          </w:p>
        </w:tc>
        <w:tc>
          <w:tcPr>
            <w:tcW w:w="1035" w:type="dxa"/>
            <w:shd w:val="clear" w:color="auto" w:fill="1E4496" w:themeFill="text2"/>
            <w:tcMar>
              <w:top w:w="113" w:type="dxa"/>
              <w:left w:w="113" w:type="dxa"/>
              <w:bottom w:w="113" w:type="dxa"/>
              <w:right w:w="113" w:type="dxa"/>
            </w:tcMar>
            <w:vAlign w:val="bottom"/>
          </w:tcPr>
          <w:p w14:paraId="6DCF4D61" w14:textId="77777777" w:rsidR="00665BBE" w:rsidRPr="00665BBE" w:rsidRDefault="00665BBE" w:rsidP="009220D2">
            <w:pPr>
              <w:pStyle w:val="CDITable-HeaderRowCentre"/>
            </w:pPr>
            <w:r w:rsidRPr="00665BBE">
              <w:t>Serious AEFI n (</w:t>
            </w:r>
            <w:proofErr w:type="gramStart"/>
            <w:r w:rsidRPr="00665BBE">
              <w:t>%)</w:t>
            </w:r>
            <w:proofErr w:type="spellStart"/>
            <w:r w:rsidRPr="00665BBE">
              <w:rPr>
                <w:vertAlign w:val="superscript"/>
              </w:rPr>
              <w:t>c</w:t>
            </w:r>
            <w:proofErr w:type="gramEnd"/>
            <w:r w:rsidRPr="00665BBE">
              <w:rPr>
                <w:vertAlign w:val="superscript"/>
              </w:rPr>
              <w:t>,e</w:t>
            </w:r>
            <w:proofErr w:type="spellEnd"/>
          </w:p>
        </w:tc>
        <w:tc>
          <w:tcPr>
            <w:tcW w:w="1035" w:type="dxa"/>
            <w:shd w:val="clear" w:color="auto" w:fill="1E4496" w:themeFill="text2"/>
            <w:tcMar>
              <w:top w:w="113" w:type="dxa"/>
              <w:left w:w="113" w:type="dxa"/>
              <w:bottom w:w="113" w:type="dxa"/>
              <w:right w:w="113" w:type="dxa"/>
            </w:tcMar>
            <w:vAlign w:val="bottom"/>
          </w:tcPr>
          <w:p w14:paraId="44D86285" w14:textId="77777777" w:rsidR="00665BBE" w:rsidRPr="00665BBE" w:rsidRDefault="00665BBE" w:rsidP="009220D2">
            <w:pPr>
              <w:pStyle w:val="CDITable-HeaderRowCentre"/>
            </w:pPr>
            <w:r w:rsidRPr="00665BBE">
              <w:t>Aged &lt;</w:t>
            </w:r>
            <w:r>
              <w:t> </w:t>
            </w:r>
            <w:r w:rsidRPr="00665BBE">
              <w:t>5</w:t>
            </w:r>
            <w:r>
              <w:t> </w:t>
            </w:r>
            <w:r w:rsidRPr="00665BBE">
              <w:t>years n</w:t>
            </w:r>
            <w:r>
              <w:t> </w:t>
            </w:r>
            <w:r w:rsidRPr="00665BBE">
              <w:t>(</w:t>
            </w:r>
            <w:proofErr w:type="gramStart"/>
            <w:r w:rsidRPr="00665BBE">
              <w:t>%)</w:t>
            </w:r>
            <w:proofErr w:type="spellStart"/>
            <w:r w:rsidRPr="00665BBE">
              <w:rPr>
                <w:vertAlign w:val="superscript"/>
              </w:rPr>
              <w:t>d</w:t>
            </w:r>
            <w:proofErr w:type="gramEnd"/>
            <w:r w:rsidRPr="00665BBE">
              <w:rPr>
                <w:vertAlign w:val="superscript"/>
              </w:rPr>
              <w:t>,e</w:t>
            </w:r>
            <w:proofErr w:type="spellEnd"/>
          </w:p>
        </w:tc>
        <w:tc>
          <w:tcPr>
            <w:tcW w:w="1034" w:type="dxa"/>
            <w:shd w:val="clear" w:color="auto" w:fill="1E4496" w:themeFill="text2"/>
            <w:tcMar>
              <w:top w:w="113" w:type="dxa"/>
              <w:left w:w="113" w:type="dxa"/>
              <w:bottom w:w="113" w:type="dxa"/>
              <w:right w:w="113" w:type="dxa"/>
            </w:tcMar>
            <w:vAlign w:val="bottom"/>
          </w:tcPr>
          <w:p w14:paraId="3C4871E4" w14:textId="77777777" w:rsidR="00665BBE" w:rsidRPr="00665BBE" w:rsidRDefault="00665BBE" w:rsidP="009220D2">
            <w:pPr>
              <w:pStyle w:val="CDITable-HeaderRowCentre"/>
            </w:pPr>
            <w:r w:rsidRPr="00665BBE">
              <w:t>Aged</w:t>
            </w:r>
            <w:r>
              <w:br/>
            </w:r>
            <w:r w:rsidRPr="00665BBE">
              <w:t>5–11 years n</w:t>
            </w:r>
            <w:r>
              <w:t> </w:t>
            </w:r>
            <w:r w:rsidRPr="00665BBE">
              <w:t>(</w:t>
            </w:r>
            <w:proofErr w:type="gramStart"/>
            <w:r w:rsidRPr="00665BBE">
              <w:t>%)</w:t>
            </w:r>
            <w:proofErr w:type="spellStart"/>
            <w:r w:rsidRPr="00665BBE">
              <w:rPr>
                <w:vertAlign w:val="superscript"/>
              </w:rPr>
              <w:t>d</w:t>
            </w:r>
            <w:proofErr w:type="gramEnd"/>
            <w:r w:rsidRPr="00665BBE">
              <w:rPr>
                <w:vertAlign w:val="superscript"/>
              </w:rPr>
              <w:t>,e</w:t>
            </w:r>
            <w:proofErr w:type="spellEnd"/>
          </w:p>
        </w:tc>
        <w:tc>
          <w:tcPr>
            <w:tcW w:w="1035" w:type="dxa"/>
            <w:shd w:val="clear" w:color="auto" w:fill="1E4496" w:themeFill="text2"/>
            <w:tcMar>
              <w:top w:w="113" w:type="dxa"/>
              <w:left w:w="113" w:type="dxa"/>
              <w:bottom w:w="113" w:type="dxa"/>
              <w:right w:w="113" w:type="dxa"/>
            </w:tcMar>
            <w:vAlign w:val="bottom"/>
          </w:tcPr>
          <w:p w14:paraId="42460F0B" w14:textId="77777777" w:rsidR="00665BBE" w:rsidRPr="00665BBE" w:rsidRDefault="00665BBE" w:rsidP="009220D2">
            <w:pPr>
              <w:pStyle w:val="CDITable-HeaderRowCentre"/>
            </w:pPr>
            <w:r w:rsidRPr="00665BBE">
              <w:t>Aged</w:t>
            </w:r>
            <w:r>
              <w:br/>
            </w:r>
            <w:r w:rsidRPr="00665BBE">
              <w:t>12–15 years n</w:t>
            </w:r>
            <w:r>
              <w:t> </w:t>
            </w:r>
            <w:r w:rsidRPr="00665BBE">
              <w:t>(</w:t>
            </w:r>
            <w:proofErr w:type="gramStart"/>
            <w:r w:rsidRPr="00665BBE">
              <w:t>%)</w:t>
            </w:r>
            <w:proofErr w:type="spellStart"/>
            <w:r w:rsidRPr="00665BBE">
              <w:rPr>
                <w:vertAlign w:val="superscript"/>
              </w:rPr>
              <w:t>d</w:t>
            </w:r>
            <w:proofErr w:type="gramEnd"/>
            <w:r w:rsidRPr="00665BBE">
              <w:rPr>
                <w:vertAlign w:val="superscript"/>
              </w:rPr>
              <w:t>,e</w:t>
            </w:r>
            <w:proofErr w:type="spellEnd"/>
          </w:p>
        </w:tc>
        <w:tc>
          <w:tcPr>
            <w:tcW w:w="1034" w:type="dxa"/>
            <w:shd w:val="clear" w:color="auto" w:fill="1E4496" w:themeFill="text2"/>
            <w:tcMar>
              <w:top w:w="113" w:type="dxa"/>
              <w:left w:w="113" w:type="dxa"/>
              <w:bottom w:w="113" w:type="dxa"/>
              <w:right w:w="113" w:type="dxa"/>
            </w:tcMar>
            <w:vAlign w:val="bottom"/>
          </w:tcPr>
          <w:p w14:paraId="14BC0353" w14:textId="77777777" w:rsidR="00665BBE" w:rsidRPr="00665BBE" w:rsidRDefault="00665BBE" w:rsidP="009220D2">
            <w:pPr>
              <w:pStyle w:val="CDITable-HeaderRowCentre"/>
            </w:pPr>
            <w:r w:rsidRPr="00665BBE">
              <w:t>Aged</w:t>
            </w:r>
            <w:r>
              <w:br/>
            </w:r>
            <w:r w:rsidRPr="00665BBE">
              <w:t>16–59 years n (</w:t>
            </w:r>
            <w:proofErr w:type="gramStart"/>
            <w:r w:rsidRPr="00665BBE">
              <w:t>%)</w:t>
            </w:r>
            <w:proofErr w:type="spellStart"/>
            <w:r w:rsidRPr="00665BBE">
              <w:rPr>
                <w:vertAlign w:val="superscript"/>
              </w:rPr>
              <w:t>d</w:t>
            </w:r>
            <w:proofErr w:type="gramEnd"/>
            <w:r w:rsidRPr="00665BBE">
              <w:rPr>
                <w:vertAlign w:val="superscript"/>
              </w:rPr>
              <w:t>,e</w:t>
            </w:r>
            <w:proofErr w:type="spellEnd"/>
          </w:p>
        </w:tc>
        <w:tc>
          <w:tcPr>
            <w:tcW w:w="1106" w:type="dxa"/>
            <w:shd w:val="clear" w:color="auto" w:fill="1E4496" w:themeFill="text2"/>
            <w:tcMar>
              <w:top w:w="113" w:type="dxa"/>
              <w:left w:w="113" w:type="dxa"/>
              <w:bottom w:w="113" w:type="dxa"/>
              <w:right w:w="113" w:type="dxa"/>
            </w:tcMar>
            <w:vAlign w:val="bottom"/>
          </w:tcPr>
          <w:p w14:paraId="0BD830F7" w14:textId="77777777" w:rsidR="00665BBE" w:rsidRPr="00665BBE" w:rsidRDefault="00665BBE" w:rsidP="009220D2">
            <w:pPr>
              <w:pStyle w:val="CDITable-HeaderRowCentre"/>
            </w:pPr>
            <w:r w:rsidRPr="00665BBE">
              <w:t>Aged ≥</w:t>
            </w:r>
            <w:r>
              <w:t> </w:t>
            </w:r>
            <w:r w:rsidRPr="00665BBE">
              <w:t>60</w:t>
            </w:r>
            <w:r>
              <w:t> </w:t>
            </w:r>
            <w:r w:rsidRPr="00665BBE">
              <w:t>years n (</w:t>
            </w:r>
            <w:proofErr w:type="gramStart"/>
            <w:r w:rsidRPr="00665BBE">
              <w:t>%)</w:t>
            </w:r>
            <w:proofErr w:type="spellStart"/>
            <w:r w:rsidRPr="00665BBE">
              <w:rPr>
                <w:vertAlign w:val="superscript"/>
              </w:rPr>
              <w:t>d</w:t>
            </w:r>
            <w:proofErr w:type="gramEnd"/>
            <w:r w:rsidRPr="00665BBE">
              <w:rPr>
                <w:vertAlign w:val="superscript"/>
              </w:rPr>
              <w:t>,e</w:t>
            </w:r>
            <w:proofErr w:type="spellEnd"/>
          </w:p>
        </w:tc>
      </w:tr>
      <w:tr w:rsidR="00665BBE" w:rsidRPr="00665BBE" w14:paraId="5CB9D590" w14:textId="77777777" w:rsidTr="00A51CB2">
        <w:trPr>
          <w:trHeight w:val="60"/>
        </w:trPr>
        <w:tc>
          <w:tcPr>
            <w:tcW w:w="1304" w:type="dxa"/>
            <w:tcBorders>
              <w:bottom w:val="single" w:sz="6" w:space="0" w:color="1E4496" w:themeColor="text2"/>
            </w:tcBorders>
            <w:tcMar>
              <w:top w:w="85" w:type="dxa"/>
              <w:left w:w="113" w:type="dxa"/>
              <w:bottom w:w="85" w:type="dxa"/>
              <w:right w:w="113" w:type="dxa"/>
            </w:tcMar>
            <w:vAlign w:val="center"/>
          </w:tcPr>
          <w:p w14:paraId="17871664" w14:textId="77777777" w:rsidR="00665BBE" w:rsidRPr="00665BBE" w:rsidRDefault="00665BBE" w:rsidP="009220D2">
            <w:pPr>
              <w:pStyle w:val="CDITable-RowLeft"/>
            </w:pPr>
            <w:r w:rsidRPr="00665BBE">
              <w:t>Comirnaty</w:t>
            </w:r>
          </w:p>
        </w:tc>
        <w:tc>
          <w:tcPr>
            <w:tcW w:w="1035" w:type="dxa"/>
            <w:tcBorders>
              <w:bottom w:val="single" w:sz="6" w:space="0" w:color="1E4496" w:themeColor="text2"/>
            </w:tcBorders>
            <w:tcMar>
              <w:top w:w="85" w:type="dxa"/>
              <w:left w:w="113" w:type="dxa"/>
              <w:bottom w:w="85" w:type="dxa"/>
              <w:right w:w="113" w:type="dxa"/>
            </w:tcMar>
            <w:vAlign w:val="center"/>
          </w:tcPr>
          <w:p w14:paraId="3472BE97" w14:textId="77777777" w:rsidR="00665BBE" w:rsidRPr="00665BBE" w:rsidRDefault="00665BBE" w:rsidP="009220D2">
            <w:pPr>
              <w:pStyle w:val="CDITable-RowCentre"/>
            </w:pPr>
            <w:r w:rsidRPr="00665BBE">
              <w:t>13,859 (75.3)</w:t>
            </w:r>
          </w:p>
        </w:tc>
        <w:tc>
          <w:tcPr>
            <w:tcW w:w="1034" w:type="dxa"/>
            <w:tcBorders>
              <w:bottom w:val="single" w:sz="6" w:space="0" w:color="1E4496" w:themeColor="text2"/>
            </w:tcBorders>
            <w:tcMar>
              <w:top w:w="85" w:type="dxa"/>
              <w:left w:w="113" w:type="dxa"/>
              <w:bottom w:w="85" w:type="dxa"/>
              <w:right w:w="113" w:type="dxa"/>
            </w:tcMar>
            <w:vAlign w:val="center"/>
          </w:tcPr>
          <w:p w14:paraId="31066C8A" w14:textId="77777777" w:rsidR="00665BBE" w:rsidRPr="00665BBE" w:rsidRDefault="00665BBE" w:rsidP="009220D2">
            <w:pPr>
              <w:pStyle w:val="CDITable-RowCentre"/>
            </w:pPr>
            <w:r w:rsidRPr="00665BBE">
              <w:t>12,496 (90.2)</w:t>
            </w:r>
          </w:p>
        </w:tc>
        <w:tc>
          <w:tcPr>
            <w:tcW w:w="1035" w:type="dxa"/>
            <w:tcBorders>
              <w:bottom w:val="single" w:sz="6" w:space="0" w:color="1E4496" w:themeColor="text2"/>
            </w:tcBorders>
            <w:tcMar>
              <w:top w:w="85" w:type="dxa"/>
              <w:left w:w="113" w:type="dxa"/>
              <w:bottom w:w="85" w:type="dxa"/>
              <w:right w:w="113" w:type="dxa"/>
            </w:tcMar>
            <w:vAlign w:val="center"/>
          </w:tcPr>
          <w:p w14:paraId="5E7EC11F" w14:textId="77777777" w:rsidR="00665BBE" w:rsidRPr="00665BBE" w:rsidRDefault="00665BBE" w:rsidP="009220D2">
            <w:pPr>
              <w:pStyle w:val="CDITable-RowCentre"/>
            </w:pPr>
            <w:r w:rsidRPr="00665BBE">
              <w:t>1,849 (13.3)</w:t>
            </w:r>
          </w:p>
        </w:tc>
        <w:tc>
          <w:tcPr>
            <w:tcW w:w="1035" w:type="dxa"/>
            <w:tcBorders>
              <w:bottom w:val="single" w:sz="6" w:space="0" w:color="1E4496" w:themeColor="text2"/>
            </w:tcBorders>
            <w:tcMar>
              <w:top w:w="85" w:type="dxa"/>
              <w:left w:w="113" w:type="dxa"/>
              <w:bottom w:w="85" w:type="dxa"/>
              <w:right w:w="113" w:type="dxa"/>
            </w:tcMar>
            <w:vAlign w:val="center"/>
          </w:tcPr>
          <w:p w14:paraId="3FC3BE0B" w14:textId="77777777" w:rsidR="00665BBE" w:rsidRPr="00665BBE" w:rsidRDefault="00665BBE" w:rsidP="009220D2">
            <w:pPr>
              <w:pStyle w:val="CDITable-RowCentre"/>
            </w:pPr>
            <w:r w:rsidRPr="00665BBE">
              <w:t>26</w:t>
            </w:r>
            <w:r w:rsidRPr="00665BBE">
              <w:br/>
              <w:t>(0.2)</w:t>
            </w:r>
          </w:p>
        </w:tc>
        <w:tc>
          <w:tcPr>
            <w:tcW w:w="1034" w:type="dxa"/>
            <w:tcBorders>
              <w:bottom w:val="single" w:sz="6" w:space="0" w:color="1E4496" w:themeColor="text2"/>
            </w:tcBorders>
            <w:tcMar>
              <w:top w:w="85" w:type="dxa"/>
              <w:left w:w="113" w:type="dxa"/>
              <w:bottom w:w="85" w:type="dxa"/>
              <w:right w:w="113" w:type="dxa"/>
            </w:tcMar>
            <w:vAlign w:val="center"/>
          </w:tcPr>
          <w:p w14:paraId="535E8888" w14:textId="77777777" w:rsidR="00665BBE" w:rsidRPr="00665BBE" w:rsidRDefault="00665BBE" w:rsidP="009220D2">
            <w:pPr>
              <w:pStyle w:val="CDITable-RowCentre"/>
            </w:pPr>
            <w:r w:rsidRPr="00665BBE">
              <w:t>1,621 (11.7)</w:t>
            </w:r>
          </w:p>
        </w:tc>
        <w:tc>
          <w:tcPr>
            <w:tcW w:w="1035" w:type="dxa"/>
            <w:tcBorders>
              <w:bottom w:val="single" w:sz="6" w:space="0" w:color="1E4496" w:themeColor="text2"/>
            </w:tcBorders>
            <w:tcMar>
              <w:top w:w="85" w:type="dxa"/>
              <w:left w:w="113" w:type="dxa"/>
              <w:bottom w:w="85" w:type="dxa"/>
              <w:right w:w="113" w:type="dxa"/>
            </w:tcMar>
            <w:vAlign w:val="center"/>
          </w:tcPr>
          <w:p w14:paraId="6CA8AFC2" w14:textId="77777777" w:rsidR="00665BBE" w:rsidRPr="00665BBE" w:rsidRDefault="00665BBE" w:rsidP="009220D2">
            <w:pPr>
              <w:pStyle w:val="CDITable-RowCentre"/>
            </w:pPr>
            <w:r w:rsidRPr="00665BBE">
              <w:t>555</w:t>
            </w:r>
            <w:r w:rsidRPr="00665BBE">
              <w:br/>
              <w:t>(4.0)</w:t>
            </w:r>
          </w:p>
        </w:tc>
        <w:tc>
          <w:tcPr>
            <w:tcW w:w="1034" w:type="dxa"/>
            <w:tcBorders>
              <w:bottom w:val="single" w:sz="6" w:space="0" w:color="1E4496" w:themeColor="text2"/>
            </w:tcBorders>
            <w:tcMar>
              <w:top w:w="85" w:type="dxa"/>
              <w:left w:w="113" w:type="dxa"/>
              <w:bottom w:w="85" w:type="dxa"/>
              <w:right w:w="113" w:type="dxa"/>
            </w:tcMar>
            <w:vAlign w:val="center"/>
          </w:tcPr>
          <w:p w14:paraId="1E6B83F7" w14:textId="77777777" w:rsidR="00665BBE" w:rsidRPr="00665BBE" w:rsidRDefault="00665BBE" w:rsidP="009220D2">
            <w:pPr>
              <w:pStyle w:val="CDITable-RowCentre"/>
            </w:pPr>
            <w:r w:rsidRPr="00665BBE">
              <w:t>8,420 (60.8)</w:t>
            </w:r>
          </w:p>
        </w:tc>
        <w:tc>
          <w:tcPr>
            <w:tcW w:w="1106" w:type="dxa"/>
            <w:tcBorders>
              <w:bottom w:val="single" w:sz="6" w:space="0" w:color="1E4496" w:themeColor="text2"/>
            </w:tcBorders>
            <w:tcMar>
              <w:top w:w="85" w:type="dxa"/>
              <w:left w:w="113" w:type="dxa"/>
              <w:bottom w:w="85" w:type="dxa"/>
              <w:right w:w="113" w:type="dxa"/>
            </w:tcMar>
            <w:vAlign w:val="center"/>
          </w:tcPr>
          <w:p w14:paraId="1DB25028" w14:textId="77777777" w:rsidR="00665BBE" w:rsidRPr="00665BBE" w:rsidRDefault="00665BBE" w:rsidP="009220D2">
            <w:pPr>
              <w:pStyle w:val="CDITable-RowCentre"/>
            </w:pPr>
            <w:r w:rsidRPr="00665BBE">
              <w:t>2,547 (18.4)</w:t>
            </w:r>
          </w:p>
        </w:tc>
      </w:tr>
      <w:tr w:rsidR="00665BBE" w:rsidRPr="00665BBE" w14:paraId="26271633" w14:textId="77777777" w:rsidTr="00A51CB2">
        <w:trPr>
          <w:trHeight w:val="60"/>
        </w:trPr>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42D6A5" w14:textId="77777777" w:rsidR="00665BBE" w:rsidRPr="00665BBE" w:rsidRDefault="00665BBE" w:rsidP="009220D2">
            <w:pPr>
              <w:pStyle w:val="CDITable-RowLeft"/>
            </w:pPr>
            <w:r w:rsidRPr="00665BBE">
              <w:t>Spikevax</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314FE7" w14:textId="77777777" w:rsidR="00665BBE" w:rsidRPr="00665BBE" w:rsidRDefault="00665BBE" w:rsidP="009220D2">
            <w:pPr>
              <w:pStyle w:val="CDITable-RowCentre"/>
            </w:pPr>
            <w:r w:rsidRPr="00665BBE">
              <w:t>3,002 (16.3)</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D35A90" w14:textId="77777777" w:rsidR="00665BBE" w:rsidRPr="00665BBE" w:rsidRDefault="00665BBE" w:rsidP="009220D2">
            <w:pPr>
              <w:pStyle w:val="CDITable-RowCentre"/>
            </w:pPr>
            <w:r w:rsidRPr="00665BBE">
              <w:t>2,755 (91.8)</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4613B7" w14:textId="77777777" w:rsidR="00665BBE" w:rsidRPr="00665BBE" w:rsidRDefault="00665BBE" w:rsidP="009220D2">
            <w:pPr>
              <w:pStyle w:val="CDITable-RowCentre"/>
            </w:pPr>
            <w:r w:rsidRPr="00665BBE">
              <w:t>397</w:t>
            </w:r>
            <w:r w:rsidRPr="00665BBE">
              <w:br/>
              <w:t>(13.2)</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6F1F4F" w14:textId="77777777" w:rsidR="00665BBE" w:rsidRPr="00665BBE" w:rsidRDefault="00665BBE" w:rsidP="009220D2">
            <w:pPr>
              <w:pStyle w:val="CDITable-RowCentre"/>
            </w:pPr>
            <w:r w:rsidRPr="00665BBE">
              <w:t>2</w:t>
            </w:r>
            <w:r w:rsidRPr="00665BBE">
              <w:br/>
              <w:t>(0.1)</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10ECA4" w14:textId="77777777" w:rsidR="00665BBE" w:rsidRPr="00665BBE" w:rsidRDefault="00665BBE" w:rsidP="009220D2">
            <w:pPr>
              <w:pStyle w:val="CDITable-RowCentre"/>
            </w:pPr>
            <w:r w:rsidRPr="00665BBE">
              <w:t>14</w:t>
            </w:r>
            <w:r w:rsidRPr="00665BBE">
              <w:br/>
              <w:t>(0.5)</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5352B4" w14:textId="77777777" w:rsidR="00665BBE" w:rsidRPr="00665BBE" w:rsidRDefault="00665BBE" w:rsidP="009220D2">
            <w:pPr>
              <w:pStyle w:val="CDITable-RowCentre"/>
            </w:pPr>
            <w:r w:rsidRPr="00665BBE">
              <w:t>60</w:t>
            </w:r>
            <w:r w:rsidRPr="00665BBE">
              <w:br/>
              <w:t>(2.0)</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989870" w14:textId="77777777" w:rsidR="00665BBE" w:rsidRPr="00665BBE" w:rsidRDefault="00665BBE" w:rsidP="009220D2">
            <w:pPr>
              <w:pStyle w:val="CDITable-RowCentre"/>
            </w:pPr>
            <w:r w:rsidRPr="00665BBE">
              <w:t>2,085 (69.5)</w:t>
            </w:r>
          </w:p>
        </w:tc>
        <w:tc>
          <w:tcPr>
            <w:tcW w:w="11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1CBA61" w14:textId="77777777" w:rsidR="00665BBE" w:rsidRPr="00665BBE" w:rsidRDefault="00665BBE" w:rsidP="009220D2">
            <w:pPr>
              <w:pStyle w:val="CDITable-RowCentre"/>
            </w:pPr>
            <w:r w:rsidRPr="00665BBE">
              <w:t>689</w:t>
            </w:r>
            <w:r w:rsidRPr="00665BBE">
              <w:br/>
              <w:t>(23.0)</w:t>
            </w:r>
          </w:p>
        </w:tc>
      </w:tr>
      <w:tr w:rsidR="00665BBE" w:rsidRPr="00665BBE" w14:paraId="7F13C907" w14:textId="77777777" w:rsidTr="00A51CB2">
        <w:trPr>
          <w:trHeight w:val="60"/>
        </w:trPr>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8B58C7" w14:textId="77777777" w:rsidR="00665BBE" w:rsidRPr="00665BBE" w:rsidRDefault="00665BBE" w:rsidP="009220D2">
            <w:pPr>
              <w:pStyle w:val="CDITable-RowLeft"/>
            </w:pPr>
            <w:r w:rsidRPr="00665BBE">
              <w:t>Nuvaxovid</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D99140" w14:textId="77777777" w:rsidR="00665BBE" w:rsidRPr="00665BBE" w:rsidRDefault="00665BBE" w:rsidP="009220D2">
            <w:pPr>
              <w:pStyle w:val="CDITable-RowCentre"/>
            </w:pPr>
            <w:r w:rsidRPr="00665BBE">
              <w:t>948</w:t>
            </w:r>
            <w:r w:rsidRPr="00665BBE">
              <w:br/>
              <w:t>(5.2)</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A61E9E" w14:textId="77777777" w:rsidR="00665BBE" w:rsidRPr="00665BBE" w:rsidRDefault="00665BBE" w:rsidP="009220D2">
            <w:pPr>
              <w:pStyle w:val="CDITable-RowCentre"/>
            </w:pPr>
            <w:r w:rsidRPr="00665BBE">
              <w:t>848</w:t>
            </w:r>
            <w:r w:rsidRPr="00665BBE">
              <w:br/>
              <w:t>(89.5)</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F1491F" w14:textId="77777777" w:rsidR="00665BBE" w:rsidRPr="00665BBE" w:rsidRDefault="00665BBE" w:rsidP="009220D2">
            <w:pPr>
              <w:pStyle w:val="CDITable-RowCentre"/>
            </w:pPr>
            <w:r w:rsidRPr="00665BBE">
              <w:t>133</w:t>
            </w:r>
            <w:r w:rsidRPr="00665BBE">
              <w:br/>
              <w:t>(14.0)</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8F0D2A" w14:textId="77777777" w:rsidR="00665BBE" w:rsidRPr="00665BBE" w:rsidRDefault="00665BBE" w:rsidP="009220D2">
            <w:pPr>
              <w:pStyle w:val="CDITable-RowCentre"/>
            </w:pPr>
            <w:r w:rsidRPr="00665BBE">
              <w:t>0</w:t>
            </w:r>
            <w:r w:rsidRPr="00665BBE">
              <w:br/>
              <w:t>(0)</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F8FB78" w14:textId="77777777" w:rsidR="00665BBE" w:rsidRPr="00665BBE" w:rsidRDefault="00665BBE" w:rsidP="009220D2">
            <w:pPr>
              <w:pStyle w:val="CDITable-RowCentre"/>
            </w:pPr>
            <w:r w:rsidRPr="00665BBE">
              <w:t>2</w:t>
            </w:r>
            <w:r w:rsidRPr="00665BBE">
              <w:br/>
              <w:t>(0.2)</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D40422" w14:textId="77777777" w:rsidR="00665BBE" w:rsidRPr="00665BBE" w:rsidRDefault="00665BBE" w:rsidP="009220D2">
            <w:pPr>
              <w:pStyle w:val="CDITable-RowCentre"/>
            </w:pPr>
            <w:r w:rsidRPr="00665BBE">
              <w:t>4</w:t>
            </w:r>
            <w:r w:rsidRPr="00665BBE">
              <w:br/>
              <w:t>(0.4)</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AF6883" w14:textId="77777777" w:rsidR="00665BBE" w:rsidRPr="00665BBE" w:rsidRDefault="00665BBE" w:rsidP="009220D2">
            <w:pPr>
              <w:pStyle w:val="CDITable-RowCentre"/>
            </w:pPr>
            <w:r w:rsidRPr="00665BBE">
              <w:t>765</w:t>
            </w:r>
            <w:r w:rsidRPr="00665BBE">
              <w:br/>
              <w:t>(80.7)</w:t>
            </w:r>
          </w:p>
        </w:tc>
        <w:tc>
          <w:tcPr>
            <w:tcW w:w="11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495377" w14:textId="77777777" w:rsidR="00665BBE" w:rsidRPr="00665BBE" w:rsidRDefault="00665BBE" w:rsidP="009220D2">
            <w:pPr>
              <w:pStyle w:val="CDITable-RowCentre"/>
            </w:pPr>
            <w:r w:rsidRPr="00665BBE">
              <w:t>125</w:t>
            </w:r>
            <w:r w:rsidRPr="00665BBE">
              <w:br/>
              <w:t>(13.2)</w:t>
            </w:r>
          </w:p>
        </w:tc>
      </w:tr>
      <w:tr w:rsidR="00665BBE" w:rsidRPr="00665BBE" w14:paraId="270EFF5B" w14:textId="77777777" w:rsidTr="00A51CB2">
        <w:trPr>
          <w:trHeight w:val="60"/>
        </w:trPr>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1418B7" w14:textId="77777777" w:rsidR="00665BBE" w:rsidRPr="00665BBE" w:rsidRDefault="00665BBE" w:rsidP="009220D2">
            <w:pPr>
              <w:pStyle w:val="CDITable-RowLeft"/>
            </w:pPr>
            <w:r w:rsidRPr="00665BBE">
              <w:t>Vaxzevria</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04F208" w14:textId="77777777" w:rsidR="00665BBE" w:rsidRPr="00665BBE" w:rsidRDefault="00665BBE" w:rsidP="009220D2">
            <w:pPr>
              <w:pStyle w:val="CDITable-RowCentre"/>
            </w:pPr>
            <w:r w:rsidRPr="00665BBE">
              <w:t>680</w:t>
            </w:r>
            <w:r w:rsidRPr="00665BBE">
              <w:br/>
              <w:t>(3.7)</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C5F6AB" w14:textId="77777777" w:rsidR="00665BBE" w:rsidRPr="00665BBE" w:rsidRDefault="00665BBE" w:rsidP="009220D2">
            <w:pPr>
              <w:pStyle w:val="CDITable-RowCentre"/>
            </w:pPr>
            <w:r w:rsidRPr="00665BBE">
              <w:t>433</w:t>
            </w:r>
            <w:r w:rsidRPr="00665BBE">
              <w:br/>
              <w:t>(63.7)</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94EF30" w14:textId="77777777" w:rsidR="00665BBE" w:rsidRPr="00665BBE" w:rsidRDefault="00665BBE" w:rsidP="009220D2">
            <w:pPr>
              <w:pStyle w:val="CDITable-RowCentre"/>
            </w:pPr>
            <w:r w:rsidRPr="00665BBE">
              <w:t>231</w:t>
            </w:r>
            <w:r w:rsidRPr="00665BBE">
              <w:br/>
              <w:t>(34.0)</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A8E1F2" w14:textId="77777777" w:rsidR="00665BBE" w:rsidRPr="00665BBE" w:rsidRDefault="00665BBE" w:rsidP="009220D2">
            <w:pPr>
              <w:pStyle w:val="CDITable-RowCentre"/>
            </w:pPr>
            <w:r w:rsidRPr="00665BBE">
              <w:t>1</w:t>
            </w:r>
            <w:r w:rsidRPr="00665BBE">
              <w:br/>
              <w:t>(0.1)</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F0F521" w14:textId="77777777" w:rsidR="00665BBE" w:rsidRPr="00665BBE" w:rsidRDefault="00665BBE" w:rsidP="009220D2">
            <w:pPr>
              <w:pStyle w:val="CDITable-RowCentre"/>
            </w:pPr>
            <w:r w:rsidRPr="00665BBE">
              <w:t>2</w:t>
            </w:r>
            <w:r w:rsidRPr="00665BBE">
              <w:br/>
              <w:t>(0.3)</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F8C256" w14:textId="77777777" w:rsidR="00665BBE" w:rsidRPr="00665BBE" w:rsidRDefault="00665BBE" w:rsidP="009220D2">
            <w:pPr>
              <w:pStyle w:val="CDITable-RowCentre"/>
            </w:pPr>
            <w:r w:rsidRPr="00665BBE">
              <w:t>0</w:t>
            </w:r>
            <w:r w:rsidRPr="00665BBE">
              <w:br/>
              <w:t>(0)</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4444CC" w14:textId="77777777" w:rsidR="00665BBE" w:rsidRPr="00665BBE" w:rsidRDefault="00665BBE" w:rsidP="009220D2">
            <w:pPr>
              <w:pStyle w:val="CDITable-RowCentre"/>
            </w:pPr>
            <w:r w:rsidRPr="00665BBE">
              <w:t>310</w:t>
            </w:r>
            <w:r w:rsidRPr="00665BBE">
              <w:br/>
              <w:t>(45.6)</w:t>
            </w:r>
          </w:p>
        </w:tc>
        <w:tc>
          <w:tcPr>
            <w:tcW w:w="11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0FFAA2" w14:textId="77777777" w:rsidR="00665BBE" w:rsidRPr="00665BBE" w:rsidRDefault="00665BBE" w:rsidP="009220D2">
            <w:pPr>
              <w:pStyle w:val="CDITable-RowCentre"/>
            </w:pPr>
            <w:r w:rsidRPr="00665BBE">
              <w:t>252</w:t>
            </w:r>
            <w:r w:rsidRPr="00665BBE">
              <w:br/>
              <w:t>(37.1)</w:t>
            </w:r>
          </w:p>
        </w:tc>
      </w:tr>
      <w:tr w:rsidR="00665BBE" w:rsidRPr="00665BBE" w14:paraId="13209A8D" w14:textId="77777777" w:rsidTr="00A51CB2">
        <w:trPr>
          <w:trHeight w:val="60"/>
        </w:trPr>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670C1F" w14:textId="77777777" w:rsidR="00665BBE" w:rsidRPr="00665BBE" w:rsidRDefault="00665BBE" w:rsidP="009220D2">
            <w:pPr>
              <w:pStyle w:val="CDITable-RowLeft"/>
            </w:pPr>
            <w:r w:rsidRPr="00665BBE">
              <w:t>COVID-19 (unspecified)</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48AE5E" w14:textId="77777777" w:rsidR="00665BBE" w:rsidRPr="00665BBE" w:rsidRDefault="00665BBE" w:rsidP="009220D2">
            <w:pPr>
              <w:pStyle w:val="CDITable-RowCentre"/>
            </w:pPr>
            <w:r w:rsidRPr="00665BBE">
              <w:t>168</w:t>
            </w:r>
            <w:r w:rsidRPr="00665BBE">
              <w:br/>
              <w:t>(0.9)</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563353" w14:textId="77777777" w:rsidR="00665BBE" w:rsidRPr="00665BBE" w:rsidRDefault="00665BBE" w:rsidP="009220D2">
            <w:pPr>
              <w:pStyle w:val="CDITable-RowCentre"/>
            </w:pPr>
            <w:r w:rsidRPr="00665BBE">
              <w:t>111</w:t>
            </w:r>
            <w:r w:rsidRPr="00665BBE">
              <w:br/>
              <w:t>(66.1)</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FBD590" w14:textId="77777777" w:rsidR="00665BBE" w:rsidRPr="00665BBE" w:rsidRDefault="00665BBE" w:rsidP="009220D2">
            <w:pPr>
              <w:pStyle w:val="CDITable-RowCentre"/>
            </w:pPr>
            <w:r w:rsidRPr="00665BBE">
              <w:t>55</w:t>
            </w:r>
            <w:r w:rsidRPr="00665BBE">
              <w:br/>
              <w:t>(32.7)</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3CCA0F" w14:textId="77777777" w:rsidR="00665BBE" w:rsidRPr="00665BBE" w:rsidRDefault="00665BBE" w:rsidP="009220D2">
            <w:pPr>
              <w:pStyle w:val="CDITable-RowCentre"/>
            </w:pPr>
            <w:r w:rsidRPr="00665BBE">
              <w:t>0</w:t>
            </w:r>
            <w:r w:rsidRPr="00665BBE">
              <w:br/>
              <w:t>(0)</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2065A3" w14:textId="77777777" w:rsidR="00665BBE" w:rsidRPr="00665BBE" w:rsidRDefault="00665BBE" w:rsidP="009220D2">
            <w:pPr>
              <w:pStyle w:val="CDITable-RowCentre"/>
            </w:pPr>
            <w:r w:rsidRPr="00665BBE">
              <w:t>9</w:t>
            </w:r>
            <w:r w:rsidRPr="00665BBE">
              <w:br/>
              <w:t>(5.4)</w:t>
            </w:r>
          </w:p>
        </w:tc>
        <w:tc>
          <w:tcPr>
            <w:tcW w:w="10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E7DCED" w14:textId="77777777" w:rsidR="00665BBE" w:rsidRPr="00665BBE" w:rsidRDefault="00665BBE" w:rsidP="009220D2">
            <w:pPr>
              <w:pStyle w:val="CDITable-RowCentre"/>
            </w:pPr>
            <w:r w:rsidRPr="00665BBE">
              <w:t>2</w:t>
            </w:r>
            <w:r w:rsidRPr="00665BBE">
              <w:br/>
              <w:t>(1.2)</w:t>
            </w:r>
          </w:p>
        </w:tc>
        <w:tc>
          <w:tcPr>
            <w:tcW w:w="10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137192" w14:textId="77777777" w:rsidR="00665BBE" w:rsidRPr="00665BBE" w:rsidRDefault="00665BBE" w:rsidP="009220D2">
            <w:pPr>
              <w:pStyle w:val="CDITable-RowCentre"/>
            </w:pPr>
            <w:r w:rsidRPr="00665BBE">
              <w:t>80</w:t>
            </w:r>
            <w:r w:rsidRPr="00665BBE">
              <w:br/>
              <w:t>(47.6)</w:t>
            </w:r>
          </w:p>
        </w:tc>
        <w:tc>
          <w:tcPr>
            <w:tcW w:w="11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F8E973" w14:textId="77777777" w:rsidR="00665BBE" w:rsidRPr="00665BBE" w:rsidRDefault="00665BBE" w:rsidP="009220D2">
            <w:pPr>
              <w:pStyle w:val="CDITable-RowCentre"/>
            </w:pPr>
            <w:r w:rsidRPr="00665BBE">
              <w:t>28</w:t>
            </w:r>
            <w:r w:rsidRPr="00665BBE">
              <w:br/>
              <w:t>(16.7)</w:t>
            </w:r>
          </w:p>
        </w:tc>
      </w:tr>
    </w:tbl>
    <w:p w14:paraId="64D5C86B" w14:textId="77777777" w:rsidR="00665BBE" w:rsidRPr="000C697F" w:rsidRDefault="00665BBE" w:rsidP="00665BBE">
      <w:pPr>
        <w:pStyle w:val="CDITable-FirstFootnote"/>
        <w:rPr>
          <w:lang w:val="en-GB"/>
        </w:rPr>
      </w:pPr>
      <w:proofErr w:type="gramStart"/>
      <w:r w:rsidRPr="000C697F">
        <w:rPr>
          <w:lang w:val="en-GB"/>
        </w:rPr>
        <w:t>a</w:t>
      </w:r>
      <w:r w:rsidRPr="000C697F">
        <w:rPr>
          <w:lang w:val="en-GB"/>
        </w:rPr>
        <w:tab/>
        <w:t>Number of</w:t>
      </w:r>
      <w:proofErr w:type="gramEnd"/>
      <w:r w:rsidRPr="000C697F">
        <w:rPr>
          <w:lang w:val="en-GB"/>
        </w:rPr>
        <w:t xml:space="preserve"> AEFI reports in which the vaccine was coded as ‘suspect’ in relation to causal involvement in the reported adverse event, and the vaccine was administered between 1 January and 31 December 2022. Reports are included in this analysis only if the date of vaccination occurred in 2022 (or where the date of vaccination is unavailable, the date of symptom onset occurring in 2022; or when both the date of vaccination and date of symptom onset are unavailable, the date of adverse event reporting occurring in 2022). Therefore, there may be discrepancies with the numbers in this table and those published in other TGA outputs, where reports are included if the date of reporting falls within 2022, regardless of the year of vaccination or symptom onset.</w:t>
      </w:r>
    </w:p>
    <w:p w14:paraId="7876AFB9" w14:textId="77777777" w:rsidR="00665BBE" w:rsidRPr="000C697F" w:rsidRDefault="00665BBE" w:rsidP="00665BBE">
      <w:pPr>
        <w:pStyle w:val="CDITable-Footnote"/>
        <w:rPr>
          <w:lang w:val="en-GB"/>
        </w:rPr>
      </w:pPr>
      <w:r w:rsidRPr="000C697F">
        <w:rPr>
          <w:lang w:val="en-GB"/>
        </w:rPr>
        <w:t>b</w:t>
      </w:r>
      <w:r w:rsidRPr="000C697F">
        <w:rPr>
          <w:lang w:val="en-GB"/>
        </w:rPr>
        <w:tab/>
        <w:t>AEFI reports where only one vaccine was coded as ‘suspect’ in relation to causal involvement in a reported adverse event.</w:t>
      </w:r>
    </w:p>
    <w:p w14:paraId="7C4039E6" w14:textId="77777777" w:rsidR="00665BBE" w:rsidRPr="000C697F" w:rsidRDefault="00665BBE" w:rsidP="00665BBE">
      <w:pPr>
        <w:pStyle w:val="CDITable-Footnote"/>
        <w:rPr>
          <w:lang w:val="en-GB"/>
        </w:rPr>
      </w:pPr>
      <w:r w:rsidRPr="000C697F">
        <w:rPr>
          <w:lang w:val="en-GB"/>
        </w:rPr>
        <w:t>c</w:t>
      </w:r>
      <w:r w:rsidRPr="000C697F">
        <w:rPr>
          <w:lang w:val="en-GB"/>
        </w:rPr>
        <w:tab/>
      </w:r>
      <w:proofErr w:type="gramStart"/>
      <w:r w:rsidRPr="000C697F">
        <w:rPr>
          <w:lang w:val="en-GB"/>
        </w:rPr>
        <w:t>An</w:t>
      </w:r>
      <w:proofErr w:type="gramEnd"/>
      <w:r w:rsidRPr="000C697F">
        <w:rPr>
          <w:lang w:val="en-GB"/>
        </w:rPr>
        <w:t xml:space="preserve"> adverse event report is defined as ‘</w:t>
      </w:r>
      <w:proofErr w:type="spellStart"/>
      <w:r w:rsidRPr="000C697F">
        <w:rPr>
          <w:lang w:val="en-GB"/>
        </w:rPr>
        <w:t>serious’</w:t>
      </w:r>
      <w:proofErr w:type="spellEnd"/>
      <w:r w:rsidRPr="000C697F">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46FA29C3" w14:textId="77777777" w:rsidR="00665BBE" w:rsidRPr="000C697F" w:rsidRDefault="00665BBE" w:rsidP="00665BBE">
      <w:pPr>
        <w:pStyle w:val="CDITable-Footnote"/>
        <w:rPr>
          <w:lang w:val="en-GB"/>
        </w:rPr>
      </w:pPr>
      <w:r w:rsidRPr="000C697F">
        <w:rPr>
          <w:lang w:val="en-GB"/>
        </w:rPr>
        <w:t>d</w:t>
      </w:r>
      <w:r w:rsidRPr="000C697F">
        <w:rPr>
          <w:lang w:val="en-GB"/>
        </w:rPr>
        <w:tab/>
        <w:t>Includes only AEFI reports where an age or date of birth has been provided.</w:t>
      </w:r>
    </w:p>
    <w:p w14:paraId="370D3F70" w14:textId="13A160BA" w:rsidR="00665BBE" w:rsidRDefault="00665BBE" w:rsidP="00665BBE">
      <w:pPr>
        <w:pStyle w:val="CDITable-Footnote"/>
        <w:rPr>
          <w:lang w:val="en-GB"/>
        </w:rPr>
      </w:pPr>
      <w:r w:rsidRPr="000C697F">
        <w:rPr>
          <w:lang w:val="en-GB"/>
        </w:rPr>
        <w:t>e</w:t>
      </w:r>
      <w:r w:rsidRPr="000C697F">
        <w:rPr>
          <w:lang w:val="en-GB"/>
        </w:rPr>
        <w:tab/>
        <w:t>Percentages are calculated for the number of AEFI reports where the vaccine was suspected of causal involvement in the event.</w:t>
      </w:r>
    </w:p>
    <w:p w14:paraId="23FA3E44" w14:textId="77777777" w:rsidR="00192DC3" w:rsidRPr="00192DC3" w:rsidRDefault="00192DC3" w:rsidP="00192DC3">
      <w:pPr>
        <w:pStyle w:val="Heading2"/>
        <w:rPr>
          <w:lang w:val="en-GB"/>
        </w:rPr>
      </w:pPr>
      <w:bookmarkStart w:id="31" w:name="_Toc215578712"/>
      <w:r w:rsidRPr="00192DC3">
        <w:rPr>
          <w:lang w:val="en-GB"/>
        </w:rPr>
        <w:t>Reporting rates</w:t>
      </w:r>
      <w:bookmarkEnd w:id="31"/>
    </w:p>
    <w:p w14:paraId="523388D3" w14:textId="77777777" w:rsidR="00192DC3" w:rsidRPr="00192DC3" w:rsidRDefault="00192DC3" w:rsidP="00A51CB2">
      <w:pPr>
        <w:pStyle w:val="Heading3-lessspacebefore"/>
        <w:rPr>
          <w:lang w:val="en-GB"/>
        </w:rPr>
      </w:pPr>
      <w:r w:rsidRPr="00192DC3">
        <w:rPr>
          <w:lang w:val="en-GB"/>
        </w:rPr>
        <w:t>Dose-based reporting rates</w:t>
      </w:r>
    </w:p>
    <w:p w14:paraId="64CA2DCD" w14:textId="77777777" w:rsidR="00A51CB2" w:rsidRDefault="00192DC3" w:rsidP="00665BBE">
      <w:pPr>
        <w:rPr>
          <w:lang w:val="en-GB"/>
        </w:rPr>
      </w:pPr>
      <w:r w:rsidRPr="00192DC3">
        <w:rPr>
          <w:lang w:val="en-GB"/>
        </w:rPr>
        <w:t xml:space="preserve">The overall COVID-19 vaccine AEFI reporting rate for 2022 was 89.6 [95% CI: 88.3–90.9] per 100,000 doses of COVID-19 vaccines administered (Table 1). The reporting rate was highest in the first quarter of the </w:t>
      </w:r>
      <w:proofErr w:type="gramStart"/>
      <w:r w:rsidRPr="00192DC3">
        <w:rPr>
          <w:lang w:val="en-GB"/>
        </w:rPr>
        <w:t>year, and</w:t>
      </w:r>
      <w:proofErr w:type="gramEnd"/>
      <w:r w:rsidRPr="00192DC3">
        <w:rPr>
          <w:lang w:val="en-GB"/>
        </w:rPr>
        <w:t xml:space="preserve"> remained stable for the remainder of 2022 (Figure 1).</w:t>
      </w:r>
    </w:p>
    <w:p w14:paraId="3B4BFBB9" w14:textId="77777777" w:rsidR="00A51CB2" w:rsidRPr="00192DC3" w:rsidRDefault="00A51CB2" w:rsidP="00A51CB2">
      <w:pPr>
        <w:rPr>
          <w:lang w:val="en-GB"/>
        </w:rPr>
      </w:pPr>
      <w:r w:rsidRPr="00192DC3">
        <w:rPr>
          <w:lang w:val="en-GB"/>
        </w:rPr>
        <w:t xml:space="preserve">The AEFI reporting rate per 100,000 doses was notably the highest in children aged &lt; 5 years (2,443.1 per 100,000 doses; Table 1), for whom COVID-19 vaccines were first approved for use in 2022. A large proportion of AEFI reports in this age group (72%) described vaccination errors, which did not result in adverse events other than transient mild symptoms in some individuals (further details in </w:t>
      </w:r>
      <w:r w:rsidRPr="00192DC3">
        <w:rPr>
          <w:i/>
          <w:iCs/>
          <w:lang w:val="en-GB"/>
        </w:rPr>
        <w:t>Adverse events</w:t>
      </w:r>
      <w:r w:rsidRPr="00192DC3">
        <w:rPr>
          <w:lang w:val="en-GB"/>
        </w:rPr>
        <w:t xml:space="preserve"> section of Results). Additionally, reporting rates in this age group are likely to be unreliable due to the low total number of COVID-19 vaccine doses administered. The next highest reporting rates were in people aged 16–59 years (115.2 per 100,000 doses), </w:t>
      </w:r>
      <w:r w:rsidRPr="00192DC3">
        <w:rPr>
          <w:lang w:val="en-GB"/>
        </w:rPr>
        <w:lastRenderedPageBreak/>
        <w:t>followed by adolescents aged 12–15 years (106.3 per 100,000 doses). People aged ≥ 60 years had the lowest AEFI reporting rate at 46.6 per 100,000 doses (Table 1), a marked reduction from the dose-based reporting rate in 2021 (228.4 reports per 100,000 doses in people aged ≥ 60 years).</w:t>
      </w:r>
      <w:r w:rsidRPr="00192DC3">
        <w:rPr>
          <w:vertAlign w:val="superscript"/>
          <w:lang w:val="en-GB"/>
        </w:rPr>
        <w:t>6</w:t>
      </w:r>
    </w:p>
    <w:p w14:paraId="6D04B169" w14:textId="77777777" w:rsidR="00A51CB2" w:rsidRDefault="00A51CB2" w:rsidP="00A51CB2">
      <w:pPr>
        <w:rPr>
          <w:lang w:val="en-GB"/>
        </w:rPr>
      </w:pPr>
      <w:r w:rsidRPr="00192DC3">
        <w:rPr>
          <w:lang w:val="en-GB"/>
        </w:rPr>
        <w:t>In the age groups of 16–59 years and ≥ 60 years, AEFI reporting rates were highest for Vaxzevria (617.3 and 377.3 reports per 100,000 doses, respectively), followed by Nuvaxovid (461.7 and 172.5 reports per 100,000 doses, respectively; Table 1). AEFI reporting rates following Comirnaty and Spikevax were similar within these two age groups. Relatively few doses of certain vaccine brands were administered in the paediatric and younger adolescent age groups, precluding meaningful brand-based analyses of AEFI reporting rates in these age groups. Comirnaty was the only vaccine with more than 500,000 doses administered in the 5–11 and 12–</w:t>
      </w:r>
      <w:proofErr w:type="gramStart"/>
      <w:r w:rsidRPr="00192DC3">
        <w:rPr>
          <w:lang w:val="en-GB"/>
        </w:rPr>
        <w:t>15 year</w:t>
      </w:r>
      <w:proofErr w:type="gramEnd"/>
      <w:r w:rsidRPr="00192DC3">
        <w:rPr>
          <w:lang w:val="en-GB"/>
        </w:rPr>
        <w:t xml:space="preserve"> age groups, with AEFI reporting rates of 80.9 and 99.6 per 100,000 doses, respectively.</w:t>
      </w:r>
    </w:p>
    <w:p w14:paraId="2380EAD4" w14:textId="77777777" w:rsidR="00A51CB2" w:rsidRPr="00A51CB2" w:rsidRDefault="00A51CB2" w:rsidP="00A51CB2">
      <w:pPr>
        <w:pStyle w:val="CDIFigure-Title"/>
        <w:rPr>
          <w:lang w:val="en-GB"/>
        </w:rPr>
      </w:pPr>
      <w:bookmarkStart w:id="32" w:name="_Toc215578723"/>
      <w:r w:rsidRPr="00A51CB2">
        <w:rPr>
          <w:lang w:val="en-GB"/>
        </w:rPr>
        <w:t xml:space="preserve">Figure 1: Adverse event following immunisation reports for COVID-19 vaccines administered in 2021–2022 in the Adverse Event Management System </w:t>
      </w:r>
      <w:proofErr w:type="spellStart"/>
      <w:r w:rsidRPr="00A51CB2">
        <w:rPr>
          <w:lang w:val="en-GB"/>
        </w:rPr>
        <w:t>database</w:t>
      </w:r>
      <w:r w:rsidRPr="00A51CB2">
        <w:rPr>
          <w:vertAlign w:val="superscript"/>
          <w:lang w:val="en-GB"/>
        </w:rPr>
        <w:t>a</w:t>
      </w:r>
      <w:bookmarkEnd w:id="32"/>
      <w:proofErr w:type="spellEnd"/>
    </w:p>
    <w:p w14:paraId="6BACF262" w14:textId="4545C19E" w:rsidR="00192DC3" w:rsidRDefault="00A51CB2" w:rsidP="00A51CB2">
      <w:pPr>
        <w:pStyle w:val="CDIFigure-Placeholder"/>
        <w:rPr>
          <w:lang w:val="en-GB"/>
        </w:rPr>
      </w:pPr>
      <w:r>
        <w:rPr>
          <w:noProof/>
          <w:lang w:val="en-GB"/>
          <w14:ligatures w14:val="none"/>
        </w:rPr>
        <w:drawing>
          <wp:inline distT="0" distB="0" distL="0" distR="0" wp14:anchorId="2021B121" wp14:editId="3B4B5AF4">
            <wp:extent cx="6120765" cy="2390775"/>
            <wp:effectExtent l="0" t="0" r="0" b="9525"/>
            <wp:docPr id="1304332950" name="Picture 1" descr="Figure 1 is a bar chart showing the number of adverse event reports received by the TGA for COVID-19 vaccines every month from February 2021 to December 2022. The shading of each bar shows the number of reports out of the total that are classified as serious or non-serious adverse events. It shows that the month with the highest number of total adverse event reports and serious adverse event reports was August 2021, with a gradual decrease between August and December. Superimposed onto the bar chart is a line graph showing the adverse event reporting rate per 100,000 COVID-19 vaccine doses, and the serious adverse event reporting rate per 100,000 doses, demonstrating that the highest reporting rate and serious reporting rate was in March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32950" name="Picture 1" descr="Figure 1 is a bar chart showing the number of adverse event reports received by the TGA for COVID-19 vaccines every month from February 2021 to December 2022. The shading of each bar shows the number of reports out of the total that are classified as serious or non-serious adverse events. It shows that the month with the highest number of total adverse event reports and serious adverse event reports was August 2021, with a gradual decrease between August and December. Superimposed onto the bar chart is a line graph showing the adverse event reporting rate per 100,000 COVID-19 vaccine doses, and the serious adverse event reporting rate per 100,000 doses, demonstrating that the highest reporting rate and serious reporting rate was in March 2021. "/>
                    <pic:cNvPicPr/>
                  </pic:nvPicPr>
                  <pic:blipFill>
                    <a:blip r:embed="rId18">
                      <a:extLst>
                        <a:ext uri="{28A0092B-C50C-407E-A947-70E740481C1C}">
                          <a14:useLocalDpi xmlns:a14="http://schemas.microsoft.com/office/drawing/2010/main" val="0"/>
                        </a:ext>
                      </a:extLst>
                    </a:blip>
                    <a:stretch>
                      <a:fillRect/>
                    </a:stretch>
                  </pic:blipFill>
                  <pic:spPr>
                    <a:xfrm>
                      <a:off x="0" y="0"/>
                      <a:ext cx="6120765" cy="2390775"/>
                    </a:xfrm>
                    <a:prstGeom prst="rect">
                      <a:avLst/>
                    </a:prstGeom>
                  </pic:spPr>
                </pic:pic>
              </a:graphicData>
            </a:graphic>
          </wp:inline>
        </w:drawing>
      </w:r>
    </w:p>
    <w:p w14:paraId="33F2967C" w14:textId="77777777" w:rsidR="00A51CB2" w:rsidRPr="00A51CB2" w:rsidRDefault="00A51CB2" w:rsidP="00A51CB2">
      <w:pPr>
        <w:pStyle w:val="CDITable-FirstFootnote"/>
        <w:rPr>
          <w:lang w:val="en-GB"/>
        </w:rPr>
      </w:pPr>
      <w:r w:rsidRPr="00A51CB2">
        <w:rPr>
          <w:lang w:val="en-GB"/>
        </w:rPr>
        <w:t>a</w:t>
      </w:r>
      <w:r w:rsidRPr="00A51CB2">
        <w:rPr>
          <w:lang w:val="en-GB"/>
        </w:rPr>
        <w:tab/>
        <w:t>Reports for the 6 months– 4 years age group were excluded from the figure due to small numbers of AEFI reports. Reports were also excluded from the figure under the following criteria: (</w:t>
      </w:r>
      <w:proofErr w:type="spellStart"/>
      <w:r w:rsidRPr="00A51CB2">
        <w:rPr>
          <w:lang w:val="en-GB"/>
        </w:rPr>
        <w:t>i</w:t>
      </w:r>
      <w:proofErr w:type="spellEnd"/>
      <w:r w:rsidRPr="00A51CB2">
        <w:rPr>
          <w:lang w:val="en-GB"/>
        </w:rPr>
        <w:t>) where the date of vaccination was not recorded; (ii) where vaccination was recorded for January 2021; (iii) where Vaxzevria vaccination before March 2021 was reported; (iv) where Spikevax vaccination before September 2021 was reported; and (v) where Nuvaxovid vaccination before January 2022 was reported.</w:t>
      </w:r>
    </w:p>
    <w:p w14:paraId="1D9DD78A" w14:textId="77777777" w:rsidR="00A51CB2" w:rsidRPr="00A51CB2" w:rsidRDefault="00A51CB2" w:rsidP="00A51CB2">
      <w:pPr>
        <w:pStyle w:val="Heading3"/>
        <w:rPr>
          <w:lang w:val="en-GB"/>
        </w:rPr>
      </w:pPr>
      <w:r w:rsidRPr="00A51CB2">
        <w:rPr>
          <w:lang w:val="en-GB"/>
        </w:rPr>
        <w:t>Population-based reporting rates</w:t>
      </w:r>
    </w:p>
    <w:p w14:paraId="4B6286B9" w14:textId="45E04921" w:rsidR="00A51CB2" w:rsidRPr="00A51CB2" w:rsidRDefault="00A51CB2" w:rsidP="00A51CB2">
      <w:pPr>
        <w:rPr>
          <w:lang w:val="en-GB"/>
        </w:rPr>
      </w:pPr>
      <w:r w:rsidRPr="00A51CB2">
        <w:rPr>
          <w:lang w:val="en-GB"/>
        </w:rPr>
        <w:t>The population-based COVID-19 AEFI reporting rate in Australia was 70.8 [95% CI: 69.8–71.9] per 100,000 total population (Table 3). By jurisdiction, the highest rates were in Western Australia (153.6 reports per 100,000 population), the Northern Territory (112.1 per 100,000 population) and Victoria (98.8 per 100,00 population). The lowest 2022 COVID-19 AEFI reporting rates were in New South Wales (33.0 reports per 100,000 population), Queensland (39.0 per 100,000 population), and the Australian Capital Territory (62.0 per 100,000). The rate of serious adverse events was 9.9 per 100,000 population across Australia, ranging from 5.9 in Queensland to 17.7 in Western Australia.</w:t>
      </w:r>
    </w:p>
    <w:p w14:paraId="1DD74CE3" w14:textId="77777777" w:rsidR="00A51CB2" w:rsidRPr="00A51CB2" w:rsidRDefault="00A51CB2" w:rsidP="00A51CB2">
      <w:pPr>
        <w:pStyle w:val="CDITable-Title"/>
        <w:rPr>
          <w:lang w:val="en-GB"/>
        </w:rPr>
      </w:pPr>
      <w:bookmarkStart w:id="33" w:name="_Toc215578746"/>
      <w:r w:rsidRPr="00A51CB2">
        <w:rPr>
          <w:lang w:val="en-GB"/>
        </w:rPr>
        <w:lastRenderedPageBreak/>
        <w:t>Table 3: Adverse event following immunisation reports in the Adverse Event Management System database for COVID-19 vaccines administered in 2022, by jurisdiction</w:t>
      </w:r>
      <w:bookmarkEnd w:id="33"/>
    </w:p>
    <w:tbl>
      <w:tblPr>
        <w:tblW w:w="0" w:type="auto"/>
        <w:tblLayout w:type="fixed"/>
        <w:tblCellMar>
          <w:left w:w="0" w:type="dxa"/>
          <w:right w:w="0" w:type="dxa"/>
        </w:tblCellMar>
        <w:tblLook w:val="0000" w:firstRow="0" w:lastRow="0" w:firstColumn="0" w:lastColumn="0" w:noHBand="0" w:noVBand="0"/>
        <w:tblCaption w:val="Table 3: Adverse event following immunisation reports in the Adverse Event Management System database for COVID-19 vaccines administered in 2022, by jurisdiction"/>
        <w:tblDescription w:val="Table 3 lists each state and territory of Australia and the number of adverse event reports following COVID-19 vaccines received from each jurisdiction in 2022. The jurisdiction-specific 2022 annual adverse event reporting rate per 100,000 population is calculated. For each jurisdiction, the table also gives the 2022 reporting rates for events classified as serious, and for recipients in the five age groups of &lt; 5 years, 5-11 years, 12-15 years, 16-59 years and ≥ 60 years."/>
      </w:tblPr>
      <w:tblGrid>
        <w:gridCol w:w="1417"/>
        <w:gridCol w:w="1588"/>
        <w:gridCol w:w="1814"/>
        <w:gridCol w:w="964"/>
        <w:gridCol w:w="963"/>
        <w:gridCol w:w="964"/>
        <w:gridCol w:w="964"/>
        <w:gridCol w:w="964"/>
      </w:tblGrid>
      <w:tr w:rsidR="00A51CB2" w:rsidRPr="00A51CB2" w14:paraId="73F32AB2" w14:textId="77777777" w:rsidTr="00A51CB2">
        <w:trPr>
          <w:trHeight w:val="60"/>
          <w:tblHeader/>
        </w:trPr>
        <w:tc>
          <w:tcPr>
            <w:tcW w:w="1417" w:type="dxa"/>
            <w:vMerge w:val="restart"/>
            <w:shd w:val="clear" w:color="auto" w:fill="1E4496" w:themeFill="text2"/>
            <w:tcMar>
              <w:top w:w="113" w:type="dxa"/>
              <w:left w:w="113" w:type="dxa"/>
              <w:bottom w:w="113" w:type="dxa"/>
              <w:right w:w="113" w:type="dxa"/>
            </w:tcMar>
            <w:vAlign w:val="bottom"/>
          </w:tcPr>
          <w:p w14:paraId="24CB9D1D" w14:textId="77777777" w:rsidR="00A51CB2" w:rsidRPr="00A51CB2" w:rsidRDefault="00A51CB2" w:rsidP="00A51CB2">
            <w:pPr>
              <w:pStyle w:val="CDITable-HeaderRowLeft"/>
            </w:pPr>
            <w:proofErr w:type="spellStart"/>
            <w:r w:rsidRPr="00A51CB2">
              <w:t>Jurisdiction</w:t>
            </w:r>
            <w:r w:rsidRPr="00A51CB2">
              <w:rPr>
                <w:vertAlign w:val="superscript"/>
              </w:rPr>
              <w:t>a</w:t>
            </w:r>
            <w:proofErr w:type="spellEnd"/>
          </w:p>
        </w:tc>
        <w:tc>
          <w:tcPr>
            <w:tcW w:w="1588" w:type="dxa"/>
            <w:vMerge w:val="restart"/>
            <w:shd w:val="clear" w:color="auto" w:fill="1E4496" w:themeFill="text2"/>
            <w:tcMar>
              <w:top w:w="113" w:type="dxa"/>
              <w:left w:w="113" w:type="dxa"/>
              <w:bottom w:w="113" w:type="dxa"/>
              <w:right w:w="113" w:type="dxa"/>
            </w:tcMar>
            <w:vAlign w:val="bottom"/>
          </w:tcPr>
          <w:p w14:paraId="32573229" w14:textId="1FEB262A" w:rsidR="00A51CB2" w:rsidRPr="00A51CB2" w:rsidRDefault="00A51CB2" w:rsidP="00A51CB2">
            <w:pPr>
              <w:pStyle w:val="CDITable-HeaderRowCentre"/>
            </w:pPr>
            <w:r w:rsidRPr="00A51CB2">
              <w:t>AEFI reports n</w:t>
            </w:r>
            <w:r>
              <w:t> </w:t>
            </w:r>
            <w:r w:rsidRPr="00A51CB2">
              <w:t>(%)</w:t>
            </w:r>
          </w:p>
        </w:tc>
        <w:tc>
          <w:tcPr>
            <w:tcW w:w="6633" w:type="dxa"/>
            <w:gridSpan w:val="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62C1374" w14:textId="77777777" w:rsidR="00A51CB2" w:rsidRPr="00A51CB2" w:rsidRDefault="00A51CB2" w:rsidP="00A51CB2">
            <w:pPr>
              <w:pStyle w:val="CDITable-HeaderRowCentre"/>
            </w:pPr>
            <w:r w:rsidRPr="00A51CB2">
              <w:t xml:space="preserve">Annual reporting rate per 100,000 </w:t>
            </w:r>
            <w:proofErr w:type="spellStart"/>
            <w:r w:rsidRPr="00A51CB2">
              <w:t>population</w:t>
            </w:r>
            <w:r w:rsidRPr="00A51CB2">
              <w:rPr>
                <w:vertAlign w:val="superscript"/>
              </w:rPr>
              <w:t>b</w:t>
            </w:r>
            <w:proofErr w:type="spellEnd"/>
          </w:p>
        </w:tc>
      </w:tr>
      <w:tr w:rsidR="00A51CB2" w:rsidRPr="00A51CB2" w14:paraId="07C43A7F" w14:textId="77777777" w:rsidTr="00A51CB2">
        <w:trPr>
          <w:trHeight w:val="60"/>
          <w:tblHeader/>
        </w:trPr>
        <w:tc>
          <w:tcPr>
            <w:tcW w:w="1417" w:type="dxa"/>
            <w:vMerge/>
            <w:shd w:val="clear" w:color="auto" w:fill="1E4496" w:themeFill="text2"/>
          </w:tcPr>
          <w:p w14:paraId="52B9DB89" w14:textId="77777777" w:rsidR="00A51CB2" w:rsidRPr="00A51CB2" w:rsidRDefault="00A51CB2" w:rsidP="00A51CB2"/>
        </w:tc>
        <w:tc>
          <w:tcPr>
            <w:tcW w:w="1588" w:type="dxa"/>
            <w:vMerge/>
            <w:shd w:val="clear" w:color="auto" w:fill="1E4496" w:themeFill="text2"/>
          </w:tcPr>
          <w:p w14:paraId="3F27EDC3" w14:textId="77777777" w:rsidR="00A51CB2" w:rsidRPr="00A51CB2" w:rsidRDefault="00A51CB2" w:rsidP="00A51CB2">
            <w:pPr>
              <w:pStyle w:val="CDITable-HeaderRowCentre"/>
            </w:pPr>
          </w:p>
        </w:tc>
        <w:tc>
          <w:tcPr>
            <w:tcW w:w="181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9D92741" w14:textId="77777777" w:rsidR="00A51CB2" w:rsidRPr="00A51CB2" w:rsidRDefault="00A51CB2" w:rsidP="00A51CB2">
            <w:pPr>
              <w:pStyle w:val="CDITable-HeaderRowCentre"/>
            </w:pPr>
            <w:r w:rsidRPr="00A51CB2">
              <w:t xml:space="preserve">Overall (95% </w:t>
            </w:r>
            <w:proofErr w:type="gramStart"/>
            <w:r w:rsidRPr="00A51CB2">
              <w:t>CI)</w:t>
            </w:r>
            <w:r w:rsidRPr="00A51CB2">
              <w:rPr>
                <w:vertAlign w:val="superscript"/>
              </w:rPr>
              <w:t>c</w:t>
            </w:r>
            <w:proofErr w:type="gramEnd"/>
          </w:p>
        </w:tc>
        <w:tc>
          <w:tcPr>
            <w:tcW w:w="96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AC3EB84" w14:textId="77777777" w:rsidR="00A51CB2" w:rsidRPr="00A51CB2" w:rsidRDefault="00A51CB2" w:rsidP="00A51CB2">
            <w:pPr>
              <w:pStyle w:val="CDITable-HeaderRowCentre"/>
            </w:pPr>
            <w:r w:rsidRPr="00A51CB2">
              <w:t xml:space="preserve">Serious </w:t>
            </w:r>
            <w:proofErr w:type="spellStart"/>
            <w:r w:rsidRPr="00A51CB2">
              <w:t>AEFI</w:t>
            </w:r>
            <w:r w:rsidRPr="00A51CB2">
              <w:rPr>
                <w:vertAlign w:val="superscript"/>
              </w:rPr>
              <w:t>d</w:t>
            </w:r>
            <w:proofErr w:type="spellEnd"/>
          </w:p>
        </w:tc>
        <w:tc>
          <w:tcPr>
            <w:tcW w:w="96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92EE704" w14:textId="76A35691" w:rsidR="00A51CB2" w:rsidRPr="00A51CB2" w:rsidRDefault="00A51CB2" w:rsidP="00A51CB2">
            <w:pPr>
              <w:pStyle w:val="CDITable-HeaderRowCentre"/>
            </w:pPr>
            <w:r w:rsidRPr="00A51CB2">
              <w:t>Aged</w:t>
            </w:r>
            <w:r>
              <w:br/>
            </w:r>
            <w:r w:rsidRPr="00A51CB2">
              <w:t xml:space="preserve">5–11 </w:t>
            </w:r>
            <w:proofErr w:type="spellStart"/>
            <w:r w:rsidRPr="00A51CB2">
              <w:t>years</w:t>
            </w:r>
            <w:r w:rsidRPr="00A51CB2">
              <w:rPr>
                <w:vertAlign w:val="superscript"/>
              </w:rPr>
              <w:t>e</w:t>
            </w:r>
            <w:proofErr w:type="spellEnd"/>
          </w:p>
        </w:tc>
        <w:tc>
          <w:tcPr>
            <w:tcW w:w="96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76169E8" w14:textId="77777777" w:rsidR="00A51CB2" w:rsidRPr="00A51CB2" w:rsidRDefault="00A51CB2" w:rsidP="00A51CB2">
            <w:pPr>
              <w:pStyle w:val="CDITable-HeaderRowCentre"/>
            </w:pPr>
            <w:r w:rsidRPr="00A51CB2">
              <w:t xml:space="preserve">Aged 12–15 </w:t>
            </w:r>
            <w:proofErr w:type="spellStart"/>
            <w:r w:rsidRPr="00A51CB2">
              <w:t>years</w:t>
            </w:r>
            <w:r w:rsidRPr="00A51CB2">
              <w:rPr>
                <w:vertAlign w:val="superscript"/>
              </w:rPr>
              <w:t>e</w:t>
            </w:r>
            <w:proofErr w:type="spellEnd"/>
          </w:p>
        </w:tc>
        <w:tc>
          <w:tcPr>
            <w:tcW w:w="96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F28C0DE" w14:textId="77777777" w:rsidR="00A51CB2" w:rsidRPr="00A51CB2" w:rsidRDefault="00A51CB2" w:rsidP="00A51CB2">
            <w:pPr>
              <w:pStyle w:val="CDITable-HeaderRowCentre"/>
            </w:pPr>
            <w:r w:rsidRPr="00A51CB2">
              <w:t xml:space="preserve">Aged 16–59 </w:t>
            </w:r>
            <w:proofErr w:type="spellStart"/>
            <w:r w:rsidRPr="00A51CB2">
              <w:t>years</w:t>
            </w:r>
            <w:r w:rsidRPr="00A51CB2">
              <w:rPr>
                <w:vertAlign w:val="superscript"/>
              </w:rPr>
              <w:t>e</w:t>
            </w:r>
            <w:proofErr w:type="spellEnd"/>
          </w:p>
        </w:tc>
        <w:tc>
          <w:tcPr>
            <w:tcW w:w="96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97C11D0" w14:textId="02B7BD6C" w:rsidR="00A51CB2" w:rsidRPr="00A51CB2" w:rsidRDefault="00A51CB2" w:rsidP="00A51CB2">
            <w:pPr>
              <w:pStyle w:val="CDITable-HeaderRowCentre"/>
            </w:pPr>
            <w:r w:rsidRPr="00A51CB2">
              <w:t>Aged ≥</w:t>
            </w:r>
            <w:r>
              <w:t> </w:t>
            </w:r>
            <w:r w:rsidRPr="00A51CB2">
              <w:t xml:space="preserve">60 </w:t>
            </w:r>
            <w:proofErr w:type="spellStart"/>
            <w:r w:rsidRPr="00A51CB2">
              <w:t>years</w:t>
            </w:r>
            <w:r w:rsidRPr="00A51CB2">
              <w:rPr>
                <w:vertAlign w:val="superscript"/>
              </w:rPr>
              <w:t>e</w:t>
            </w:r>
            <w:proofErr w:type="spellEnd"/>
          </w:p>
        </w:tc>
      </w:tr>
      <w:tr w:rsidR="00A51CB2" w:rsidRPr="00A51CB2" w14:paraId="7E3F5C4F" w14:textId="77777777" w:rsidTr="00A51CB2">
        <w:trPr>
          <w:trHeight w:val="60"/>
        </w:trPr>
        <w:tc>
          <w:tcPr>
            <w:tcW w:w="1417" w:type="dxa"/>
            <w:tcBorders>
              <w:bottom w:val="single" w:sz="6" w:space="0" w:color="1E4496" w:themeColor="text2"/>
            </w:tcBorders>
            <w:tcMar>
              <w:top w:w="113" w:type="dxa"/>
              <w:left w:w="113" w:type="dxa"/>
              <w:bottom w:w="113" w:type="dxa"/>
              <w:right w:w="113" w:type="dxa"/>
            </w:tcMar>
            <w:vAlign w:val="center"/>
          </w:tcPr>
          <w:p w14:paraId="0E04DD20" w14:textId="77777777" w:rsidR="00A51CB2" w:rsidRPr="00A51CB2" w:rsidRDefault="00A51CB2" w:rsidP="00A51CB2">
            <w:pPr>
              <w:pStyle w:val="CDITable-RowLeft"/>
            </w:pPr>
            <w:r w:rsidRPr="00A51CB2">
              <w:t>ACT</w:t>
            </w:r>
          </w:p>
        </w:tc>
        <w:tc>
          <w:tcPr>
            <w:tcW w:w="1588" w:type="dxa"/>
            <w:tcBorders>
              <w:bottom w:val="single" w:sz="6" w:space="0" w:color="1E4496" w:themeColor="text2"/>
            </w:tcBorders>
            <w:tcMar>
              <w:top w:w="113" w:type="dxa"/>
              <w:left w:w="113" w:type="dxa"/>
              <w:bottom w:w="113" w:type="dxa"/>
              <w:right w:w="113" w:type="dxa"/>
            </w:tcMar>
            <w:vAlign w:val="center"/>
          </w:tcPr>
          <w:p w14:paraId="6BA3D6EF" w14:textId="77777777" w:rsidR="00A51CB2" w:rsidRPr="00A51CB2" w:rsidRDefault="00A51CB2" w:rsidP="00A51CB2">
            <w:pPr>
              <w:pStyle w:val="CDITable-RowCentre"/>
            </w:pPr>
            <w:r w:rsidRPr="00A51CB2">
              <w:t>283 (1.5)</w:t>
            </w:r>
          </w:p>
        </w:tc>
        <w:tc>
          <w:tcPr>
            <w:tcW w:w="1814" w:type="dxa"/>
            <w:tcBorders>
              <w:bottom w:val="single" w:sz="6" w:space="0" w:color="1E4496" w:themeColor="text2"/>
            </w:tcBorders>
            <w:tcMar>
              <w:top w:w="113" w:type="dxa"/>
              <w:left w:w="113" w:type="dxa"/>
              <w:bottom w:w="113" w:type="dxa"/>
              <w:right w:w="113" w:type="dxa"/>
            </w:tcMar>
            <w:vAlign w:val="center"/>
          </w:tcPr>
          <w:p w14:paraId="07798584" w14:textId="77777777" w:rsidR="00A51CB2" w:rsidRPr="00A51CB2" w:rsidRDefault="00A51CB2" w:rsidP="00A51CB2">
            <w:pPr>
              <w:pStyle w:val="CDITable-RowCentre"/>
            </w:pPr>
            <w:r w:rsidRPr="00A51CB2">
              <w:t>62.0 (55.0–69.6)</w:t>
            </w:r>
          </w:p>
        </w:tc>
        <w:tc>
          <w:tcPr>
            <w:tcW w:w="964" w:type="dxa"/>
            <w:tcBorders>
              <w:bottom w:val="single" w:sz="6" w:space="0" w:color="1E4496" w:themeColor="text2"/>
            </w:tcBorders>
            <w:tcMar>
              <w:top w:w="113" w:type="dxa"/>
              <w:left w:w="113" w:type="dxa"/>
              <w:bottom w:w="113" w:type="dxa"/>
              <w:right w:w="113" w:type="dxa"/>
            </w:tcMar>
            <w:vAlign w:val="center"/>
          </w:tcPr>
          <w:p w14:paraId="5C03C1A3" w14:textId="77777777" w:rsidR="00A51CB2" w:rsidRPr="00A51CB2" w:rsidRDefault="00A51CB2" w:rsidP="00A51CB2">
            <w:pPr>
              <w:pStyle w:val="CDITable-RowCentre"/>
            </w:pPr>
            <w:r w:rsidRPr="00A51CB2">
              <w:t>7.2</w:t>
            </w:r>
          </w:p>
        </w:tc>
        <w:tc>
          <w:tcPr>
            <w:tcW w:w="963" w:type="dxa"/>
            <w:tcBorders>
              <w:bottom w:val="single" w:sz="6" w:space="0" w:color="1E4496" w:themeColor="text2"/>
            </w:tcBorders>
            <w:tcMar>
              <w:top w:w="113" w:type="dxa"/>
              <w:left w:w="113" w:type="dxa"/>
              <w:bottom w:w="113" w:type="dxa"/>
              <w:right w:w="113" w:type="dxa"/>
            </w:tcMar>
            <w:vAlign w:val="center"/>
          </w:tcPr>
          <w:p w14:paraId="17287C42" w14:textId="77777777" w:rsidR="00A51CB2" w:rsidRPr="00A51CB2" w:rsidRDefault="00A51CB2" w:rsidP="00A51CB2">
            <w:pPr>
              <w:pStyle w:val="CDITable-RowCentre"/>
            </w:pPr>
            <w:r w:rsidRPr="00A51CB2">
              <w:t>44.6</w:t>
            </w:r>
          </w:p>
        </w:tc>
        <w:tc>
          <w:tcPr>
            <w:tcW w:w="964" w:type="dxa"/>
            <w:tcBorders>
              <w:bottom w:val="single" w:sz="6" w:space="0" w:color="1E4496" w:themeColor="text2"/>
            </w:tcBorders>
            <w:tcMar>
              <w:top w:w="113" w:type="dxa"/>
              <w:left w:w="113" w:type="dxa"/>
              <w:bottom w:w="113" w:type="dxa"/>
              <w:right w:w="113" w:type="dxa"/>
            </w:tcMar>
            <w:vAlign w:val="center"/>
          </w:tcPr>
          <w:p w14:paraId="0733B4FD" w14:textId="77777777" w:rsidR="00A51CB2" w:rsidRPr="00A51CB2" w:rsidRDefault="00A51CB2" w:rsidP="00A51CB2">
            <w:pPr>
              <w:pStyle w:val="CDITable-RowCentre"/>
            </w:pPr>
            <w:r w:rsidRPr="00A51CB2">
              <w:t>32.6</w:t>
            </w:r>
          </w:p>
        </w:tc>
        <w:tc>
          <w:tcPr>
            <w:tcW w:w="964" w:type="dxa"/>
            <w:tcBorders>
              <w:bottom w:val="single" w:sz="6" w:space="0" w:color="1E4496" w:themeColor="text2"/>
            </w:tcBorders>
            <w:tcMar>
              <w:top w:w="113" w:type="dxa"/>
              <w:left w:w="113" w:type="dxa"/>
              <w:bottom w:w="113" w:type="dxa"/>
              <w:right w:w="113" w:type="dxa"/>
            </w:tcMar>
            <w:vAlign w:val="center"/>
          </w:tcPr>
          <w:p w14:paraId="65B30C8C" w14:textId="77777777" w:rsidR="00A51CB2" w:rsidRPr="00A51CB2" w:rsidRDefault="00A51CB2" w:rsidP="00A51CB2">
            <w:pPr>
              <w:pStyle w:val="CDITable-RowCentre"/>
            </w:pPr>
            <w:r w:rsidRPr="00A51CB2">
              <w:t>64.7</w:t>
            </w:r>
          </w:p>
        </w:tc>
        <w:tc>
          <w:tcPr>
            <w:tcW w:w="964" w:type="dxa"/>
            <w:tcBorders>
              <w:bottom w:val="single" w:sz="6" w:space="0" w:color="1E4496" w:themeColor="text2"/>
            </w:tcBorders>
            <w:tcMar>
              <w:top w:w="113" w:type="dxa"/>
              <w:left w:w="113" w:type="dxa"/>
              <w:bottom w:w="113" w:type="dxa"/>
              <w:right w:w="113" w:type="dxa"/>
            </w:tcMar>
            <w:vAlign w:val="center"/>
          </w:tcPr>
          <w:p w14:paraId="20F5515F" w14:textId="77777777" w:rsidR="00A51CB2" w:rsidRPr="00A51CB2" w:rsidRDefault="00A51CB2" w:rsidP="00A51CB2">
            <w:pPr>
              <w:pStyle w:val="CDITable-RowCentre"/>
            </w:pPr>
            <w:r w:rsidRPr="00A51CB2">
              <w:t>71.8</w:t>
            </w:r>
          </w:p>
        </w:tc>
      </w:tr>
      <w:tr w:rsidR="00A51CB2" w:rsidRPr="00A51CB2" w14:paraId="0C3970EF"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548BF" w14:textId="77777777" w:rsidR="00A51CB2" w:rsidRPr="00A51CB2" w:rsidRDefault="00A51CB2" w:rsidP="00A51CB2">
            <w:pPr>
              <w:pStyle w:val="CDITable-RowLeft"/>
            </w:pPr>
            <w:r w:rsidRPr="00A51CB2">
              <w:t>NSW</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849F94" w14:textId="77777777" w:rsidR="00A51CB2" w:rsidRPr="00A51CB2" w:rsidRDefault="00A51CB2" w:rsidP="00A51CB2">
            <w:pPr>
              <w:pStyle w:val="CDITable-RowCentre"/>
            </w:pPr>
            <w:r w:rsidRPr="00A51CB2">
              <w:t>2,692 (14.6)</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AC297" w14:textId="77777777" w:rsidR="00A51CB2" w:rsidRPr="00A51CB2" w:rsidRDefault="00A51CB2" w:rsidP="00A51CB2">
            <w:pPr>
              <w:pStyle w:val="CDITable-RowCentre"/>
            </w:pPr>
            <w:r w:rsidRPr="00A51CB2">
              <w:t>33.0 (31.8–34.3)</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7DBD2" w14:textId="77777777" w:rsidR="00A51CB2" w:rsidRPr="00A51CB2" w:rsidRDefault="00A51CB2" w:rsidP="00A51CB2">
            <w:pPr>
              <w:pStyle w:val="CDITable-RowCentre"/>
            </w:pPr>
            <w:r w:rsidRPr="00A51CB2">
              <w:t>11.5</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8CD46" w14:textId="77777777" w:rsidR="00A51CB2" w:rsidRPr="00A51CB2" w:rsidRDefault="00A51CB2" w:rsidP="00A51CB2">
            <w:pPr>
              <w:pStyle w:val="CDITable-RowCentre"/>
            </w:pPr>
            <w:r w:rsidRPr="00A51CB2">
              <w:t>51.0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7C2EF" w14:textId="77777777" w:rsidR="00A51CB2" w:rsidRPr="00A51CB2" w:rsidRDefault="00A51CB2" w:rsidP="00A51CB2">
            <w:pPr>
              <w:pStyle w:val="CDITable-RowCentre"/>
            </w:pPr>
            <w:r w:rsidRPr="00A51CB2">
              <w:t>14.0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E0FC2" w14:textId="77777777" w:rsidR="00A51CB2" w:rsidRPr="00A51CB2" w:rsidRDefault="00A51CB2" w:rsidP="00A51CB2">
            <w:pPr>
              <w:pStyle w:val="CDITable-RowCentre"/>
            </w:pPr>
            <w:r w:rsidRPr="00A51CB2">
              <w:t>30.4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F6383" w14:textId="77777777" w:rsidR="00A51CB2" w:rsidRPr="00A51CB2" w:rsidRDefault="00A51CB2" w:rsidP="00A51CB2">
            <w:pPr>
              <w:pStyle w:val="CDITable-RowCentre"/>
            </w:pPr>
            <w:r w:rsidRPr="00A51CB2">
              <w:t>31.7</w:t>
            </w:r>
          </w:p>
        </w:tc>
      </w:tr>
      <w:tr w:rsidR="00A51CB2" w:rsidRPr="00A51CB2" w14:paraId="1E70F4C6"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E3A39" w14:textId="77777777" w:rsidR="00A51CB2" w:rsidRPr="00A51CB2" w:rsidRDefault="00A51CB2" w:rsidP="00A51CB2">
            <w:pPr>
              <w:pStyle w:val="CDITable-RowLeft"/>
            </w:pPr>
            <w:r w:rsidRPr="00A51CB2">
              <w:t>NT</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C556E" w14:textId="77777777" w:rsidR="00A51CB2" w:rsidRPr="00A51CB2" w:rsidRDefault="00A51CB2" w:rsidP="00A51CB2">
            <w:pPr>
              <w:pStyle w:val="CDITable-RowCentre"/>
            </w:pPr>
            <w:r w:rsidRPr="00A51CB2">
              <w:t>281 (1.5)</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623B2" w14:textId="77777777" w:rsidR="00A51CB2" w:rsidRPr="00A51CB2" w:rsidRDefault="00A51CB2" w:rsidP="00A51CB2">
            <w:pPr>
              <w:pStyle w:val="CDITable-RowCentre"/>
            </w:pPr>
            <w:r w:rsidRPr="00A51CB2">
              <w:t>112.1 (99.4–126.0)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42920" w14:textId="77777777" w:rsidR="00A51CB2" w:rsidRPr="00A51CB2" w:rsidRDefault="00A51CB2" w:rsidP="00A51CB2">
            <w:pPr>
              <w:pStyle w:val="CDITable-RowCentre"/>
            </w:pPr>
            <w:r w:rsidRPr="00A51CB2">
              <w:t>7.6</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5A72B6" w14:textId="77777777" w:rsidR="00A51CB2" w:rsidRPr="00A51CB2" w:rsidRDefault="00A51CB2" w:rsidP="00A51CB2">
            <w:pPr>
              <w:pStyle w:val="CDITable-RowCentre"/>
            </w:pPr>
            <w:r w:rsidRPr="00A51CB2">
              <w:t>72.1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F91E7" w14:textId="77777777" w:rsidR="00A51CB2" w:rsidRPr="00A51CB2" w:rsidRDefault="00A51CB2" w:rsidP="00A51CB2">
            <w:pPr>
              <w:pStyle w:val="CDITable-RowCentre"/>
            </w:pPr>
            <w:r w:rsidRPr="00A51CB2">
              <w:t>7.5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D000C" w14:textId="77777777" w:rsidR="00A51CB2" w:rsidRPr="00A51CB2" w:rsidRDefault="00A51CB2" w:rsidP="00A51CB2">
            <w:pPr>
              <w:pStyle w:val="CDITable-RowCentre"/>
            </w:pPr>
            <w:r w:rsidRPr="00A51CB2">
              <w:t>146.6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B77785" w14:textId="77777777" w:rsidR="00A51CB2" w:rsidRPr="00A51CB2" w:rsidRDefault="00A51CB2" w:rsidP="00A51CB2">
            <w:pPr>
              <w:pStyle w:val="CDITable-RowCentre"/>
            </w:pPr>
            <w:r w:rsidRPr="00A51CB2">
              <w:t>72.4</w:t>
            </w:r>
          </w:p>
        </w:tc>
      </w:tr>
      <w:tr w:rsidR="00A51CB2" w:rsidRPr="00A51CB2" w14:paraId="00ACD805"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B0008" w14:textId="77777777" w:rsidR="00A51CB2" w:rsidRPr="00A51CB2" w:rsidRDefault="00A51CB2" w:rsidP="00A51CB2">
            <w:pPr>
              <w:pStyle w:val="CDITable-RowLeft"/>
            </w:pPr>
            <w:r w:rsidRPr="00A51CB2">
              <w:t>Qld</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D2447" w14:textId="77777777" w:rsidR="00A51CB2" w:rsidRPr="00A51CB2" w:rsidRDefault="00A51CB2" w:rsidP="00A51CB2">
            <w:pPr>
              <w:pStyle w:val="CDITable-RowCentre"/>
            </w:pPr>
            <w:r w:rsidRPr="00A51CB2">
              <w:t>2,077 (11.3)</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56487" w14:textId="77777777" w:rsidR="00A51CB2" w:rsidRPr="00A51CB2" w:rsidRDefault="00A51CB2" w:rsidP="00A51CB2">
            <w:pPr>
              <w:pStyle w:val="CDITable-RowCentre"/>
            </w:pPr>
            <w:r w:rsidRPr="00A51CB2">
              <w:t>39.0 (37.4–40.7)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E5361" w14:textId="77777777" w:rsidR="00A51CB2" w:rsidRPr="00A51CB2" w:rsidRDefault="00A51CB2" w:rsidP="00A51CB2">
            <w:pPr>
              <w:pStyle w:val="CDITable-RowCentre"/>
            </w:pPr>
            <w:r w:rsidRPr="00A51CB2">
              <w:t>5.9</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17CE3" w14:textId="77777777" w:rsidR="00A51CB2" w:rsidRPr="00A51CB2" w:rsidRDefault="00A51CB2" w:rsidP="00A51CB2">
            <w:pPr>
              <w:pStyle w:val="CDITable-RowCentre"/>
            </w:pPr>
            <w:r w:rsidRPr="00A51CB2">
              <w:t>31.6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109B3" w14:textId="77777777" w:rsidR="00A51CB2" w:rsidRPr="00A51CB2" w:rsidRDefault="00A51CB2" w:rsidP="00A51CB2">
            <w:pPr>
              <w:pStyle w:val="CDITable-RowCentre"/>
            </w:pPr>
            <w:r w:rsidRPr="00A51CB2">
              <w:t>40.6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DEDF8" w14:textId="77777777" w:rsidR="00A51CB2" w:rsidRPr="00A51CB2" w:rsidRDefault="00A51CB2" w:rsidP="00A51CB2">
            <w:pPr>
              <w:pStyle w:val="CDITable-RowCentre"/>
            </w:pPr>
            <w:r w:rsidRPr="00A51CB2">
              <w:t>45.3</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F2A0B" w14:textId="77777777" w:rsidR="00A51CB2" w:rsidRPr="00A51CB2" w:rsidRDefault="00A51CB2" w:rsidP="00A51CB2">
            <w:pPr>
              <w:pStyle w:val="CDITable-RowCentre"/>
            </w:pPr>
            <w:r w:rsidRPr="00A51CB2">
              <w:t>32.6</w:t>
            </w:r>
          </w:p>
        </w:tc>
      </w:tr>
      <w:tr w:rsidR="00A51CB2" w:rsidRPr="00A51CB2" w14:paraId="04E893C7"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7DA23" w14:textId="77777777" w:rsidR="00A51CB2" w:rsidRPr="00A51CB2" w:rsidRDefault="00A51CB2" w:rsidP="00A51CB2">
            <w:pPr>
              <w:pStyle w:val="CDITable-RowLeft"/>
            </w:pPr>
            <w:r w:rsidRPr="00A51CB2">
              <w:t>SA</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82B89" w14:textId="77777777" w:rsidR="00A51CB2" w:rsidRPr="00A51CB2" w:rsidRDefault="00A51CB2" w:rsidP="00A51CB2">
            <w:pPr>
              <w:pStyle w:val="CDITable-RowCentre"/>
            </w:pPr>
            <w:r w:rsidRPr="00A51CB2">
              <w:t>1,368 (7.4)</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9AFC4C" w14:textId="77777777" w:rsidR="00A51CB2" w:rsidRPr="00A51CB2" w:rsidRDefault="00A51CB2" w:rsidP="00A51CB2">
            <w:pPr>
              <w:pStyle w:val="CDITable-RowCentre"/>
            </w:pPr>
            <w:r w:rsidRPr="00A51CB2">
              <w:t>75.1 (71.2–79.2)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DD2D1" w14:textId="77777777" w:rsidR="00A51CB2" w:rsidRPr="00A51CB2" w:rsidRDefault="00A51CB2" w:rsidP="00A51CB2">
            <w:pPr>
              <w:pStyle w:val="CDITable-RowCentre"/>
            </w:pPr>
            <w:r w:rsidRPr="00A51CB2">
              <w:t>8.0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1D6249" w14:textId="77777777" w:rsidR="00A51CB2" w:rsidRPr="00A51CB2" w:rsidRDefault="00A51CB2" w:rsidP="00A51CB2">
            <w:pPr>
              <w:pStyle w:val="CDITable-RowCentre"/>
            </w:pPr>
            <w:r w:rsidRPr="00A51CB2">
              <w:t>68.0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05380" w14:textId="77777777" w:rsidR="00A51CB2" w:rsidRPr="00A51CB2" w:rsidRDefault="00A51CB2" w:rsidP="00A51CB2">
            <w:pPr>
              <w:pStyle w:val="CDITable-RowCentre"/>
            </w:pPr>
            <w:r w:rsidRPr="00A51CB2">
              <w:t>40.2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02C30" w14:textId="77777777" w:rsidR="00A51CB2" w:rsidRPr="00A51CB2" w:rsidRDefault="00A51CB2" w:rsidP="00A51CB2">
            <w:pPr>
              <w:pStyle w:val="CDITable-RowCentre"/>
            </w:pPr>
            <w:r w:rsidRPr="00A51CB2">
              <w:t>93.1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C33B6" w14:textId="77777777" w:rsidR="00A51CB2" w:rsidRPr="00A51CB2" w:rsidRDefault="00A51CB2" w:rsidP="00A51CB2">
            <w:pPr>
              <w:pStyle w:val="CDITable-RowCentre"/>
            </w:pPr>
            <w:r w:rsidRPr="00A51CB2">
              <w:t>54.4</w:t>
            </w:r>
          </w:p>
        </w:tc>
      </w:tr>
      <w:tr w:rsidR="00A51CB2" w:rsidRPr="00A51CB2" w14:paraId="5641002C"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9F7C8" w14:textId="77777777" w:rsidR="00A51CB2" w:rsidRPr="00A51CB2" w:rsidRDefault="00A51CB2" w:rsidP="00A51CB2">
            <w:pPr>
              <w:pStyle w:val="CDITable-RowLeft"/>
            </w:pPr>
            <w:r w:rsidRPr="00A51CB2">
              <w:t>Tas.</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3A03B" w14:textId="77777777" w:rsidR="00A51CB2" w:rsidRPr="00A51CB2" w:rsidRDefault="00A51CB2" w:rsidP="00A51CB2">
            <w:pPr>
              <w:pStyle w:val="CDITable-RowCentre"/>
            </w:pPr>
            <w:r w:rsidRPr="00A51CB2">
              <w:t>471 (2.6)</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6B279" w14:textId="77777777" w:rsidR="00A51CB2" w:rsidRPr="00A51CB2" w:rsidRDefault="00A51CB2" w:rsidP="00A51CB2">
            <w:pPr>
              <w:pStyle w:val="CDITable-RowCentre"/>
            </w:pPr>
            <w:r w:rsidRPr="00A51CB2">
              <w:t>82.4 (75.1–90.2)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B9D141" w14:textId="77777777" w:rsidR="00A51CB2" w:rsidRPr="00A51CB2" w:rsidRDefault="00A51CB2" w:rsidP="00A51CB2">
            <w:pPr>
              <w:pStyle w:val="CDITable-RowCentre"/>
            </w:pPr>
            <w:r w:rsidRPr="00A51CB2">
              <w:t>10.0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D89DA" w14:textId="77777777" w:rsidR="00A51CB2" w:rsidRPr="00A51CB2" w:rsidRDefault="00A51CB2" w:rsidP="00A51CB2">
            <w:pPr>
              <w:pStyle w:val="CDITable-RowCentre"/>
            </w:pPr>
            <w:r w:rsidRPr="00A51CB2">
              <w:t>194.9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BE1E94" w14:textId="77777777" w:rsidR="00A51CB2" w:rsidRPr="00A51CB2" w:rsidRDefault="00A51CB2" w:rsidP="00A51CB2">
            <w:pPr>
              <w:pStyle w:val="CDITable-RowCentre"/>
            </w:pPr>
            <w:r w:rsidRPr="00A51CB2">
              <w:t>54.4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7D7F4" w14:textId="77777777" w:rsidR="00A51CB2" w:rsidRPr="00A51CB2" w:rsidRDefault="00A51CB2" w:rsidP="00A51CB2">
            <w:pPr>
              <w:pStyle w:val="CDITable-RowCentre"/>
            </w:pPr>
            <w:r w:rsidRPr="00A51CB2">
              <w:t>82.7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46A5C" w14:textId="77777777" w:rsidR="00A51CB2" w:rsidRPr="00A51CB2" w:rsidRDefault="00A51CB2" w:rsidP="00A51CB2">
            <w:pPr>
              <w:pStyle w:val="CDITable-RowCentre"/>
            </w:pPr>
            <w:r w:rsidRPr="00A51CB2">
              <w:t>63.6</w:t>
            </w:r>
          </w:p>
        </w:tc>
      </w:tr>
      <w:tr w:rsidR="00A51CB2" w:rsidRPr="00A51CB2" w14:paraId="599EEB7F"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06D08" w14:textId="77777777" w:rsidR="00A51CB2" w:rsidRPr="00A51CB2" w:rsidRDefault="00A51CB2" w:rsidP="00A51CB2">
            <w:pPr>
              <w:pStyle w:val="CDITable-RowLeft"/>
            </w:pPr>
            <w:r w:rsidRPr="00A51CB2">
              <w:t>Vic.</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3859B" w14:textId="77777777" w:rsidR="00A51CB2" w:rsidRPr="00A51CB2" w:rsidRDefault="00A51CB2" w:rsidP="00A51CB2">
            <w:pPr>
              <w:pStyle w:val="CDITable-RowCentre"/>
            </w:pPr>
            <w:r w:rsidRPr="00A51CB2">
              <w:t>6,535 (35.5)</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9398A" w14:textId="77777777" w:rsidR="00A51CB2" w:rsidRPr="00A51CB2" w:rsidRDefault="00A51CB2" w:rsidP="00A51CB2">
            <w:pPr>
              <w:pStyle w:val="CDITable-RowCentre"/>
            </w:pPr>
            <w:r w:rsidRPr="00A51CB2">
              <w:t>98.8 (96.4–101.2)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13FC0" w14:textId="77777777" w:rsidR="00A51CB2" w:rsidRPr="00A51CB2" w:rsidRDefault="00A51CB2" w:rsidP="00A51CB2">
            <w:pPr>
              <w:pStyle w:val="CDITable-RowCentre"/>
            </w:pPr>
            <w:r w:rsidRPr="00A51CB2">
              <w:t>6.4</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74957" w14:textId="77777777" w:rsidR="00A51CB2" w:rsidRPr="00A51CB2" w:rsidRDefault="00A51CB2" w:rsidP="00A51CB2">
            <w:pPr>
              <w:pStyle w:val="CDITable-RowCentre"/>
            </w:pPr>
            <w:r w:rsidRPr="00A51CB2">
              <w:t>105.2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58F56" w14:textId="77777777" w:rsidR="00A51CB2" w:rsidRPr="00A51CB2" w:rsidRDefault="00A51CB2" w:rsidP="00A51CB2">
            <w:pPr>
              <w:pStyle w:val="CDITable-RowCentre"/>
            </w:pPr>
            <w:r w:rsidRPr="00A51CB2">
              <w:t>62.2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8A2F8" w14:textId="77777777" w:rsidR="00A51CB2" w:rsidRPr="00A51CB2" w:rsidRDefault="00A51CB2" w:rsidP="00A51CB2">
            <w:pPr>
              <w:pStyle w:val="CDITable-RowCentre"/>
            </w:pPr>
            <w:r w:rsidRPr="00A51CB2">
              <w:t>104.4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90DDEF" w14:textId="77777777" w:rsidR="00A51CB2" w:rsidRPr="00A51CB2" w:rsidRDefault="00A51CB2" w:rsidP="00A51CB2">
            <w:pPr>
              <w:pStyle w:val="CDITable-RowCentre"/>
            </w:pPr>
            <w:r w:rsidRPr="00A51CB2">
              <w:t>98.2</w:t>
            </w:r>
          </w:p>
        </w:tc>
      </w:tr>
      <w:tr w:rsidR="00A51CB2" w:rsidRPr="00A51CB2" w14:paraId="1EA02EDE" w14:textId="77777777" w:rsidTr="00A51CB2">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BD4087" w14:textId="77777777" w:rsidR="00A51CB2" w:rsidRPr="00A51CB2" w:rsidRDefault="00A51CB2" w:rsidP="00A51CB2">
            <w:pPr>
              <w:pStyle w:val="CDITable-RowLeft"/>
            </w:pPr>
            <w:r w:rsidRPr="00A51CB2">
              <w:t>WA</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14945" w14:textId="77777777" w:rsidR="00A51CB2" w:rsidRPr="00A51CB2" w:rsidRDefault="00A51CB2" w:rsidP="00A51CB2">
            <w:pPr>
              <w:pStyle w:val="CDITable-RowCentre"/>
            </w:pPr>
            <w:r w:rsidRPr="00A51CB2">
              <w:t>4,277 (23.2)</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4A7D2" w14:textId="77777777" w:rsidR="00A51CB2" w:rsidRPr="00A51CB2" w:rsidRDefault="00A51CB2" w:rsidP="00A51CB2">
            <w:pPr>
              <w:pStyle w:val="CDITable-RowCentre"/>
              <w:rPr>
                <w:spacing w:val="-2"/>
              </w:rPr>
            </w:pPr>
            <w:r w:rsidRPr="00A51CB2">
              <w:rPr>
                <w:spacing w:val="-2"/>
              </w:rPr>
              <w:t>153.6 (149.0–158.2)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E6EF45" w14:textId="77777777" w:rsidR="00A51CB2" w:rsidRPr="00A51CB2" w:rsidRDefault="00A51CB2" w:rsidP="00A51CB2">
            <w:pPr>
              <w:pStyle w:val="CDITable-RowCentre"/>
            </w:pPr>
            <w:r w:rsidRPr="00A51CB2">
              <w:t>17.7</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5E497" w14:textId="77777777" w:rsidR="00A51CB2" w:rsidRPr="00A51CB2" w:rsidRDefault="00A51CB2" w:rsidP="00A51CB2">
            <w:pPr>
              <w:pStyle w:val="CDITable-RowCentre"/>
            </w:pPr>
            <w:r w:rsidRPr="00A51CB2">
              <w:t>121.7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F2303" w14:textId="77777777" w:rsidR="00A51CB2" w:rsidRPr="00A51CB2" w:rsidRDefault="00A51CB2" w:rsidP="00A51CB2">
            <w:pPr>
              <w:pStyle w:val="CDITable-RowCentre"/>
            </w:pPr>
            <w:r w:rsidRPr="00A51CB2">
              <w:t>131.8</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EFFBB" w14:textId="77777777" w:rsidR="00A51CB2" w:rsidRPr="00A51CB2" w:rsidRDefault="00A51CB2" w:rsidP="00A51CB2">
            <w:pPr>
              <w:pStyle w:val="CDITable-RowCentre"/>
            </w:pPr>
            <w:r w:rsidRPr="00A51CB2">
              <w:t>183.5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59A60" w14:textId="77777777" w:rsidR="00A51CB2" w:rsidRPr="00A51CB2" w:rsidRDefault="00A51CB2" w:rsidP="00A51CB2">
            <w:pPr>
              <w:pStyle w:val="CDITable-RowCentre"/>
            </w:pPr>
            <w:r w:rsidRPr="00A51CB2">
              <w:t>103.9</w:t>
            </w:r>
          </w:p>
        </w:tc>
      </w:tr>
      <w:tr w:rsidR="00A51CB2" w:rsidRPr="00A51CB2" w14:paraId="6AEEE42A" w14:textId="77777777" w:rsidTr="00A51CB2">
        <w:trPr>
          <w:trHeight w:val="60"/>
        </w:trPr>
        <w:tc>
          <w:tcPr>
            <w:tcW w:w="1417" w:type="dxa"/>
            <w:tcBorders>
              <w:top w:val="single" w:sz="6" w:space="0" w:color="1E4496" w:themeColor="text2"/>
            </w:tcBorders>
            <w:tcMar>
              <w:top w:w="113" w:type="dxa"/>
              <w:left w:w="113" w:type="dxa"/>
              <w:bottom w:w="113" w:type="dxa"/>
              <w:right w:w="113" w:type="dxa"/>
            </w:tcMar>
            <w:vAlign w:val="center"/>
          </w:tcPr>
          <w:p w14:paraId="0232B3E6" w14:textId="77777777" w:rsidR="00A51CB2" w:rsidRPr="00A51CB2" w:rsidRDefault="00A51CB2" w:rsidP="00A51CB2">
            <w:pPr>
              <w:pStyle w:val="CDITable-RowLeft"/>
            </w:pPr>
            <w:r w:rsidRPr="00A51CB2">
              <w:t>Unknown</w:t>
            </w:r>
          </w:p>
        </w:tc>
        <w:tc>
          <w:tcPr>
            <w:tcW w:w="1588" w:type="dxa"/>
            <w:tcBorders>
              <w:top w:val="single" w:sz="6" w:space="0" w:color="1E4496" w:themeColor="text2"/>
            </w:tcBorders>
            <w:tcMar>
              <w:top w:w="113" w:type="dxa"/>
              <w:left w:w="113" w:type="dxa"/>
              <w:bottom w:w="113" w:type="dxa"/>
              <w:right w:w="113" w:type="dxa"/>
            </w:tcMar>
            <w:vAlign w:val="center"/>
          </w:tcPr>
          <w:p w14:paraId="6E2C2956" w14:textId="77777777" w:rsidR="00A51CB2" w:rsidRPr="00A51CB2" w:rsidRDefault="00A51CB2" w:rsidP="00A51CB2">
            <w:pPr>
              <w:pStyle w:val="CDITable-RowCentre"/>
            </w:pPr>
            <w:r w:rsidRPr="00A51CB2">
              <w:t>414 (2.3)</w:t>
            </w:r>
          </w:p>
        </w:tc>
        <w:tc>
          <w:tcPr>
            <w:tcW w:w="1814" w:type="dxa"/>
            <w:tcBorders>
              <w:top w:val="single" w:sz="6" w:space="0" w:color="1E4496" w:themeColor="text2"/>
            </w:tcBorders>
            <w:tcMar>
              <w:top w:w="113" w:type="dxa"/>
              <w:left w:w="113" w:type="dxa"/>
              <w:bottom w:w="113" w:type="dxa"/>
              <w:right w:w="113" w:type="dxa"/>
            </w:tcMar>
            <w:vAlign w:val="center"/>
          </w:tcPr>
          <w:p w14:paraId="2F3ABD95" w14:textId="77777777" w:rsidR="00A51CB2" w:rsidRPr="00A51CB2" w:rsidRDefault="00A51CB2" w:rsidP="00A51CB2">
            <w:pPr>
              <w:pStyle w:val="CDITable-RowCentre"/>
            </w:pPr>
            <w:r w:rsidRPr="00A51CB2">
              <w:t>—</w:t>
            </w:r>
          </w:p>
        </w:tc>
        <w:tc>
          <w:tcPr>
            <w:tcW w:w="964" w:type="dxa"/>
            <w:tcBorders>
              <w:top w:val="single" w:sz="6" w:space="0" w:color="1E4496" w:themeColor="text2"/>
            </w:tcBorders>
            <w:tcMar>
              <w:top w:w="113" w:type="dxa"/>
              <w:left w:w="113" w:type="dxa"/>
              <w:bottom w:w="113" w:type="dxa"/>
              <w:right w:w="113" w:type="dxa"/>
            </w:tcMar>
            <w:vAlign w:val="center"/>
          </w:tcPr>
          <w:p w14:paraId="7B87D8EA" w14:textId="77777777" w:rsidR="00A51CB2" w:rsidRPr="00A51CB2" w:rsidRDefault="00A51CB2" w:rsidP="00A51CB2">
            <w:pPr>
              <w:pStyle w:val="CDITable-RowCentre"/>
            </w:pPr>
            <w:r w:rsidRPr="00A51CB2">
              <w:t>—</w:t>
            </w:r>
          </w:p>
        </w:tc>
        <w:tc>
          <w:tcPr>
            <w:tcW w:w="963" w:type="dxa"/>
            <w:tcBorders>
              <w:top w:val="single" w:sz="6" w:space="0" w:color="1E4496" w:themeColor="text2"/>
            </w:tcBorders>
            <w:tcMar>
              <w:top w:w="113" w:type="dxa"/>
              <w:left w:w="113" w:type="dxa"/>
              <w:bottom w:w="113" w:type="dxa"/>
              <w:right w:w="113" w:type="dxa"/>
            </w:tcMar>
            <w:vAlign w:val="center"/>
          </w:tcPr>
          <w:p w14:paraId="25997668" w14:textId="77777777" w:rsidR="00A51CB2" w:rsidRPr="00A51CB2" w:rsidRDefault="00A51CB2" w:rsidP="00A51CB2">
            <w:pPr>
              <w:pStyle w:val="CDITable-RowCentre"/>
            </w:pPr>
            <w:r w:rsidRPr="00A51CB2">
              <w:t>—</w:t>
            </w:r>
          </w:p>
        </w:tc>
        <w:tc>
          <w:tcPr>
            <w:tcW w:w="964" w:type="dxa"/>
            <w:tcBorders>
              <w:top w:val="single" w:sz="6" w:space="0" w:color="1E4496" w:themeColor="text2"/>
            </w:tcBorders>
            <w:tcMar>
              <w:top w:w="113" w:type="dxa"/>
              <w:left w:w="113" w:type="dxa"/>
              <w:bottom w:w="113" w:type="dxa"/>
              <w:right w:w="113" w:type="dxa"/>
            </w:tcMar>
            <w:vAlign w:val="center"/>
          </w:tcPr>
          <w:p w14:paraId="0B602EC1" w14:textId="77777777" w:rsidR="00A51CB2" w:rsidRPr="00A51CB2" w:rsidRDefault="00A51CB2" w:rsidP="00A51CB2">
            <w:pPr>
              <w:pStyle w:val="CDITable-RowCentre"/>
            </w:pPr>
            <w:r w:rsidRPr="00A51CB2">
              <w:t>—</w:t>
            </w:r>
          </w:p>
        </w:tc>
        <w:tc>
          <w:tcPr>
            <w:tcW w:w="964" w:type="dxa"/>
            <w:tcBorders>
              <w:top w:val="single" w:sz="6" w:space="0" w:color="1E4496" w:themeColor="text2"/>
            </w:tcBorders>
            <w:tcMar>
              <w:top w:w="113" w:type="dxa"/>
              <w:left w:w="113" w:type="dxa"/>
              <w:bottom w:w="113" w:type="dxa"/>
              <w:right w:w="113" w:type="dxa"/>
            </w:tcMar>
            <w:vAlign w:val="center"/>
          </w:tcPr>
          <w:p w14:paraId="03EE53B8" w14:textId="77777777" w:rsidR="00A51CB2" w:rsidRPr="00A51CB2" w:rsidRDefault="00A51CB2" w:rsidP="00A51CB2">
            <w:pPr>
              <w:pStyle w:val="CDITable-RowCentre"/>
            </w:pPr>
            <w:r w:rsidRPr="00A51CB2">
              <w:t>—</w:t>
            </w:r>
          </w:p>
        </w:tc>
        <w:tc>
          <w:tcPr>
            <w:tcW w:w="964" w:type="dxa"/>
            <w:tcBorders>
              <w:top w:val="single" w:sz="6" w:space="0" w:color="1E4496" w:themeColor="text2"/>
            </w:tcBorders>
            <w:tcMar>
              <w:top w:w="113" w:type="dxa"/>
              <w:left w:w="113" w:type="dxa"/>
              <w:bottom w:w="113" w:type="dxa"/>
              <w:right w:w="113" w:type="dxa"/>
            </w:tcMar>
            <w:vAlign w:val="center"/>
          </w:tcPr>
          <w:p w14:paraId="690E76C2" w14:textId="77777777" w:rsidR="00A51CB2" w:rsidRPr="00A51CB2" w:rsidRDefault="00A51CB2" w:rsidP="00A51CB2">
            <w:pPr>
              <w:pStyle w:val="CDITable-RowCentre"/>
            </w:pPr>
            <w:r w:rsidRPr="00A51CB2">
              <w:t>—</w:t>
            </w:r>
          </w:p>
        </w:tc>
      </w:tr>
      <w:tr w:rsidR="00A51CB2" w:rsidRPr="00A51CB2" w14:paraId="48F94A89" w14:textId="77777777" w:rsidTr="00A51CB2">
        <w:trPr>
          <w:trHeight w:val="60"/>
        </w:trPr>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9B40A7A" w14:textId="77777777" w:rsidR="00A51CB2" w:rsidRPr="00A51CB2" w:rsidRDefault="00A51CB2" w:rsidP="00A51CB2">
            <w:pPr>
              <w:pStyle w:val="CDITable-TotalRowLeft"/>
            </w:pPr>
            <w:r w:rsidRPr="00A51CB2">
              <w:t>Australia</w:t>
            </w:r>
          </w:p>
        </w:tc>
        <w:tc>
          <w:tcPr>
            <w:tcW w:w="158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B02E7D3" w14:textId="77777777" w:rsidR="00A51CB2" w:rsidRPr="00A51CB2" w:rsidRDefault="00A51CB2" w:rsidP="00A51CB2">
            <w:pPr>
              <w:pStyle w:val="CDITable-TotalRowCentre"/>
            </w:pPr>
            <w:r w:rsidRPr="00A51CB2">
              <w:t>18,398 (100)</w:t>
            </w:r>
          </w:p>
        </w:tc>
        <w:tc>
          <w:tcPr>
            <w:tcW w:w="181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846D01" w14:textId="77777777" w:rsidR="00A51CB2" w:rsidRPr="00A51CB2" w:rsidRDefault="00A51CB2" w:rsidP="00A51CB2">
            <w:pPr>
              <w:pStyle w:val="CDITable-TotalRowCentre"/>
            </w:pPr>
            <w:r w:rsidRPr="00A51CB2">
              <w:t>70.8 (69.8–71.9)</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856BA05" w14:textId="77777777" w:rsidR="00A51CB2" w:rsidRPr="00A51CB2" w:rsidRDefault="00A51CB2" w:rsidP="00A51CB2">
            <w:pPr>
              <w:pStyle w:val="CDITable-TotalRowCentre"/>
            </w:pPr>
            <w:r w:rsidRPr="00A51CB2">
              <w:t>9.9</w:t>
            </w:r>
          </w:p>
        </w:tc>
        <w:tc>
          <w:tcPr>
            <w:tcW w:w="9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22B38FE" w14:textId="77777777" w:rsidR="00A51CB2" w:rsidRPr="00A51CB2" w:rsidRDefault="00A51CB2" w:rsidP="00A51CB2">
            <w:pPr>
              <w:pStyle w:val="CDITable-TotalRowCentre"/>
            </w:pPr>
            <w:r w:rsidRPr="00A51CB2">
              <w:t>72.7</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F3646AF" w14:textId="77777777" w:rsidR="00A51CB2" w:rsidRPr="00A51CB2" w:rsidRDefault="00A51CB2" w:rsidP="00A51CB2">
            <w:pPr>
              <w:pStyle w:val="CDITable-TotalRowCentre"/>
            </w:pPr>
            <w:r w:rsidRPr="00A51CB2">
              <w:t>47.5</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0427C51" w14:textId="77777777" w:rsidR="00A51CB2" w:rsidRPr="00A51CB2" w:rsidRDefault="00A51CB2" w:rsidP="00A51CB2">
            <w:pPr>
              <w:pStyle w:val="CDITable-TotalRowCentre"/>
            </w:pPr>
            <w:r w:rsidRPr="00A51CB2">
              <w:t>77.0</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1A819FA" w14:textId="77777777" w:rsidR="00A51CB2" w:rsidRPr="00A51CB2" w:rsidRDefault="00A51CB2" w:rsidP="00A51CB2">
            <w:pPr>
              <w:pStyle w:val="CDITable-TotalRowCentre"/>
            </w:pPr>
            <w:r w:rsidRPr="00A51CB2">
              <w:t>60.1</w:t>
            </w:r>
          </w:p>
        </w:tc>
      </w:tr>
    </w:tbl>
    <w:p w14:paraId="0547C3BF" w14:textId="77777777" w:rsidR="00A51CB2" w:rsidRPr="00A51CB2" w:rsidRDefault="00A51CB2" w:rsidP="00A51CB2">
      <w:pPr>
        <w:pStyle w:val="CDITable-FirstFootnote"/>
        <w:rPr>
          <w:lang w:val="en-GB"/>
        </w:rPr>
      </w:pPr>
      <w:proofErr w:type="gramStart"/>
      <w:r w:rsidRPr="00A51CB2">
        <w:rPr>
          <w:lang w:val="en-GB"/>
        </w:rPr>
        <w:t>a</w:t>
      </w:r>
      <w:proofErr w:type="gramEnd"/>
      <w:r w:rsidRPr="00A51CB2">
        <w:rPr>
          <w:lang w:val="en-GB"/>
        </w:rPr>
        <w:tab/>
        <w:t>ACT: Australian Capital Territory; NSW: New South Wales; NT: Northern Territory; Qld: Queensland; SA: South Australia; Tas.: Tasmania; Vic.: Victoria; WA: Western Australia.</w:t>
      </w:r>
    </w:p>
    <w:p w14:paraId="2D2D2931" w14:textId="77777777" w:rsidR="00A51CB2" w:rsidRPr="00A51CB2" w:rsidRDefault="00A51CB2" w:rsidP="00A51CB2">
      <w:pPr>
        <w:pStyle w:val="CDITable-Footnote"/>
        <w:rPr>
          <w:lang w:val="en-GB"/>
        </w:rPr>
      </w:pPr>
      <w:r w:rsidRPr="00A51CB2">
        <w:rPr>
          <w:lang w:val="en-GB"/>
        </w:rPr>
        <w:t>b</w:t>
      </w:r>
      <w:r w:rsidRPr="00A51CB2">
        <w:rPr>
          <w:lang w:val="en-GB"/>
        </w:rPr>
        <w:tab/>
        <w:t xml:space="preserve">Annual rates per 100,000 population calculated using June 2022 population estimates from the Australian Bureau of Statistics; rates for the 6 months to &lt; </w:t>
      </w:r>
      <w:proofErr w:type="gramStart"/>
      <w:r w:rsidRPr="00A51CB2">
        <w:rPr>
          <w:lang w:val="en-GB"/>
        </w:rPr>
        <w:t>5 year</w:t>
      </w:r>
      <w:proofErr w:type="gramEnd"/>
      <w:r w:rsidRPr="00A51CB2">
        <w:rPr>
          <w:lang w:val="en-GB"/>
        </w:rPr>
        <w:t xml:space="preserve"> age group were excluded from the table due to small numbers of AEFI reports.</w:t>
      </w:r>
    </w:p>
    <w:p w14:paraId="3891F61F" w14:textId="77777777" w:rsidR="00A51CB2" w:rsidRPr="00A51CB2" w:rsidRDefault="00A51CB2" w:rsidP="00A51CB2">
      <w:pPr>
        <w:pStyle w:val="CDITable-Footnote"/>
        <w:rPr>
          <w:lang w:val="en-GB"/>
        </w:rPr>
      </w:pPr>
      <w:r w:rsidRPr="00A51CB2">
        <w:rPr>
          <w:lang w:val="en-GB"/>
        </w:rPr>
        <w:t>c</w:t>
      </w:r>
      <w:r w:rsidRPr="00A51CB2">
        <w:rPr>
          <w:lang w:val="en-GB"/>
        </w:rPr>
        <w:tab/>
        <w:t>95% CI: 95% confidence interval.</w:t>
      </w:r>
    </w:p>
    <w:p w14:paraId="529BDB60" w14:textId="77777777" w:rsidR="00A51CB2" w:rsidRPr="00A51CB2" w:rsidRDefault="00A51CB2" w:rsidP="00A51CB2">
      <w:pPr>
        <w:pStyle w:val="CDITable-Footnote"/>
        <w:rPr>
          <w:lang w:val="en-GB"/>
        </w:rPr>
      </w:pPr>
      <w:r w:rsidRPr="00A51CB2">
        <w:rPr>
          <w:lang w:val="en-GB"/>
        </w:rPr>
        <w:t>d</w:t>
      </w:r>
      <w:r w:rsidRPr="00A51CB2">
        <w:rPr>
          <w:lang w:val="en-GB"/>
        </w:rPr>
        <w:tab/>
      </w:r>
      <w:proofErr w:type="gramStart"/>
      <w:r w:rsidRPr="00A51CB2">
        <w:rPr>
          <w:lang w:val="en-GB"/>
        </w:rPr>
        <w:t>An</w:t>
      </w:r>
      <w:proofErr w:type="gramEnd"/>
      <w:r w:rsidRPr="00A51CB2">
        <w:rPr>
          <w:lang w:val="en-GB"/>
        </w:rPr>
        <w:t xml:space="preserve"> adverse event report is defined as ‘</w:t>
      </w:r>
      <w:proofErr w:type="spellStart"/>
      <w:r w:rsidRPr="00A51CB2">
        <w:rPr>
          <w:lang w:val="en-GB"/>
        </w:rPr>
        <w:t>serious’</w:t>
      </w:r>
      <w:proofErr w:type="spellEnd"/>
      <w:r w:rsidRPr="00A51CB2">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03071223" w14:textId="5BF1E35E" w:rsidR="00BC40D9" w:rsidRDefault="00A51CB2" w:rsidP="00BC40D9">
      <w:pPr>
        <w:pStyle w:val="CDITable-Footnote"/>
        <w:rPr>
          <w:lang w:val="en-GB"/>
        </w:rPr>
      </w:pPr>
      <w:r w:rsidRPr="00A51CB2">
        <w:rPr>
          <w:lang w:val="en-GB"/>
        </w:rPr>
        <w:t>e</w:t>
      </w:r>
      <w:r w:rsidRPr="00A51CB2">
        <w:rPr>
          <w:lang w:val="en-GB"/>
        </w:rPr>
        <w:tab/>
        <w:t>Includes only AEFI reports where an age or date of birth has been reported.</w:t>
      </w:r>
      <w:r w:rsidR="00BC40D9">
        <w:rPr>
          <w:lang w:val="en-GB"/>
        </w:rPr>
        <w:br w:type="page"/>
      </w:r>
    </w:p>
    <w:p w14:paraId="175EB943" w14:textId="77777777" w:rsidR="00BC40D9" w:rsidRPr="00BC40D9" w:rsidRDefault="00BC40D9" w:rsidP="00BC40D9">
      <w:pPr>
        <w:pStyle w:val="Heading2"/>
        <w:rPr>
          <w:lang w:val="en-GB"/>
        </w:rPr>
      </w:pPr>
      <w:bookmarkStart w:id="34" w:name="_Toc215578713"/>
      <w:r w:rsidRPr="00BC40D9">
        <w:rPr>
          <w:lang w:val="en-GB"/>
        </w:rPr>
        <w:lastRenderedPageBreak/>
        <w:t>Adverse events</w:t>
      </w:r>
      <w:bookmarkEnd w:id="34"/>
    </w:p>
    <w:p w14:paraId="27F5F55D" w14:textId="77777777" w:rsidR="00BC40D9" w:rsidRPr="00BC40D9" w:rsidRDefault="00BC40D9" w:rsidP="00BC40D9">
      <w:pPr>
        <w:rPr>
          <w:lang w:val="en-GB"/>
        </w:rPr>
      </w:pPr>
      <w:r w:rsidRPr="00BC40D9">
        <w:rPr>
          <w:lang w:val="en-GB"/>
        </w:rPr>
        <w:t>Overall, the most frequently reported MedDRA PT/SMQ for all COVID-19 vaccines in 2022 were ‘gastrointestinal nonspecific symptoms and therapeutic procedures’ (2,886 reports; 15.7%; hereafter abbreviated to ‘gastrointestinal nonspecific symptoms’; further details in Appendix A, Table A.3), headache (2,832 reports; 15.4%), chest pain (2,743 reports; 14.9%), myalgia (1,848 reports; 10.0%) and pyrexia (1,820 reports; 9.9%) (Table 4).</w:t>
      </w:r>
    </w:p>
    <w:p w14:paraId="21D2C934" w14:textId="77777777" w:rsidR="00BC40D9" w:rsidRPr="00BC40D9" w:rsidRDefault="00BC40D9" w:rsidP="00BC40D9">
      <w:pPr>
        <w:rPr>
          <w:lang w:val="en-GB"/>
        </w:rPr>
      </w:pPr>
      <w:r w:rsidRPr="00BC40D9">
        <w:rPr>
          <w:lang w:val="en-GB"/>
        </w:rPr>
        <w:t>Among children &lt; 5 years, ‘medication errors’, which in the context of AEFI denotes vaccination errors, was the most frequently reported PT/SMQ (Table 4; Appendix A, Table A.3). In children 5–11 years, ‘gastrointestinal nonspecific symptoms’ was most frequent. In adolescents 12–15 years, ‘medication errors’ was also the most frequently reported PT/SMQ. Among adults, chest pain was the most frequently reported PT/SMQ in people aged 16–59 years, and headache was the most frequent for people aged ≥ 60 years.</w:t>
      </w:r>
    </w:p>
    <w:p w14:paraId="41D0AB09" w14:textId="77777777" w:rsidR="00AC342F" w:rsidRDefault="00BC40D9" w:rsidP="00152B21">
      <w:pPr>
        <w:rPr>
          <w:lang w:val="en-GB"/>
        </w:rPr>
        <w:sectPr w:rsidR="00AC342F" w:rsidSect="001E3ECB">
          <w:headerReference w:type="even" r:id="rId19"/>
          <w:headerReference w:type="default" r:id="rId20"/>
          <w:footerReference w:type="even" r:id="rId21"/>
          <w:footerReference w:type="default" r:id="rId22"/>
          <w:headerReference w:type="first" r:id="rId23"/>
          <w:footerReference w:type="first" r:id="rId24"/>
          <w:footnotePr>
            <w:numFmt w:val="lowerRoman"/>
          </w:footnotePr>
          <w:pgSz w:w="11907" w:h="16840" w:code="9"/>
          <w:pgMar w:top="1134" w:right="1134" w:bottom="1134" w:left="1134" w:header="709" w:footer="567" w:gutter="0"/>
          <w:cols w:space="708"/>
          <w:docGrid w:linePitch="360"/>
        </w:sectPr>
      </w:pPr>
      <w:r w:rsidRPr="00BC40D9">
        <w:rPr>
          <w:lang w:val="en-GB"/>
        </w:rPr>
        <w:t xml:space="preserve">The most frequently reported PT/SMQ following Comirnaty and Spikevax for all age groups was ‘gastrointestinal nonspecific symptoms’ (Table 5). For Nuvaxovid, chest pain was reported most frequently, and for Vaxzevria, headache was the most frequent. </w:t>
      </w:r>
    </w:p>
    <w:p w14:paraId="5BD00D01" w14:textId="77777777" w:rsidR="00AC342F" w:rsidRPr="00AC342F" w:rsidRDefault="00AC342F" w:rsidP="00AC342F">
      <w:pPr>
        <w:pStyle w:val="CDITable-Title"/>
        <w:spacing w:before="0"/>
        <w:rPr>
          <w:lang w:val="en-GB"/>
        </w:rPr>
      </w:pPr>
      <w:bookmarkStart w:id="35" w:name="_Toc215578747"/>
      <w:r w:rsidRPr="00AC342F">
        <w:rPr>
          <w:lang w:val="en-GB"/>
        </w:rPr>
        <w:lastRenderedPageBreak/>
        <w:t xml:space="preserve">Table 4: The 30 most frequently reported adverse events classified by MedDRA preferred terms (PTs) or standardised MedDRA queries (SMQs) </w:t>
      </w:r>
      <w:r w:rsidRPr="00AC342F">
        <w:t>in</w:t>
      </w:r>
      <w:r w:rsidRPr="00AC342F">
        <w:rPr>
          <w:lang w:val="en-GB"/>
        </w:rPr>
        <w:t xml:space="preserve"> reports of adverse events following immunisation with COVID-19 vaccines administered in 2022 in the Adverse Event Management System </w:t>
      </w:r>
      <w:proofErr w:type="spellStart"/>
      <w:r w:rsidRPr="00AC342F">
        <w:rPr>
          <w:lang w:val="en-GB"/>
        </w:rPr>
        <w:t>database</w:t>
      </w:r>
      <w:r w:rsidRPr="00AC342F">
        <w:rPr>
          <w:vertAlign w:val="superscript"/>
          <w:lang w:val="en-GB"/>
        </w:rPr>
        <w:t>a</w:t>
      </w:r>
      <w:bookmarkEnd w:id="35"/>
      <w:proofErr w:type="spellEnd"/>
    </w:p>
    <w:tbl>
      <w:tblPr>
        <w:tblW w:w="0" w:type="auto"/>
        <w:tblLayout w:type="fixed"/>
        <w:tblCellMar>
          <w:left w:w="0" w:type="dxa"/>
          <w:right w:w="0" w:type="dxa"/>
        </w:tblCellMar>
        <w:tblLook w:val="0000" w:firstRow="0" w:lastRow="0" w:firstColumn="0" w:lastColumn="0" w:noHBand="0" w:noVBand="0"/>
        <w:tblCaption w:val="Table 4: The 30 most frequently reported adverse events classified by MedDRA preferred terms (PTs) or standardised MedDRA queries (SMQs) in reports of adverse events following immunisation with COVID-19 vaccines administered in 2022 in the Adverse Event Management System database"/>
        <w:tblDescription w:val="Table 4 shows, in descending order, the 30 MedDRA-coded adverse events that were reported the most frequently following COVID-19 vaccines administered in 2022. For each adverse event, the table gives the number and proportion of reports classified as serious, and the proportions of recipients aged &lt; 5 years, 5-11 years, 12-15 years, 16-59 years and ≥ 60 years."/>
      </w:tblPr>
      <w:tblGrid>
        <w:gridCol w:w="3458"/>
        <w:gridCol w:w="1361"/>
        <w:gridCol w:w="1361"/>
        <w:gridCol w:w="1360"/>
        <w:gridCol w:w="1361"/>
        <w:gridCol w:w="1360"/>
        <w:gridCol w:w="1361"/>
        <w:gridCol w:w="1361"/>
        <w:gridCol w:w="1360"/>
      </w:tblGrid>
      <w:tr w:rsidR="00AC342F" w:rsidRPr="00AC342F" w14:paraId="580AEF0A" w14:textId="77777777" w:rsidTr="00222276">
        <w:trPr>
          <w:trHeight w:val="60"/>
          <w:tblHeader/>
        </w:trPr>
        <w:tc>
          <w:tcPr>
            <w:tcW w:w="3458" w:type="dxa"/>
            <w:shd w:val="clear" w:color="auto" w:fill="1E4496" w:themeFill="text2"/>
            <w:tcMar>
              <w:top w:w="113" w:type="dxa"/>
              <w:left w:w="113" w:type="dxa"/>
              <w:bottom w:w="113" w:type="dxa"/>
              <w:right w:w="113" w:type="dxa"/>
            </w:tcMar>
            <w:vAlign w:val="bottom"/>
          </w:tcPr>
          <w:p w14:paraId="404345A9" w14:textId="77777777" w:rsidR="00AC342F" w:rsidRPr="00AC342F" w:rsidRDefault="00AC342F" w:rsidP="00AC342F">
            <w:pPr>
              <w:pStyle w:val="CDITable-HeaderRowLeft"/>
            </w:pPr>
            <w:r w:rsidRPr="00AC342F">
              <w:t>Adverse event</w:t>
            </w:r>
            <w:r w:rsidRPr="00AC342F">
              <w:br/>
              <w:t>PT or SMQ</w:t>
            </w:r>
          </w:p>
        </w:tc>
        <w:tc>
          <w:tcPr>
            <w:tcW w:w="1361" w:type="dxa"/>
            <w:shd w:val="clear" w:color="auto" w:fill="1E4496" w:themeFill="text2"/>
            <w:tcMar>
              <w:top w:w="113" w:type="dxa"/>
              <w:left w:w="113" w:type="dxa"/>
              <w:bottom w:w="113" w:type="dxa"/>
              <w:right w:w="113" w:type="dxa"/>
            </w:tcMar>
            <w:vAlign w:val="bottom"/>
          </w:tcPr>
          <w:p w14:paraId="6FD42D60" w14:textId="77777777" w:rsidR="00AC342F" w:rsidRPr="00AC342F" w:rsidRDefault="00AC342F" w:rsidP="00AC342F">
            <w:pPr>
              <w:pStyle w:val="CDITable-HeaderRowCentre"/>
            </w:pPr>
            <w:r w:rsidRPr="00AC342F">
              <w:t>AEFI reports n (</w:t>
            </w:r>
            <w:proofErr w:type="gramStart"/>
            <w:r w:rsidRPr="00AC342F">
              <w:t>%)</w:t>
            </w:r>
            <w:r w:rsidRPr="00AC342F">
              <w:rPr>
                <w:vertAlign w:val="superscript"/>
              </w:rPr>
              <w:t>b</w:t>
            </w:r>
            <w:proofErr w:type="gramEnd"/>
          </w:p>
        </w:tc>
        <w:tc>
          <w:tcPr>
            <w:tcW w:w="1361" w:type="dxa"/>
            <w:shd w:val="clear" w:color="auto" w:fill="1E4496" w:themeFill="text2"/>
            <w:tcMar>
              <w:top w:w="113" w:type="dxa"/>
              <w:left w:w="113" w:type="dxa"/>
              <w:bottom w:w="113" w:type="dxa"/>
              <w:right w:w="113" w:type="dxa"/>
            </w:tcMar>
            <w:vAlign w:val="bottom"/>
          </w:tcPr>
          <w:p w14:paraId="39DDA992" w14:textId="22E55A49" w:rsidR="00AC342F" w:rsidRPr="00AC342F" w:rsidRDefault="00AC342F" w:rsidP="00AC342F">
            <w:pPr>
              <w:pStyle w:val="CDITable-HeaderRowCentre"/>
            </w:pPr>
            <w:r w:rsidRPr="00AC342F">
              <w:t>Reports with a single reported adverse event n</w:t>
            </w:r>
            <w:r>
              <w:t> </w:t>
            </w:r>
            <w:r w:rsidRPr="00AC342F">
              <w:t>(</w:t>
            </w:r>
            <w:proofErr w:type="gramStart"/>
            <w:r w:rsidRPr="00AC342F">
              <w:t>%)</w:t>
            </w:r>
            <w:proofErr w:type="spellStart"/>
            <w:r w:rsidRPr="00AC342F">
              <w:rPr>
                <w:vertAlign w:val="superscript"/>
              </w:rPr>
              <w:t>c</w:t>
            </w:r>
            <w:proofErr w:type="gramEnd"/>
            <w:r w:rsidRPr="00AC342F">
              <w:rPr>
                <w:vertAlign w:val="superscript"/>
              </w:rPr>
              <w:t>,</w:t>
            </w:r>
            <w:proofErr w:type="gramStart"/>
            <w:r w:rsidRPr="00AC342F">
              <w:rPr>
                <w:vertAlign w:val="superscript"/>
              </w:rPr>
              <w:t>d,e</w:t>
            </w:r>
            <w:proofErr w:type="spellEnd"/>
            <w:proofErr w:type="gramEnd"/>
          </w:p>
        </w:tc>
        <w:tc>
          <w:tcPr>
            <w:tcW w:w="1360" w:type="dxa"/>
            <w:shd w:val="clear" w:color="auto" w:fill="1E4496" w:themeFill="text2"/>
            <w:tcMar>
              <w:top w:w="113" w:type="dxa"/>
              <w:left w:w="113" w:type="dxa"/>
              <w:bottom w:w="113" w:type="dxa"/>
              <w:right w:w="113" w:type="dxa"/>
            </w:tcMar>
            <w:vAlign w:val="bottom"/>
          </w:tcPr>
          <w:p w14:paraId="07BF1CE2" w14:textId="77777777" w:rsidR="00AC342F" w:rsidRPr="00AC342F" w:rsidRDefault="00AC342F" w:rsidP="00AC342F">
            <w:pPr>
              <w:pStyle w:val="CDITable-HeaderRowCentre"/>
            </w:pPr>
            <w:r w:rsidRPr="00AC342F">
              <w:t>Serious AEFI</w:t>
            </w:r>
            <w:r w:rsidRPr="00AC342F">
              <w:br/>
              <w:t>n (</w:t>
            </w:r>
            <w:proofErr w:type="gramStart"/>
            <w:r w:rsidRPr="00AC342F">
              <w:t>%)</w:t>
            </w:r>
            <w:proofErr w:type="spellStart"/>
            <w:r w:rsidRPr="00AC342F">
              <w:rPr>
                <w:vertAlign w:val="superscript"/>
              </w:rPr>
              <w:t>d</w:t>
            </w:r>
            <w:proofErr w:type="gramEnd"/>
            <w:r w:rsidRPr="00AC342F">
              <w:rPr>
                <w:vertAlign w:val="superscript"/>
              </w:rPr>
              <w:t>,e</w:t>
            </w:r>
            <w:proofErr w:type="spellEnd"/>
          </w:p>
        </w:tc>
        <w:tc>
          <w:tcPr>
            <w:tcW w:w="1361" w:type="dxa"/>
            <w:shd w:val="clear" w:color="auto" w:fill="1E4496" w:themeFill="text2"/>
            <w:tcMar>
              <w:top w:w="113" w:type="dxa"/>
              <w:left w:w="113" w:type="dxa"/>
              <w:bottom w:w="113" w:type="dxa"/>
              <w:right w:w="113" w:type="dxa"/>
            </w:tcMar>
            <w:vAlign w:val="bottom"/>
          </w:tcPr>
          <w:p w14:paraId="49C3D195" w14:textId="1C6E442D" w:rsidR="00AC342F" w:rsidRPr="00AC342F" w:rsidRDefault="00AC342F" w:rsidP="00AC342F">
            <w:pPr>
              <w:pStyle w:val="CDITable-HeaderRowCentre"/>
            </w:pPr>
            <w:r w:rsidRPr="00AC342F">
              <w:t>Aged &lt;</w:t>
            </w:r>
            <w:r>
              <w:t> </w:t>
            </w:r>
            <w:r w:rsidRPr="00AC342F">
              <w:t>5</w:t>
            </w:r>
            <w:r>
              <w:t> </w:t>
            </w:r>
            <w:r w:rsidRPr="00AC342F">
              <w:t>years n</w:t>
            </w:r>
            <w:r>
              <w:t> </w:t>
            </w:r>
            <w:r w:rsidRPr="00AC342F">
              <w:t>(</w:t>
            </w:r>
            <w:proofErr w:type="gramStart"/>
            <w:r w:rsidRPr="00AC342F">
              <w:t>%)</w:t>
            </w:r>
            <w:proofErr w:type="spellStart"/>
            <w:r w:rsidRPr="00AC342F">
              <w:rPr>
                <w:vertAlign w:val="superscript"/>
              </w:rPr>
              <w:t>d</w:t>
            </w:r>
            <w:proofErr w:type="gramEnd"/>
            <w:r w:rsidRPr="00AC342F">
              <w:rPr>
                <w:vertAlign w:val="superscript"/>
              </w:rPr>
              <w:t>,f</w:t>
            </w:r>
            <w:proofErr w:type="spellEnd"/>
          </w:p>
        </w:tc>
        <w:tc>
          <w:tcPr>
            <w:tcW w:w="1360" w:type="dxa"/>
            <w:shd w:val="clear" w:color="auto" w:fill="1E4496" w:themeFill="text2"/>
            <w:tcMar>
              <w:top w:w="113" w:type="dxa"/>
              <w:left w:w="113" w:type="dxa"/>
              <w:bottom w:w="113" w:type="dxa"/>
              <w:right w:w="113" w:type="dxa"/>
            </w:tcMar>
            <w:vAlign w:val="bottom"/>
          </w:tcPr>
          <w:p w14:paraId="784C25E8" w14:textId="08B38303" w:rsidR="00AC342F" w:rsidRPr="00AC342F" w:rsidRDefault="00AC342F" w:rsidP="00AC342F">
            <w:pPr>
              <w:pStyle w:val="CDITable-HeaderRowCentre"/>
            </w:pPr>
            <w:r w:rsidRPr="00AC342F">
              <w:t>Aged</w:t>
            </w:r>
            <w:r>
              <w:br/>
            </w:r>
            <w:r w:rsidRPr="00AC342F">
              <w:t>5–11 years n</w:t>
            </w:r>
            <w:r>
              <w:t> </w:t>
            </w:r>
            <w:r w:rsidRPr="00AC342F">
              <w:t>(</w:t>
            </w:r>
            <w:proofErr w:type="gramStart"/>
            <w:r w:rsidRPr="00AC342F">
              <w:t>%)</w:t>
            </w:r>
            <w:proofErr w:type="spellStart"/>
            <w:r w:rsidRPr="00AC342F">
              <w:rPr>
                <w:vertAlign w:val="superscript"/>
              </w:rPr>
              <w:t>d</w:t>
            </w:r>
            <w:proofErr w:type="gramEnd"/>
            <w:r w:rsidRPr="00AC342F">
              <w:rPr>
                <w:vertAlign w:val="superscript"/>
              </w:rPr>
              <w:t>,f</w:t>
            </w:r>
            <w:proofErr w:type="spellEnd"/>
          </w:p>
        </w:tc>
        <w:tc>
          <w:tcPr>
            <w:tcW w:w="1361" w:type="dxa"/>
            <w:shd w:val="clear" w:color="auto" w:fill="1E4496" w:themeFill="text2"/>
            <w:tcMar>
              <w:top w:w="113" w:type="dxa"/>
              <w:left w:w="113" w:type="dxa"/>
              <w:bottom w:w="113" w:type="dxa"/>
              <w:right w:w="113" w:type="dxa"/>
            </w:tcMar>
            <w:vAlign w:val="bottom"/>
          </w:tcPr>
          <w:p w14:paraId="1C571AE3" w14:textId="7B72BE23" w:rsidR="00AC342F" w:rsidRPr="00AC342F" w:rsidRDefault="00AC342F" w:rsidP="00AC342F">
            <w:pPr>
              <w:pStyle w:val="CDITable-HeaderRowCentre"/>
            </w:pPr>
            <w:r w:rsidRPr="00AC342F">
              <w:t>Aged</w:t>
            </w:r>
            <w:r>
              <w:br/>
            </w:r>
            <w:r w:rsidRPr="00AC342F">
              <w:t>12–15 years n (</w:t>
            </w:r>
            <w:proofErr w:type="gramStart"/>
            <w:r w:rsidRPr="00AC342F">
              <w:t>%)</w:t>
            </w:r>
            <w:proofErr w:type="spellStart"/>
            <w:r w:rsidRPr="00AC342F">
              <w:rPr>
                <w:vertAlign w:val="superscript"/>
              </w:rPr>
              <w:t>d</w:t>
            </w:r>
            <w:proofErr w:type="gramEnd"/>
            <w:r w:rsidRPr="00AC342F">
              <w:rPr>
                <w:vertAlign w:val="superscript"/>
              </w:rPr>
              <w:t>,f</w:t>
            </w:r>
            <w:proofErr w:type="spellEnd"/>
          </w:p>
        </w:tc>
        <w:tc>
          <w:tcPr>
            <w:tcW w:w="1361" w:type="dxa"/>
            <w:shd w:val="clear" w:color="auto" w:fill="1E4496" w:themeFill="text2"/>
            <w:tcMar>
              <w:top w:w="113" w:type="dxa"/>
              <w:left w:w="113" w:type="dxa"/>
              <w:bottom w:w="113" w:type="dxa"/>
              <w:right w:w="113" w:type="dxa"/>
            </w:tcMar>
            <w:vAlign w:val="bottom"/>
          </w:tcPr>
          <w:p w14:paraId="54AF35A1" w14:textId="0D10E9B9" w:rsidR="00AC342F" w:rsidRPr="00AC342F" w:rsidRDefault="00AC342F" w:rsidP="00AC342F">
            <w:pPr>
              <w:pStyle w:val="CDITable-HeaderRowCentre"/>
            </w:pPr>
            <w:r w:rsidRPr="00AC342F">
              <w:t>Aged</w:t>
            </w:r>
            <w:r>
              <w:br/>
            </w:r>
            <w:r w:rsidRPr="00AC342F">
              <w:t>16–59 years n (</w:t>
            </w:r>
            <w:proofErr w:type="gramStart"/>
            <w:r w:rsidRPr="00AC342F">
              <w:t>%)</w:t>
            </w:r>
            <w:proofErr w:type="spellStart"/>
            <w:r w:rsidRPr="00AC342F">
              <w:rPr>
                <w:vertAlign w:val="superscript"/>
              </w:rPr>
              <w:t>d</w:t>
            </w:r>
            <w:proofErr w:type="gramEnd"/>
            <w:r w:rsidRPr="00AC342F">
              <w:rPr>
                <w:vertAlign w:val="superscript"/>
              </w:rPr>
              <w:t>,f</w:t>
            </w:r>
            <w:proofErr w:type="spellEnd"/>
          </w:p>
        </w:tc>
        <w:tc>
          <w:tcPr>
            <w:tcW w:w="1360" w:type="dxa"/>
            <w:shd w:val="clear" w:color="auto" w:fill="1E4496" w:themeFill="text2"/>
            <w:tcMar>
              <w:top w:w="113" w:type="dxa"/>
              <w:left w:w="113" w:type="dxa"/>
              <w:bottom w:w="113" w:type="dxa"/>
              <w:right w:w="113" w:type="dxa"/>
            </w:tcMar>
            <w:vAlign w:val="bottom"/>
          </w:tcPr>
          <w:p w14:paraId="60A9400C" w14:textId="0C836EF4" w:rsidR="00AC342F" w:rsidRPr="00AC342F" w:rsidRDefault="00AC342F" w:rsidP="00AC342F">
            <w:pPr>
              <w:pStyle w:val="CDITable-HeaderRowCentre"/>
            </w:pPr>
            <w:r w:rsidRPr="00AC342F">
              <w:t>Aged ≥</w:t>
            </w:r>
            <w:r>
              <w:t> </w:t>
            </w:r>
            <w:r w:rsidRPr="00AC342F">
              <w:t>60</w:t>
            </w:r>
            <w:r>
              <w:t> </w:t>
            </w:r>
            <w:r w:rsidRPr="00AC342F">
              <w:t>years n</w:t>
            </w:r>
            <w:r>
              <w:t> </w:t>
            </w:r>
            <w:r w:rsidRPr="00AC342F">
              <w:t>(</w:t>
            </w:r>
            <w:proofErr w:type="gramStart"/>
            <w:r w:rsidRPr="00AC342F">
              <w:t>%)</w:t>
            </w:r>
            <w:proofErr w:type="spellStart"/>
            <w:r w:rsidRPr="00AC342F">
              <w:rPr>
                <w:vertAlign w:val="superscript"/>
              </w:rPr>
              <w:t>d</w:t>
            </w:r>
            <w:proofErr w:type="gramEnd"/>
            <w:r w:rsidRPr="00AC342F">
              <w:rPr>
                <w:vertAlign w:val="superscript"/>
              </w:rPr>
              <w:t>,f</w:t>
            </w:r>
            <w:proofErr w:type="spellEnd"/>
          </w:p>
        </w:tc>
      </w:tr>
      <w:tr w:rsidR="00AC342F" w:rsidRPr="00AC342F" w14:paraId="0691257C" w14:textId="77777777" w:rsidTr="00222276">
        <w:trPr>
          <w:trHeight w:val="60"/>
        </w:trPr>
        <w:tc>
          <w:tcPr>
            <w:tcW w:w="3458" w:type="dxa"/>
            <w:tcBorders>
              <w:bottom w:val="single" w:sz="6" w:space="0" w:color="1E4496" w:themeColor="text2"/>
            </w:tcBorders>
            <w:tcMar>
              <w:top w:w="113" w:type="dxa"/>
              <w:left w:w="113" w:type="dxa"/>
              <w:bottom w:w="113" w:type="dxa"/>
              <w:right w:w="113" w:type="dxa"/>
            </w:tcMar>
            <w:vAlign w:val="center"/>
          </w:tcPr>
          <w:p w14:paraId="368134F1" w14:textId="77777777" w:rsidR="00AC342F" w:rsidRPr="00AC342F" w:rsidRDefault="00AC342F" w:rsidP="00AC342F">
            <w:pPr>
              <w:pStyle w:val="CDITable-RowLeft"/>
            </w:pPr>
            <w:r w:rsidRPr="00AC342F">
              <w:t>Gastrointestinal nonspecific symptoms and therapeutic procedures</w:t>
            </w:r>
          </w:p>
        </w:tc>
        <w:tc>
          <w:tcPr>
            <w:tcW w:w="1361" w:type="dxa"/>
            <w:tcBorders>
              <w:bottom w:val="single" w:sz="6" w:space="0" w:color="1E4496" w:themeColor="text2"/>
            </w:tcBorders>
            <w:tcMar>
              <w:top w:w="113" w:type="dxa"/>
              <w:left w:w="113" w:type="dxa"/>
              <w:bottom w:w="113" w:type="dxa"/>
              <w:right w:w="113" w:type="dxa"/>
            </w:tcMar>
            <w:vAlign w:val="center"/>
          </w:tcPr>
          <w:p w14:paraId="15D8C105" w14:textId="77777777" w:rsidR="00AC342F" w:rsidRPr="00AC342F" w:rsidRDefault="00AC342F" w:rsidP="00AC342F">
            <w:pPr>
              <w:pStyle w:val="CDITable-RowCentre"/>
            </w:pPr>
            <w:r w:rsidRPr="00AC342F">
              <w:t>2,886 (15.7)</w:t>
            </w:r>
          </w:p>
        </w:tc>
        <w:tc>
          <w:tcPr>
            <w:tcW w:w="1361" w:type="dxa"/>
            <w:tcBorders>
              <w:bottom w:val="single" w:sz="6" w:space="0" w:color="1E4496" w:themeColor="text2"/>
            </w:tcBorders>
            <w:tcMar>
              <w:top w:w="113" w:type="dxa"/>
              <w:left w:w="113" w:type="dxa"/>
              <w:bottom w:w="113" w:type="dxa"/>
              <w:right w:w="113" w:type="dxa"/>
            </w:tcMar>
            <w:vAlign w:val="center"/>
          </w:tcPr>
          <w:p w14:paraId="37718A86" w14:textId="77777777" w:rsidR="00AC342F" w:rsidRPr="00AC342F" w:rsidRDefault="00AC342F" w:rsidP="00AC342F">
            <w:pPr>
              <w:pStyle w:val="CDITable-RowCentre"/>
            </w:pPr>
            <w:r w:rsidRPr="00AC342F">
              <w:t>149 (5.2)</w:t>
            </w:r>
          </w:p>
        </w:tc>
        <w:tc>
          <w:tcPr>
            <w:tcW w:w="1360" w:type="dxa"/>
            <w:tcBorders>
              <w:bottom w:val="single" w:sz="6" w:space="0" w:color="1E4496" w:themeColor="text2"/>
            </w:tcBorders>
            <w:tcMar>
              <w:top w:w="113" w:type="dxa"/>
              <w:left w:w="113" w:type="dxa"/>
              <w:bottom w:w="113" w:type="dxa"/>
              <w:right w:w="113" w:type="dxa"/>
            </w:tcMar>
            <w:vAlign w:val="center"/>
          </w:tcPr>
          <w:p w14:paraId="19DC08E1" w14:textId="77777777" w:rsidR="00AC342F" w:rsidRPr="00AC342F" w:rsidRDefault="00AC342F" w:rsidP="00AC342F">
            <w:pPr>
              <w:pStyle w:val="CDITable-RowCentre"/>
            </w:pPr>
            <w:r w:rsidRPr="00AC342F">
              <w:t>320 (11.1)</w:t>
            </w:r>
          </w:p>
        </w:tc>
        <w:tc>
          <w:tcPr>
            <w:tcW w:w="1361" w:type="dxa"/>
            <w:tcBorders>
              <w:bottom w:val="single" w:sz="6" w:space="0" w:color="1E4496" w:themeColor="text2"/>
            </w:tcBorders>
            <w:tcMar>
              <w:top w:w="113" w:type="dxa"/>
              <w:left w:w="113" w:type="dxa"/>
              <w:bottom w:w="113" w:type="dxa"/>
              <w:right w:w="113" w:type="dxa"/>
            </w:tcMar>
            <w:vAlign w:val="center"/>
          </w:tcPr>
          <w:p w14:paraId="294D5D2E" w14:textId="77777777" w:rsidR="00AC342F" w:rsidRPr="00AC342F" w:rsidRDefault="00AC342F" w:rsidP="00AC342F">
            <w:pPr>
              <w:pStyle w:val="CDITable-RowCentre"/>
            </w:pPr>
            <w:r w:rsidRPr="00AC342F">
              <w:t>1 (0.0)</w:t>
            </w:r>
          </w:p>
        </w:tc>
        <w:tc>
          <w:tcPr>
            <w:tcW w:w="1360" w:type="dxa"/>
            <w:tcBorders>
              <w:bottom w:val="single" w:sz="6" w:space="0" w:color="1E4496" w:themeColor="text2"/>
            </w:tcBorders>
            <w:tcMar>
              <w:top w:w="113" w:type="dxa"/>
              <w:left w:w="113" w:type="dxa"/>
              <w:bottom w:w="113" w:type="dxa"/>
              <w:right w:w="113" w:type="dxa"/>
            </w:tcMar>
            <w:vAlign w:val="center"/>
          </w:tcPr>
          <w:p w14:paraId="17FC8574" w14:textId="77777777" w:rsidR="00AC342F" w:rsidRPr="00AC342F" w:rsidRDefault="00AC342F" w:rsidP="00AC342F">
            <w:pPr>
              <w:pStyle w:val="CDITable-RowCentre"/>
            </w:pPr>
            <w:r w:rsidRPr="00AC342F">
              <w:t>423 (14.7)</w:t>
            </w:r>
          </w:p>
        </w:tc>
        <w:tc>
          <w:tcPr>
            <w:tcW w:w="1361" w:type="dxa"/>
            <w:tcBorders>
              <w:bottom w:val="single" w:sz="6" w:space="0" w:color="1E4496" w:themeColor="text2"/>
            </w:tcBorders>
            <w:tcMar>
              <w:top w:w="113" w:type="dxa"/>
              <w:left w:w="113" w:type="dxa"/>
              <w:bottom w:w="113" w:type="dxa"/>
              <w:right w:w="113" w:type="dxa"/>
            </w:tcMar>
            <w:vAlign w:val="center"/>
          </w:tcPr>
          <w:p w14:paraId="4D988184" w14:textId="77777777" w:rsidR="00AC342F" w:rsidRPr="00AC342F" w:rsidRDefault="00AC342F" w:rsidP="00AC342F">
            <w:pPr>
              <w:pStyle w:val="CDITable-RowCentre"/>
            </w:pPr>
            <w:r w:rsidRPr="00AC342F">
              <w:t>79 (2.7)</w:t>
            </w:r>
          </w:p>
        </w:tc>
        <w:tc>
          <w:tcPr>
            <w:tcW w:w="1361" w:type="dxa"/>
            <w:tcBorders>
              <w:bottom w:val="single" w:sz="6" w:space="0" w:color="1E4496" w:themeColor="text2"/>
            </w:tcBorders>
            <w:tcMar>
              <w:top w:w="113" w:type="dxa"/>
              <w:left w:w="113" w:type="dxa"/>
              <w:bottom w:w="113" w:type="dxa"/>
              <w:right w:w="113" w:type="dxa"/>
            </w:tcMar>
            <w:vAlign w:val="center"/>
          </w:tcPr>
          <w:p w14:paraId="6EAD7EA4" w14:textId="77777777" w:rsidR="00AC342F" w:rsidRPr="00AC342F" w:rsidRDefault="00AC342F" w:rsidP="00AC342F">
            <w:pPr>
              <w:pStyle w:val="CDITable-RowCentre"/>
            </w:pPr>
            <w:r w:rsidRPr="00AC342F">
              <w:t>1,872 (64.9)</w:t>
            </w:r>
          </w:p>
        </w:tc>
        <w:tc>
          <w:tcPr>
            <w:tcW w:w="1360" w:type="dxa"/>
            <w:tcBorders>
              <w:bottom w:val="single" w:sz="6" w:space="0" w:color="1E4496" w:themeColor="text2"/>
            </w:tcBorders>
            <w:tcMar>
              <w:top w:w="113" w:type="dxa"/>
              <w:left w:w="113" w:type="dxa"/>
              <w:bottom w:w="113" w:type="dxa"/>
              <w:right w:w="113" w:type="dxa"/>
            </w:tcMar>
            <w:vAlign w:val="center"/>
          </w:tcPr>
          <w:p w14:paraId="10E043AE" w14:textId="77777777" w:rsidR="00AC342F" w:rsidRPr="00AC342F" w:rsidRDefault="00AC342F" w:rsidP="00AC342F">
            <w:pPr>
              <w:pStyle w:val="CDITable-RowCentre"/>
            </w:pPr>
            <w:r w:rsidRPr="00AC342F">
              <w:t>404 (14.0)</w:t>
            </w:r>
          </w:p>
        </w:tc>
      </w:tr>
      <w:tr w:rsidR="00AC342F" w:rsidRPr="00AC342F" w14:paraId="2AB2B0AA"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7AD2A" w14:textId="77777777" w:rsidR="00AC342F" w:rsidRPr="00AC342F" w:rsidRDefault="00AC342F" w:rsidP="00AC342F">
            <w:pPr>
              <w:pStyle w:val="CDITable-RowLeft"/>
            </w:pPr>
            <w:r w:rsidRPr="00AC342F">
              <w:t>Headache</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AD0B2" w14:textId="77777777" w:rsidR="00AC342F" w:rsidRPr="00AC342F" w:rsidRDefault="00AC342F" w:rsidP="00AC342F">
            <w:pPr>
              <w:pStyle w:val="CDITable-RowCentre"/>
            </w:pPr>
            <w:r w:rsidRPr="00AC342F">
              <w:t>2,832 (15.4)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4E520" w14:textId="77777777" w:rsidR="00AC342F" w:rsidRPr="00AC342F" w:rsidRDefault="00AC342F" w:rsidP="00AC342F">
            <w:pPr>
              <w:pStyle w:val="CDITable-RowCentre"/>
            </w:pPr>
            <w:r w:rsidRPr="00AC342F">
              <w:t>54 (1.9)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6D9C3" w14:textId="77777777" w:rsidR="00AC342F" w:rsidRPr="00AC342F" w:rsidRDefault="00AC342F" w:rsidP="00AC342F">
            <w:pPr>
              <w:pStyle w:val="CDITable-RowCentre"/>
            </w:pPr>
            <w:r w:rsidRPr="00AC342F">
              <w:t>256 (9.0)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CDF36" w14:textId="77777777" w:rsidR="00AC342F" w:rsidRPr="00AC342F" w:rsidRDefault="00AC342F" w:rsidP="00AC342F">
            <w:pPr>
              <w:pStyle w:val="CDITable-RowCentre"/>
            </w:pPr>
            <w:r w:rsidRPr="00AC342F">
              <w:t>1 (0.0)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BFE7F" w14:textId="77777777" w:rsidR="00AC342F" w:rsidRPr="00AC342F" w:rsidRDefault="00AC342F" w:rsidP="00AC342F">
            <w:pPr>
              <w:pStyle w:val="CDITable-RowCentre"/>
            </w:pPr>
            <w:r w:rsidRPr="00AC342F">
              <w:t>172 (6.1)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F2CD9" w14:textId="77777777" w:rsidR="00AC342F" w:rsidRPr="00AC342F" w:rsidRDefault="00AC342F" w:rsidP="00AC342F">
            <w:pPr>
              <w:pStyle w:val="CDITable-RowCentre"/>
            </w:pPr>
            <w:r w:rsidRPr="00AC342F">
              <w:t>59 (2.1)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84B17" w14:textId="77777777" w:rsidR="00AC342F" w:rsidRPr="00AC342F" w:rsidRDefault="00AC342F" w:rsidP="00AC342F">
            <w:pPr>
              <w:pStyle w:val="CDITable-RowCentre"/>
            </w:pPr>
            <w:r w:rsidRPr="00AC342F">
              <w:t>2,011 (71.0)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75650E" w14:textId="77777777" w:rsidR="00AC342F" w:rsidRPr="00AC342F" w:rsidRDefault="00AC342F" w:rsidP="00AC342F">
            <w:pPr>
              <w:pStyle w:val="CDITable-RowCentre"/>
            </w:pPr>
            <w:r w:rsidRPr="00AC342F">
              <w:t>450 (15.9)</w:t>
            </w:r>
          </w:p>
        </w:tc>
      </w:tr>
      <w:tr w:rsidR="00AC342F" w:rsidRPr="00AC342F" w14:paraId="39539917"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036C9" w14:textId="77777777" w:rsidR="00AC342F" w:rsidRPr="00AC342F" w:rsidRDefault="00AC342F" w:rsidP="00AC342F">
            <w:pPr>
              <w:pStyle w:val="CDITable-RowLeft"/>
            </w:pPr>
            <w:r w:rsidRPr="00AC342F">
              <w:t>Chest pain</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28C5E" w14:textId="77777777" w:rsidR="00AC342F" w:rsidRPr="00AC342F" w:rsidRDefault="00AC342F" w:rsidP="00AC342F">
            <w:pPr>
              <w:pStyle w:val="CDITable-RowCentre"/>
            </w:pPr>
            <w:r w:rsidRPr="00AC342F">
              <w:t>2,743 (14.9)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FD9B4" w14:textId="77777777" w:rsidR="00AC342F" w:rsidRPr="00AC342F" w:rsidRDefault="00AC342F" w:rsidP="00AC342F">
            <w:pPr>
              <w:pStyle w:val="CDITable-RowCentre"/>
            </w:pPr>
            <w:r w:rsidRPr="00AC342F">
              <w:t>326 (11.9)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0F82EA" w14:textId="77777777" w:rsidR="00AC342F" w:rsidRPr="00AC342F" w:rsidRDefault="00AC342F" w:rsidP="00AC342F">
            <w:pPr>
              <w:pStyle w:val="CDITable-RowCentre"/>
            </w:pPr>
            <w:r w:rsidRPr="00AC342F">
              <w:t>474 (17.3)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1E3183" w14:textId="77777777" w:rsidR="00AC342F" w:rsidRPr="00AC342F" w:rsidRDefault="00AC342F" w:rsidP="00AC342F">
            <w:pPr>
              <w:pStyle w:val="CDITable-RowCentre"/>
            </w:pPr>
            <w:r w:rsidRPr="00AC342F">
              <w:t>1 (0.0)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E34A6" w14:textId="77777777" w:rsidR="00AC342F" w:rsidRPr="00AC342F" w:rsidRDefault="00AC342F" w:rsidP="00AC342F">
            <w:pPr>
              <w:pStyle w:val="CDITable-RowCentre"/>
            </w:pPr>
            <w:r w:rsidRPr="00AC342F">
              <w:t>231 (8.4)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1697C6" w14:textId="77777777" w:rsidR="00AC342F" w:rsidRPr="00AC342F" w:rsidRDefault="00AC342F" w:rsidP="00AC342F">
            <w:pPr>
              <w:pStyle w:val="CDITable-RowCentre"/>
            </w:pPr>
            <w:r w:rsidRPr="00AC342F">
              <w:t>67 (2.4)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96E1B" w14:textId="77777777" w:rsidR="00AC342F" w:rsidRPr="00AC342F" w:rsidRDefault="00AC342F" w:rsidP="00AC342F">
            <w:pPr>
              <w:pStyle w:val="CDITable-RowCentre"/>
            </w:pPr>
            <w:r w:rsidRPr="00AC342F">
              <w:t>2,094 (76.3)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1E038" w14:textId="77777777" w:rsidR="00AC342F" w:rsidRPr="00AC342F" w:rsidRDefault="00AC342F" w:rsidP="00AC342F">
            <w:pPr>
              <w:pStyle w:val="CDITable-RowCentre"/>
            </w:pPr>
            <w:r w:rsidRPr="00AC342F">
              <w:t>249 (9.1)</w:t>
            </w:r>
          </w:p>
        </w:tc>
      </w:tr>
      <w:tr w:rsidR="00AC342F" w:rsidRPr="00AC342F" w14:paraId="22C0679B"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4CB8A" w14:textId="77777777" w:rsidR="00AC342F" w:rsidRPr="00AC342F" w:rsidRDefault="00AC342F" w:rsidP="00AC342F">
            <w:pPr>
              <w:pStyle w:val="CDITable-RowLeft"/>
            </w:pPr>
            <w:r w:rsidRPr="00AC342F">
              <w:t>Myalgia</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A15236" w14:textId="77777777" w:rsidR="00AC342F" w:rsidRPr="00AC342F" w:rsidRDefault="00AC342F" w:rsidP="00AC342F">
            <w:pPr>
              <w:pStyle w:val="CDITable-RowCentre"/>
            </w:pPr>
            <w:r w:rsidRPr="00AC342F">
              <w:t>1,848 (10.0)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DBBCBA" w14:textId="77777777" w:rsidR="00AC342F" w:rsidRPr="00AC342F" w:rsidRDefault="00AC342F" w:rsidP="00AC342F">
            <w:pPr>
              <w:pStyle w:val="CDITable-RowCentre"/>
            </w:pPr>
            <w:r w:rsidRPr="00AC342F">
              <w:t>14 (0.8)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426FB" w14:textId="77777777" w:rsidR="00AC342F" w:rsidRPr="00AC342F" w:rsidRDefault="00AC342F" w:rsidP="00AC342F">
            <w:pPr>
              <w:pStyle w:val="CDITable-RowCentre"/>
            </w:pPr>
            <w:r w:rsidRPr="00AC342F">
              <w:t>112 (6.1)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824F5" w14:textId="77777777" w:rsidR="00AC342F" w:rsidRPr="00AC342F" w:rsidRDefault="00AC342F" w:rsidP="00AC342F">
            <w:pPr>
              <w:pStyle w:val="CDITable-RowCentre"/>
            </w:pPr>
            <w:r w:rsidRPr="00AC342F">
              <w:t>1 (0.1)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6E8034" w14:textId="77777777" w:rsidR="00AC342F" w:rsidRPr="00AC342F" w:rsidRDefault="00AC342F" w:rsidP="00AC342F">
            <w:pPr>
              <w:pStyle w:val="CDITable-RowCentre"/>
            </w:pPr>
            <w:r w:rsidRPr="00AC342F">
              <w:t>78 (4.2)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92361" w14:textId="77777777" w:rsidR="00AC342F" w:rsidRPr="00AC342F" w:rsidRDefault="00AC342F" w:rsidP="00AC342F">
            <w:pPr>
              <w:pStyle w:val="CDITable-RowCentre"/>
            </w:pPr>
            <w:r w:rsidRPr="00AC342F">
              <w:t>37 (2.0)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F2DEF" w14:textId="77777777" w:rsidR="00AC342F" w:rsidRPr="00AC342F" w:rsidRDefault="00AC342F" w:rsidP="00AC342F">
            <w:pPr>
              <w:pStyle w:val="CDITable-RowCentre"/>
            </w:pPr>
            <w:r w:rsidRPr="00AC342F">
              <w:t>1,385 (74.9)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200AB" w14:textId="77777777" w:rsidR="00AC342F" w:rsidRPr="00AC342F" w:rsidRDefault="00AC342F" w:rsidP="00AC342F">
            <w:pPr>
              <w:pStyle w:val="CDITable-RowCentre"/>
            </w:pPr>
            <w:r w:rsidRPr="00AC342F">
              <w:t>268 (14.5)</w:t>
            </w:r>
          </w:p>
        </w:tc>
      </w:tr>
      <w:tr w:rsidR="00AC342F" w:rsidRPr="00AC342F" w14:paraId="7DED1E7A"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363B9" w14:textId="77777777" w:rsidR="00AC342F" w:rsidRPr="00AC342F" w:rsidRDefault="00AC342F" w:rsidP="00AC342F">
            <w:pPr>
              <w:pStyle w:val="CDITable-RowLeft"/>
            </w:pPr>
            <w:r w:rsidRPr="00AC342F">
              <w:t>Pyrexia</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2595CE" w14:textId="77777777" w:rsidR="00AC342F" w:rsidRPr="00AC342F" w:rsidRDefault="00AC342F" w:rsidP="00AC342F">
            <w:pPr>
              <w:pStyle w:val="CDITable-RowCentre"/>
            </w:pPr>
            <w:r w:rsidRPr="00AC342F">
              <w:t>1,820 (9.9)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F10BBA" w14:textId="77777777" w:rsidR="00AC342F" w:rsidRPr="00AC342F" w:rsidRDefault="00AC342F" w:rsidP="00AC342F">
            <w:pPr>
              <w:pStyle w:val="CDITable-RowCentre"/>
            </w:pPr>
            <w:r w:rsidRPr="00AC342F">
              <w:t>22 (1.2)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5BBD34" w14:textId="77777777" w:rsidR="00AC342F" w:rsidRPr="00AC342F" w:rsidRDefault="00AC342F" w:rsidP="00AC342F">
            <w:pPr>
              <w:pStyle w:val="CDITable-RowCentre"/>
            </w:pPr>
            <w:r w:rsidRPr="00AC342F">
              <w:t>169 (9.3)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65D89" w14:textId="77777777" w:rsidR="00AC342F" w:rsidRPr="00AC342F" w:rsidRDefault="00AC342F" w:rsidP="00AC342F">
            <w:pPr>
              <w:pStyle w:val="CDITable-RowCentre"/>
            </w:pPr>
            <w:r w:rsidRPr="00AC342F">
              <w:t>1 (0.1)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F5550" w14:textId="77777777" w:rsidR="00AC342F" w:rsidRPr="00AC342F" w:rsidRDefault="00AC342F" w:rsidP="00AC342F">
            <w:pPr>
              <w:pStyle w:val="CDITable-RowCentre"/>
            </w:pPr>
            <w:r w:rsidRPr="00AC342F">
              <w:t>192 (10.5)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8EAB4" w14:textId="77777777" w:rsidR="00AC342F" w:rsidRPr="00AC342F" w:rsidRDefault="00AC342F" w:rsidP="00AC342F">
            <w:pPr>
              <w:pStyle w:val="CDITable-RowCentre"/>
            </w:pPr>
            <w:r w:rsidRPr="00AC342F">
              <w:t>47 (2.6)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40D2FC" w14:textId="77777777" w:rsidR="00AC342F" w:rsidRPr="00AC342F" w:rsidRDefault="00AC342F" w:rsidP="00AC342F">
            <w:pPr>
              <w:pStyle w:val="CDITable-RowCentre"/>
            </w:pPr>
            <w:r w:rsidRPr="00AC342F">
              <w:t>1,285 (70.6)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ACDFC" w14:textId="77777777" w:rsidR="00AC342F" w:rsidRPr="00AC342F" w:rsidRDefault="00AC342F" w:rsidP="00AC342F">
            <w:pPr>
              <w:pStyle w:val="CDITable-RowCentre"/>
            </w:pPr>
            <w:r w:rsidRPr="00AC342F">
              <w:t>221 (12.1)</w:t>
            </w:r>
          </w:p>
        </w:tc>
      </w:tr>
      <w:tr w:rsidR="00AC342F" w:rsidRPr="00AC342F" w14:paraId="4F6D8228"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717AC" w14:textId="77777777" w:rsidR="00AC342F" w:rsidRPr="00AC342F" w:rsidRDefault="00AC342F" w:rsidP="00AC342F">
            <w:pPr>
              <w:pStyle w:val="CDITable-RowLeft"/>
            </w:pPr>
            <w:r w:rsidRPr="00AC342F">
              <w:t>Fatigue</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3E3F2" w14:textId="77777777" w:rsidR="00AC342F" w:rsidRPr="00AC342F" w:rsidRDefault="00AC342F" w:rsidP="00AC342F">
            <w:pPr>
              <w:pStyle w:val="CDITable-RowCentre"/>
            </w:pPr>
            <w:r w:rsidRPr="00AC342F">
              <w:t>1,789 (9.7)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C992E" w14:textId="77777777" w:rsidR="00AC342F" w:rsidRPr="00AC342F" w:rsidRDefault="00AC342F" w:rsidP="00AC342F">
            <w:pPr>
              <w:pStyle w:val="CDITable-RowCentre"/>
            </w:pPr>
            <w:r w:rsidRPr="00AC342F">
              <w:t>16 (0.9)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D1A28" w14:textId="77777777" w:rsidR="00AC342F" w:rsidRPr="00AC342F" w:rsidRDefault="00AC342F" w:rsidP="00AC342F">
            <w:pPr>
              <w:pStyle w:val="CDITable-RowCentre"/>
            </w:pPr>
            <w:r w:rsidRPr="00AC342F">
              <w:t>243 (13.6)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13CF5"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C72CD" w14:textId="77777777" w:rsidR="00AC342F" w:rsidRPr="00AC342F" w:rsidRDefault="00AC342F" w:rsidP="00AC342F">
            <w:pPr>
              <w:pStyle w:val="CDITable-RowCentre"/>
            </w:pPr>
            <w:r w:rsidRPr="00AC342F">
              <w:t>69 (3.9)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CD640" w14:textId="77777777" w:rsidR="00AC342F" w:rsidRPr="00AC342F" w:rsidRDefault="00AC342F" w:rsidP="00AC342F">
            <w:pPr>
              <w:pStyle w:val="CDITable-RowCentre"/>
            </w:pPr>
            <w:r w:rsidRPr="00AC342F">
              <w:t>44 (2.5)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41C6F" w14:textId="77777777" w:rsidR="00AC342F" w:rsidRPr="00AC342F" w:rsidRDefault="00AC342F" w:rsidP="00AC342F">
            <w:pPr>
              <w:pStyle w:val="CDITable-RowCentre"/>
            </w:pPr>
            <w:r w:rsidRPr="00AC342F">
              <w:t>1,268 (70.9)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3973A" w14:textId="77777777" w:rsidR="00AC342F" w:rsidRPr="00AC342F" w:rsidRDefault="00AC342F" w:rsidP="00AC342F">
            <w:pPr>
              <w:pStyle w:val="CDITable-RowCentre"/>
            </w:pPr>
            <w:r w:rsidRPr="00AC342F">
              <w:t>311 (17.4)</w:t>
            </w:r>
          </w:p>
        </w:tc>
      </w:tr>
      <w:tr w:rsidR="00AC342F" w:rsidRPr="00AC342F" w14:paraId="0F4BF5BF"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271C90" w14:textId="77777777" w:rsidR="00AC342F" w:rsidRPr="00AC342F" w:rsidRDefault="00AC342F" w:rsidP="00AC342F">
            <w:pPr>
              <w:pStyle w:val="CDITable-RowLeft"/>
            </w:pPr>
            <w:r w:rsidRPr="00AC342F">
              <w:t>Dyspnoea</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F8698" w14:textId="77777777" w:rsidR="00AC342F" w:rsidRPr="00AC342F" w:rsidRDefault="00AC342F" w:rsidP="00AC342F">
            <w:pPr>
              <w:pStyle w:val="CDITable-RowCentre"/>
            </w:pPr>
            <w:r w:rsidRPr="00AC342F">
              <w:t>1,703 (9.3)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5B5D99" w14:textId="77777777" w:rsidR="00AC342F" w:rsidRPr="00AC342F" w:rsidRDefault="00AC342F" w:rsidP="00AC342F">
            <w:pPr>
              <w:pStyle w:val="CDITable-RowCentre"/>
            </w:pPr>
            <w:r w:rsidRPr="00AC342F">
              <w:t>52 (3.1)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26B1B" w14:textId="77777777" w:rsidR="00AC342F" w:rsidRPr="00AC342F" w:rsidRDefault="00AC342F" w:rsidP="00AC342F">
            <w:pPr>
              <w:pStyle w:val="CDITable-RowCentre"/>
            </w:pPr>
            <w:r w:rsidRPr="00AC342F">
              <w:t>342 (20.1)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73D14F"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1B01F" w14:textId="77777777" w:rsidR="00AC342F" w:rsidRPr="00AC342F" w:rsidRDefault="00AC342F" w:rsidP="00AC342F">
            <w:pPr>
              <w:pStyle w:val="CDITable-RowCentre"/>
            </w:pPr>
            <w:r w:rsidRPr="00AC342F">
              <w:t>136 (8.0)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E68BB" w14:textId="77777777" w:rsidR="00AC342F" w:rsidRPr="00AC342F" w:rsidRDefault="00AC342F" w:rsidP="00AC342F">
            <w:pPr>
              <w:pStyle w:val="CDITable-RowCentre"/>
            </w:pPr>
            <w:r w:rsidRPr="00AC342F">
              <w:t>28 (1.6)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4B51C" w14:textId="77777777" w:rsidR="00AC342F" w:rsidRPr="00AC342F" w:rsidRDefault="00AC342F" w:rsidP="00AC342F">
            <w:pPr>
              <w:pStyle w:val="CDITable-RowCentre"/>
            </w:pPr>
            <w:r w:rsidRPr="00AC342F">
              <w:t>1,273 (74.8)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E4D1A8" w14:textId="77777777" w:rsidR="00AC342F" w:rsidRPr="00AC342F" w:rsidRDefault="00AC342F" w:rsidP="00AC342F">
            <w:pPr>
              <w:pStyle w:val="CDITable-RowCentre"/>
            </w:pPr>
            <w:r w:rsidRPr="00AC342F">
              <w:t>199 (11.7)</w:t>
            </w:r>
          </w:p>
        </w:tc>
      </w:tr>
      <w:tr w:rsidR="00AC342F" w:rsidRPr="00AC342F" w14:paraId="55E6C974"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F6073" w14:textId="77777777" w:rsidR="00AC342F" w:rsidRPr="00AC342F" w:rsidRDefault="00AC342F" w:rsidP="00AC342F">
            <w:pPr>
              <w:pStyle w:val="CDITable-RowLeft"/>
            </w:pPr>
            <w:r w:rsidRPr="00AC342F">
              <w:t>Hypersensitivity</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4013A" w14:textId="77777777" w:rsidR="00AC342F" w:rsidRPr="00AC342F" w:rsidRDefault="00AC342F" w:rsidP="00AC342F">
            <w:pPr>
              <w:pStyle w:val="CDITable-RowCentre"/>
            </w:pPr>
            <w:r w:rsidRPr="00AC342F">
              <w:t>1,470 (8.0)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700C2D" w14:textId="77777777" w:rsidR="00AC342F" w:rsidRPr="00AC342F" w:rsidRDefault="00AC342F" w:rsidP="00AC342F">
            <w:pPr>
              <w:pStyle w:val="CDITable-RowCentre"/>
            </w:pPr>
            <w:r w:rsidRPr="00AC342F">
              <w:t>478 (32.5)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8FE8CD" w14:textId="77777777" w:rsidR="00AC342F" w:rsidRPr="00AC342F" w:rsidRDefault="00AC342F" w:rsidP="00AC342F">
            <w:pPr>
              <w:pStyle w:val="CDITable-RowCentre"/>
            </w:pPr>
            <w:r w:rsidRPr="00AC342F">
              <w:t>111 (7.6)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2BAC5"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3D72E" w14:textId="77777777" w:rsidR="00AC342F" w:rsidRPr="00AC342F" w:rsidRDefault="00AC342F" w:rsidP="00AC342F">
            <w:pPr>
              <w:pStyle w:val="CDITable-RowCentre"/>
            </w:pPr>
            <w:r w:rsidRPr="00AC342F">
              <w:t>255 (17.3)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02E1B8" w14:textId="77777777" w:rsidR="00AC342F" w:rsidRPr="00AC342F" w:rsidRDefault="00AC342F" w:rsidP="00AC342F">
            <w:pPr>
              <w:pStyle w:val="CDITable-RowCentre"/>
            </w:pPr>
            <w:r w:rsidRPr="00AC342F">
              <w:t>33 (2.2)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A19CC" w14:textId="77777777" w:rsidR="00AC342F" w:rsidRPr="00AC342F" w:rsidRDefault="00AC342F" w:rsidP="00AC342F">
            <w:pPr>
              <w:pStyle w:val="CDITable-RowCentre"/>
            </w:pPr>
            <w:r w:rsidRPr="00AC342F">
              <w:t>837 (56.9)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DC8BAB" w14:textId="77777777" w:rsidR="00AC342F" w:rsidRPr="00AC342F" w:rsidRDefault="00AC342F" w:rsidP="00AC342F">
            <w:pPr>
              <w:pStyle w:val="CDITable-RowCentre"/>
            </w:pPr>
            <w:r w:rsidRPr="00AC342F">
              <w:t>267 (18.2)</w:t>
            </w:r>
          </w:p>
        </w:tc>
      </w:tr>
      <w:tr w:rsidR="00AC342F" w:rsidRPr="00AC342F" w14:paraId="6D967BD7"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CB5909" w14:textId="77777777" w:rsidR="00AC342F" w:rsidRPr="00AC342F" w:rsidRDefault="00AC342F" w:rsidP="00AC342F">
            <w:pPr>
              <w:pStyle w:val="CDITable-RowLeft"/>
            </w:pPr>
            <w:r w:rsidRPr="00AC342F">
              <w:t>Lymphadenopathy</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36558" w14:textId="77777777" w:rsidR="00AC342F" w:rsidRPr="00AC342F" w:rsidRDefault="00AC342F" w:rsidP="00AC342F">
            <w:pPr>
              <w:pStyle w:val="CDITable-RowCentre"/>
            </w:pPr>
            <w:r w:rsidRPr="00AC342F">
              <w:t>1,411 (7.7)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3A7DB" w14:textId="77777777" w:rsidR="00AC342F" w:rsidRPr="00AC342F" w:rsidRDefault="00AC342F" w:rsidP="00AC342F">
            <w:pPr>
              <w:pStyle w:val="CDITable-RowCentre"/>
            </w:pPr>
            <w:r w:rsidRPr="00AC342F">
              <w:t>258 (18.3)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B2997" w14:textId="77777777" w:rsidR="00AC342F" w:rsidRPr="00AC342F" w:rsidRDefault="00AC342F" w:rsidP="00AC342F">
            <w:pPr>
              <w:pStyle w:val="CDITable-RowCentre"/>
            </w:pPr>
            <w:r w:rsidRPr="00AC342F">
              <w:t>56 (4.0)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76610"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35658" w14:textId="77777777" w:rsidR="00AC342F" w:rsidRPr="00AC342F" w:rsidRDefault="00AC342F" w:rsidP="00AC342F">
            <w:pPr>
              <w:pStyle w:val="CDITable-RowCentre"/>
            </w:pPr>
            <w:r w:rsidRPr="00AC342F">
              <w:t>47 (3.3)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44257" w14:textId="77777777" w:rsidR="00AC342F" w:rsidRPr="00AC342F" w:rsidRDefault="00AC342F" w:rsidP="00AC342F">
            <w:pPr>
              <w:pStyle w:val="CDITable-RowCentre"/>
            </w:pPr>
            <w:r w:rsidRPr="00AC342F">
              <w:t>13 (0.9)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1CB50" w14:textId="77777777" w:rsidR="00AC342F" w:rsidRPr="00AC342F" w:rsidRDefault="00AC342F" w:rsidP="00AC342F">
            <w:pPr>
              <w:pStyle w:val="CDITable-RowCentre"/>
            </w:pPr>
            <w:r w:rsidRPr="00AC342F">
              <w:t>1,170 (82.9)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18F62" w14:textId="77777777" w:rsidR="00AC342F" w:rsidRPr="00AC342F" w:rsidRDefault="00AC342F" w:rsidP="00AC342F">
            <w:pPr>
              <w:pStyle w:val="CDITable-RowCentre"/>
            </w:pPr>
            <w:r w:rsidRPr="00AC342F">
              <w:t>106 (7.5)</w:t>
            </w:r>
          </w:p>
        </w:tc>
      </w:tr>
      <w:tr w:rsidR="00AC342F" w:rsidRPr="00AC342F" w14:paraId="48B29BBB"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19CDC2" w14:textId="77777777" w:rsidR="00AC342F" w:rsidRPr="00AC342F" w:rsidRDefault="00AC342F" w:rsidP="00AC342F">
            <w:pPr>
              <w:pStyle w:val="CDITable-RowLeft"/>
            </w:pPr>
            <w:r w:rsidRPr="00AC342F">
              <w:t>Medication errors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F75FA0" w14:textId="77777777" w:rsidR="00AC342F" w:rsidRPr="00AC342F" w:rsidRDefault="00AC342F" w:rsidP="00AC342F">
            <w:pPr>
              <w:pStyle w:val="CDITable-RowCentre"/>
            </w:pPr>
            <w:r w:rsidRPr="00AC342F">
              <w:t>1,406 (7.6)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1C2FED" w14:textId="77777777" w:rsidR="00AC342F" w:rsidRPr="00AC342F" w:rsidRDefault="00AC342F" w:rsidP="00AC342F">
            <w:pPr>
              <w:pStyle w:val="CDITable-RowCentre"/>
            </w:pPr>
            <w:r w:rsidRPr="00AC342F">
              <w:t>991 (70.5)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776C8" w14:textId="77777777" w:rsidR="00AC342F" w:rsidRPr="00AC342F" w:rsidRDefault="00AC342F" w:rsidP="00AC342F">
            <w:pPr>
              <w:pStyle w:val="CDITable-RowCentre"/>
            </w:pPr>
            <w:r w:rsidRPr="00AC342F">
              <w:t>9 (0.6)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4AEC5" w14:textId="77777777" w:rsidR="00AC342F" w:rsidRPr="00AC342F" w:rsidRDefault="00AC342F" w:rsidP="00AC342F">
            <w:pPr>
              <w:pStyle w:val="CDITable-RowCentre"/>
            </w:pPr>
            <w:r w:rsidRPr="00AC342F">
              <w:t>21 (1.5)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1ACC9" w14:textId="77777777" w:rsidR="00AC342F" w:rsidRPr="00AC342F" w:rsidRDefault="00AC342F" w:rsidP="00AC342F">
            <w:pPr>
              <w:pStyle w:val="CDITable-RowCentre"/>
            </w:pPr>
            <w:r w:rsidRPr="00AC342F">
              <w:t>182 (12.9)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7E601A" w14:textId="77777777" w:rsidR="00AC342F" w:rsidRPr="00AC342F" w:rsidRDefault="00AC342F" w:rsidP="00AC342F">
            <w:pPr>
              <w:pStyle w:val="CDITable-RowCentre"/>
            </w:pPr>
            <w:r w:rsidRPr="00AC342F">
              <w:t>305 (21.7)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9B16A" w14:textId="77777777" w:rsidR="00AC342F" w:rsidRPr="00AC342F" w:rsidRDefault="00AC342F" w:rsidP="00AC342F">
            <w:pPr>
              <w:pStyle w:val="CDITable-RowCentre"/>
            </w:pPr>
            <w:r w:rsidRPr="00AC342F">
              <w:t>470 (33.4)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825E5" w14:textId="77777777" w:rsidR="00AC342F" w:rsidRPr="00AC342F" w:rsidRDefault="00AC342F" w:rsidP="00AC342F">
            <w:pPr>
              <w:pStyle w:val="CDITable-RowCentre"/>
            </w:pPr>
            <w:r w:rsidRPr="00AC342F">
              <w:t>336 (23.9)</w:t>
            </w:r>
          </w:p>
        </w:tc>
      </w:tr>
      <w:tr w:rsidR="00AC342F" w:rsidRPr="00AC342F" w14:paraId="708F6D1D"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D3119" w14:textId="77777777" w:rsidR="00AC342F" w:rsidRPr="00AC342F" w:rsidRDefault="00AC342F" w:rsidP="00AC342F">
            <w:pPr>
              <w:pStyle w:val="CDITable-RowLeft"/>
            </w:pPr>
            <w:r w:rsidRPr="00AC342F">
              <w:t>Dizziness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214F98" w14:textId="77777777" w:rsidR="00AC342F" w:rsidRPr="00AC342F" w:rsidRDefault="00AC342F" w:rsidP="00AC342F">
            <w:pPr>
              <w:pStyle w:val="CDITable-RowCentre"/>
            </w:pPr>
            <w:r w:rsidRPr="00AC342F">
              <w:t>1,376 (7.5)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F746F2" w14:textId="77777777" w:rsidR="00AC342F" w:rsidRPr="00AC342F" w:rsidRDefault="00AC342F" w:rsidP="00AC342F">
            <w:pPr>
              <w:pStyle w:val="CDITable-RowCentre"/>
            </w:pPr>
            <w:r w:rsidRPr="00AC342F">
              <w:t>112 (8.1)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98BC2" w14:textId="77777777" w:rsidR="00AC342F" w:rsidRPr="00AC342F" w:rsidRDefault="00AC342F" w:rsidP="00AC342F">
            <w:pPr>
              <w:pStyle w:val="CDITable-RowCentre"/>
            </w:pPr>
            <w:r w:rsidRPr="00AC342F">
              <w:t>159 (11.6)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33CC9"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FC468" w14:textId="77777777" w:rsidR="00AC342F" w:rsidRPr="00AC342F" w:rsidRDefault="00AC342F" w:rsidP="00AC342F">
            <w:pPr>
              <w:pStyle w:val="CDITable-RowCentre"/>
            </w:pPr>
            <w:r w:rsidRPr="00AC342F">
              <w:t>90 (6.5)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EC9D6" w14:textId="77777777" w:rsidR="00AC342F" w:rsidRPr="00AC342F" w:rsidRDefault="00AC342F" w:rsidP="00AC342F">
            <w:pPr>
              <w:pStyle w:val="CDITable-RowCentre"/>
            </w:pPr>
            <w:r w:rsidRPr="00AC342F">
              <w:t>33 (2.4)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1DA7B" w14:textId="77777777" w:rsidR="00AC342F" w:rsidRPr="00AC342F" w:rsidRDefault="00AC342F" w:rsidP="00AC342F">
            <w:pPr>
              <w:pStyle w:val="CDITable-RowCentre"/>
            </w:pPr>
            <w:r w:rsidRPr="00AC342F">
              <w:t>1,014 (73.7)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75BF4" w14:textId="77777777" w:rsidR="00AC342F" w:rsidRPr="00AC342F" w:rsidRDefault="00AC342F" w:rsidP="00AC342F">
            <w:pPr>
              <w:pStyle w:val="CDITable-RowCentre"/>
            </w:pPr>
            <w:r w:rsidRPr="00AC342F">
              <w:t>185 (13.4)</w:t>
            </w:r>
          </w:p>
        </w:tc>
      </w:tr>
      <w:tr w:rsidR="00AC342F" w:rsidRPr="00AC342F" w14:paraId="1A186713"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9EAB2" w14:textId="77777777" w:rsidR="00AC342F" w:rsidRPr="00AC342F" w:rsidRDefault="00AC342F" w:rsidP="00AC342F">
            <w:pPr>
              <w:pStyle w:val="CDITable-RowLeft"/>
            </w:pPr>
            <w:r w:rsidRPr="00AC342F">
              <w:t>Arthralgia</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8D7D91" w14:textId="77777777" w:rsidR="00AC342F" w:rsidRPr="00AC342F" w:rsidRDefault="00AC342F" w:rsidP="00AC342F">
            <w:pPr>
              <w:pStyle w:val="CDITable-RowCentre"/>
            </w:pPr>
            <w:r w:rsidRPr="00AC342F">
              <w:t>1,372 (7.5)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16E16A" w14:textId="77777777" w:rsidR="00AC342F" w:rsidRPr="00AC342F" w:rsidRDefault="00AC342F" w:rsidP="00AC342F">
            <w:pPr>
              <w:pStyle w:val="CDITable-RowCentre"/>
            </w:pPr>
            <w:r w:rsidRPr="00AC342F">
              <w:t>44 (3.2)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2931F" w14:textId="77777777" w:rsidR="00AC342F" w:rsidRPr="00AC342F" w:rsidRDefault="00AC342F" w:rsidP="00AC342F">
            <w:pPr>
              <w:pStyle w:val="CDITable-RowCentre"/>
            </w:pPr>
            <w:r w:rsidRPr="00AC342F">
              <w:t>104 (7.6)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2F085"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1D325" w14:textId="77777777" w:rsidR="00AC342F" w:rsidRPr="00AC342F" w:rsidRDefault="00AC342F" w:rsidP="00AC342F">
            <w:pPr>
              <w:pStyle w:val="CDITable-RowCentre"/>
            </w:pPr>
            <w:r w:rsidRPr="00AC342F">
              <w:t>47 (3.4)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DE817" w14:textId="77777777" w:rsidR="00AC342F" w:rsidRPr="00AC342F" w:rsidRDefault="00AC342F" w:rsidP="00AC342F">
            <w:pPr>
              <w:pStyle w:val="CDITable-RowCentre"/>
            </w:pPr>
            <w:r w:rsidRPr="00AC342F">
              <w:t>24 (1.7)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BD964B" w14:textId="77777777" w:rsidR="00AC342F" w:rsidRPr="00AC342F" w:rsidRDefault="00AC342F" w:rsidP="00AC342F">
            <w:pPr>
              <w:pStyle w:val="CDITable-RowCentre"/>
            </w:pPr>
            <w:r w:rsidRPr="00AC342F">
              <w:t>994 (72.4)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B9037" w14:textId="77777777" w:rsidR="00AC342F" w:rsidRPr="00AC342F" w:rsidRDefault="00AC342F" w:rsidP="00AC342F">
            <w:pPr>
              <w:pStyle w:val="CDITable-RowCentre"/>
            </w:pPr>
            <w:r w:rsidRPr="00AC342F">
              <w:t>242 (17.6)</w:t>
            </w:r>
          </w:p>
        </w:tc>
      </w:tr>
      <w:tr w:rsidR="00AC342F" w:rsidRPr="00AC342F" w14:paraId="0E344989"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6F641" w14:textId="77777777" w:rsidR="00AC342F" w:rsidRPr="00AC342F" w:rsidRDefault="00AC342F" w:rsidP="00AC342F">
            <w:pPr>
              <w:pStyle w:val="CDITable-RowLeft"/>
            </w:pPr>
            <w:r w:rsidRPr="00AC342F">
              <w:t>Lethargy</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1F7DA" w14:textId="77777777" w:rsidR="00AC342F" w:rsidRPr="00AC342F" w:rsidRDefault="00AC342F" w:rsidP="00AC342F">
            <w:pPr>
              <w:pStyle w:val="CDITable-RowCentre"/>
            </w:pPr>
            <w:r w:rsidRPr="00AC342F">
              <w:t>1,323 (7.2)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E30AD" w14:textId="77777777" w:rsidR="00AC342F" w:rsidRPr="00AC342F" w:rsidRDefault="00AC342F" w:rsidP="00AC342F">
            <w:pPr>
              <w:pStyle w:val="CDITable-RowCentre"/>
            </w:pPr>
            <w:r w:rsidRPr="00AC342F">
              <w:t>5 (0.4)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E2575" w14:textId="77777777" w:rsidR="00AC342F" w:rsidRPr="00AC342F" w:rsidRDefault="00AC342F" w:rsidP="00AC342F">
            <w:pPr>
              <w:pStyle w:val="CDITable-RowCentre"/>
            </w:pPr>
            <w:r w:rsidRPr="00AC342F">
              <w:t>93 (7.0)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FAD5C" w14:textId="77777777" w:rsidR="00AC342F" w:rsidRPr="00AC342F" w:rsidRDefault="00AC342F" w:rsidP="00AC342F">
            <w:pPr>
              <w:pStyle w:val="CDITable-RowCentre"/>
            </w:pPr>
            <w:r w:rsidRPr="00AC342F">
              <w:t>2 (0.2)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DA4A36" w14:textId="77777777" w:rsidR="00AC342F" w:rsidRPr="00AC342F" w:rsidRDefault="00AC342F" w:rsidP="00AC342F">
            <w:pPr>
              <w:pStyle w:val="CDITable-RowCentre"/>
            </w:pPr>
            <w:r w:rsidRPr="00AC342F">
              <w:t>136 (10.3)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DBE68" w14:textId="77777777" w:rsidR="00AC342F" w:rsidRPr="00AC342F" w:rsidRDefault="00AC342F" w:rsidP="00AC342F">
            <w:pPr>
              <w:pStyle w:val="CDITable-RowCentre"/>
            </w:pPr>
            <w:r w:rsidRPr="00AC342F">
              <w:t>28 (2.1)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E5104" w14:textId="77777777" w:rsidR="00AC342F" w:rsidRPr="00AC342F" w:rsidRDefault="00AC342F" w:rsidP="00AC342F">
            <w:pPr>
              <w:pStyle w:val="CDITable-RowCentre"/>
            </w:pPr>
            <w:r w:rsidRPr="00AC342F">
              <w:t>916 (69.2)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6C79B" w14:textId="77777777" w:rsidR="00AC342F" w:rsidRPr="00AC342F" w:rsidRDefault="00AC342F" w:rsidP="00AC342F">
            <w:pPr>
              <w:pStyle w:val="CDITable-RowCentre"/>
            </w:pPr>
            <w:r w:rsidRPr="00AC342F">
              <w:t>186 (14.1)</w:t>
            </w:r>
          </w:p>
        </w:tc>
      </w:tr>
      <w:tr w:rsidR="00AC342F" w:rsidRPr="00AC342F" w14:paraId="21ECB021"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5C74B" w14:textId="77777777" w:rsidR="00AC342F" w:rsidRPr="00AC342F" w:rsidRDefault="00AC342F" w:rsidP="00AC342F">
            <w:pPr>
              <w:pStyle w:val="CDITable-RowLeft"/>
            </w:pPr>
            <w:r w:rsidRPr="00AC342F">
              <w:t>Injection site reaction</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EB3668" w14:textId="77777777" w:rsidR="00AC342F" w:rsidRPr="00AC342F" w:rsidRDefault="00AC342F" w:rsidP="00AC342F">
            <w:pPr>
              <w:pStyle w:val="CDITable-RowCentre"/>
            </w:pPr>
            <w:r w:rsidRPr="00AC342F">
              <w:t>1,179 (6.4)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2E30F" w14:textId="77777777" w:rsidR="00AC342F" w:rsidRPr="00AC342F" w:rsidRDefault="00AC342F" w:rsidP="00AC342F">
            <w:pPr>
              <w:pStyle w:val="CDITable-RowCentre"/>
            </w:pPr>
            <w:r w:rsidRPr="00AC342F">
              <w:t>126 (10.7)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DA7E5" w14:textId="77777777" w:rsidR="00AC342F" w:rsidRPr="00AC342F" w:rsidRDefault="00AC342F" w:rsidP="00AC342F">
            <w:pPr>
              <w:pStyle w:val="CDITable-RowCentre"/>
            </w:pPr>
            <w:r w:rsidRPr="00AC342F">
              <w:t>24 (2.0)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EAFD2" w14:textId="77777777" w:rsidR="00AC342F" w:rsidRPr="00AC342F" w:rsidRDefault="00AC342F" w:rsidP="00AC342F">
            <w:pPr>
              <w:pStyle w:val="CDITable-RowCentre"/>
            </w:pPr>
            <w:r w:rsidRPr="00AC342F">
              <w:t>1 (0.1)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BC48A" w14:textId="77777777" w:rsidR="00AC342F" w:rsidRPr="00AC342F" w:rsidRDefault="00AC342F" w:rsidP="00AC342F">
            <w:pPr>
              <w:pStyle w:val="CDITable-RowCentre"/>
            </w:pPr>
            <w:r w:rsidRPr="00AC342F">
              <w:t>79 (6.7)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F8CEB" w14:textId="77777777" w:rsidR="00AC342F" w:rsidRPr="00AC342F" w:rsidRDefault="00AC342F" w:rsidP="00AC342F">
            <w:pPr>
              <w:pStyle w:val="CDITable-RowCentre"/>
            </w:pPr>
            <w:r w:rsidRPr="00AC342F">
              <w:t>33 (2.8)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ADE259" w14:textId="77777777" w:rsidR="00AC342F" w:rsidRPr="00AC342F" w:rsidRDefault="00AC342F" w:rsidP="00AC342F">
            <w:pPr>
              <w:pStyle w:val="CDITable-RowCentre"/>
            </w:pPr>
            <w:r w:rsidRPr="00AC342F">
              <w:t>876 (74.3)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D1350B" w14:textId="77777777" w:rsidR="00AC342F" w:rsidRPr="00AC342F" w:rsidRDefault="00AC342F" w:rsidP="00AC342F">
            <w:pPr>
              <w:pStyle w:val="CDITable-RowCentre"/>
            </w:pPr>
            <w:r w:rsidRPr="00AC342F">
              <w:t>153 (13.0)</w:t>
            </w:r>
          </w:p>
        </w:tc>
      </w:tr>
      <w:tr w:rsidR="00AC342F" w:rsidRPr="00AC342F" w14:paraId="5BB7AB08"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2DA042" w14:textId="77777777" w:rsidR="00AC342F" w:rsidRPr="00AC342F" w:rsidRDefault="00AC342F" w:rsidP="00222276">
            <w:pPr>
              <w:pStyle w:val="CDITable-RowLeft"/>
              <w:keepNext/>
            </w:pPr>
            <w:proofErr w:type="spellStart"/>
            <w:r w:rsidRPr="00AC342F">
              <w:lastRenderedPageBreak/>
              <w:t>Noninfectious</w:t>
            </w:r>
            <w:proofErr w:type="spellEnd"/>
            <w:r w:rsidRPr="00AC342F">
              <w:t xml:space="preserve"> myocarditis/pericarditis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9B548" w14:textId="77777777" w:rsidR="00AC342F" w:rsidRPr="00AC342F" w:rsidRDefault="00AC342F" w:rsidP="00222276">
            <w:pPr>
              <w:pStyle w:val="CDITable-RowCentre"/>
              <w:keepNext/>
            </w:pPr>
            <w:r w:rsidRPr="00AC342F">
              <w:t>1,043 (5.7)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5C5291" w14:textId="77777777" w:rsidR="00AC342F" w:rsidRPr="00AC342F" w:rsidRDefault="00AC342F" w:rsidP="00222276">
            <w:pPr>
              <w:pStyle w:val="CDITable-RowCentre"/>
              <w:keepNext/>
            </w:pPr>
            <w:r w:rsidRPr="00AC342F">
              <w:t>188 (18.0)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D83C1F" w14:textId="77777777" w:rsidR="00AC342F" w:rsidRPr="00AC342F" w:rsidRDefault="00AC342F" w:rsidP="00222276">
            <w:pPr>
              <w:pStyle w:val="CDITable-RowCentre"/>
              <w:keepNext/>
            </w:pPr>
            <w:r w:rsidRPr="00AC342F">
              <w:t>351 (33.7)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875AFB" w14:textId="77777777" w:rsidR="00AC342F" w:rsidRPr="00AC342F" w:rsidRDefault="00AC342F" w:rsidP="00222276">
            <w:pPr>
              <w:pStyle w:val="CDITable-RowCentre"/>
              <w:keepNext/>
            </w:pPr>
            <w:r w:rsidRPr="00AC342F">
              <w:t>2 (0.2)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BA5AB3" w14:textId="77777777" w:rsidR="00AC342F" w:rsidRPr="00AC342F" w:rsidRDefault="00AC342F" w:rsidP="00222276">
            <w:pPr>
              <w:pStyle w:val="CDITable-RowCentre"/>
              <w:keepNext/>
            </w:pPr>
            <w:r w:rsidRPr="00AC342F">
              <w:t>40 (3.8)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366743" w14:textId="77777777" w:rsidR="00AC342F" w:rsidRPr="00AC342F" w:rsidRDefault="00AC342F" w:rsidP="00222276">
            <w:pPr>
              <w:pStyle w:val="CDITable-RowCentre"/>
              <w:keepNext/>
            </w:pPr>
            <w:r w:rsidRPr="00AC342F">
              <w:t>26 (2.5)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42DD6" w14:textId="77777777" w:rsidR="00AC342F" w:rsidRPr="00AC342F" w:rsidRDefault="00AC342F" w:rsidP="00222276">
            <w:pPr>
              <w:pStyle w:val="CDITable-RowCentre"/>
              <w:keepNext/>
            </w:pPr>
            <w:r w:rsidRPr="00AC342F">
              <w:t>837 (80.2)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FF42F0" w14:textId="77777777" w:rsidR="00AC342F" w:rsidRPr="00AC342F" w:rsidRDefault="00AC342F" w:rsidP="00222276">
            <w:pPr>
              <w:pStyle w:val="CDITable-RowCentre"/>
              <w:keepNext/>
            </w:pPr>
            <w:r w:rsidRPr="00AC342F">
              <w:t>101 (9.7)</w:t>
            </w:r>
          </w:p>
        </w:tc>
      </w:tr>
      <w:tr w:rsidR="00AC342F" w:rsidRPr="00AC342F" w14:paraId="2AC51728"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93470" w14:textId="77777777" w:rsidR="00AC342F" w:rsidRPr="00AC342F" w:rsidRDefault="00AC342F" w:rsidP="00AC342F">
            <w:pPr>
              <w:pStyle w:val="CDITable-RowLeft"/>
            </w:pPr>
            <w:r w:rsidRPr="00AC342F">
              <w:t>Palpitations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D8C86" w14:textId="77777777" w:rsidR="00AC342F" w:rsidRPr="00AC342F" w:rsidRDefault="00AC342F" w:rsidP="00AC342F">
            <w:pPr>
              <w:pStyle w:val="CDITable-RowCentre"/>
            </w:pPr>
            <w:r w:rsidRPr="00AC342F">
              <w:t>1,026 (5.6)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4B05E" w14:textId="77777777" w:rsidR="00AC342F" w:rsidRPr="00AC342F" w:rsidRDefault="00AC342F" w:rsidP="00AC342F">
            <w:pPr>
              <w:pStyle w:val="CDITable-RowCentre"/>
            </w:pPr>
            <w:r w:rsidRPr="00AC342F">
              <w:t>72 (7.0)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EEF1F" w14:textId="77777777" w:rsidR="00AC342F" w:rsidRPr="00AC342F" w:rsidRDefault="00AC342F" w:rsidP="00AC342F">
            <w:pPr>
              <w:pStyle w:val="CDITable-RowCentre"/>
            </w:pPr>
            <w:r w:rsidRPr="00AC342F">
              <w:t>161 (15.7)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686475"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2C16F" w14:textId="77777777" w:rsidR="00AC342F" w:rsidRPr="00AC342F" w:rsidRDefault="00AC342F" w:rsidP="00AC342F">
            <w:pPr>
              <w:pStyle w:val="CDITable-RowCentre"/>
            </w:pPr>
            <w:r w:rsidRPr="00AC342F">
              <w:t>50 (4.9)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38C80" w14:textId="77777777" w:rsidR="00AC342F" w:rsidRPr="00AC342F" w:rsidRDefault="00AC342F" w:rsidP="00AC342F">
            <w:pPr>
              <w:pStyle w:val="CDITable-RowCentre"/>
            </w:pPr>
            <w:r w:rsidRPr="00AC342F">
              <w:t>18 (1.8)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D1E7CA" w14:textId="77777777" w:rsidR="00AC342F" w:rsidRPr="00AC342F" w:rsidRDefault="00AC342F" w:rsidP="00AC342F">
            <w:pPr>
              <w:pStyle w:val="CDITable-RowCentre"/>
            </w:pPr>
            <w:r w:rsidRPr="00AC342F">
              <w:t>791 (77.1)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5E954" w14:textId="77777777" w:rsidR="00AC342F" w:rsidRPr="00AC342F" w:rsidRDefault="00AC342F" w:rsidP="00AC342F">
            <w:pPr>
              <w:pStyle w:val="CDITable-RowCentre"/>
            </w:pPr>
            <w:r w:rsidRPr="00AC342F">
              <w:t>112 (10.9)</w:t>
            </w:r>
          </w:p>
        </w:tc>
      </w:tr>
      <w:tr w:rsidR="00AC342F" w:rsidRPr="00AC342F" w14:paraId="6299A62D"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612A0" w14:textId="77777777" w:rsidR="00AC342F" w:rsidRPr="00AC342F" w:rsidRDefault="00AC342F" w:rsidP="00AC342F">
            <w:pPr>
              <w:pStyle w:val="CDITable-RowLeft"/>
            </w:pPr>
            <w:r w:rsidRPr="00AC342F">
              <w:t>Injection site pain</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56DB2" w14:textId="77777777" w:rsidR="00AC342F" w:rsidRPr="00AC342F" w:rsidRDefault="00AC342F" w:rsidP="00AC342F">
            <w:pPr>
              <w:pStyle w:val="CDITable-RowCentre"/>
            </w:pPr>
            <w:r w:rsidRPr="00AC342F">
              <w:t>833 (4.5)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E433E" w14:textId="77777777" w:rsidR="00AC342F" w:rsidRPr="00AC342F" w:rsidRDefault="00AC342F" w:rsidP="00AC342F">
            <w:pPr>
              <w:pStyle w:val="CDITable-RowCentre"/>
            </w:pPr>
            <w:r w:rsidRPr="00AC342F">
              <w:t>26 (3.1)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68BD8" w14:textId="77777777" w:rsidR="00AC342F" w:rsidRPr="00AC342F" w:rsidRDefault="00AC342F" w:rsidP="00AC342F">
            <w:pPr>
              <w:pStyle w:val="CDITable-RowCentre"/>
            </w:pPr>
            <w:r w:rsidRPr="00AC342F">
              <w:t>45 (5.4)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FD402" w14:textId="77777777" w:rsidR="00AC342F" w:rsidRPr="00AC342F" w:rsidRDefault="00AC342F" w:rsidP="00AC342F">
            <w:pPr>
              <w:pStyle w:val="CDITable-RowCentre"/>
            </w:pPr>
            <w:r w:rsidRPr="00AC342F">
              <w:t>2 (0.2)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511D7" w14:textId="77777777" w:rsidR="00AC342F" w:rsidRPr="00AC342F" w:rsidRDefault="00AC342F" w:rsidP="00AC342F">
            <w:pPr>
              <w:pStyle w:val="CDITable-RowCentre"/>
            </w:pPr>
            <w:r w:rsidRPr="00AC342F">
              <w:t>34 (4.1)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AA3906" w14:textId="77777777" w:rsidR="00AC342F" w:rsidRPr="00AC342F" w:rsidRDefault="00AC342F" w:rsidP="00AC342F">
            <w:pPr>
              <w:pStyle w:val="CDITable-RowCentre"/>
            </w:pPr>
            <w:r w:rsidRPr="00AC342F">
              <w:t>17 (2.0)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A85CD" w14:textId="77777777" w:rsidR="00AC342F" w:rsidRPr="00AC342F" w:rsidRDefault="00AC342F" w:rsidP="00AC342F">
            <w:pPr>
              <w:pStyle w:val="CDITable-RowCentre"/>
            </w:pPr>
            <w:r w:rsidRPr="00AC342F">
              <w:t>594 (71.3)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CBF599" w14:textId="77777777" w:rsidR="00AC342F" w:rsidRPr="00AC342F" w:rsidRDefault="00AC342F" w:rsidP="00AC342F">
            <w:pPr>
              <w:pStyle w:val="CDITable-RowCentre"/>
            </w:pPr>
            <w:r w:rsidRPr="00AC342F">
              <w:t>159 (19.1)</w:t>
            </w:r>
          </w:p>
        </w:tc>
      </w:tr>
      <w:tr w:rsidR="00AC342F" w:rsidRPr="00AC342F" w14:paraId="006B1F68"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90402" w14:textId="77777777" w:rsidR="00AC342F" w:rsidRPr="00AC342F" w:rsidRDefault="00AC342F" w:rsidP="00AC342F">
            <w:pPr>
              <w:pStyle w:val="CDITable-RowLeft"/>
            </w:pPr>
            <w:r w:rsidRPr="00AC342F">
              <w:t>Pain in extremity</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B9DA4" w14:textId="77777777" w:rsidR="00AC342F" w:rsidRPr="00AC342F" w:rsidRDefault="00AC342F" w:rsidP="00AC342F">
            <w:pPr>
              <w:pStyle w:val="CDITable-RowCentre"/>
            </w:pPr>
            <w:r w:rsidRPr="00AC342F">
              <w:t>797 (4.3)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B590C" w14:textId="77777777" w:rsidR="00AC342F" w:rsidRPr="00AC342F" w:rsidRDefault="00AC342F" w:rsidP="00AC342F">
            <w:pPr>
              <w:pStyle w:val="CDITable-RowCentre"/>
            </w:pPr>
            <w:r w:rsidRPr="00AC342F">
              <w:t>33 (4.1)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3EB3E" w14:textId="77777777" w:rsidR="00AC342F" w:rsidRPr="00AC342F" w:rsidRDefault="00AC342F" w:rsidP="00AC342F">
            <w:pPr>
              <w:pStyle w:val="CDITable-RowCentre"/>
            </w:pPr>
            <w:r w:rsidRPr="00AC342F">
              <w:t>83 (10.4)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460BE" w14:textId="77777777" w:rsidR="00AC342F" w:rsidRPr="00AC342F" w:rsidRDefault="00AC342F" w:rsidP="00AC342F">
            <w:pPr>
              <w:pStyle w:val="CDITable-RowCentre"/>
            </w:pPr>
            <w:r w:rsidRPr="00AC342F">
              <w:t>2 (0.3)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05435" w14:textId="77777777" w:rsidR="00AC342F" w:rsidRPr="00AC342F" w:rsidRDefault="00AC342F" w:rsidP="00AC342F">
            <w:pPr>
              <w:pStyle w:val="CDITable-RowCentre"/>
            </w:pPr>
            <w:r w:rsidRPr="00AC342F">
              <w:t>33 (4.1)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B4068" w14:textId="77777777" w:rsidR="00AC342F" w:rsidRPr="00AC342F" w:rsidRDefault="00AC342F" w:rsidP="00AC342F">
            <w:pPr>
              <w:pStyle w:val="CDITable-RowCentre"/>
            </w:pPr>
            <w:r w:rsidRPr="00AC342F">
              <w:t>6 (0.8)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92B6BC" w14:textId="77777777" w:rsidR="00AC342F" w:rsidRPr="00AC342F" w:rsidRDefault="00AC342F" w:rsidP="00AC342F">
            <w:pPr>
              <w:pStyle w:val="CDITable-RowCentre"/>
            </w:pPr>
            <w:r w:rsidRPr="00AC342F">
              <w:t>536 (67.3)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794C26" w14:textId="77777777" w:rsidR="00AC342F" w:rsidRPr="00AC342F" w:rsidRDefault="00AC342F" w:rsidP="00AC342F">
            <w:pPr>
              <w:pStyle w:val="CDITable-RowCentre"/>
            </w:pPr>
            <w:r w:rsidRPr="00AC342F">
              <w:t>145 (18.2)</w:t>
            </w:r>
          </w:p>
        </w:tc>
      </w:tr>
      <w:tr w:rsidR="00AC342F" w:rsidRPr="00AC342F" w14:paraId="29596917"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084D7" w14:textId="77777777" w:rsidR="00AC342F" w:rsidRPr="00AC342F" w:rsidRDefault="00AC342F" w:rsidP="00AC342F">
            <w:pPr>
              <w:pStyle w:val="CDITable-RowLeft"/>
            </w:pPr>
            <w:r w:rsidRPr="00AC342F">
              <w:t>Paraesthesia</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4FE74" w14:textId="77777777" w:rsidR="00AC342F" w:rsidRPr="00AC342F" w:rsidRDefault="00AC342F" w:rsidP="00AC342F">
            <w:pPr>
              <w:pStyle w:val="CDITable-RowCentre"/>
            </w:pPr>
            <w:r w:rsidRPr="00AC342F">
              <w:t>763 (4.1)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27F06" w14:textId="77777777" w:rsidR="00AC342F" w:rsidRPr="00AC342F" w:rsidRDefault="00AC342F" w:rsidP="00AC342F">
            <w:pPr>
              <w:pStyle w:val="CDITable-RowCentre"/>
            </w:pPr>
            <w:r w:rsidRPr="00AC342F">
              <w:t>48 (6.3)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7FC0F6" w14:textId="77777777" w:rsidR="00AC342F" w:rsidRPr="00AC342F" w:rsidRDefault="00AC342F" w:rsidP="00AC342F">
            <w:pPr>
              <w:pStyle w:val="CDITable-RowCentre"/>
            </w:pPr>
            <w:r w:rsidRPr="00AC342F">
              <w:t>98 (12.8)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1A9344"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07D88" w14:textId="77777777" w:rsidR="00AC342F" w:rsidRPr="00AC342F" w:rsidRDefault="00AC342F" w:rsidP="00AC342F">
            <w:pPr>
              <w:pStyle w:val="CDITable-RowCentre"/>
            </w:pPr>
            <w:r w:rsidRPr="00AC342F">
              <w:t>12 (1.6)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2C9E79" w14:textId="77777777" w:rsidR="00AC342F" w:rsidRPr="00AC342F" w:rsidRDefault="00AC342F" w:rsidP="00AC342F">
            <w:pPr>
              <w:pStyle w:val="CDITable-RowCentre"/>
            </w:pPr>
            <w:r w:rsidRPr="00AC342F">
              <w:t>7 (0.9)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88085" w14:textId="77777777" w:rsidR="00AC342F" w:rsidRPr="00AC342F" w:rsidRDefault="00AC342F" w:rsidP="00AC342F">
            <w:pPr>
              <w:pStyle w:val="CDITable-RowCentre"/>
            </w:pPr>
            <w:r w:rsidRPr="00AC342F">
              <w:t>611 (80.1)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72BD5" w14:textId="77777777" w:rsidR="00AC342F" w:rsidRPr="00AC342F" w:rsidRDefault="00AC342F" w:rsidP="00AC342F">
            <w:pPr>
              <w:pStyle w:val="CDITable-RowCentre"/>
            </w:pPr>
            <w:r w:rsidRPr="00AC342F">
              <w:t>93 (12.2)</w:t>
            </w:r>
          </w:p>
        </w:tc>
      </w:tr>
      <w:tr w:rsidR="00AC342F" w:rsidRPr="00AC342F" w14:paraId="6EC9FB01"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1619B" w14:textId="77777777" w:rsidR="00AC342F" w:rsidRPr="00AC342F" w:rsidRDefault="00AC342F" w:rsidP="00AC342F">
            <w:pPr>
              <w:pStyle w:val="CDITable-RowLeft"/>
            </w:pPr>
            <w:r w:rsidRPr="00AC342F">
              <w:t>Chest discomfort</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A77BD" w14:textId="77777777" w:rsidR="00AC342F" w:rsidRPr="00AC342F" w:rsidRDefault="00AC342F" w:rsidP="00AC342F">
            <w:pPr>
              <w:pStyle w:val="CDITable-RowCentre"/>
            </w:pPr>
            <w:r w:rsidRPr="00AC342F">
              <w:t>699 (3.8)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C04DE1" w14:textId="77777777" w:rsidR="00AC342F" w:rsidRPr="00AC342F" w:rsidRDefault="00AC342F" w:rsidP="00AC342F">
            <w:pPr>
              <w:pStyle w:val="CDITable-RowCentre"/>
            </w:pPr>
            <w:r w:rsidRPr="00AC342F">
              <w:t>26 (3.7)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785766" w14:textId="77777777" w:rsidR="00AC342F" w:rsidRPr="00AC342F" w:rsidRDefault="00AC342F" w:rsidP="00AC342F">
            <w:pPr>
              <w:pStyle w:val="CDITable-RowCentre"/>
            </w:pPr>
            <w:r w:rsidRPr="00AC342F">
              <w:t>127 (18.2)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DD9C5"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581BD4" w14:textId="77777777" w:rsidR="00AC342F" w:rsidRPr="00AC342F" w:rsidRDefault="00AC342F" w:rsidP="00AC342F">
            <w:pPr>
              <w:pStyle w:val="CDITable-RowCentre"/>
            </w:pPr>
            <w:r w:rsidRPr="00AC342F">
              <w:t>40 (5.7)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075DF" w14:textId="77777777" w:rsidR="00AC342F" w:rsidRPr="00AC342F" w:rsidRDefault="00AC342F" w:rsidP="00AC342F">
            <w:pPr>
              <w:pStyle w:val="CDITable-RowCentre"/>
            </w:pPr>
            <w:r w:rsidRPr="00AC342F">
              <w:t>20 (2.9)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26E566" w14:textId="77777777" w:rsidR="00AC342F" w:rsidRPr="00AC342F" w:rsidRDefault="00AC342F" w:rsidP="00AC342F">
            <w:pPr>
              <w:pStyle w:val="CDITable-RowCentre"/>
            </w:pPr>
            <w:r w:rsidRPr="00AC342F">
              <w:t>555 (79.4)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3B376D" w14:textId="77777777" w:rsidR="00AC342F" w:rsidRPr="00AC342F" w:rsidRDefault="00AC342F" w:rsidP="00AC342F">
            <w:pPr>
              <w:pStyle w:val="CDITable-RowCentre"/>
            </w:pPr>
            <w:r w:rsidRPr="00AC342F">
              <w:t>56 (8.0)</w:t>
            </w:r>
          </w:p>
        </w:tc>
      </w:tr>
      <w:tr w:rsidR="00AC342F" w:rsidRPr="00AC342F" w14:paraId="2DFE826C"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F4E39" w14:textId="77777777" w:rsidR="00AC342F" w:rsidRPr="00AC342F" w:rsidRDefault="00AC342F" w:rsidP="00AC342F">
            <w:pPr>
              <w:pStyle w:val="CDITable-RowLeft"/>
            </w:pPr>
            <w:r w:rsidRPr="00AC342F">
              <w:t>Haemodynamic oedema, effusions and fluid overload</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8BA19" w14:textId="77777777" w:rsidR="00AC342F" w:rsidRPr="00AC342F" w:rsidRDefault="00AC342F" w:rsidP="00AC342F">
            <w:pPr>
              <w:pStyle w:val="CDITable-RowCentre"/>
            </w:pPr>
            <w:r w:rsidRPr="00AC342F">
              <w:t>688 (3.7)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81F50" w14:textId="77777777" w:rsidR="00AC342F" w:rsidRPr="00AC342F" w:rsidRDefault="00AC342F" w:rsidP="00AC342F">
            <w:pPr>
              <w:pStyle w:val="CDITable-RowCentre"/>
            </w:pPr>
            <w:r w:rsidRPr="00AC342F">
              <w:t>49 (7.1)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05E573" w14:textId="77777777" w:rsidR="00AC342F" w:rsidRPr="00AC342F" w:rsidRDefault="00AC342F" w:rsidP="00AC342F">
            <w:pPr>
              <w:pStyle w:val="CDITable-RowCentre"/>
            </w:pPr>
            <w:r w:rsidRPr="00AC342F">
              <w:t>124 (18.0)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405F1F" w14:textId="77777777" w:rsidR="00AC342F" w:rsidRPr="00AC342F" w:rsidRDefault="00AC342F" w:rsidP="00AC342F">
            <w:pPr>
              <w:pStyle w:val="CDITable-RowCentre"/>
            </w:pPr>
            <w:r w:rsidRPr="00AC342F">
              <w:t>1 (0.1)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DE2EE" w14:textId="77777777" w:rsidR="00AC342F" w:rsidRPr="00AC342F" w:rsidRDefault="00AC342F" w:rsidP="00AC342F">
            <w:pPr>
              <w:pStyle w:val="CDITable-RowCentre"/>
            </w:pPr>
            <w:r w:rsidRPr="00AC342F">
              <w:t>19 (2.8)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7A6EB" w14:textId="77777777" w:rsidR="00AC342F" w:rsidRPr="00AC342F" w:rsidRDefault="00AC342F" w:rsidP="00AC342F">
            <w:pPr>
              <w:pStyle w:val="CDITable-RowCentre"/>
            </w:pPr>
            <w:r w:rsidRPr="00AC342F">
              <w:t>6 (0.9)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DB52C6" w14:textId="77777777" w:rsidR="00AC342F" w:rsidRPr="00AC342F" w:rsidRDefault="00AC342F" w:rsidP="00AC342F">
            <w:pPr>
              <w:pStyle w:val="CDITable-RowCentre"/>
            </w:pPr>
            <w:r w:rsidRPr="00AC342F">
              <w:t>470 (68.3)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341C3" w14:textId="77777777" w:rsidR="00AC342F" w:rsidRPr="00AC342F" w:rsidRDefault="00AC342F" w:rsidP="00AC342F">
            <w:pPr>
              <w:pStyle w:val="CDITable-RowCentre"/>
            </w:pPr>
            <w:r w:rsidRPr="00AC342F">
              <w:t>156 (22.7)</w:t>
            </w:r>
          </w:p>
        </w:tc>
      </w:tr>
      <w:tr w:rsidR="00AC342F" w:rsidRPr="00AC342F" w14:paraId="2F05837F"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E4600" w14:textId="77777777" w:rsidR="00AC342F" w:rsidRPr="00AC342F" w:rsidRDefault="00AC342F" w:rsidP="00AC342F">
            <w:pPr>
              <w:pStyle w:val="CDITable-RowLeft"/>
            </w:pPr>
            <w:r w:rsidRPr="00AC342F">
              <w:t>Oropharyngeal conditions (excl neoplasms, infections and allergies)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01C88" w14:textId="77777777" w:rsidR="00AC342F" w:rsidRPr="00AC342F" w:rsidRDefault="00AC342F" w:rsidP="00AC342F">
            <w:pPr>
              <w:pStyle w:val="CDITable-RowCentre"/>
            </w:pPr>
            <w:r w:rsidRPr="00AC342F">
              <w:t>621 (3.4)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35F87" w14:textId="77777777" w:rsidR="00AC342F" w:rsidRPr="00AC342F" w:rsidRDefault="00AC342F" w:rsidP="00AC342F">
            <w:pPr>
              <w:pStyle w:val="CDITable-RowCentre"/>
            </w:pPr>
            <w:r w:rsidRPr="00AC342F">
              <w:t>51 (8.2)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349AE2" w14:textId="77777777" w:rsidR="00AC342F" w:rsidRPr="00AC342F" w:rsidRDefault="00AC342F" w:rsidP="00AC342F">
            <w:pPr>
              <w:pStyle w:val="CDITable-RowCentre"/>
            </w:pPr>
            <w:r w:rsidRPr="00AC342F">
              <w:t>70 (11.3)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6859A"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032F3" w14:textId="77777777" w:rsidR="00AC342F" w:rsidRPr="00AC342F" w:rsidRDefault="00AC342F" w:rsidP="00AC342F">
            <w:pPr>
              <w:pStyle w:val="CDITable-RowCentre"/>
            </w:pPr>
            <w:r w:rsidRPr="00AC342F">
              <w:t>64 (10.3)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F4B20" w14:textId="77777777" w:rsidR="00AC342F" w:rsidRPr="00AC342F" w:rsidRDefault="00AC342F" w:rsidP="00AC342F">
            <w:pPr>
              <w:pStyle w:val="CDITable-RowCentre"/>
            </w:pPr>
            <w:r w:rsidRPr="00AC342F">
              <w:t>11 (1.8)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1E2F7" w14:textId="77777777" w:rsidR="00AC342F" w:rsidRPr="00AC342F" w:rsidRDefault="00AC342F" w:rsidP="00AC342F">
            <w:pPr>
              <w:pStyle w:val="CDITable-RowCentre"/>
            </w:pPr>
            <w:r w:rsidRPr="00AC342F">
              <w:t>403 (64.9)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CFD7D" w14:textId="77777777" w:rsidR="00AC342F" w:rsidRPr="00AC342F" w:rsidRDefault="00AC342F" w:rsidP="00AC342F">
            <w:pPr>
              <w:pStyle w:val="CDITable-RowCentre"/>
            </w:pPr>
            <w:r w:rsidRPr="00AC342F">
              <w:t>108 (17.4)</w:t>
            </w:r>
          </w:p>
        </w:tc>
      </w:tr>
      <w:tr w:rsidR="00AC342F" w:rsidRPr="00AC342F" w14:paraId="5D8E6757"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265E0" w14:textId="77777777" w:rsidR="00AC342F" w:rsidRPr="00AC342F" w:rsidRDefault="00AC342F" w:rsidP="00AC342F">
            <w:pPr>
              <w:pStyle w:val="CDITable-RowLeft"/>
            </w:pPr>
            <w:r w:rsidRPr="00AC342F">
              <w:t>Chills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AE178" w14:textId="77777777" w:rsidR="00AC342F" w:rsidRPr="00AC342F" w:rsidRDefault="00AC342F" w:rsidP="00AC342F">
            <w:pPr>
              <w:pStyle w:val="CDITable-RowCentre"/>
            </w:pPr>
            <w:r w:rsidRPr="00AC342F">
              <w:t>614 (3.3)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8A10D" w14:textId="77777777" w:rsidR="00AC342F" w:rsidRPr="00AC342F" w:rsidRDefault="00AC342F" w:rsidP="00AC342F">
            <w:pPr>
              <w:pStyle w:val="CDITable-RowCentre"/>
            </w:pPr>
            <w:r w:rsidRPr="00AC342F">
              <w:t>4 (0.7)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7103D" w14:textId="77777777" w:rsidR="00AC342F" w:rsidRPr="00AC342F" w:rsidRDefault="00AC342F" w:rsidP="00AC342F">
            <w:pPr>
              <w:pStyle w:val="CDITable-RowCentre"/>
            </w:pPr>
            <w:r w:rsidRPr="00AC342F">
              <w:t>47 (7.7)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6EDEB"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23C31" w14:textId="77777777" w:rsidR="00AC342F" w:rsidRPr="00AC342F" w:rsidRDefault="00AC342F" w:rsidP="00AC342F">
            <w:pPr>
              <w:pStyle w:val="CDITable-RowCentre"/>
            </w:pPr>
            <w:r w:rsidRPr="00AC342F">
              <w:t>24 (3.9)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C0C40" w14:textId="77777777" w:rsidR="00AC342F" w:rsidRPr="00AC342F" w:rsidRDefault="00AC342F" w:rsidP="00AC342F">
            <w:pPr>
              <w:pStyle w:val="CDITable-RowCentre"/>
            </w:pPr>
            <w:r w:rsidRPr="00AC342F">
              <w:t>16 (2.6)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ED508" w14:textId="77777777" w:rsidR="00AC342F" w:rsidRPr="00AC342F" w:rsidRDefault="00AC342F" w:rsidP="00AC342F">
            <w:pPr>
              <w:pStyle w:val="CDITable-RowCentre"/>
            </w:pPr>
            <w:r w:rsidRPr="00AC342F">
              <w:t>436 (71.0)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F6F51" w14:textId="77777777" w:rsidR="00AC342F" w:rsidRPr="00AC342F" w:rsidRDefault="00AC342F" w:rsidP="00AC342F">
            <w:pPr>
              <w:pStyle w:val="CDITable-RowCentre"/>
            </w:pPr>
            <w:r w:rsidRPr="00AC342F">
              <w:t>116 (18.9)</w:t>
            </w:r>
          </w:p>
        </w:tc>
      </w:tr>
      <w:tr w:rsidR="00AC342F" w:rsidRPr="00AC342F" w14:paraId="4059D89E"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F6A8B" w14:textId="77777777" w:rsidR="00AC342F" w:rsidRPr="00AC342F" w:rsidRDefault="00AC342F" w:rsidP="00AC342F">
            <w:pPr>
              <w:pStyle w:val="CDITable-RowLeft"/>
            </w:pPr>
            <w:r w:rsidRPr="00AC342F">
              <w:t>Malaise</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72C97" w14:textId="77777777" w:rsidR="00AC342F" w:rsidRPr="00AC342F" w:rsidRDefault="00AC342F" w:rsidP="00AC342F">
            <w:pPr>
              <w:pStyle w:val="CDITable-RowCentre"/>
            </w:pPr>
            <w:r w:rsidRPr="00AC342F">
              <w:t>607 (3.3)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866B62" w14:textId="77777777" w:rsidR="00AC342F" w:rsidRPr="00AC342F" w:rsidRDefault="00AC342F" w:rsidP="00AC342F">
            <w:pPr>
              <w:pStyle w:val="CDITable-RowCentre"/>
            </w:pPr>
            <w:r w:rsidRPr="00AC342F">
              <w:t>5 (0.8)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24FDD" w14:textId="77777777" w:rsidR="00AC342F" w:rsidRPr="00AC342F" w:rsidRDefault="00AC342F" w:rsidP="00AC342F">
            <w:pPr>
              <w:pStyle w:val="CDITable-RowCentre"/>
            </w:pPr>
            <w:r w:rsidRPr="00AC342F">
              <w:t>99 (16.3)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4EB324"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B4E75" w14:textId="77777777" w:rsidR="00AC342F" w:rsidRPr="00AC342F" w:rsidRDefault="00AC342F" w:rsidP="00AC342F">
            <w:pPr>
              <w:pStyle w:val="CDITable-RowCentre"/>
            </w:pPr>
            <w:r w:rsidRPr="00AC342F">
              <w:t>49 (8.1)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DCB4D" w14:textId="77777777" w:rsidR="00AC342F" w:rsidRPr="00AC342F" w:rsidRDefault="00AC342F" w:rsidP="00AC342F">
            <w:pPr>
              <w:pStyle w:val="CDITable-RowCentre"/>
            </w:pPr>
            <w:r w:rsidRPr="00AC342F">
              <w:t>17 (2.8)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D18EC" w14:textId="77777777" w:rsidR="00AC342F" w:rsidRPr="00AC342F" w:rsidRDefault="00AC342F" w:rsidP="00AC342F">
            <w:pPr>
              <w:pStyle w:val="CDITable-RowCentre"/>
            </w:pPr>
            <w:r w:rsidRPr="00AC342F">
              <w:t>344 (56.7)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1E84E" w14:textId="77777777" w:rsidR="00AC342F" w:rsidRPr="00AC342F" w:rsidRDefault="00AC342F" w:rsidP="00AC342F">
            <w:pPr>
              <w:pStyle w:val="CDITable-RowCentre"/>
            </w:pPr>
            <w:r w:rsidRPr="00AC342F">
              <w:t>149 (24.5)</w:t>
            </w:r>
          </w:p>
        </w:tc>
      </w:tr>
      <w:tr w:rsidR="00AC342F" w:rsidRPr="00AC342F" w14:paraId="0D086619"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80EE6" w14:textId="77777777" w:rsidR="00AC342F" w:rsidRPr="00AC342F" w:rsidRDefault="00AC342F" w:rsidP="00AC342F">
            <w:pPr>
              <w:pStyle w:val="CDITable-RowLeft"/>
            </w:pPr>
            <w:r w:rsidRPr="00AC342F">
              <w:t>COVID-19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05DCD" w14:textId="77777777" w:rsidR="00AC342F" w:rsidRPr="00AC342F" w:rsidRDefault="00AC342F" w:rsidP="00AC342F">
            <w:pPr>
              <w:pStyle w:val="CDITable-RowCentre"/>
            </w:pPr>
            <w:r w:rsidRPr="00AC342F">
              <w:t>606 (3.3)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DB6FEB" w14:textId="77777777" w:rsidR="00AC342F" w:rsidRPr="00AC342F" w:rsidRDefault="00AC342F" w:rsidP="00AC342F">
            <w:pPr>
              <w:pStyle w:val="CDITable-RowCentre"/>
            </w:pPr>
            <w:r w:rsidRPr="00AC342F">
              <w:t>119 (19.6)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15A2C" w14:textId="77777777" w:rsidR="00AC342F" w:rsidRPr="00AC342F" w:rsidRDefault="00AC342F" w:rsidP="00AC342F">
            <w:pPr>
              <w:pStyle w:val="CDITable-RowCentre"/>
            </w:pPr>
            <w:r w:rsidRPr="00AC342F">
              <w:t>383 (63.2)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CD0E9F"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6ABEC" w14:textId="77777777" w:rsidR="00AC342F" w:rsidRPr="00AC342F" w:rsidRDefault="00AC342F" w:rsidP="00AC342F">
            <w:pPr>
              <w:pStyle w:val="CDITable-RowCentre"/>
            </w:pPr>
            <w:r w:rsidRPr="00AC342F">
              <w:t>65 (10.7)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EE657C" w14:textId="77777777" w:rsidR="00AC342F" w:rsidRPr="00AC342F" w:rsidRDefault="00AC342F" w:rsidP="00AC342F">
            <w:pPr>
              <w:pStyle w:val="CDITable-RowCentre"/>
            </w:pPr>
            <w:r w:rsidRPr="00AC342F">
              <w:t>11 (1.8)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828CD" w14:textId="77777777" w:rsidR="00AC342F" w:rsidRPr="00AC342F" w:rsidRDefault="00AC342F" w:rsidP="00AC342F">
            <w:pPr>
              <w:pStyle w:val="CDITable-RowCentre"/>
            </w:pPr>
            <w:r w:rsidRPr="00AC342F">
              <w:t>311 (51.3)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229C0" w14:textId="77777777" w:rsidR="00AC342F" w:rsidRPr="00AC342F" w:rsidRDefault="00AC342F" w:rsidP="00AC342F">
            <w:pPr>
              <w:pStyle w:val="CDITable-RowCentre"/>
            </w:pPr>
            <w:r w:rsidRPr="00AC342F">
              <w:t>94 (15.5)</w:t>
            </w:r>
          </w:p>
        </w:tc>
      </w:tr>
      <w:tr w:rsidR="00AC342F" w:rsidRPr="00AC342F" w14:paraId="23028059"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417B2A" w14:textId="77777777" w:rsidR="00AC342F" w:rsidRPr="00AC342F" w:rsidRDefault="00AC342F" w:rsidP="00AC342F">
            <w:pPr>
              <w:pStyle w:val="CDITable-RowLeft"/>
            </w:pPr>
            <w:r w:rsidRPr="00AC342F">
              <w:t>Syncope</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1EC8EE" w14:textId="77777777" w:rsidR="00AC342F" w:rsidRPr="00AC342F" w:rsidRDefault="00AC342F" w:rsidP="00AC342F">
            <w:pPr>
              <w:pStyle w:val="CDITable-RowCentre"/>
            </w:pPr>
            <w:r w:rsidRPr="00AC342F">
              <w:t>475 (2.6)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F4806" w14:textId="77777777" w:rsidR="00AC342F" w:rsidRPr="00AC342F" w:rsidRDefault="00AC342F" w:rsidP="00AC342F">
            <w:pPr>
              <w:pStyle w:val="CDITable-RowCentre"/>
            </w:pPr>
            <w:r w:rsidRPr="00AC342F">
              <w:t>108 (22.7)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AE7CC" w14:textId="77777777" w:rsidR="00AC342F" w:rsidRPr="00AC342F" w:rsidRDefault="00AC342F" w:rsidP="00AC342F">
            <w:pPr>
              <w:pStyle w:val="CDITable-RowCentre"/>
            </w:pPr>
            <w:r w:rsidRPr="00AC342F">
              <w:t>41 (8.6)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B39E1"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D82C20" w14:textId="77777777" w:rsidR="00AC342F" w:rsidRPr="00AC342F" w:rsidRDefault="00AC342F" w:rsidP="00AC342F">
            <w:pPr>
              <w:pStyle w:val="CDITable-RowCentre"/>
            </w:pPr>
            <w:r w:rsidRPr="00AC342F">
              <w:t>105 (22.1)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1BB17" w14:textId="77777777" w:rsidR="00AC342F" w:rsidRPr="00AC342F" w:rsidRDefault="00AC342F" w:rsidP="00AC342F">
            <w:pPr>
              <w:pStyle w:val="CDITable-RowCentre"/>
            </w:pPr>
            <w:r w:rsidRPr="00AC342F">
              <w:t>22 (4.6)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337AB" w14:textId="77777777" w:rsidR="00AC342F" w:rsidRPr="00AC342F" w:rsidRDefault="00AC342F" w:rsidP="00AC342F">
            <w:pPr>
              <w:pStyle w:val="CDITable-RowCentre"/>
            </w:pPr>
            <w:r w:rsidRPr="00AC342F">
              <w:t>289 (60.8)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BA4EA" w14:textId="77777777" w:rsidR="00AC342F" w:rsidRPr="00AC342F" w:rsidRDefault="00AC342F" w:rsidP="00AC342F">
            <w:pPr>
              <w:pStyle w:val="CDITable-RowCentre"/>
            </w:pPr>
            <w:r w:rsidRPr="00AC342F">
              <w:t>48 (10.1)</w:t>
            </w:r>
          </w:p>
        </w:tc>
      </w:tr>
      <w:tr w:rsidR="00AC342F" w:rsidRPr="00AC342F" w14:paraId="5F5283DE"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299EB" w14:textId="77777777" w:rsidR="00AC342F" w:rsidRPr="00AC342F" w:rsidRDefault="00AC342F" w:rsidP="00AC342F">
            <w:pPr>
              <w:pStyle w:val="CDITable-RowLeft"/>
            </w:pPr>
            <w:r w:rsidRPr="00AC342F">
              <w:t>Concomitant disease aggravated</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7A011" w14:textId="77777777" w:rsidR="00AC342F" w:rsidRPr="00AC342F" w:rsidRDefault="00AC342F" w:rsidP="00AC342F">
            <w:pPr>
              <w:pStyle w:val="CDITable-RowCentre"/>
            </w:pPr>
            <w:r w:rsidRPr="00AC342F">
              <w:t>454 (2.5)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481E4" w14:textId="77777777" w:rsidR="00AC342F" w:rsidRPr="00AC342F" w:rsidRDefault="00AC342F" w:rsidP="00AC342F">
            <w:pPr>
              <w:pStyle w:val="CDITable-RowCentre"/>
            </w:pPr>
            <w:r w:rsidRPr="00AC342F">
              <w:t>143 (31.5)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8003D" w14:textId="77777777" w:rsidR="00AC342F" w:rsidRPr="00AC342F" w:rsidRDefault="00AC342F" w:rsidP="00AC342F">
            <w:pPr>
              <w:pStyle w:val="CDITable-RowCentre"/>
            </w:pPr>
            <w:r w:rsidRPr="00AC342F">
              <w:t>118 (26.0)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DFA1B"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809E66" w14:textId="77777777" w:rsidR="00AC342F" w:rsidRPr="00AC342F" w:rsidRDefault="00AC342F" w:rsidP="00AC342F">
            <w:pPr>
              <w:pStyle w:val="CDITable-RowCentre"/>
            </w:pPr>
            <w:r w:rsidRPr="00AC342F">
              <w:t>25 (5.5)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9788E" w14:textId="77777777" w:rsidR="00AC342F" w:rsidRPr="00AC342F" w:rsidRDefault="00AC342F" w:rsidP="00AC342F">
            <w:pPr>
              <w:pStyle w:val="CDITable-RowCentre"/>
            </w:pPr>
            <w:r w:rsidRPr="00AC342F">
              <w:t>4 (0.9)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2E70E" w14:textId="77777777" w:rsidR="00AC342F" w:rsidRPr="00AC342F" w:rsidRDefault="00AC342F" w:rsidP="00AC342F">
            <w:pPr>
              <w:pStyle w:val="CDITable-RowCentre"/>
            </w:pPr>
            <w:r w:rsidRPr="00AC342F">
              <w:t>283 (62.3)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6ED82" w14:textId="77777777" w:rsidR="00AC342F" w:rsidRPr="00AC342F" w:rsidRDefault="00AC342F" w:rsidP="00AC342F">
            <w:pPr>
              <w:pStyle w:val="CDITable-RowCentre"/>
            </w:pPr>
            <w:r w:rsidRPr="00AC342F">
              <w:t>122 (26.9)</w:t>
            </w:r>
          </w:p>
        </w:tc>
      </w:tr>
      <w:tr w:rsidR="00AC342F" w:rsidRPr="00AC342F" w14:paraId="2239B265"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9CE5C" w14:textId="77777777" w:rsidR="00AC342F" w:rsidRPr="00AC342F" w:rsidRDefault="00AC342F" w:rsidP="00AC342F">
            <w:pPr>
              <w:pStyle w:val="CDITable-RowLeft"/>
            </w:pPr>
            <w:r w:rsidRPr="00AC342F">
              <w:t>Influenza like illness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8EA325" w14:textId="77777777" w:rsidR="00AC342F" w:rsidRPr="00AC342F" w:rsidRDefault="00AC342F" w:rsidP="00AC342F">
            <w:pPr>
              <w:pStyle w:val="CDITable-RowCentre"/>
            </w:pPr>
            <w:r w:rsidRPr="00AC342F">
              <w:t>449 (2.4)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5A8DE" w14:textId="77777777" w:rsidR="00AC342F" w:rsidRPr="00AC342F" w:rsidRDefault="00AC342F" w:rsidP="00AC342F">
            <w:pPr>
              <w:pStyle w:val="CDITable-RowCentre"/>
            </w:pPr>
            <w:r w:rsidRPr="00AC342F">
              <w:t>40 (8.9)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C321B" w14:textId="77777777" w:rsidR="00AC342F" w:rsidRPr="00AC342F" w:rsidRDefault="00AC342F" w:rsidP="00AC342F">
            <w:pPr>
              <w:pStyle w:val="CDITable-RowCentre"/>
            </w:pPr>
            <w:r w:rsidRPr="00AC342F">
              <w:t>28 (6.2)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AE708" w14:textId="77777777" w:rsidR="00AC342F" w:rsidRPr="00AC342F" w:rsidRDefault="00AC342F" w:rsidP="00AC342F">
            <w:pPr>
              <w:pStyle w:val="CDITable-RowCentre"/>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E2B13" w14:textId="77777777" w:rsidR="00AC342F" w:rsidRPr="00AC342F" w:rsidRDefault="00AC342F" w:rsidP="00AC342F">
            <w:pPr>
              <w:pStyle w:val="CDITable-RowCentre"/>
            </w:pPr>
            <w:r w:rsidRPr="00AC342F">
              <w:t>19 (4.2)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73379" w14:textId="77777777" w:rsidR="00AC342F" w:rsidRPr="00AC342F" w:rsidRDefault="00AC342F" w:rsidP="00AC342F">
            <w:pPr>
              <w:pStyle w:val="CDITable-RowCentre"/>
            </w:pPr>
            <w:r w:rsidRPr="00AC342F">
              <w:t>5 (1.1)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2E6BF2" w14:textId="77777777" w:rsidR="00AC342F" w:rsidRPr="00AC342F" w:rsidRDefault="00AC342F" w:rsidP="00AC342F">
            <w:pPr>
              <w:pStyle w:val="CDITable-RowCentre"/>
            </w:pPr>
            <w:r w:rsidRPr="00AC342F">
              <w:t>351 (78.2)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FE53A" w14:textId="77777777" w:rsidR="00AC342F" w:rsidRPr="00AC342F" w:rsidRDefault="00AC342F" w:rsidP="00AC342F">
            <w:pPr>
              <w:pStyle w:val="CDITable-RowCentre"/>
            </w:pPr>
            <w:r w:rsidRPr="00AC342F">
              <w:t>57 (12.7)</w:t>
            </w:r>
          </w:p>
        </w:tc>
      </w:tr>
      <w:tr w:rsidR="00AC342F" w:rsidRPr="00AC342F" w14:paraId="628E77A0"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D9BBE" w14:textId="77777777" w:rsidR="00AC342F" w:rsidRPr="00AC342F" w:rsidRDefault="00AC342F" w:rsidP="00222276">
            <w:pPr>
              <w:pStyle w:val="CDITable-RowLeft"/>
              <w:keepNext/>
            </w:pPr>
            <w:r w:rsidRPr="00AC342F">
              <w:lastRenderedPageBreak/>
              <w:t>Haemorrhage terms (excl laboratory terms)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C93B3" w14:textId="77777777" w:rsidR="00AC342F" w:rsidRPr="00AC342F" w:rsidRDefault="00AC342F" w:rsidP="00222276">
            <w:pPr>
              <w:pStyle w:val="CDITable-RowCentre"/>
              <w:keepNext/>
            </w:pPr>
            <w:r w:rsidRPr="00AC342F">
              <w:t>445 (2.4)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B2566" w14:textId="77777777" w:rsidR="00AC342F" w:rsidRPr="00AC342F" w:rsidRDefault="00AC342F" w:rsidP="00222276">
            <w:pPr>
              <w:pStyle w:val="CDITable-RowCentre"/>
              <w:keepNext/>
            </w:pPr>
            <w:r w:rsidRPr="00AC342F">
              <w:t>55 (12.4)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69F0F" w14:textId="77777777" w:rsidR="00AC342F" w:rsidRPr="00AC342F" w:rsidRDefault="00AC342F" w:rsidP="00222276">
            <w:pPr>
              <w:pStyle w:val="CDITable-RowCentre"/>
              <w:keepNext/>
            </w:pPr>
            <w:r w:rsidRPr="00AC342F">
              <w:t>58 (13.0)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0D697" w14:textId="77777777" w:rsidR="00AC342F" w:rsidRPr="00AC342F" w:rsidRDefault="00AC342F" w:rsidP="00222276">
            <w:pPr>
              <w:pStyle w:val="CDITable-RowCentre"/>
              <w:keepNext/>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55E63" w14:textId="77777777" w:rsidR="00AC342F" w:rsidRPr="00AC342F" w:rsidRDefault="00AC342F" w:rsidP="00222276">
            <w:pPr>
              <w:pStyle w:val="CDITable-RowCentre"/>
              <w:keepNext/>
            </w:pPr>
            <w:r w:rsidRPr="00AC342F">
              <w:t>25 (5.6)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2B54A" w14:textId="77777777" w:rsidR="00AC342F" w:rsidRPr="00AC342F" w:rsidRDefault="00AC342F" w:rsidP="00222276">
            <w:pPr>
              <w:pStyle w:val="CDITable-RowCentre"/>
              <w:keepNext/>
            </w:pPr>
            <w:r w:rsidRPr="00AC342F">
              <w:t>13 (2.9)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189A3" w14:textId="77777777" w:rsidR="00AC342F" w:rsidRPr="00AC342F" w:rsidRDefault="00AC342F" w:rsidP="00222276">
            <w:pPr>
              <w:pStyle w:val="CDITable-RowCentre"/>
              <w:keepNext/>
            </w:pPr>
            <w:r w:rsidRPr="00AC342F">
              <w:t>314 (70.6)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9FD12" w14:textId="77777777" w:rsidR="00AC342F" w:rsidRPr="00AC342F" w:rsidRDefault="00AC342F" w:rsidP="00222276">
            <w:pPr>
              <w:pStyle w:val="CDITable-RowCentre"/>
              <w:keepNext/>
            </w:pPr>
            <w:r w:rsidRPr="00AC342F">
              <w:t>59 (13.3)</w:t>
            </w:r>
          </w:p>
        </w:tc>
      </w:tr>
      <w:tr w:rsidR="00AC342F" w:rsidRPr="00AC342F" w14:paraId="231BD0AE" w14:textId="77777777" w:rsidTr="00222276">
        <w:trPr>
          <w:trHeight w:val="60"/>
        </w:trPr>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901809" w14:textId="77777777" w:rsidR="00AC342F" w:rsidRPr="00AC342F" w:rsidRDefault="00AC342F" w:rsidP="00222276">
            <w:pPr>
              <w:pStyle w:val="CDITable-RowLeft"/>
              <w:keepNext/>
            </w:pPr>
            <w:r w:rsidRPr="00AC342F">
              <w:t>Hyperhidrosis</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F6BBC1" w14:textId="77777777" w:rsidR="00AC342F" w:rsidRPr="00AC342F" w:rsidRDefault="00AC342F" w:rsidP="00222276">
            <w:pPr>
              <w:pStyle w:val="CDITable-RowCentre"/>
              <w:keepNext/>
            </w:pPr>
            <w:r w:rsidRPr="00AC342F">
              <w:t>420 (2.3)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DB494" w14:textId="77777777" w:rsidR="00AC342F" w:rsidRPr="00AC342F" w:rsidRDefault="00AC342F" w:rsidP="00222276">
            <w:pPr>
              <w:pStyle w:val="CDITable-RowCentre"/>
              <w:keepNext/>
            </w:pPr>
            <w:r w:rsidRPr="00AC342F">
              <w:t>2 (0.5)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566F6" w14:textId="77777777" w:rsidR="00AC342F" w:rsidRPr="00AC342F" w:rsidRDefault="00AC342F" w:rsidP="00222276">
            <w:pPr>
              <w:pStyle w:val="CDITable-RowCentre"/>
              <w:keepNext/>
            </w:pPr>
            <w:r w:rsidRPr="00AC342F">
              <w:t>68 (16.2)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BB300" w14:textId="77777777" w:rsidR="00AC342F" w:rsidRPr="00AC342F" w:rsidRDefault="00AC342F" w:rsidP="00222276">
            <w:pPr>
              <w:pStyle w:val="CDITable-RowCentre"/>
              <w:keepNext/>
            </w:pPr>
            <w:r w:rsidRPr="00AC342F">
              <w:t>0 (0)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ED35A" w14:textId="77777777" w:rsidR="00AC342F" w:rsidRPr="00AC342F" w:rsidRDefault="00AC342F" w:rsidP="00222276">
            <w:pPr>
              <w:pStyle w:val="CDITable-RowCentre"/>
              <w:keepNext/>
            </w:pPr>
            <w:r w:rsidRPr="00AC342F">
              <w:t>21 (5.0)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F010E" w14:textId="77777777" w:rsidR="00AC342F" w:rsidRPr="00AC342F" w:rsidRDefault="00AC342F" w:rsidP="00222276">
            <w:pPr>
              <w:pStyle w:val="CDITable-RowCentre"/>
              <w:keepNext/>
            </w:pPr>
            <w:r w:rsidRPr="00AC342F">
              <w:t>9 (2.1)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85C5E" w14:textId="77777777" w:rsidR="00AC342F" w:rsidRPr="00AC342F" w:rsidRDefault="00AC342F" w:rsidP="00222276">
            <w:pPr>
              <w:pStyle w:val="CDITable-RowCentre"/>
              <w:keepNext/>
            </w:pPr>
            <w:r w:rsidRPr="00AC342F">
              <w:t>301 (71.7)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C3360" w14:textId="77777777" w:rsidR="00AC342F" w:rsidRPr="00AC342F" w:rsidRDefault="00AC342F" w:rsidP="00222276">
            <w:pPr>
              <w:pStyle w:val="CDITable-RowCentre"/>
              <w:keepNext/>
            </w:pPr>
            <w:r w:rsidRPr="00AC342F">
              <w:t>63 (15.0)</w:t>
            </w:r>
          </w:p>
        </w:tc>
      </w:tr>
    </w:tbl>
    <w:p w14:paraId="4FB3AAFB" w14:textId="77777777" w:rsidR="00AC342F" w:rsidRPr="00AC342F" w:rsidRDefault="00AC342F" w:rsidP="00222276">
      <w:pPr>
        <w:pStyle w:val="CDITable-FirstFootnote"/>
        <w:rPr>
          <w:lang w:val="en-GB"/>
        </w:rPr>
      </w:pPr>
      <w:r w:rsidRPr="00AC342F">
        <w:rPr>
          <w:lang w:val="en-GB"/>
        </w:rPr>
        <w:t>a</w:t>
      </w:r>
      <w:r w:rsidRPr="00AC342F">
        <w:rPr>
          <w:lang w:val="en-GB"/>
        </w:rPr>
        <w:tab/>
        <w:t>Reports are included in this analysis only if the date of vaccination occurred in 2022 (or where the date of vaccination is unavailable, the date of symptom onset occurring in 2022; or when both the date of vaccination and date of symptom onset are unavailable, the date of adverse event reporting occurring in 2022). Therefore, there may be discrepancies between the numbers in this table and those published in other TGA outputs, where reports are included if the date of reporting falls within 2022, regardless of the year of vaccination or symptom onset.</w:t>
      </w:r>
    </w:p>
    <w:p w14:paraId="3AB3495C" w14:textId="77777777" w:rsidR="00AC342F" w:rsidRPr="00AC342F" w:rsidRDefault="00AC342F" w:rsidP="00AC342F">
      <w:pPr>
        <w:pStyle w:val="CDITable-Footnote"/>
        <w:rPr>
          <w:lang w:val="en-GB"/>
        </w:rPr>
      </w:pPr>
      <w:r w:rsidRPr="00AC342F">
        <w:rPr>
          <w:lang w:val="en-GB"/>
        </w:rPr>
        <w:t>b</w:t>
      </w:r>
      <w:r w:rsidRPr="00AC342F">
        <w:rPr>
          <w:lang w:val="en-GB"/>
        </w:rPr>
        <w:tab/>
        <w:t>Number of AEFI reports in which the PT or SMQ was reported. More than one PT/SMQ may be recorded on the same report.</w:t>
      </w:r>
    </w:p>
    <w:p w14:paraId="0B1210A9" w14:textId="77777777" w:rsidR="00AC342F" w:rsidRPr="00AC342F" w:rsidRDefault="00AC342F" w:rsidP="00AC342F">
      <w:pPr>
        <w:pStyle w:val="CDITable-Footnote"/>
        <w:rPr>
          <w:lang w:val="en-GB"/>
        </w:rPr>
      </w:pPr>
      <w:r w:rsidRPr="00AC342F">
        <w:rPr>
          <w:lang w:val="en-GB"/>
        </w:rPr>
        <w:t>c</w:t>
      </w:r>
      <w:r w:rsidRPr="00AC342F">
        <w:rPr>
          <w:lang w:val="en-GB"/>
        </w:rPr>
        <w:tab/>
        <w:t>AEFI reports where only one AEFI (coded as MedDRA PT or SMQ) was reported.</w:t>
      </w:r>
    </w:p>
    <w:p w14:paraId="4F15ECC0" w14:textId="77777777" w:rsidR="00AC342F" w:rsidRPr="00AC342F" w:rsidRDefault="00AC342F" w:rsidP="00AC342F">
      <w:pPr>
        <w:pStyle w:val="CDITable-Footnote"/>
        <w:rPr>
          <w:lang w:val="en-GB"/>
        </w:rPr>
      </w:pPr>
      <w:r w:rsidRPr="00AC342F">
        <w:rPr>
          <w:lang w:val="en-GB"/>
        </w:rPr>
        <w:t>d</w:t>
      </w:r>
      <w:r w:rsidRPr="00AC342F">
        <w:rPr>
          <w:lang w:val="en-GB"/>
        </w:rPr>
        <w:tab/>
        <w:t>Percentages are calculated for the number of AEFI reports where the PT or SMQ was reported.</w:t>
      </w:r>
    </w:p>
    <w:p w14:paraId="172854EC" w14:textId="77777777" w:rsidR="00AC342F" w:rsidRPr="00AC342F" w:rsidRDefault="00AC342F" w:rsidP="00AC342F">
      <w:pPr>
        <w:pStyle w:val="CDITable-Footnote"/>
        <w:rPr>
          <w:lang w:val="en-GB"/>
        </w:rPr>
      </w:pPr>
      <w:r w:rsidRPr="00AC342F">
        <w:rPr>
          <w:lang w:val="en-GB"/>
        </w:rPr>
        <w:t>e</w:t>
      </w:r>
      <w:r w:rsidRPr="00AC342F">
        <w:rPr>
          <w:lang w:val="en-GB"/>
        </w:rPr>
        <w:tab/>
      </w:r>
      <w:proofErr w:type="gramStart"/>
      <w:r w:rsidRPr="00AC342F">
        <w:rPr>
          <w:lang w:val="en-GB"/>
        </w:rPr>
        <w:t>An</w:t>
      </w:r>
      <w:proofErr w:type="gramEnd"/>
      <w:r w:rsidRPr="00AC342F">
        <w:rPr>
          <w:lang w:val="en-GB"/>
        </w:rPr>
        <w:t xml:space="preserve"> adverse event report is defined as ‘</w:t>
      </w:r>
      <w:proofErr w:type="spellStart"/>
      <w:r w:rsidRPr="00AC342F">
        <w:rPr>
          <w:lang w:val="en-GB"/>
        </w:rPr>
        <w:t>serious’</w:t>
      </w:r>
      <w:proofErr w:type="spellEnd"/>
      <w:r w:rsidRPr="00AC342F">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5A9F4077" w14:textId="02F81782" w:rsidR="00AC342F" w:rsidRDefault="00AC342F" w:rsidP="00AC342F">
      <w:pPr>
        <w:pStyle w:val="CDITable-Footnote"/>
        <w:rPr>
          <w:lang w:val="en-GB"/>
        </w:rPr>
      </w:pPr>
      <w:r w:rsidRPr="00AC342F">
        <w:rPr>
          <w:lang w:val="en-GB"/>
        </w:rPr>
        <w:t>f</w:t>
      </w:r>
      <w:r w:rsidRPr="00AC342F">
        <w:rPr>
          <w:lang w:val="en-GB"/>
        </w:rPr>
        <w:tab/>
        <w:t>Includes only AEFI reports where an age or date of birth has been reported.</w:t>
      </w:r>
      <w:r>
        <w:rPr>
          <w:lang w:val="en-GB"/>
        </w:rPr>
        <w:br w:type="page"/>
      </w:r>
    </w:p>
    <w:p w14:paraId="75B5A8F6" w14:textId="77777777" w:rsidR="00AC342F" w:rsidRPr="00AC342F" w:rsidRDefault="00AC342F" w:rsidP="00AC342F">
      <w:pPr>
        <w:pStyle w:val="CDITable-Title"/>
        <w:rPr>
          <w:lang w:val="en-GB"/>
        </w:rPr>
      </w:pPr>
      <w:bookmarkStart w:id="36" w:name="_Toc215578748"/>
      <w:r w:rsidRPr="00AC342F">
        <w:rPr>
          <w:lang w:val="en-GB"/>
        </w:rPr>
        <w:lastRenderedPageBreak/>
        <w:t xml:space="preserve">Table 5: The 30 most frequently reported adverse events classified by MedDRA Preferred Terms (PTs) or Standardised MedDRA queries (SMQs) in reports of adverse events following immunisation with COVID-19 vaccines administered in 2022 in the Adverse Event Management System database, by </w:t>
      </w:r>
      <w:proofErr w:type="spellStart"/>
      <w:r w:rsidRPr="00AC342F">
        <w:rPr>
          <w:lang w:val="en-GB"/>
        </w:rPr>
        <w:t>brand</w:t>
      </w:r>
      <w:r w:rsidRPr="00AC342F">
        <w:rPr>
          <w:vertAlign w:val="superscript"/>
          <w:lang w:val="en-GB"/>
        </w:rPr>
        <w:t>a</w:t>
      </w:r>
      <w:bookmarkEnd w:id="36"/>
      <w:proofErr w:type="spellEnd"/>
    </w:p>
    <w:tbl>
      <w:tblPr>
        <w:tblW w:w="0" w:type="auto"/>
        <w:tblLayout w:type="fixed"/>
        <w:tblCellMar>
          <w:left w:w="0" w:type="dxa"/>
          <w:right w:w="0" w:type="dxa"/>
        </w:tblCellMar>
        <w:tblLook w:val="0000" w:firstRow="0" w:lastRow="0" w:firstColumn="0" w:lastColumn="0" w:noHBand="0" w:noVBand="0"/>
        <w:tblCaption w:val="Table 5: The 30 most frequently reported adverse events classified by MedDRA Preferred Terms (PTs) or Standardised MedDRA queries (SMQs) in reports of adverse events following immunisation with COVID-19 vaccines administered in 2022 in the Adverse Event Management System database, by brand"/>
        <w:tblDescription w:val="Table 5 shows, in descending order, the 30 MedDRA-coded adverse events that were reported the most frequently following COVID-19 vaccines administered in 2022. For each adverse event, the table gives the number and proportion of corresponding adverse event reports for each of the four COVID-19 vaccines in use in Australia in 2022."/>
      </w:tblPr>
      <w:tblGrid>
        <w:gridCol w:w="5839"/>
        <w:gridCol w:w="1701"/>
        <w:gridCol w:w="1701"/>
        <w:gridCol w:w="1701"/>
        <w:gridCol w:w="1701"/>
        <w:gridCol w:w="1700"/>
      </w:tblGrid>
      <w:tr w:rsidR="00222276" w:rsidRPr="00222276" w14:paraId="131740CF" w14:textId="77777777" w:rsidTr="00222276">
        <w:trPr>
          <w:trHeight w:val="60"/>
          <w:tblHeader/>
        </w:trPr>
        <w:tc>
          <w:tcPr>
            <w:tcW w:w="5839" w:type="dxa"/>
            <w:shd w:val="clear" w:color="auto" w:fill="1E4496" w:themeFill="text2"/>
            <w:tcMar>
              <w:top w:w="113" w:type="dxa"/>
              <w:left w:w="113" w:type="dxa"/>
              <w:bottom w:w="113" w:type="dxa"/>
              <w:right w:w="113" w:type="dxa"/>
            </w:tcMar>
            <w:vAlign w:val="bottom"/>
          </w:tcPr>
          <w:p w14:paraId="5CF08DE6" w14:textId="77777777" w:rsidR="00222276" w:rsidRPr="00222276" w:rsidRDefault="00222276" w:rsidP="00222276">
            <w:pPr>
              <w:pStyle w:val="CDITable-HeaderRowLeft"/>
            </w:pPr>
            <w:r w:rsidRPr="00222276">
              <w:t>Adverse event</w:t>
            </w:r>
            <w:r w:rsidRPr="00222276">
              <w:br/>
              <w:t>PT or SMQ</w:t>
            </w:r>
          </w:p>
        </w:tc>
        <w:tc>
          <w:tcPr>
            <w:tcW w:w="1701" w:type="dxa"/>
            <w:shd w:val="clear" w:color="auto" w:fill="1E4496" w:themeFill="text2"/>
            <w:tcMar>
              <w:top w:w="113" w:type="dxa"/>
              <w:left w:w="113" w:type="dxa"/>
              <w:bottom w:w="113" w:type="dxa"/>
              <w:right w:w="113" w:type="dxa"/>
            </w:tcMar>
            <w:vAlign w:val="bottom"/>
          </w:tcPr>
          <w:p w14:paraId="13808F32" w14:textId="77777777" w:rsidR="00222276" w:rsidRPr="00222276" w:rsidRDefault="00222276" w:rsidP="00222276">
            <w:pPr>
              <w:pStyle w:val="CDITable-HeaderRowCentre"/>
            </w:pPr>
            <w:r w:rsidRPr="00222276">
              <w:t>AEFI reports</w:t>
            </w:r>
            <w:r w:rsidRPr="00222276">
              <w:br/>
              <w:t>n (</w:t>
            </w:r>
            <w:proofErr w:type="gramStart"/>
            <w:r w:rsidRPr="00222276">
              <w:t>%)</w:t>
            </w:r>
            <w:r w:rsidRPr="00222276">
              <w:rPr>
                <w:vertAlign w:val="superscript"/>
              </w:rPr>
              <w:t>b</w:t>
            </w:r>
            <w:proofErr w:type="gramEnd"/>
          </w:p>
        </w:tc>
        <w:tc>
          <w:tcPr>
            <w:tcW w:w="1701" w:type="dxa"/>
            <w:shd w:val="clear" w:color="auto" w:fill="1E4496" w:themeFill="text2"/>
            <w:tcMar>
              <w:top w:w="113" w:type="dxa"/>
              <w:left w:w="113" w:type="dxa"/>
              <w:bottom w:w="113" w:type="dxa"/>
              <w:right w:w="113" w:type="dxa"/>
            </w:tcMar>
            <w:vAlign w:val="bottom"/>
          </w:tcPr>
          <w:p w14:paraId="46022517" w14:textId="77777777" w:rsidR="00222276" w:rsidRPr="00222276" w:rsidRDefault="00222276" w:rsidP="00222276">
            <w:pPr>
              <w:pStyle w:val="CDITable-HeaderRowCentre"/>
            </w:pPr>
            <w:r w:rsidRPr="00222276">
              <w:t>Comirnaty</w:t>
            </w:r>
            <w:r w:rsidRPr="00222276">
              <w:br/>
              <w:t>n (</w:t>
            </w:r>
            <w:proofErr w:type="gramStart"/>
            <w:r w:rsidRPr="00222276">
              <w:t>%)</w:t>
            </w:r>
            <w:proofErr w:type="spellStart"/>
            <w:r w:rsidRPr="00222276">
              <w:rPr>
                <w:vertAlign w:val="superscript"/>
              </w:rPr>
              <w:t>c</w:t>
            </w:r>
            <w:proofErr w:type="gramEnd"/>
            <w:r w:rsidRPr="00222276">
              <w:rPr>
                <w:vertAlign w:val="superscript"/>
              </w:rPr>
              <w:t>,d</w:t>
            </w:r>
            <w:proofErr w:type="spellEnd"/>
          </w:p>
        </w:tc>
        <w:tc>
          <w:tcPr>
            <w:tcW w:w="1701" w:type="dxa"/>
            <w:shd w:val="clear" w:color="auto" w:fill="1E4496" w:themeFill="text2"/>
            <w:tcMar>
              <w:top w:w="113" w:type="dxa"/>
              <w:left w:w="113" w:type="dxa"/>
              <w:bottom w:w="113" w:type="dxa"/>
              <w:right w:w="113" w:type="dxa"/>
            </w:tcMar>
            <w:vAlign w:val="bottom"/>
          </w:tcPr>
          <w:p w14:paraId="5B55B879" w14:textId="77777777" w:rsidR="00222276" w:rsidRPr="00222276" w:rsidRDefault="00222276" w:rsidP="00222276">
            <w:pPr>
              <w:pStyle w:val="CDITable-HeaderRowCentre"/>
            </w:pPr>
            <w:r w:rsidRPr="00222276">
              <w:t>Nuvaxovid</w:t>
            </w:r>
            <w:r w:rsidRPr="00222276">
              <w:br/>
              <w:t>n (</w:t>
            </w:r>
            <w:proofErr w:type="gramStart"/>
            <w:r w:rsidRPr="00222276">
              <w:t>%)</w:t>
            </w:r>
            <w:proofErr w:type="spellStart"/>
            <w:r w:rsidRPr="00222276">
              <w:rPr>
                <w:vertAlign w:val="superscript"/>
              </w:rPr>
              <w:t>c</w:t>
            </w:r>
            <w:proofErr w:type="gramEnd"/>
            <w:r w:rsidRPr="00222276">
              <w:rPr>
                <w:vertAlign w:val="superscript"/>
              </w:rPr>
              <w:t>,d</w:t>
            </w:r>
            <w:proofErr w:type="spellEnd"/>
          </w:p>
        </w:tc>
        <w:tc>
          <w:tcPr>
            <w:tcW w:w="1701" w:type="dxa"/>
            <w:shd w:val="clear" w:color="auto" w:fill="1E4496" w:themeFill="text2"/>
            <w:tcMar>
              <w:top w:w="113" w:type="dxa"/>
              <w:left w:w="113" w:type="dxa"/>
              <w:bottom w:w="113" w:type="dxa"/>
              <w:right w:w="113" w:type="dxa"/>
            </w:tcMar>
            <w:vAlign w:val="bottom"/>
          </w:tcPr>
          <w:p w14:paraId="0292E0FD" w14:textId="77777777" w:rsidR="00222276" w:rsidRPr="00222276" w:rsidRDefault="00222276" w:rsidP="00222276">
            <w:pPr>
              <w:pStyle w:val="CDITable-HeaderRowCentre"/>
            </w:pPr>
            <w:r w:rsidRPr="00222276">
              <w:t>Spikevax</w:t>
            </w:r>
            <w:r w:rsidRPr="00222276">
              <w:br/>
              <w:t>n (</w:t>
            </w:r>
            <w:proofErr w:type="gramStart"/>
            <w:r w:rsidRPr="00222276">
              <w:t>%)</w:t>
            </w:r>
            <w:proofErr w:type="spellStart"/>
            <w:r w:rsidRPr="00222276">
              <w:rPr>
                <w:vertAlign w:val="superscript"/>
              </w:rPr>
              <w:t>c</w:t>
            </w:r>
            <w:proofErr w:type="gramEnd"/>
            <w:r w:rsidRPr="00222276">
              <w:rPr>
                <w:vertAlign w:val="superscript"/>
              </w:rPr>
              <w:t>,d</w:t>
            </w:r>
            <w:proofErr w:type="spellEnd"/>
          </w:p>
        </w:tc>
        <w:tc>
          <w:tcPr>
            <w:tcW w:w="1700" w:type="dxa"/>
            <w:shd w:val="clear" w:color="auto" w:fill="1E4496" w:themeFill="text2"/>
            <w:tcMar>
              <w:top w:w="113" w:type="dxa"/>
              <w:left w:w="113" w:type="dxa"/>
              <w:bottom w:w="113" w:type="dxa"/>
              <w:right w:w="113" w:type="dxa"/>
            </w:tcMar>
            <w:vAlign w:val="bottom"/>
          </w:tcPr>
          <w:p w14:paraId="57CDF405" w14:textId="77777777" w:rsidR="00222276" w:rsidRPr="00222276" w:rsidRDefault="00222276" w:rsidP="00222276">
            <w:pPr>
              <w:pStyle w:val="CDITable-HeaderRowCentre"/>
            </w:pPr>
            <w:r w:rsidRPr="00222276">
              <w:t>Vaxzevria</w:t>
            </w:r>
            <w:r w:rsidRPr="00222276">
              <w:br/>
              <w:t>n (</w:t>
            </w:r>
            <w:proofErr w:type="gramStart"/>
            <w:r w:rsidRPr="00222276">
              <w:t>%)</w:t>
            </w:r>
            <w:proofErr w:type="spellStart"/>
            <w:r w:rsidRPr="00222276">
              <w:rPr>
                <w:vertAlign w:val="superscript"/>
              </w:rPr>
              <w:t>c</w:t>
            </w:r>
            <w:proofErr w:type="gramEnd"/>
            <w:r w:rsidRPr="00222276">
              <w:rPr>
                <w:vertAlign w:val="superscript"/>
              </w:rPr>
              <w:t>,d</w:t>
            </w:r>
            <w:proofErr w:type="spellEnd"/>
          </w:p>
        </w:tc>
      </w:tr>
      <w:tr w:rsidR="00222276" w:rsidRPr="00222276" w14:paraId="4A95911D" w14:textId="77777777" w:rsidTr="00222276">
        <w:trPr>
          <w:trHeight w:val="60"/>
        </w:trPr>
        <w:tc>
          <w:tcPr>
            <w:tcW w:w="5839" w:type="dxa"/>
            <w:tcBorders>
              <w:bottom w:val="single" w:sz="6" w:space="0" w:color="1E4496" w:themeColor="text2"/>
            </w:tcBorders>
            <w:tcMar>
              <w:top w:w="113" w:type="dxa"/>
              <w:left w:w="113" w:type="dxa"/>
              <w:bottom w:w="113" w:type="dxa"/>
              <w:right w:w="113" w:type="dxa"/>
            </w:tcMar>
            <w:vAlign w:val="center"/>
          </w:tcPr>
          <w:p w14:paraId="7E1DF945" w14:textId="77777777" w:rsidR="00222276" w:rsidRPr="00222276" w:rsidRDefault="00222276" w:rsidP="00222276">
            <w:pPr>
              <w:pStyle w:val="CDITable-RowLeft"/>
            </w:pPr>
            <w:r w:rsidRPr="00222276">
              <w:t>Gastrointestinal nonspecific symptoms and therapeutic procedures</w:t>
            </w:r>
          </w:p>
        </w:tc>
        <w:tc>
          <w:tcPr>
            <w:tcW w:w="1701" w:type="dxa"/>
            <w:tcBorders>
              <w:bottom w:val="single" w:sz="6" w:space="0" w:color="1E4496" w:themeColor="text2"/>
            </w:tcBorders>
            <w:tcMar>
              <w:top w:w="113" w:type="dxa"/>
              <w:left w:w="113" w:type="dxa"/>
              <w:bottom w:w="113" w:type="dxa"/>
              <w:right w:w="113" w:type="dxa"/>
            </w:tcMar>
            <w:vAlign w:val="center"/>
          </w:tcPr>
          <w:p w14:paraId="5EF0D57C" w14:textId="77777777" w:rsidR="00222276" w:rsidRPr="00222276" w:rsidRDefault="00222276" w:rsidP="00222276">
            <w:pPr>
              <w:pStyle w:val="CDITable-RowCentre"/>
            </w:pPr>
            <w:r w:rsidRPr="00222276">
              <w:t>2,886 (15.7)</w:t>
            </w:r>
          </w:p>
        </w:tc>
        <w:tc>
          <w:tcPr>
            <w:tcW w:w="1701" w:type="dxa"/>
            <w:tcBorders>
              <w:bottom w:val="single" w:sz="6" w:space="0" w:color="1E4496" w:themeColor="text2"/>
            </w:tcBorders>
            <w:tcMar>
              <w:top w:w="113" w:type="dxa"/>
              <w:left w:w="113" w:type="dxa"/>
              <w:bottom w:w="113" w:type="dxa"/>
              <w:right w:w="113" w:type="dxa"/>
            </w:tcMar>
            <w:vAlign w:val="center"/>
          </w:tcPr>
          <w:p w14:paraId="583AD4FB" w14:textId="77777777" w:rsidR="00222276" w:rsidRPr="00222276" w:rsidRDefault="00222276" w:rsidP="00222276">
            <w:pPr>
              <w:pStyle w:val="CDITable-RowCentre"/>
            </w:pPr>
            <w:r w:rsidRPr="00222276">
              <w:t>2,106 (73.0)</w:t>
            </w:r>
          </w:p>
        </w:tc>
        <w:tc>
          <w:tcPr>
            <w:tcW w:w="1701" w:type="dxa"/>
            <w:tcBorders>
              <w:bottom w:val="single" w:sz="6" w:space="0" w:color="1E4496" w:themeColor="text2"/>
            </w:tcBorders>
            <w:tcMar>
              <w:top w:w="113" w:type="dxa"/>
              <w:left w:w="113" w:type="dxa"/>
              <w:bottom w:w="113" w:type="dxa"/>
              <w:right w:w="113" w:type="dxa"/>
            </w:tcMar>
            <w:vAlign w:val="center"/>
          </w:tcPr>
          <w:p w14:paraId="64098057" w14:textId="77777777" w:rsidR="00222276" w:rsidRPr="00222276" w:rsidRDefault="00222276" w:rsidP="00222276">
            <w:pPr>
              <w:pStyle w:val="CDITable-RowCentre"/>
            </w:pPr>
            <w:r w:rsidRPr="00222276">
              <w:t>168 (5.8)</w:t>
            </w:r>
          </w:p>
        </w:tc>
        <w:tc>
          <w:tcPr>
            <w:tcW w:w="1701" w:type="dxa"/>
            <w:tcBorders>
              <w:bottom w:val="single" w:sz="6" w:space="0" w:color="1E4496" w:themeColor="text2"/>
            </w:tcBorders>
            <w:tcMar>
              <w:top w:w="113" w:type="dxa"/>
              <w:left w:w="113" w:type="dxa"/>
              <w:bottom w:w="113" w:type="dxa"/>
              <w:right w:w="113" w:type="dxa"/>
            </w:tcMar>
            <w:vAlign w:val="center"/>
          </w:tcPr>
          <w:p w14:paraId="5B8D7DAB" w14:textId="77777777" w:rsidR="00222276" w:rsidRPr="00222276" w:rsidRDefault="00222276" w:rsidP="00222276">
            <w:pPr>
              <w:pStyle w:val="CDITable-RowCentre"/>
            </w:pPr>
            <w:r w:rsidRPr="00222276">
              <w:t>535 (18.5)</w:t>
            </w:r>
          </w:p>
        </w:tc>
        <w:tc>
          <w:tcPr>
            <w:tcW w:w="1700" w:type="dxa"/>
            <w:tcBorders>
              <w:bottom w:val="single" w:sz="6" w:space="0" w:color="1E4496" w:themeColor="text2"/>
            </w:tcBorders>
            <w:tcMar>
              <w:top w:w="113" w:type="dxa"/>
              <w:left w:w="113" w:type="dxa"/>
              <w:bottom w:w="113" w:type="dxa"/>
              <w:right w:w="113" w:type="dxa"/>
            </w:tcMar>
            <w:vAlign w:val="center"/>
          </w:tcPr>
          <w:p w14:paraId="5E1AF0D2" w14:textId="77777777" w:rsidR="00222276" w:rsidRPr="00222276" w:rsidRDefault="00222276" w:rsidP="00222276">
            <w:pPr>
              <w:pStyle w:val="CDITable-RowCentre"/>
            </w:pPr>
            <w:r w:rsidRPr="00222276">
              <w:t>80 (2.8)</w:t>
            </w:r>
          </w:p>
        </w:tc>
      </w:tr>
      <w:tr w:rsidR="00222276" w:rsidRPr="00222276" w14:paraId="07618BA1"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CE3CB" w14:textId="77777777" w:rsidR="00222276" w:rsidRPr="00222276" w:rsidRDefault="00222276" w:rsidP="00222276">
            <w:pPr>
              <w:pStyle w:val="CDITable-RowLeft"/>
            </w:pPr>
            <w:r w:rsidRPr="00222276">
              <w:t>Headache</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BCFEB" w14:textId="77777777" w:rsidR="00222276" w:rsidRPr="00222276" w:rsidRDefault="00222276" w:rsidP="00222276">
            <w:pPr>
              <w:pStyle w:val="CDITable-RowCentre"/>
            </w:pPr>
            <w:r w:rsidRPr="00222276">
              <w:t>2,832 (15.4)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436CB" w14:textId="77777777" w:rsidR="00222276" w:rsidRPr="00222276" w:rsidRDefault="00222276" w:rsidP="00222276">
            <w:pPr>
              <w:pStyle w:val="CDITable-RowCentre"/>
            </w:pPr>
            <w:r w:rsidRPr="00222276">
              <w:t>1,985 (70.1)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71470" w14:textId="77777777" w:rsidR="00222276" w:rsidRPr="00222276" w:rsidRDefault="00222276" w:rsidP="00222276">
            <w:pPr>
              <w:pStyle w:val="CDITable-RowCentre"/>
            </w:pPr>
            <w:r w:rsidRPr="00222276">
              <w:t>204 (7.2)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A7EEEC" w14:textId="77777777" w:rsidR="00222276" w:rsidRPr="00222276" w:rsidRDefault="00222276" w:rsidP="00222276">
            <w:pPr>
              <w:pStyle w:val="CDITable-RowCentre"/>
            </w:pPr>
            <w:r w:rsidRPr="00222276">
              <w:t>562 (19.8)</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58C3A" w14:textId="77777777" w:rsidR="00222276" w:rsidRPr="00222276" w:rsidRDefault="00222276" w:rsidP="00222276">
            <w:pPr>
              <w:pStyle w:val="CDITable-RowCentre"/>
            </w:pPr>
            <w:r w:rsidRPr="00222276">
              <w:t>88 (3.1)</w:t>
            </w:r>
          </w:p>
        </w:tc>
      </w:tr>
      <w:tr w:rsidR="00222276" w:rsidRPr="00222276" w14:paraId="73919245"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64B06" w14:textId="77777777" w:rsidR="00222276" w:rsidRPr="00222276" w:rsidRDefault="00222276" w:rsidP="00222276">
            <w:pPr>
              <w:pStyle w:val="CDITable-RowLeft"/>
            </w:pPr>
            <w:r w:rsidRPr="00222276">
              <w:t>Chest pain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8ED1C" w14:textId="77777777" w:rsidR="00222276" w:rsidRPr="00222276" w:rsidRDefault="00222276" w:rsidP="00222276">
            <w:pPr>
              <w:pStyle w:val="CDITable-RowCentre"/>
            </w:pPr>
            <w:r w:rsidRPr="00222276">
              <w:t>2,743 (14.9)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D3367" w14:textId="77777777" w:rsidR="00222276" w:rsidRPr="00222276" w:rsidRDefault="00222276" w:rsidP="00222276">
            <w:pPr>
              <w:pStyle w:val="CDITable-RowCentre"/>
            </w:pPr>
            <w:r w:rsidRPr="00222276">
              <w:t>2,011 (73.3)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99D02" w14:textId="77777777" w:rsidR="00222276" w:rsidRPr="00222276" w:rsidRDefault="00222276" w:rsidP="00222276">
            <w:pPr>
              <w:pStyle w:val="CDITable-RowCentre"/>
            </w:pPr>
            <w:r w:rsidRPr="00222276">
              <w:t>237 (8.6)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91E1B" w14:textId="77777777" w:rsidR="00222276" w:rsidRPr="00222276" w:rsidRDefault="00222276" w:rsidP="00222276">
            <w:pPr>
              <w:pStyle w:val="CDITable-RowCentre"/>
            </w:pPr>
            <w:r w:rsidRPr="00222276">
              <w:t>435 (15.9)</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4DD7A" w14:textId="77777777" w:rsidR="00222276" w:rsidRPr="00222276" w:rsidRDefault="00222276" w:rsidP="00222276">
            <w:pPr>
              <w:pStyle w:val="CDITable-RowCentre"/>
            </w:pPr>
            <w:r w:rsidRPr="00222276">
              <w:t>68 (2.5)</w:t>
            </w:r>
          </w:p>
        </w:tc>
      </w:tr>
      <w:tr w:rsidR="00222276" w:rsidRPr="00222276" w14:paraId="2BE13BB1"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A55222" w14:textId="77777777" w:rsidR="00222276" w:rsidRPr="00222276" w:rsidRDefault="00222276" w:rsidP="00222276">
            <w:pPr>
              <w:pStyle w:val="CDITable-RowLeft"/>
            </w:pPr>
            <w:r w:rsidRPr="00222276">
              <w:t>Myalgia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CBFF1" w14:textId="77777777" w:rsidR="00222276" w:rsidRPr="00222276" w:rsidRDefault="00222276" w:rsidP="00222276">
            <w:pPr>
              <w:pStyle w:val="CDITable-RowCentre"/>
            </w:pPr>
            <w:r w:rsidRPr="00222276">
              <w:t>1,848 (10.0)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C2F02" w14:textId="77777777" w:rsidR="00222276" w:rsidRPr="00222276" w:rsidRDefault="00222276" w:rsidP="00222276">
            <w:pPr>
              <w:pStyle w:val="CDITable-RowCentre"/>
            </w:pPr>
            <w:r w:rsidRPr="00222276">
              <w:t>1,312 (71.0)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42AE1" w14:textId="77777777" w:rsidR="00222276" w:rsidRPr="00222276" w:rsidRDefault="00222276" w:rsidP="00222276">
            <w:pPr>
              <w:pStyle w:val="CDITable-RowCentre"/>
            </w:pPr>
            <w:r w:rsidRPr="00222276">
              <w:t>101 (5.5)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DDAB3" w14:textId="77777777" w:rsidR="00222276" w:rsidRPr="00222276" w:rsidRDefault="00222276" w:rsidP="00222276">
            <w:pPr>
              <w:pStyle w:val="CDITable-RowCentre"/>
            </w:pPr>
            <w:r w:rsidRPr="00222276">
              <w:t>397 (21.5)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BBA27" w14:textId="77777777" w:rsidR="00222276" w:rsidRPr="00222276" w:rsidRDefault="00222276" w:rsidP="00222276">
            <w:pPr>
              <w:pStyle w:val="CDITable-RowCentre"/>
            </w:pPr>
            <w:r w:rsidRPr="00222276">
              <w:t>50 (2.7)</w:t>
            </w:r>
          </w:p>
        </w:tc>
      </w:tr>
      <w:tr w:rsidR="00222276" w:rsidRPr="00222276" w14:paraId="4BDD13D8"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BC0C0" w14:textId="77777777" w:rsidR="00222276" w:rsidRPr="00222276" w:rsidRDefault="00222276" w:rsidP="00222276">
            <w:pPr>
              <w:pStyle w:val="CDITable-RowLeft"/>
            </w:pPr>
            <w:r w:rsidRPr="00222276">
              <w:t>Pyrexia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E8295" w14:textId="77777777" w:rsidR="00222276" w:rsidRPr="00222276" w:rsidRDefault="00222276" w:rsidP="00222276">
            <w:pPr>
              <w:pStyle w:val="CDITable-RowCentre"/>
            </w:pPr>
            <w:r w:rsidRPr="00222276">
              <w:t>1,820 (9.9)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445948" w14:textId="77777777" w:rsidR="00222276" w:rsidRPr="00222276" w:rsidRDefault="00222276" w:rsidP="00222276">
            <w:pPr>
              <w:pStyle w:val="CDITable-RowCentre"/>
            </w:pPr>
            <w:r w:rsidRPr="00222276">
              <w:t>1,260 (69.2)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2001D" w14:textId="77777777" w:rsidR="00222276" w:rsidRPr="00222276" w:rsidRDefault="00222276" w:rsidP="00222276">
            <w:pPr>
              <w:pStyle w:val="CDITable-RowCentre"/>
            </w:pPr>
            <w:r w:rsidRPr="00222276">
              <w:t>93 (5.1)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B3406" w14:textId="77777777" w:rsidR="00222276" w:rsidRPr="00222276" w:rsidRDefault="00222276" w:rsidP="00222276">
            <w:pPr>
              <w:pStyle w:val="CDITable-RowCentre"/>
            </w:pPr>
            <w:r w:rsidRPr="00222276">
              <w:t>433 (23.8)</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B79BB4" w14:textId="77777777" w:rsidR="00222276" w:rsidRPr="00222276" w:rsidRDefault="00222276" w:rsidP="00222276">
            <w:pPr>
              <w:pStyle w:val="CDITable-RowCentre"/>
            </w:pPr>
            <w:r w:rsidRPr="00222276">
              <w:t>40 (2.2)</w:t>
            </w:r>
          </w:p>
        </w:tc>
      </w:tr>
      <w:tr w:rsidR="00222276" w:rsidRPr="00222276" w14:paraId="1C063741"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F1BEF" w14:textId="77777777" w:rsidR="00222276" w:rsidRPr="00222276" w:rsidRDefault="00222276" w:rsidP="00222276">
            <w:pPr>
              <w:pStyle w:val="CDITable-RowLeft"/>
            </w:pPr>
            <w:r w:rsidRPr="00222276">
              <w:t>Fatigue</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F9131" w14:textId="77777777" w:rsidR="00222276" w:rsidRPr="00222276" w:rsidRDefault="00222276" w:rsidP="00222276">
            <w:pPr>
              <w:pStyle w:val="CDITable-RowCentre"/>
            </w:pPr>
            <w:r w:rsidRPr="00222276">
              <w:t>1,789 (9.7)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1D7E6" w14:textId="77777777" w:rsidR="00222276" w:rsidRPr="00222276" w:rsidRDefault="00222276" w:rsidP="00222276">
            <w:pPr>
              <w:pStyle w:val="CDITable-RowCentre"/>
            </w:pPr>
            <w:r w:rsidRPr="00222276">
              <w:t>1,227 (68.6)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456E3" w14:textId="77777777" w:rsidR="00222276" w:rsidRPr="00222276" w:rsidRDefault="00222276" w:rsidP="00222276">
            <w:pPr>
              <w:pStyle w:val="CDITable-RowCentre"/>
            </w:pPr>
            <w:r w:rsidRPr="00222276">
              <w:t>130 (7.3)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E6357A" w14:textId="77777777" w:rsidR="00222276" w:rsidRPr="00222276" w:rsidRDefault="00222276" w:rsidP="00222276">
            <w:pPr>
              <w:pStyle w:val="CDITable-RowCentre"/>
            </w:pPr>
            <w:r w:rsidRPr="00222276">
              <w:t>387 (21.6)</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9E82A1" w14:textId="77777777" w:rsidR="00222276" w:rsidRPr="00222276" w:rsidRDefault="00222276" w:rsidP="00222276">
            <w:pPr>
              <w:pStyle w:val="CDITable-RowCentre"/>
            </w:pPr>
            <w:r w:rsidRPr="00222276">
              <w:t>55 (3.1)</w:t>
            </w:r>
          </w:p>
        </w:tc>
      </w:tr>
      <w:tr w:rsidR="00222276" w:rsidRPr="00222276" w14:paraId="1DFBBC4D"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26725" w14:textId="77777777" w:rsidR="00222276" w:rsidRPr="00222276" w:rsidRDefault="00222276" w:rsidP="00222276">
            <w:pPr>
              <w:pStyle w:val="CDITable-RowLeft"/>
            </w:pPr>
            <w:r w:rsidRPr="00222276">
              <w:t>Dyspnoea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BC890" w14:textId="77777777" w:rsidR="00222276" w:rsidRPr="00222276" w:rsidRDefault="00222276" w:rsidP="00222276">
            <w:pPr>
              <w:pStyle w:val="CDITable-RowCentre"/>
            </w:pPr>
            <w:r w:rsidRPr="00222276">
              <w:t>1,703 (9.3)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0A1926" w14:textId="77777777" w:rsidR="00222276" w:rsidRPr="00222276" w:rsidRDefault="00222276" w:rsidP="00222276">
            <w:pPr>
              <w:pStyle w:val="CDITable-RowCentre"/>
            </w:pPr>
            <w:r w:rsidRPr="00222276">
              <w:t>1,256 (73.8)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73A2AB" w14:textId="77777777" w:rsidR="00222276" w:rsidRPr="00222276" w:rsidRDefault="00222276" w:rsidP="00222276">
            <w:pPr>
              <w:pStyle w:val="CDITable-RowCentre"/>
            </w:pPr>
            <w:r w:rsidRPr="00222276">
              <w:t>114 (6.7)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4481F" w14:textId="77777777" w:rsidR="00222276" w:rsidRPr="00222276" w:rsidRDefault="00222276" w:rsidP="00222276">
            <w:pPr>
              <w:pStyle w:val="CDITable-RowCentre"/>
            </w:pPr>
            <w:r w:rsidRPr="00222276">
              <w:t>289 (17.0)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FAA79" w14:textId="77777777" w:rsidR="00222276" w:rsidRPr="00222276" w:rsidRDefault="00222276" w:rsidP="00222276">
            <w:pPr>
              <w:pStyle w:val="CDITable-RowCentre"/>
            </w:pPr>
            <w:r w:rsidRPr="00222276">
              <w:t>56 (3.3)</w:t>
            </w:r>
          </w:p>
        </w:tc>
      </w:tr>
      <w:tr w:rsidR="00222276" w:rsidRPr="00222276" w14:paraId="33EF30AE"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738F5E" w14:textId="77777777" w:rsidR="00222276" w:rsidRPr="00222276" w:rsidRDefault="00222276" w:rsidP="00222276">
            <w:pPr>
              <w:pStyle w:val="CDITable-RowLeft"/>
            </w:pPr>
            <w:r w:rsidRPr="00222276">
              <w:t>Hypersensitivity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4FE83C" w14:textId="77777777" w:rsidR="00222276" w:rsidRPr="00222276" w:rsidRDefault="00222276" w:rsidP="00222276">
            <w:pPr>
              <w:pStyle w:val="CDITable-RowCentre"/>
            </w:pPr>
            <w:r w:rsidRPr="00222276">
              <w:t>1,470 (8.0)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D0C87" w14:textId="77777777" w:rsidR="00222276" w:rsidRPr="00222276" w:rsidRDefault="00222276" w:rsidP="00222276">
            <w:pPr>
              <w:pStyle w:val="CDITable-RowCentre"/>
            </w:pPr>
            <w:r w:rsidRPr="00222276">
              <w:t>1,077 (73.3)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682DE" w14:textId="77777777" w:rsidR="00222276" w:rsidRPr="00222276" w:rsidRDefault="00222276" w:rsidP="00222276">
            <w:pPr>
              <w:pStyle w:val="CDITable-RowCentre"/>
            </w:pPr>
            <w:r w:rsidRPr="00222276">
              <w:t>94 (6.4)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740BD" w14:textId="77777777" w:rsidR="00222276" w:rsidRPr="00222276" w:rsidRDefault="00222276" w:rsidP="00222276">
            <w:pPr>
              <w:pStyle w:val="CDITable-RowCentre"/>
            </w:pPr>
            <w:r w:rsidRPr="00222276">
              <w:t>263 (17.9)</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FB4E14" w14:textId="77777777" w:rsidR="00222276" w:rsidRPr="00222276" w:rsidRDefault="00222276" w:rsidP="00222276">
            <w:pPr>
              <w:pStyle w:val="CDITable-RowCentre"/>
            </w:pPr>
            <w:r w:rsidRPr="00222276">
              <w:t>56 (3.8)</w:t>
            </w:r>
          </w:p>
        </w:tc>
      </w:tr>
      <w:tr w:rsidR="00222276" w:rsidRPr="00222276" w14:paraId="02233DBF"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B4DC3" w14:textId="77777777" w:rsidR="00222276" w:rsidRPr="00222276" w:rsidRDefault="00222276" w:rsidP="00222276">
            <w:pPr>
              <w:pStyle w:val="CDITable-RowLeft"/>
            </w:pPr>
            <w:r w:rsidRPr="00222276">
              <w:t>Lymphadenopathy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327C6" w14:textId="77777777" w:rsidR="00222276" w:rsidRPr="00222276" w:rsidRDefault="00222276" w:rsidP="00222276">
            <w:pPr>
              <w:pStyle w:val="CDITable-RowCentre"/>
            </w:pPr>
            <w:r w:rsidRPr="00222276">
              <w:t>1,411 (7.7)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9D38A" w14:textId="77777777" w:rsidR="00222276" w:rsidRPr="00222276" w:rsidRDefault="00222276" w:rsidP="00222276">
            <w:pPr>
              <w:pStyle w:val="CDITable-RowCentre"/>
            </w:pPr>
            <w:r w:rsidRPr="00222276">
              <w:t>1,131 (80.2)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50B3B" w14:textId="77777777" w:rsidR="00222276" w:rsidRPr="00222276" w:rsidRDefault="00222276" w:rsidP="00222276">
            <w:pPr>
              <w:pStyle w:val="CDITable-RowCentre"/>
            </w:pPr>
            <w:r w:rsidRPr="00222276">
              <w:t>40 (2.8)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ACB5D1" w14:textId="77777777" w:rsidR="00222276" w:rsidRPr="00222276" w:rsidRDefault="00222276" w:rsidP="00222276">
            <w:pPr>
              <w:pStyle w:val="CDITable-RowCentre"/>
            </w:pPr>
            <w:r w:rsidRPr="00222276">
              <w:t>226 (16.0)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7F588" w14:textId="77777777" w:rsidR="00222276" w:rsidRPr="00222276" w:rsidRDefault="00222276" w:rsidP="00222276">
            <w:pPr>
              <w:pStyle w:val="CDITable-RowCentre"/>
            </w:pPr>
            <w:r w:rsidRPr="00222276">
              <w:t>13 (0.9)</w:t>
            </w:r>
          </w:p>
        </w:tc>
      </w:tr>
      <w:tr w:rsidR="00222276" w:rsidRPr="00222276" w14:paraId="6D075851"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48BF9" w14:textId="77777777" w:rsidR="00222276" w:rsidRPr="00222276" w:rsidRDefault="00222276" w:rsidP="00222276">
            <w:pPr>
              <w:pStyle w:val="CDITable-RowLeft"/>
            </w:pPr>
            <w:r w:rsidRPr="00222276">
              <w:t>Medication errors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AA327" w14:textId="77777777" w:rsidR="00222276" w:rsidRPr="00222276" w:rsidRDefault="00222276" w:rsidP="00222276">
            <w:pPr>
              <w:pStyle w:val="CDITable-RowCentre"/>
            </w:pPr>
            <w:r w:rsidRPr="00222276">
              <w:t>1,406 (7.6)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1FBE4" w14:textId="77777777" w:rsidR="00222276" w:rsidRPr="00222276" w:rsidRDefault="00222276" w:rsidP="00222276">
            <w:pPr>
              <w:pStyle w:val="CDITable-RowCentre"/>
            </w:pPr>
            <w:r w:rsidRPr="00222276">
              <w:t>1,148 (81.7)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922CF" w14:textId="77777777" w:rsidR="00222276" w:rsidRPr="00222276" w:rsidRDefault="00222276" w:rsidP="00222276">
            <w:pPr>
              <w:pStyle w:val="CDITable-RowCentre"/>
            </w:pPr>
            <w:r w:rsidRPr="00222276">
              <w:t>22 (1.6)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935E5" w14:textId="77777777" w:rsidR="00222276" w:rsidRPr="00222276" w:rsidRDefault="00222276" w:rsidP="00222276">
            <w:pPr>
              <w:pStyle w:val="CDITable-RowCentre"/>
            </w:pPr>
            <w:r w:rsidRPr="00222276">
              <w:t>201 (14.3)</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54BBD" w14:textId="77777777" w:rsidR="00222276" w:rsidRPr="00222276" w:rsidRDefault="00222276" w:rsidP="00222276">
            <w:pPr>
              <w:pStyle w:val="CDITable-RowCentre"/>
            </w:pPr>
            <w:r w:rsidRPr="00222276">
              <w:t>31 (2.2)</w:t>
            </w:r>
          </w:p>
        </w:tc>
      </w:tr>
      <w:tr w:rsidR="00222276" w:rsidRPr="00222276" w14:paraId="56D8187A"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40047" w14:textId="77777777" w:rsidR="00222276" w:rsidRPr="00222276" w:rsidRDefault="00222276" w:rsidP="00222276">
            <w:pPr>
              <w:pStyle w:val="CDITable-RowLeft"/>
            </w:pPr>
            <w:r w:rsidRPr="00222276">
              <w:t>Dizziness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B9083" w14:textId="77777777" w:rsidR="00222276" w:rsidRPr="00222276" w:rsidRDefault="00222276" w:rsidP="00222276">
            <w:pPr>
              <w:pStyle w:val="CDITable-RowCentre"/>
            </w:pPr>
            <w:r w:rsidRPr="00222276">
              <w:t>1,376 (7.5)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83E0F0" w14:textId="77777777" w:rsidR="00222276" w:rsidRPr="00222276" w:rsidRDefault="00222276" w:rsidP="00222276">
            <w:pPr>
              <w:pStyle w:val="CDITable-RowCentre"/>
            </w:pPr>
            <w:r w:rsidRPr="00222276">
              <w:t>988 (71.8)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590785" w14:textId="77777777" w:rsidR="00222276" w:rsidRPr="00222276" w:rsidRDefault="00222276" w:rsidP="00222276">
            <w:pPr>
              <w:pStyle w:val="CDITable-RowCentre"/>
            </w:pPr>
            <w:r w:rsidRPr="00222276">
              <w:t>108 (7.8)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232DC" w14:textId="77777777" w:rsidR="00222276" w:rsidRPr="00222276" w:rsidRDefault="00222276" w:rsidP="00222276">
            <w:pPr>
              <w:pStyle w:val="CDITable-RowCentre"/>
            </w:pPr>
            <w:r w:rsidRPr="00222276">
              <w:t>248 (18.0)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60EF2" w14:textId="77777777" w:rsidR="00222276" w:rsidRPr="00222276" w:rsidRDefault="00222276" w:rsidP="00222276">
            <w:pPr>
              <w:pStyle w:val="CDITable-RowCentre"/>
            </w:pPr>
            <w:r w:rsidRPr="00222276">
              <w:t>38 (2.8)</w:t>
            </w:r>
          </w:p>
        </w:tc>
      </w:tr>
      <w:tr w:rsidR="00222276" w:rsidRPr="00222276" w14:paraId="2F21851F"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FF3DC" w14:textId="77777777" w:rsidR="00222276" w:rsidRPr="00222276" w:rsidRDefault="00222276" w:rsidP="00222276">
            <w:pPr>
              <w:pStyle w:val="CDITable-RowLeft"/>
            </w:pPr>
            <w:r w:rsidRPr="00222276">
              <w:t>Arthralgia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AB1C35" w14:textId="77777777" w:rsidR="00222276" w:rsidRPr="00222276" w:rsidRDefault="00222276" w:rsidP="00222276">
            <w:pPr>
              <w:pStyle w:val="CDITable-RowCentre"/>
            </w:pPr>
            <w:r w:rsidRPr="00222276">
              <w:t>1,372 (7.5)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5FC8F" w14:textId="77777777" w:rsidR="00222276" w:rsidRPr="00222276" w:rsidRDefault="00222276" w:rsidP="00222276">
            <w:pPr>
              <w:pStyle w:val="CDITable-RowCentre"/>
            </w:pPr>
            <w:r w:rsidRPr="00222276">
              <w:t>982 (71.6)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96FBF4" w14:textId="77777777" w:rsidR="00222276" w:rsidRPr="00222276" w:rsidRDefault="00222276" w:rsidP="00222276">
            <w:pPr>
              <w:pStyle w:val="CDITable-RowCentre"/>
            </w:pPr>
            <w:r w:rsidRPr="00222276">
              <w:t>83 (6.0)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C78D0" w14:textId="77777777" w:rsidR="00222276" w:rsidRPr="00222276" w:rsidRDefault="00222276" w:rsidP="00222276">
            <w:pPr>
              <w:pStyle w:val="CDITable-RowCentre"/>
            </w:pPr>
            <w:r w:rsidRPr="00222276">
              <w:t>263 (19.2)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38DBD" w14:textId="77777777" w:rsidR="00222276" w:rsidRPr="00222276" w:rsidRDefault="00222276" w:rsidP="00222276">
            <w:pPr>
              <w:pStyle w:val="CDITable-RowCentre"/>
            </w:pPr>
            <w:r w:rsidRPr="00222276">
              <w:t>48 (3.5)</w:t>
            </w:r>
          </w:p>
        </w:tc>
      </w:tr>
      <w:tr w:rsidR="00222276" w:rsidRPr="00222276" w14:paraId="6506D79F"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CBAAC" w14:textId="77777777" w:rsidR="00222276" w:rsidRPr="00222276" w:rsidRDefault="00222276" w:rsidP="00222276">
            <w:pPr>
              <w:pStyle w:val="CDITable-RowLeft"/>
            </w:pPr>
            <w:r w:rsidRPr="00222276">
              <w:t>Lethargy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22C1C" w14:textId="77777777" w:rsidR="00222276" w:rsidRPr="00222276" w:rsidRDefault="00222276" w:rsidP="00222276">
            <w:pPr>
              <w:pStyle w:val="CDITable-RowCentre"/>
            </w:pPr>
            <w:r w:rsidRPr="00222276">
              <w:t>1,323 (7.2)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B2D68E" w14:textId="77777777" w:rsidR="00222276" w:rsidRPr="00222276" w:rsidRDefault="00222276" w:rsidP="00222276">
            <w:pPr>
              <w:pStyle w:val="CDITable-RowCentre"/>
            </w:pPr>
            <w:r w:rsidRPr="00222276">
              <w:t>990 (74.8)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DE021E" w14:textId="77777777" w:rsidR="00222276" w:rsidRPr="00222276" w:rsidRDefault="00222276" w:rsidP="00222276">
            <w:pPr>
              <w:pStyle w:val="CDITable-RowCentre"/>
            </w:pPr>
            <w:r w:rsidRPr="00222276">
              <w:t>77 (5.8)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419DB" w14:textId="77777777" w:rsidR="00222276" w:rsidRPr="00222276" w:rsidRDefault="00222276" w:rsidP="00222276">
            <w:pPr>
              <w:pStyle w:val="CDITable-RowCentre"/>
            </w:pPr>
            <w:r w:rsidRPr="00222276">
              <w:t>235 (17.8)</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0C232" w14:textId="77777777" w:rsidR="00222276" w:rsidRPr="00222276" w:rsidRDefault="00222276" w:rsidP="00222276">
            <w:pPr>
              <w:pStyle w:val="CDITable-RowCentre"/>
            </w:pPr>
            <w:r w:rsidRPr="00222276">
              <w:t>34 (2.6)</w:t>
            </w:r>
          </w:p>
        </w:tc>
      </w:tr>
      <w:tr w:rsidR="00222276" w:rsidRPr="00222276" w14:paraId="65655FB8"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AD856" w14:textId="77777777" w:rsidR="00222276" w:rsidRPr="00222276" w:rsidRDefault="00222276" w:rsidP="00222276">
            <w:pPr>
              <w:pStyle w:val="CDITable-RowLeft"/>
            </w:pPr>
            <w:r w:rsidRPr="00222276">
              <w:t>Injection site reaction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A3276" w14:textId="77777777" w:rsidR="00222276" w:rsidRPr="00222276" w:rsidRDefault="00222276" w:rsidP="00222276">
            <w:pPr>
              <w:pStyle w:val="CDITable-RowCentre"/>
            </w:pPr>
            <w:r w:rsidRPr="00222276">
              <w:t>1,179 (6.4)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8E9CD4" w14:textId="77777777" w:rsidR="00222276" w:rsidRPr="00222276" w:rsidRDefault="00222276" w:rsidP="00222276">
            <w:pPr>
              <w:pStyle w:val="CDITable-RowCentre"/>
            </w:pPr>
            <w:r w:rsidRPr="00222276">
              <w:t>819 (69.5)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34131" w14:textId="77777777" w:rsidR="00222276" w:rsidRPr="00222276" w:rsidRDefault="00222276" w:rsidP="00222276">
            <w:pPr>
              <w:pStyle w:val="CDITable-RowCentre"/>
            </w:pPr>
            <w:r w:rsidRPr="00222276">
              <w:t>72 (6.1)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88B5EB" w14:textId="77777777" w:rsidR="00222276" w:rsidRPr="00222276" w:rsidRDefault="00222276" w:rsidP="00222276">
            <w:pPr>
              <w:pStyle w:val="CDITable-RowCentre"/>
            </w:pPr>
            <w:r w:rsidRPr="00222276">
              <w:t>277 (23.5)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7A5EE" w14:textId="77777777" w:rsidR="00222276" w:rsidRPr="00222276" w:rsidRDefault="00222276" w:rsidP="00222276">
            <w:pPr>
              <w:pStyle w:val="CDITable-RowCentre"/>
            </w:pPr>
            <w:r w:rsidRPr="00222276">
              <w:t>14 (1.2)</w:t>
            </w:r>
          </w:p>
        </w:tc>
      </w:tr>
      <w:tr w:rsidR="00222276" w:rsidRPr="00222276" w14:paraId="0AF3DD3E"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601E3" w14:textId="77777777" w:rsidR="00222276" w:rsidRPr="00222276" w:rsidRDefault="00222276" w:rsidP="00222276">
            <w:pPr>
              <w:pStyle w:val="CDITable-RowLeft"/>
            </w:pPr>
            <w:proofErr w:type="spellStart"/>
            <w:r w:rsidRPr="00222276">
              <w:t>Noninfectious</w:t>
            </w:r>
            <w:proofErr w:type="spellEnd"/>
            <w:r w:rsidRPr="00222276">
              <w:t xml:space="preserve"> myocarditis/pericarditis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35ED2" w14:textId="77777777" w:rsidR="00222276" w:rsidRPr="00222276" w:rsidRDefault="00222276" w:rsidP="00222276">
            <w:pPr>
              <w:pStyle w:val="CDITable-RowCentre"/>
            </w:pPr>
            <w:r w:rsidRPr="00222276">
              <w:t>1,043 (5.7)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973C9" w14:textId="77777777" w:rsidR="00222276" w:rsidRPr="00222276" w:rsidRDefault="00222276" w:rsidP="00222276">
            <w:pPr>
              <w:pStyle w:val="CDITable-RowCentre"/>
            </w:pPr>
            <w:r w:rsidRPr="00222276">
              <w:t>787 (75.5)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BA329" w14:textId="77777777" w:rsidR="00222276" w:rsidRPr="00222276" w:rsidRDefault="00222276" w:rsidP="00222276">
            <w:pPr>
              <w:pStyle w:val="CDITable-RowCentre"/>
            </w:pPr>
            <w:r w:rsidRPr="00222276">
              <w:t>47 (4.5)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FF3E21" w14:textId="77777777" w:rsidR="00222276" w:rsidRPr="00222276" w:rsidRDefault="00222276" w:rsidP="00222276">
            <w:pPr>
              <w:pStyle w:val="CDITable-RowCentre"/>
            </w:pPr>
            <w:r w:rsidRPr="00222276">
              <w:t>194 (18.7)</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F307C" w14:textId="77777777" w:rsidR="00222276" w:rsidRPr="00222276" w:rsidRDefault="00222276" w:rsidP="00222276">
            <w:pPr>
              <w:pStyle w:val="CDITable-RowCentre"/>
            </w:pPr>
            <w:r w:rsidRPr="00222276">
              <w:t>23 (2.2)</w:t>
            </w:r>
          </w:p>
        </w:tc>
      </w:tr>
      <w:tr w:rsidR="00222276" w:rsidRPr="00222276" w14:paraId="6A477E59"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7B4A72" w14:textId="77777777" w:rsidR="00222276" w:rsidRPr="00222276" w:rsidRDefault="00222276" w:rsidP="00222276">
            <w:pPr>
              <w:pStyle w:val="CDITable-RowLeft"/>
            </w:pPr>
            <w:r w:rsidRPr="00222276">
              <w:t>Palpitations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E3D6B9" w14:textId="77777777" w:rsidR="00222276" w:rsidRPr="00222276" w:rsidRDefault="00222276" w:rsidP="00222276">
            <w:pPr>
              <w:pStyle w:val="CDITable-RowCentre"/>
            </w:pPr>
            <w:r w:rsidRPr="00222276">
              <w:t>1,026 (5.6)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152D9" w14:textId="77777777" w:rsidR="00222276" w:rsidRPr="00222276" w:rsidRDefault="00222276" w:rsidP="00222276">
            <w:pPr>
              <w:pStyle w:val="CDITable-RowCentre"/>
            </w:pPr>
            <w:r w:rsidRPr="00222276">
              <w:t>729 (71.1)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407EE" w14:textId="77777777" w:rsidR="00222276" w:rsidRPr="00222276" w:rsidRDefault="00222276" w:rsidP="00222276">
            <w:pPr>
              <w:pStyle w:val="CDITable-RowCentre"/>
            </w:pPr>
            <w:r w:rsidRPr="00222276">
              <w:t>102 (9.9)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0F8AB" w14:textId="77777777" w:rsidR="00222276" w:rsidRPr="00222276" w:rsidRDefault="00222276" w:rsidP="00222276">
            <w:pPr>
              <w:pStyle w:val="CDITable-RowCentre"/>
            </w:pPr>
            <w:r w:rsidRPr="00222276">
              <w:t>180 (17.5)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0B5B3" w14:textId="77777777" w:rsidR="00222276" w:rsidRPr="00222276" w:rsidRDefault="00222276" w:rsidP="00222276">
            <w:pPr>
              <w:pStyle w:val="CDITable-RowCentre"/>
            </w:pPr>
            <w:r w:rsidRPr="00222276">
              <w:t>26 (2.5)</w:t>
            </w:r>
          </w:p>
        </w:tc>
      </w:tr>
      <w:tr w:rsidR="00222276" w:rsidRPr="00222276" w14:paraId="1E9EC600"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712DE" w14:textId="77777777" w:rsidR="00222276" w:rsidRPr="00222276" w:rsidRDefault="00222276" w:rsidP="00222276">
            <w:pPr>
              <w:pStyle w:val="CDITable-RowLeft"/>
            </w:pPr>
            <w:r w:rsidRPr="00222276">
              <w:t>Injection site pain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BB621" w14:textId="77777777" w:rsidR="00222276" w:rsidRPr="00222276" w:rsidRDefault="00222276" w:rsidP="00222276">
            <w:pPr>
              <w:pStyle w:val="CDITable-RowCentre"/>
            </w:pPr>
            <w:r w:rsidRPr="00222276">
              <w:t>833 (4.5)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6BD8C" w14:textId="77777777" w:rsidR="00222276" w:rsidRPr="00222276" w:rsidRDefault="00222276" w:rsidP="00222276">
            <w:pPr>
              <w:pStyle w:val="CDITable-RowCentre"/>
            </w:pPr>
            <w:r w:rsidRPr="00222276">
              <w:t>591 (70.9)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2681E" w14:textId="77777777" w:rsidR="00222276" w:rsidRPr="00222276" w:rsidRDefault="00222276" w:rsidP="00222276">
            <w:pPr>
              <w:pStyle w:val="CDITable-RowCentre"/>
            </w:pPr>
            <w:r w:rsidRPr="00222276">
              <w:t>63 (7.6)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132F2" w14:textId="77777777" w:rsidR="00222276" w:rsidRPr="00222276" w:rsidRDefault="00222276" w:rsidP="00222276">
            <w:pPr>
              <w:pStyle w:val="CDITable-RowCentre"/>
            </w:pPr>
            <w:r w:rsidRPr="00222276">
              <w:t>164 (19.7)</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3C5BE8" w14:textId="77777777" w:rsidR="00222276" w:rsidRPr="00222276" w:rsidRDefault="00222276" w:rsidP="00222276">
            <w:pPr>
              <w:pStyle w:val="CDITable-RowCentre"/>
            </w:pPr>
            <w:r w:rsidRPr="00222276">
              <w:t>17 (2.0)</w:t>
            </w:r>
          </w:p>
        </w:tc>
      </w:tr>
      <w:tr w:rsidR="00222276" w:rsidRPr="00222276" w14:paraId="3335346C"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1EA4FF" w14:textId="77777777" w:rsidR="00222276" w:rsidRPr="00222276" w:rsidRDefault="00222276" w:rsidP="00222276">
            <w:pPr>
              <w:pStyle w:val="CDITable-RowLeft"/>
            </w:pPr>
            <w:r w:rsidRPr="00222276">
              <w:lastRenderedPageBreak/>
              <w:t>Pain in extremity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CB0EA" w14:textId="77777777" w:rsidR="00222276" w:rsidRPr="00222276" w:rsidRDefault="00222276" w:rsidP="00222276">
            <w:pPr>
              <w:pStyle w:val="CDITable-RowCentre"/>
            </w:pPr>
            <w:r w:rsidRPr="00222276">
              <w:t>797 (4.3)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BD886" w14:textId="77777777" w:rsidR="00222276" w:rsidRPr="00222276" w:rsidRDefault="00222276" w:rsidP="00222276">
            <w:pPr>
              <w:pStyle w:val="CDITable-RowCentre"/>
            </w:pPr>
            <w:r w:rsidRPr="00222276">
              <w:t>538 (67.5)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7E6C84" w14:textId="77777777" w:rsidR="00222276" w:rsidRPr="00222276" w:rsidRDefault="00222276" w:rsidP="00222276">
            <w:pPr>
              <w:pStyle w:val="CDITable-RowCentre"/>
            </w:pPr>
            <w:r w:rsidRPr="00222276">
              <w:t>70 (8.8)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15C3A5" w14:textId="77777777" w:rsidR="00222276" w:rsidRPr="00222276" w:rsidRDefault="00222276" w:rsidP="00222276">
            <w:pPr>
              <w:pStyle w:val="CDITable-RowCentre"/>
            </w:pPr>
            <w:r w:rsidRPr="00222276">
              <w:t>157 (19.7)</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F538D" w14:textId="77777777" w:rsidR="00222276" w:rsidRPr="00222276" w:rsidRDefault="00222276" w:rsidP="00222276">
            <w:pPr>
              <w:pStyle w:val="CDITable-RowCentre"/>
            </w:pPr>
            <w:r w:rsidRPr="00222276">
              <w:t>31 (3.9)</w:t>
            </w:r>
          </w:p>
        </w:tc>
      </w:tr>
      <w:tr w:rsidR="00222276" w:rsidRPr="00222276" w14:paraId="60D246BF"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8D1CD" w14:textId="77777777" w:rsidR="00222276" w:rsidRPr="00222276" w:rsidRDefault="00222276" w:rsidP="00222276">
            <w:pPr>
              <w:pStyle w:val="CDITable-RowLeft"/>
            </w:pPr>
            <w:r w:rsidRPr="00222276">
              <w:t>Paraesthesia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572A7" w14:textId="77777777" w:rsidR="00222276" w:rsidRPr="00222276" w:rsidRDefault="00222276" w:rsidP="00222276">
            <w:pPr>
              <w:pStyle w:val="CDITable-RowCentre"/>
            </w:pPr>
            <w:r w:rsidRPr="00222276">
              <w:t>763 (4.1)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C2797" w14:textId="77777777" w:rsidR="00222276" w:rsidRPr="00222276" w:rsidRDefault="00222276" w:rsidP="00222276">
            <w:pPr>
              <w:pStyle w:val="CDITable-RowCentre"/>
            </w:pPr>
            <w:r w:rsidRPr="00222276">
              <w:t>486 (63.7)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57AB29" w14:textId="77777777" w:rsidR="00222276" w:rsidRPr="00222276" w:rsidRDefault="00222276" w:rsidP="00222276">
            <w:pPr>
              <w:pStyle w:val="CDITable-RowCentre"/>
            </w:pPr>
            <w:r w:rsidRPr="00222276">
              <w:t>123 (16.1)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E45E5" w14:textId="77777777" w:rsidR="00222276" w:rsidRPr="00222276" w:rsidRDefault="00222276" w:rsidP="00222276">
            <w:pPr>
              <w:pStyle w:val="CDITable-RowCentre"/>
            </w:pPr>
            <w:r w:rsidRPr="00222276">
              <w:t>130 (17.0)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C41BA" w14:textId="77777777" w:rsidR="00222276" w:rsidRPr="00222276" w:rsidRDefault="00222276" w:rsidP="00222276">
            <w:pPr>
              <w:pStyle w:val="CDITable-RowCentre"/>
            </w:pPr>
            <w:r w:rsidRPr="00222276">
              <w:t>28 (3.7)</w:t>
            </w:r>
          </w:p>
        </w:tc>
      </w:tr>
      <w:tr w:rsidR="00222276" w:rsidRPr="00222276" w14:paraId="73474A4D"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F106D8" w14:textId="77777777" w:rsidR="00222276" w:rsidRPr="00222276" w:rsidRDefault="00222276" w:rsidP="00222276">
            <w:pPr>
              <w:pStyle w:val="CDITable-RowLeft"/>
            </w:pPr>
            <w:r w:rsidRPr="00222276">
              <w:t>Chest discomfort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0772B" w14:textId="77777777" w:rsidR="00222276" w:rsidRPr="00222276" w:rsidRDefault="00222276" w:rsidP="00222276">
            <w:pPr>
              <w:pStyle w:val="CDITable-RowCentre"/>
            </w:pPr>
            <w:r w:rsidRPr="00222276">
              <w:t>699 (3.8)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087947" w14:textId="77777777" w:rsidR="00222276" w:rsidRPr="00222276" w:rsidRDefault="00222276" w:rsidP="00222276">
            <w:pPr>
              <w:pStyle w:val="CDITable-RowCentre"/>
            </w:pPr>
            <w:r w:rsidRPr="00222276">
              <w:t>509 (72.8)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21454D" w14:textId="77777777" w:rsidR="00222276" w:rsidRPr="00222276" w:rsidRDefault="00222276" w:rsidP="00222276">
            <w:pPr>
              <w:pStyle w:val="CDITable-RowCentre"/>
            </w:pPr>
            <w:r w:rsidRPr="00222276">
              <w:t>70 (10.0)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6C70C4" w14:textId="77777777" w:rsidR="00222276" w:rsidRPr="00222276" w:rsidRDefault="00222276" w:rsidP="00222276">
            <w:pPr>
              <w:pStyle w:val="CDITable-RowCentre"/>
            </w:pPr>
            <w:r w:rsidRPr="00222276">
              <w:t>112 (16.0)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EF3AF" w14:textId="77777777" w:rsidR="00222276" w:rsidRPr="00222276" w:rsidRDefault="00222276" w:rsidP="00222276">
            <w:pPr>
              <w:pStyle w:val="CDITable-RowCentre"/>
            </w:pPr>
            <w:r w:rsidRPr="00222276">
              <w:t>11 (1.6)</w:t>
            </w:r>
          </w:p>
        </w:tc>
      </w:tr>
      <w:tr w:rsidR="00222276" w:rsidRPr="00222276" w14:paraId="4785F6F2"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A61FD" w14:textId="77777777" w:rsidR="00222276" w:rsidRPr="00222276" w:rsidRDefault="00222276" w:rsidP="00222276">
            <w:pPr>
              <w:pStyle w:val="CDITable-RowLeft"/>
            </w:pPr>
            <w:r w:rsidRPr="00222276">
              <w:t>Haemodynamic oedema, effusions and fluid overload</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DDDAE" w14:textId="77777777" w:rsidR="00222276" w:rsidRPr="00222276" w:rsidRDefault="00222276" w:rsidP="00222276">
            <w:pPr>
              <w:pStyle w:val="CDITable-RowCentre"/>
            </w:pPr>
            <w:r w:rsidRPr="00222276">
              <w:t>688 (3.7)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E53F3" w14:textId="77777777" w:rsidR="00222276" w:rsidRPr="00222276" w:rsidRDefault="00222276" w:rsidP="00222276">
            <w:pPr>
              <w:pStyle w:val="CDITable-RowCentre"/>
            </w:pPr>
            <w:r w:rsidRPr="00222276">
              <w:t>469 (68.2)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674EF2" w14:textId="77777777" w:rsidR="00222276" w:rsidRPr="00222276" w:rsidRDefault="00222276" w:rsidP="00222276">
            <w:pPr>
              <w:pStyle w:val="CDITable-RowCentre"/>
            </w:pPr>
            <w:r w:rsidRPr="00222276">
              <w:t>45 (6.5)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C6033" w14:textId="77777777" w:rsidR="00222276" w:rsidRPr="00222276" w:rsidRDefault="00222276" w:rsidP="00222276">
            <w:pPr>
              <w:pStyle w:val="CDITable-RowCentre"/>
            </w:pPr>
            <w:r w:rsidRPr="00222276">
              <w:t>152 (22.1)</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13468A" w14:textId="77777777" w:rsidR="00222276" w:rsidRPr="00222276" w:rsidRDefault="00222276" w:rsidP="00222276">
            <w:pPr>
              <w:pStyle w:val="CDITable-RowCentre"/>
            </w:pPr>
            <w:r w:rsidRPr="00222276">
              <w:t>26 (3.8)</w:t>
            </w:r>
          </w:p>
        </w:tc>
      </w:tr>
      <w:tr w:rsidR="00222276" w:rsidRPr="00222276" w14:paraId="25EF7C5A"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5F8172" w14:textId="77777777" w:rsidR="00222276" w:rsidRPr="00222276" w:rsidRDefault="00222276" w:rsidP="00222276">
            <w:pPr>
              <w:pStyle w:val="CDITable-RowLeft"/>
            </w:pPr>
            <w:r w:rsidRPr="00222276">
              <w:t>Oropharyngeal conditions (excl neoplasms, infections and allergies)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5E2F4" w14:textId="77777777" w:rsidR="00222276" w:rsidRPr="00222276" w:rsidRDefault="00222276" w:rsidP="00222276">
            <w:pPr>
              <w:pStyle w:val="CDITable-RowCentre"/>
            </w:pPr>
            <w:r w:rsidRPr="00222276">
              <w:t>621 (3.4)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10A43F" w14:textId="77777777" w:rsidR="00222276" w:rsidRPr="00222276" w:rsidRDefault="00222276" w:rsidP="00222276">
            <w:pPr>
              <w:pStyle w:val="CDITable-RowCentre"/>
            </w:pPr>
            <w:r w:rsidRPr="00222276">
              <w:t>447 (72.0)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79FD85" w14:textId="77777777" w:rsidR="00222276" w:rsidRPr="00222276" w:rsidRDefault="00222276" w:rsidP="00222276">
            <w:pPr>
              <w:pStyle w:val="CDITable-RowCentre"/>
            </w:pPr>
            <w:r w:rsidRPr="00222276">
              <w:t>56 (9.2)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FC23D" w14:textId="77777777" w:rsidR="00222276" w:rsidRPr="00222276" w:rsidRDefault="00222276" w:rsidP="00222276">
            <w:pPr>
              <w:pStyle w:val="CDITable-RowCentre"/>
            </w:pPr>
            <w:r w:rsidRPr="00222276">
              <w:t>109 (17.6)</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B7FB7" w14:textId="77777777" w:rsidR="00222276" w:rsidRPr="00222276" w:rsidRDefault="00222276" w:rsidP="00222276">
            <w:pPr>
              <w:pStyle w:val="CDITable-RowCentre"/>
            </w:pPr>
            <w:r w:rsidRPr="00222276">
              <w:t>21 (3.4)</w:t>
            </w:r>
          </w:p>
        </w:tc>
      </w:tr>
      <w:tr w:rsidR="00222276" w:rsidRPr="00222276" w14:paraId="09492BDA"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25FAF" w14:textId="77777777" w:rsidR="00222276" w:rsidRPr="00222276" w:rsidRDefault="00222276" w:rsidP="00222276">
            <w:pPr>
              <w:pStyle w:val="CDITable-RowLeft"/>
            </w:pPr>
            <w:r w:rsidRPr="00222276">
              <w:t>Chills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DB85A" w14:textId="77777777" w:rsidR="00222276" w:rsidRPr="00222276" w:rsidRDefault="00222276" w:rsidP="00222276">
            <w:pPr>
              <w:pStyle w:val="CDITable-RowCentre"/>
            </w:pPr>
            <w:r w:rsidRPr="00222276">
              <w:t>614 (3.3)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65798" w14:textId="77777777" w:rsidR="00222276" w:rsidRPr="00222276" w:rsidRDefault="00222276" w:rsidP="00222276">
            <w:pPr>
              <w:pStyle w:val="CDITable-RowCentre"/>
            </w:pPr>
            <w:r w:rsidRPr="00222276">
              <w:t>413 (67.3)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B48A6" w14:textId="77777777" w:rsidR="00222276" w:rsidRPr="00222276" w:rsidRDefault="00222276" w:rsidP="00222276">
            <w:pPr>
              <w:pStyle w:val="CDITable-RowCentre"/>
            </w:pPr>
            <w:r w:rsidRPr="00222276">
              <w:t>25 (4.1)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EC779" w14:textId="77777777" w:rsidR="00222276" w:rsidRPr="00222276" w:rsidRDefault="00222276" w:rsidP="00222276">
            <w:pPr>
              <w:pStyle w:val="CDITable-RowCentre"/>
            </w:pPr>
            <w:r w:rsidRPr="00222276">
              <w:t>162 (26.4)</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72527" w14:textId="77777777" w:rsidR="00222276" w:rsidRPr="00222276" w:rsidRDefault="00222276" w:rsidP="00222276">
            <w:pPr>
              <w:pStyle w:val="CDITable-RowCentre"/>
            </w:pPr>
            <w:r w:rsidRPr="00222276">
              <w:t>17 (2.8)</w:t>
            </w:r>
          </w:p>
        </w:tc>
      </w:tr>
      <w:tr w:rsidR="00222276" w:rsidRPr="00222276" w14:paraId="1AF75F80"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40623" w14:textId="77777777" w:rsidR="00222276" w:rsidRPr="00222276" w:rsidRDefault="00222276" w:rsidP="00222276">
            <w:pPr>
              <w:pStyle w:val="CDITable-RowLeft"/>
            </w:pPr>
            <w:r w:rsidRPr="00222276">
              <w:t>Malaise</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C528B" w14:textId="77777777" w:rsidR="00222276" w:rsidRPr="00222276" w:rsidRDefault="00222276" w:rsidP="00222276">
            <w:pPr>
              <w:pStyle w:val="CDITable-RowCentre"/>
            </w:pPr>
            <w:r w:rsidRPr="00222276">
              <w:t>607 (3.3)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77291" w14:textId="77777777" w:rsidR="00222276" w:rsidRPr="00222276" w:rsidRDefault="00222276" w:rsidP="00222276">
            <w:pPr>
              <w:pStyle w:val="CDITable-RowCentre"/>
            </w:pPr>
            <w:r w:rsidRPr="00222276">
              <w:t>405 (66.7)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2F6DF" w14:textId="77777777" w:rsidR="00222276" w:rsidRPr="00222276" w:rsidRDefault="00222276" w:rsidP="00222276">
            <w:pPr>
              <w:pStyle w:val="CDITable-RowCentre"/>
            </w:pPr>
            <w:r w:rsidRPr="00222276">
              <w:t>46 (7.6)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5ACD1" w14:textId="77777777" w:rsidR="00222276" w:rsidRPr="00222276" w:rsidRDefault="00222276" w:rsidP="00222276">
            <w:pPr>
              <w:pStyle w:val="CDITable-RowCentre"/>
            </w:pPr>
            <w:r w:rsidRPr="00222276">
              <w:t>132 (21.7)</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03A5AC" w14:textId="77777777" w:rsidR="00222276" w:rsidRPr="00222276" w:rsidRDefault="00222276" w:rsidP="00222276">
            <w:pPr>
              <w:pStyle w:val="CDITable-RowCentre"/>
            </w:pPr>
            <w:r w:rsidRPr="00222276">
              <w:t>24 (4.0)</w:t>
            </w:r>
          </w:p>
        </w:tc>
      </w:tr>
      <w:tr w:rsidR="00222276" w:rsidRPr="00222276" w14:paraId="6EDF8459"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764D4" w14:textId="77777777" w:rsidR="00222276" w:rsidRPr="00222276" w:rsidRDefault="00222276" w:rsidP="00222276">
            <w:pPr>
              <w:pStyle w:val="CDITable-RowLeft"/>
            </w:pPr>
            <w:r w:rsidRPr="00222276">
              <w:t>COVID-19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83DCC0" w14:textId="77777777" w:rsidR="00222276" w:rsidRPr="00222276" w:rsidRDefault="00222276" w:rsidP="00222276">
            <w:pPr>
              <w:pStyle w:val="CDITable-RowCentre"/>
            </w:pPr>
            <w:r w:rsidRPr="00222276">
              <w:t>606 (3.3)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89361" w14:textId="77777777" w:rsidR="00222276" w:rsidRPr="00222276" w:rsidRDefault="00222276" w:rsidP="00222276">
            <w:pPr>
              <w:pStyle w:val="CDITable-RowCentre"/>
            </w:pPr>
            <w:r w:rsidRPr="00222276">
              <w:t>540 (89.1)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AE414" w14:textId="77777777" w:rsidR="00222276" w:rsidRPr="00222276" w:rsidRDefault="00222276" w:rsidP="00222276">
            <w:pPr>
              <w:pStyle w:val="CDITable-RowCentre"/>
            </w:pPr>
            <w:r w:rsidRPr="00222276">
              <w:t>16 (2.6)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CA60F" w14:textId="77777777" w:rsidR="00222276" w:rsidRPr="00222276" w:rsidRDefault="00222276" w:rsidP="00222276">
            <w:pPr>
              <w:pStyle w:val="CDITable-RowCentre"/>
            </w:pPr>
            <w:r w:rsidRPr="00222276">
              <w:t>61 (10.1)</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4B82A3" w14:textId="77777777" w:rsidR="00222276" w:rsidRPr="00222276" w:rsidRDefault="00222276" w:rsidP="00222276">
            <w:pPr>
              <w:pStyle w:val="CDITable-RowCentre"/>
            </w:pPr>
            <w:r w:rsidRPr="00222276">
              <w:t>25 (4.1)</w:t>
            </w:r>
          </w:p>
        </w:tc>
      </w:tr>
      <w:tr w:rsidR="00222276" w:rsidRPr="00222276" w14:paraId="279753FC"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E54212" w14:textId="77777777" w:rsidR="00222276" w:rsidRPr="00222276" w:rsidRDefault="00222276" w:rsidP="00222276">
            <w:pPr>
              <w:pStyle w:val="CDITable-RowLeft"/>
            </w:pPr>
            <w:r w:rsidRPr="00222276">
              <w:t>Syncope</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46A34" w14:textId="77777777" w:rsidR="00222276" w:rsidRPr="00222276" w:rsidRDefault="00222276" w:rsidP="00222276">
            <w:pPr>
              <w:pStyle w:val="CDITable-RowCentre"/>
            </w:pPr>
            <w:r w:rsidRPr="00222276">
              <w:t>475 (2.6)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0B398A" w14:textId="77777777" w:rsidR="00222276" w:rsidRPr="00222276" w:rsidRDefault="00222276" w:rsidP="00222276">
            <w:pPr>
              <w:pStyle w:val="CDITable-RowCentre"/>
            </w:pPr>
            <w:r w:rsidRPr="00222276">
              <w:t>377 (79.4)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B2526" w14:textId="77777777" w:rsidR="00222276" w:rsidRPr="00222276" w:rsidRDefault="00222276" w:rsidP="00222276">
            <w:pPr>
              <w:pStyle w:val="CDITable-RowCentre"/>
            </w:pPr>
            <w:r w:rsidRPr="00222276">
              <w:t>14 (2.9)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CD741" w14:textId="77777777" w:rsidR="00222276" w:rsidRPr="00222276" w:rsidRDefault="00222276" w:rsidP="00222276">
            <w:pPr>
              <w:pStyle w:val="CDITable-RowCentre"/>
            </w:pPr>
            <w:r w:rsidRPr="00222276">
              <w:t>80 (16.8)</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AB827" w14:textId="77777777" w:rsidR="00222276" w:rsidRPr="00222276" w:rsidRDefault="00222276" w:rsidP="00222276">
            <w:pPr>
              <w:pStyle w:val="CDITable-RowCentre"/>
            </w:pPr>
            <w:r w:rsidRPr="00222276">
              <w:t>6 (1.3)</w:t>
            </w:r>
          </w:p>
        </w:tc>
      </w:tr>
      <w:tr w:rsidR="00222276" w:rsidRPr="00222276" w14:paraId="3570A1D6"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DBDA4" w14:textId="77777777" w:rsidR="00222276" w:rsidRPr="00222276" w:rsidRDefault="00222276" w:rsidP="00222276">
            <w:pPr>
              <w:pStyle w:val="CDITable-RowLeft"/>
            </w:pPr>
            <w:r w:rsidRPr="00222276">
              <w:t>Concomitant disease aggravated</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132C7" w14:textId="77777777" w:rsidR="00222276" w:rsidRPr="00222276" w:rsidRDefault="00222276" w:rsidP="00222276">
            <w:pPr>
              <w:pStyle w:val="CDITable-RowCentre"/>
            </w:pPr>
            <w:r w:rsidRPr="00222276">
              <w:t>454 (2.5)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5D7A2" w14:textId="77777777" w:rsidR="00222276" w:rsidRPr="00222276" w:rsidRDefault="00222276" w:rsidP="00222276">
            <w:pPr>
              <w:pStyle w:val="CDITable-RowCentre"/>
            </w:pPr>
            <w:r w:rsidRPr="00222276">
              <w:t>317 (69.8)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E2570" w14:textId="77777777" w:rsidR="00222276" w:rsidRPr="00222276" w:rsidRDefault="00222276" w:rsidP="00222276">
            <w:pPr>
              <w:pStyle w:val="CDITable-RowCentre"/>
            </w:pPr>
            <w:r w:rsidRPr="00222276">
              <w:t>51 (11.2)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F0D62" w14:textId="77777777" w:rsidR="00222276" w:rsidRPr="00222276" w:rsidRDefault="00222276" w:rsidP="00222276">
            <w:pPr>
              <w:pStyle w:val="CDITable-RowCentre"/>
            </w:pPr>
            <w:r w:rsidRPr="00222276">
              <w:t>77 (17.0)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13E53" w14:textId="77777777" w:rsidR="00222276" w:rsidRPr="00222276" w:rsidRDefault="00222276" w:rsidP="00222276">
            <w:pPr>
              <w:pStyle w:val="CDITable-RowCentre"/>
            </w:pPr>
            <w:r w:rsidRPr="00222276">
              <w:t>19 (4.2)</w:t>
            </w:r>
          </w:p>
        </w:tc>
      </w:tr>
      <w:tr w:rsidR="00222276" w:rsidRPr="00222276" w14:paraId="1BA89214"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FD649C" w14:textId="77777777" w:rsidR="00222276" w:rsidRPr="00222276" w:rsidRDefault="00222276" w:rsidP="00222276">
            <w:pPr>
              <w:pStyle w:val="CDITable-RowLeft"/>
            </w:pPr>
            <w:r w:rsidRPr="00222276">
              <w:t>Influenza like illness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994A7" w14:textId="77777777" w:rsidR="00222276" w:rsidRPr="00222276" w:rsidRDefault="00222276" w:rsidP="00222276">
            <w:pPr>
              <w:pStyle w:val="CDITable-RowCentre"/>
            </w:pPr>
            <w:r w:rsidRPr="00222276">
              <w:t>449 (2.4)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8BEA8" w14:textId="77777777" w:rsidR="00222276" w:rsidRPr="00222276" w:rsidRDefault="00222276" w:rsidP="00222276">
            <w:pPr>
              <w:pStyle w:val="CDITable-RowCentre"/>
            </w:pPr>
            <w:r w:rsidRPr="00222276">
              <w:t>315 (70.2)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D713C5" w14:textId="77777777" w:rsidR="00222276" w:rsidRPr="00222276" w:rsidRDefault="00222276" w:rsidP="00222276">
            <w:pPr>
              <w:pStyle w:val="CDITable-RowCentre"/>
            </w:pPr>
            <w:r w:rsidRPr="00222276">
              <w:t>29 (6.5)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1E0CC9" w14:textId="77777777" w:rsidR="00222276" w:rsidRPr="00222276" w:rsidRDefault="00222276" w:rsidP="00222276">
            <w:pPr>
              <w:pStyle w:val="CDITable-RowCentre"/>
            </w:pPr>
            <w:r w:rsidRPr="00222276">
              <w:t>83 (18.5)</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D58E8" w14:textId="77777777" w:rsidR="00222276" w:rsidRPr="00222276" w:rsidRDefault="00222276" w:rsidP="00222276">
            <w:pPr>
              <w:pStyle w:val="CDITable-RowCentre"/>
            </w:pPr>
            <w:r w:rsidRPr="00222276">
              <w:t>18 (4.0)</w:t>
            </w:r>
          </w:p>
        </w:tc>
      </w:tr>
      <w:tr w:rsidR="00222276" w:rsidRPr="00222276" w14:paraId="5649951A"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F8BBEB" w14:textId="77777777" w:rsidR="00222276" w:rsidRPr="00222276" w:rsidRDefault="00222276" w:rsidP="00222276">
            <w:pPr>
              <w:pStyle w:val="CDITable-RowLeft"/>
            </w:pPr>
            <w:r w:rsidRPr="00222276">
              <w:t>Haemorrhage terms (excl laboratory terms)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4DF81E" w14:textId="77777777" w:rsidR="00222276" w:rsidRPr="00222276" w:rsidRDefault="00222276" w:rsidP="00222276">
            <w:pPr>
              <w:pStyle w:val="CDITable-RowCentre"/>
            </w:pPr>
            <w:r w:rsidRPr="00222276">
              <w:t>445 (2.4)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47742" w14:textId="77777777" w:rsidR="00222276" w:rsidRPr="00222276" w:rsidRDefault="00222276" w:rsidP="00222276">
            <w:pPr>
              <w:pStyle w:val="CDITable-RowCentre"/>
            </w:pPr>
            <w:r w:rsidRPr="00222276">
              <w:t>310 (69.7)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FE914" w14:textId="77777777" w:rsidR="00222276" w:rsidRPr="00222276" w:rsidRDefault="00222276" w:rsidP="00222276">
            <w:pPr>
              <w:pStyle w:val="CDITable-RowCentre"/>
            </w:pPr>
            <w:r w:rsidRPr="00222276">
              <w:t>27 (6.1)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D96C1" w14:textId="77777777" w:rsidR="00222276" w:rsidRPr="00222276" w:rsidRDefault="00222276" w:rsidP="00222276">
            <w:pPr>
              <w:pStyle w:val="CDITable-RowCentre"/>
            </w:pPr>
            <w:r w:rsidRPr="00222276">
              <w:t>82 (18.4)</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D58EF" w14:textId="77777777" w:rsidR="00222276" w:rsidRPr="00222276" w:rsidRDefault="00222276" w:rsidP="00222276">
            <w:pPr>
              <w:pStyle w:val="CDITable-RowCentre"/>
            </w:pPr>
            <w:r w:rsidRPr="00222276">
              <w:t>29 (6.5)</w:t>
            </w:r>
          </w:p>
        </w:tc>
      </w:tr>
      <w:tr w:rsidR="00222276" w:rsidRPr="00222276" w14:paraId="2417B845" w14:textId="77777777" w:rsidTr="00222276">
        <w:trPr>
          <w:trHeight w:val="60"/>
        </w:trPr>
        <w:tc>
          <w:tcPr>
            <w:tcW w:w="58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9DCD6" w14:textId="77777777" w:rsidR="00222276" w:rsidRPr="00222276" w:rsidRDefault="00222276" w:rsidP="00222276">
            <w:pPr>
              <w:pStyle w:val="CDITable-RowLeft"/>
            </w:pPr>
            <w:r w:rsidRPr="00222276">
              <w:t>Hyperhidrosis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C9E824" w14:textId="77777777" w:rsidR="00222276" w:rsidRPr="00222276" w:rsidRDefault="00222276" w:rsidP="00222276">
            <w:pPr>
              <w:pStyle w:val="CDITable-RowCentre"/>
            </w:pPr>
            <w:r w:rsidRPr="00222276">
              <w:t>420 (2.3)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B8438" w14:textId="77777777" w:rsidR="00222276" w:rsidRPr="00222276" w:rsidRDefault="00222276" w:rsidP="00222276">
            <w:pPr>
              <w:pStyle w:val="CDITable-RowCentre"/>
            </w:pPr>
            <w:r w:rsidRPr="00222276">
              <w:t>302 (71.9)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C3BB3" w14:textId="77777777" w:rsidR="00222276" w:rsidRPr="00222276" w:rsidRDefault="00222276" w:rsidP="00222276">
            <w:pPr>
              <w:pStyle w:val="CDITable-RowCentre"/>
            </w:pPr>
            <w:r w:rsidRPr="00222276">
              <w:t>21 (5.0)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3B1652" w14:textId="77777777" w:rsidR="00222276" w:rsidRPr="00222276" w:rsidRDefault="00222276" w:rsidP="00222276">
            <w:pPr>
              <w:pStyle w:val="CDITable-RowCentre"/>
            </w:pPr>
            <w:r w:rsidRPr="00222276">
              <w:t>84 (20.0)</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42EE3" w14:textId="77777777" w:rsidR="00222276" w:rsidRPr="00222276" w:rsidRDefault="00222276" w:rsidP="00222276">
            <w:pPr>
              <w:pStyle w:val="CDITable-RowCentre"/>
            </w:pPr>
            <w:r w:rsidRPr="00222276">
              <w:t>15 (3.6)</w:t>
            </w:r>
          </w:p>
        </w:tc>
      </w:tr>
    </w:tbl>
    <w:p w14:paraId="10C59685" w14:textId="77777777" w:rsidR="00AC342F" w:rsidRPr="00AC342F" w:rsidRDefault="00AC342F" w:rsidP="00AC342F">
      <w:pPr>
        <w:pStyle w:val="CDITable-FirstFootnote"/>
        <w:rPr>
          <w:lang w:val="en-GB"/>
        </w:rPr>
      </w:pPr>
      <w:r w:rsidRPr="00AC342F">
        <w:rPr>
          <w:lang w:val="en-GB"/>
        </w:rPr>
        <w:t>a</w:t>
      </w:r>
      <w:r w:rsidRPr="00AC342F">
        <w:rPr>
          <w:lang w:val="en-GB"/>
        </w:rPr>
        <w:tab/>
        <w:t>Reports are included in this analysis only if the date of vaccination occurred in 2022 (or where the date of vaccination is unavailable, the date of symptom onset occurring in 2022; or when both the date of vaccination and date of symptom onset are unavailable, the date of adverse event reporting occurring in 2022). Therefore, there may be discrepancies between the numbers in this table and those published in other TGA outputs, where reports are included if the date of reporting falls within 2022, regardless of the year of vaccination or symptom onset.</w:t>
      </w:r>
    </w:p>
    <w:p w14:paraId="072C2018" w14:textId="77777777" w:rsidR="00AC342F" w:rsidRPr="00AC342F" w:rsidRDefault="00AC342F" w:rsidP="00AC342F">
      <w:pPr>
        <w:pStyle w:val="CDITable-Footnote"/>
        <w:rPr>
          <w:lang w:val="en-GB"/>
        </w:rPr>
      </w:pPr>
      <w:r w:rsidRPr="00AC342F">
        <w:rPr>
          <w:lang w:val="en-GB"/>
        </w:rPr>
        <w:t>b</w:t>
      </w:r>
      <w:r w:rsidRPr="00AC342F">
        <w:rPr>
          <w:lang w:val="en-GB"/>
        </w:rPr>
        <w:tab/>
        <w:t>Number of AEFI reports in which the PT or SMQ was reported. More than one PT/SMQ may be recorded on the same report.</w:t>
      </w:r>
    </w:p>
    <w:p w14:paraId="42D7FFE7" w14:textId="77777777" w:rsidR="00AC342F" w:rsidRPr="00AC342F" w:rsidRDefault="00AC342F" w:rsidP="00AC342F">
      <w:pPr>
        <w:pStyle w:val="CDITable-Footnote"/>
        <w:rPr>
          <w:lang w:val="en-GB"/>
        </w:rPr>
      </w:pPr>
      <w:r w:rsidRPr="00AC342F">
        <w:rPr>
          <w:lang w:val="en-GB"/>
        </w:rPr>
        <w:t>c</w:t>
      </w:r>
      <w:r w:rsidRPr="00AC342F">
        <w:rPr>
          <w:lang w:val="en-GB"/>
        </w:rPr>
        <w:tab/>
        <w:t>Includes AEFI reports with the listed vaccine brand; more than one vaccine may be reported on the same report.</w:t>
      </w:r>
    </w:p>
    <w:p w14:paraId="76DC3AD9" w14:textId="4620E64D" w:rsidR="00152B21" w:rsidRDefault="00AC342F" w:rsidP="00AC342F">
      <w:pPr>
        <w:pStyle w:val="CDITable-Footnote"/>
        <w:rPr>
          <w:lang w:val="en-GB"/>
        </w:rPr>
      </w:pPr>
      <w:r w:rsidRPr="00AC342F">
        <w:rPr>
          <w:lang w:val="en-GB"/>
        </w:rPr>
        <w:t>d</w:t>
      </w:r>
      <w:r w:rsidRPr="00AC342F">
        <w:rPr>
          <w:lang w:val="en-GB"/>
        </w:rPr>
        <w:tab/>
        <w:t>Percentages are calculated for the number of AEFI reports where the PT or SMQ was reported.</w:t>
      </w:r>
    </w:p>
    <w:p w14:paraId="58E124DD" w14:textId="77777777" w:rsidR="00AC342F" w:rsidRDefault="00AC342F" w:rsidP="00BC40D9">
      <w:pPr>
        <w:rPr>
          <w:lang w:val="en-GB"/>
        </w:rPr>
        <w:sectPr w:rsidR="00AC342F" w:rsidSect="00AC342F">
          <w:footnotePr>
            <w:numFmt w:val="lowerRoman"/>
          </w:footnotePr>
          <w:pgSz w:w="16840" w:h="11907" w:orient="landscape" w:code="9"/>
          <w:pgMar w:top="1134" w:right="1134" w:bottom="1134" w:left="1134" w:header="709" w:footer="567" w:gutter="0"/>
          <w:cols w:space="708"/>
          <w:docGrid w:linePitch="360"/>
        </w:sectPr>
      </w:pPr>
    </w:p>
    <w:p w14:paraId="2213E894" w14:textId="77777777" w:rsidR="00BC40D9" w:rsidRPr="00BC40D9" w:rsidRDefault="00BC40D9" w:rsidP="00AC342F">
      <w:pPr>
        <w:pStyle w:val="Heading3-nospacebefore"/>
      </w:pPr>
      <w:r w:rsidRPr="00BC40D9">
        <w:lastRenderedPageBreak/>
        <w:t xml:space="preserve">Adverse events in the &lt; </w:t>
      </w:r>
      <w:proofErr w:type="gramStart"/>
      <w:r w:rsidRPr="00BC40D9">
        <w:t>5 year</w:t>
      </w:r>
      <w:proofErr w:type="gramEnd"/>
      <w:r w:rsidRPr="00BC40D9">
        <w:t xml:space="preserve"> age group</w:t>
      </w:r>
    </w:p>
    <w:p w14:paraId="70CE3CDF" w14:textId="63D6F73F" w:rsidR="00BC40D9" w:rsidRPr="00BC40D9" w:rsidRDefault="00BC40D9" w:rsidP="00BC40D9">
      <w:pPr>
        <w:rPr>
          <w:lang w:val="en-GB"/>
        </w:rPr>
      </w:pPr>
      <w:r w:rsidRPr="00BC40D9">
        <w:rPr>
          <w:lang w:val="en-GB"/>
        </w:rPr>
        <w:t xml:space="preserve">Of the 29 COVID-19 AEFI reports in the &lt; </w:t>
      </w:r>
      <w:proofErr w:type="gramStart"/>
      <w:r w:rsidRPr="00BC40D9">
        <w:rPr>
          <w:lang w:val="en-GB"/>
        </w:rPr>
        <w:t>5 year</w:t>
      </w:r>
      <w:proofErr w:type="gramEnd"/>
      <w:r w:rsidRPr="00BC40D9">
        <w:rPr>
          <w:lang w:val="en-GB"/>
        </w:rPr>
        <w:t xml:space="preserve"> age group, four were categorised as serious, of which two described adverse events in infants after in utero exposure to COVID-19 vaccines administered to the mother during pregnancy. Another of the serious reports appeared to indicate in the case narrative that the adverse event in the infant related to an indirect exposure through breastfeeding after the mother was given a COVID-19 vaccine. If these three serious reports related to maternal exposure were excluded from the calculation, the remaining 26 reports gave an AEFI reporting rate of 2,186.7 per 100,000 doses of COVID-19 vaccines administered to the &lt;</w:t>
      </w:r>
      <w:r>
        <w:rPr>
          <w:lang w:val="en-GB"/>
        </w:rPr>
        <w:t> </w:t>
      </w:r>
      <w:r w:rsidRPr="00BC40D9">
        <w:rPr>
          <w:lang w:val="en-GB"/>
        </w:rPr>
        <w:t>5</w:t>
      </w:r>
      <w:r>
        <w:rPr>
          <w:lang w:val="en-GB"/>
        </w:rPr>
        <w:t> </w:t>
      </w:r>
      <w:r w:rsidRPr="00BC40D9">
        <w:rPr>
          <w:lang w:val="en-GB"/>
        </w:rPr>
        <w:t>age group.</w:t>
      </w:r>
    </w:p>
    <w:p w14:paraId="33021F50" w14:textId="77777777" w:rsidR="00BC40D9" w:rsidRPr="00BC40D9" w:rsidRDefault="00BC40D9" w:rsidP="00BC40D9">
      <w:pPr>
        <w:rPr>
          <w:lang w:val="en-GB"/>
        </w:rPr>
      </w:pPr>
      <w:r w:rsidRPr="00BC40D9">
        <w:rPr>
          <w:lang w:val="en-GB"/>
        </w:rPr>
        <w:t xml:space="preserve">Furthermore, 21/29 AEFI reports in the &lt; </w:t>
      </w:r>
      <w:proofErr w:type="gramStart"/>
      <w:r w:rsidRPr="00BC40D9">
        <w:rPr>
          <w:lang w:val="en-GB"/>
        </w:rPr>
        <w:t>5 year</w:t>
      </w:r>
      <w:proofErr w:type="gramEnd"/>
      <w:r w:rsidRPr="00BC40D9">
        <w:rPr>
          <w:lang w:val="en-GB"/>
        </w:rPr>
        <w:t xml:space="preserve"> age group (72%) included the MedDRA PT ‘medication errors’ (denoting vaccination errors), with 18 of these reports describing the administration, to children aged 4 years, of a 5–</w:t>
      </w:r>
      <w:proofErr w:type="gramStart"/>
      <w:r w:rsidRPr="00BC40D9">
        <w:rPr>
          <w:lang w:val="en-GB"/>
        </w:rPr>
        <w:t>11 year</w:t>
      </w:r>
      <w:proofErr w:type="gramEnd"/>
      <w:r w:rsidRPr="00BC40D9">
        <w:rPr>
          <w:lang w:val="en-GB"/>
        </w:rPr>
        <w:t xml:space="preserve"> formulation of the COVID-19 vaccine. In five reports of ‘medication errors’, an additional mild transient adverse event was also included (four reports of injection site pain and one report of abdominal discomfort), meaning that at the time of reporting, none of the errors were known to have resulted in adverse events of clinical concern. </w:t>
      </w:r>
    </w:p>
    <w:p w14:paraId="737813E8" w14:textId="77777777" w:rsidR="00BC40D9" w:rsidRPr="00BC40D9" w:rsidRDefault="00BC40D9" w:rsidP="00BC40D9">
      <w:pPr>
        <w:rPr>
          <w:lang w:val="en-GB"/>
        </w:rPr>
      </w:pPr>
      <w:r w:rsidRPr="00BC40D9">
        <w:rPr>
          <w:lang w:val="en-GB"/>
        </w:rPr>
        <w:t xml:space="preserve">Excluding maternal exposure as above (three reports) and vaccination error without any accompanying adverse events (16 reports), the remaining 10 reports give an AEFI reporting rate in the &lt; </w:t>
      </w:r>
      <w:proofErr w:type="gramStart"/>
      <w:r w:rsidRPr="00BC40D9">
        <w:rPr>
          <w:lang w:val="en-GB"/>
        </w:rPr>
        <w:t>5 year</w:t>
      </w:r>
      <w:proofErr w:type="gramEnd"/>
      <w:r w:rsidRPr="00BC40D9">
        <w:rPr>
          <w:lang w:val="en-GB"/>
        </w:rPr>
        <w:t xml:space="preserve"> age group of 842.5 per 100,000 doses.</w:t>
      </w:r>
    </w:p>
    <w:p w14:paraId="60A08EEF" w14:textId="77777777" w:rsidR="00BC40D9" w:rsidRPr="00BC40D9" w:rsidRDefault="00BC40D9" w:rsidP="00BC40D9">
      <w:pPr>
        <w:pStyle w:val="Heading3"/>
        <w:rPr>
          <w:lang w:val="en-GB"/>
        </w:rPr>
      </w:pPr>
      <w:r w:rsidRPr="00BC40D9">
        <w:rPr>
          <w:lang w:val="en-GB"/>
        </w:rPr>
        <w:t>Adverse events in the 5–</w:t>
      </w:r>
      <w:proofErr w:type="gramStart"/>
      <w:r w:rsidRPr="00BC40D9">
        <w:rPr>
          <w:lang w:val="en-GB"/>
        </w:rPr>
        <w:t>11 year</w:t>
      </w:r>
      <w:proofErr w:type="gramEnd"/>
      <w:r w:rsidRPr="00BC40D9">
        <w:rPr>
          <w:lang w:val="en-GB"/>
        </w:rPr>
        <w:t xml:space="preserve"> age group</w:t>
      </w:r>
    </w:p>
    <w:p w14:paraId="0A985725" w14:textId="2562DF96" w:rsidR="00BC40D9" w:rsidRPr="00BC40D9" w:rsidRDefault="00BC40D9" w:rsidP="00BC40D9">
      <w:pPr>
        <w:rPr>
          <w:lang w:val="en-GB"/>
        </w:rPr>
      </w:pPr>
      <w:r w:rsidRPr="00BC40D9">
        <w:rPr>
          <w:lang w:val="en-GB"/>
        </w:rPr>
        <w:t>There were 1,648 COVID-19 AEFI reports in the 5–</w:t>
      </w:r>
      <w:proofErr w:type="gramStart"/>
      <w:r w:rsidRPr="00BC40D9">
        <w:rPr>
          <w:lang w:val="en-GB"/>
        </w:rPr>
        <w:t>11 year</w:t>
      </w:r>
      <w:proofErr w:type="gramEnd"/>
      <w:r w:rsidRPr="00BC40D9">
        <w:rPr>
          <w:lang w:val="en-GB"/>
        </w:rPr>
        <w:t xml:space="preserve"> age group, of which 116 (7.0%) were categorised as serious. Most AEFI reports (688 reports) described events related to vaccination in January, at the commencement of the COVID-19 vaccination program for the 5–</w:t>
      </w:r>
      <w:proofErr w:type="gramStart"/>
      <w:r w:rsidRPr="00BC40D9">
        <w:rPr>
          <w:lang w:val="en-GB"/>
        </w:rPr>
        <w:t>11 year</w:t>
      </w:r>
      <w:proofErr w:type="gramEnd"/>
      <w:r w:rsidRPr="00BC40D9">
        <w:rPr>
          <w:lang w:val="en-GB"/>
        </w:rPr>
        <w:t xml:space="preserve"> age group (Figure 2), while the highest AEFI reporting rate (144.0 reports per 100,000 doses) occurred in February 2022, the following month (Figure 3). The most frequently reported MedDRA PT/SMQ reported in 2022 were ‘gastrointestinal nonspecific symptoms’ (423 reports), hypersensitivity (255 reports), chest pain (231 reports), pyrexia (192 reports) and ‘medication errors’ (182 reports; Table</w:t>
      </w:r>
      <w:r>
        <w:rPr>
          <w:lang w:val="en-GB"/>
        </w:rPr>
        <w:t> </w:t>
      </w:r>
      <w:r w:rsidRPr="00BC40D9">
        <w:rPr>
          <w:lang w:val="en-GB"/>
        </w:rPr>
        <w:t>4). ‘Gastrointestinal nonspecific symptoms’ was also the PT/SMQ most frequently associated with serious AEFI reports in this age group (40 reports), followed by pyrexia (20 reports). Notably, no reports of medication errors were categorised as serious.</w:t>
      </w:r>
    </w:p>
    <w:p w14:paraId="372193BC" w14:textId="77777777" w:rsidR="00152B21" w:rsidRPr="00BC40D9" w:rsidRDefault="00152B21" w:rsidP="00152B21">
      <w:pPr>
        <w:pStyle w:val="CDIFigure-Title"/>
        <w:rPr>
          <w:vertAlign w:val="superscript"/>
          <w:lang w:val="en-GB"/>
        </w:rPr>
      </w:pPr>
      <w:bookmarkStart w:id="37" w:name="_Toc215578724"/>
      <w:r w:rsidRPr="00BC40D9">
        <w:rPr>
          <w:lang w:val="en-GB"/>
        </w:rPr>
        <w:lastRenderedPageBreak/>
        <w:t xml:space="preserve">Figure 2: Adverse event following immunisation reports for COVID-19 vaccines administered in 2021–2022 in the Adverse Event Management System (AEMS) database, by age group and </w:t>
      </w:r>
      <w:proofErr w:type="spellStart"/>
      <w:proofErr w:type="gramStart"/>
      <w:r w:rsidRPr="00BC40D9">
        <w:rPr>
          <w:lang w:val="en-GB"/>
        </w:rPr>
        <w:t>brand</w:t>
      </w:r>
      <w:r w:rsidRPr="00BC40D9">
        <w:rPr>
          <w:vertAlign w:val="superscript"/>
          <w:lang w:val="en-GB"/>
        </w:rPr>
        <w:t>a,b</w:t>
      </w:r>
      <w:proofErr w:type="gramEnd"/>
      <w:r w:rsidRPr="00BC40D9">
        <w:rPr>
          <w:vertAlign w:val="superscript"/>
          <w:lang w:val="en-GB"/>
        </w:rPr>
        <w:t>,c</w:t>
      </w:r>
      <w:bookmarkEnd w:id="37"/>
      <w:proofErr w:type="spellEnd"/>
    </w:p>
    <w:p w14:paraId="1E2D56A9" w14:textId="77777777" w:rsidR="00152B21" w:rsidRDefault="00152B21" w:rsidP="00152B21">
      <w:pPr>
        <w:pStyle w:val="CDIFigure-Placeholder"/>
      </w:pPr>
      <w:r>
        <w:rPr>
          <w:noProof/>
          <w14:ligatures w14:val="none"/>
        </w:rPr>
        <w:drawing>
          <wp:inline distT="0" distB="0" distL="0" distR="0" wp14:anchorId="43B71A93" wp14:editId="1849EC7E">
            <wp:extent cx="5875200" cy="6138000"/>
            <wp:effectExtent l="0" t="0" r="0" b="0"/>
            <wp:docPr id="1228913317" name="Picture 2" descr="Figure 2 are line graphs showing the number of adverse event reports received each month from February 2021 to December 2022 for each specific COVID-19 vaccine. There are four panels of graphs corresponding to each age group of: 5-11, 12-15, 16-59 and ≥ 60 years. Superimposed onto the timeline are text descriptions of the timing of significant events in the Australian COVID-19 program in 2021 and 2022, showing that in many cases, there was a temporal relationship between the introduction of the vaccines in new age groups and an increase in the number of adverse event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3317" name="Picture 2" descr="Figure 2 are line graphs showing the number of adverse event reports received each month from February 2021 to December 2022 for each specific COVID-19 vaccine. There are four panels of graphs corresponding to each age group of: 5-11, 12-15, 16-59 and ≥ 60 years. Superimposed onto the timeline are text descriptions of the timing of significant events in the Australian COVID-19 program in 2021 and 2022, showing that in many cases, there was a temporal relationship between the introduction of the vaccines in new age groups and an increase in the number of adverse event reports."/>
                    <pic:cNvPicPr/>
                  </pic:nvPicPr>
                  <pic:blipFill>
                    <a:blip r:embed="rId25">
                      <a:extLst>
                        <a:ext uri="{28A0092B-C50C-407E-A947-70E740481C1C}">
                          <a14:useLocalDpi xmlns:a14="http://schemas.microsoft.com/office/drawing/2010/main" val="0"/>
                        </a:ext>
                      </a:extLst>
                    </a:blip>
                    <a:stretch>
                      <a:fillRect/>
                    </a:stretch>
                  </pic:blipFill>
                  <pic:spPr>
                    <a:xfrm>
                      <a:off x="0" y="0"/>
                      <a:ext cx="5875200" cy="6138000"/>
                    </a:xfrm>
                    <a:prstGeom prst="rect">
                      <a:avLst/>
                    </a:prstGeom>
                  </pic:spPr>
                </pic:pic>
              </a:graphicData>
            </a:graphic>
          </wp:inline>
        </w:drawing>
      </w:r>
    </w:p>
    <w:p w14:paraId="4C62502F" w14:textId="77777777" w:rsidR="00152B21" w:rsidRPr="00BC40D9" w:rsidRDefault="00152B21" w:rsidP="00152B21">
      <w:pPr>
        <w:pStyle w:val="CDITable-Footnote"/>
        <w:rPr>
          <w:lang w:val="en-GB"/>
        </w:rPr>
      </w:pPr>
      <w:r w:rsidRPr="00BC40D9">
        <w:rPr>
          <w:lang w:val="en-GB"/>
        </w:rPr>
        <w:t>a</w:t>
      </w:r>
      <w:r w:rsidRPr="00BC40D9">
        <w:rPr>
          <w:lang w:val="en-GB"/>
        </w:rPr>
        <w:tab/>
        <w:t xml:space="preserve">Reports for the 6 months to &lt; </w:t>
      </w:r>
      <w:proofErr w:type="gramStart"/>
      <w:r w:rsidRPr="00BC40D9">
        <w:rPr>
          <w:lang w:val="en-GB"/>
        </w:rPr>
        <w:t>5 year</w:t>
      </w:r>
      <w:proofErr w:type="gramEnd"/>
      <w:r w:rsidRPr="00BC40D9">
        <w:rPr>
          <w:lang w:val="en-GB"/>
        </w:rPr>
        <w:t xml:space="preserve"> age group were excluded from the figure due to small numbers of AEFI reports. Reports were also excluded from the figure under the following criteria: </w:t>
      </w:r>
      <w:proofErr w:type="spellStart"/>
      <w:r w:rsidRPr="00BC40D9">
        <w:rPr>
          <w:lang w:val="en-GB"/>
        </w:rPr>
        <w:t>i</w:t>
      </w:r>
      <w:proofErr w:type="spellEnd"/>
      <w:r w:rsidRPr="00BC40D9">
        <w:rPr>
          <w:lang w:val="en-GB"/>
        </w:rPr>
        <w:t xml:space="preserve">) where the date of vaccination was not recorded; ii) where vaccination was recorded for January 2021; iii) where Vaxzevria vaccination before March 2021 was reported; iv) where Spikevax vaccination before September 2021 was reported; and v) where Nuvaxovid vaccination before January 2022 was reported. </w:t>
      </w:r>
    </w:p>
    <w:p w14:paraId="72AAFD27" w14:textId="77777777" w:rsidR="00152B21" w:rsidRPr="00BC40D9" w:rsidRDefault="00152B21" w:rsidP="00152B21">
      <w:pPr>
        <w:pStyle w:val="CDITable-Footnote"/>
        <w:rPr>
          <w:lang w:val="en-GB"/>
        </w:rPr>
      </w:pPr>
      <w:r w:rsidRPr="00BC40D9">
        <w:rPr>
          <w:lang w:val="en-GB"/>
        </w:rPr>
        <w:t>b</w:t>
      </w:r>
      <w:r w:rsidRPr="00BC40D9">
        <w:rPr>
          <w:lang w:val="en-GB"/>
        </w:rPr>
        <w:tab/>
        <w:t>A notable difference from the 2021 COVID AEFI report is that reports for COVID-19 vaccines administered to the 12–</w:t>
      </w:r>
      <w:proofErr w:type="gramStart"/>
      <w:r w:rsidRPr="00BC40D9">
        <w:rPr>
          <w:lang w:val="en-GB"/>
        </w:rPr>
        <w:t>15 year</w:t>
      </w:r>
      <w:proofErr w:type="gramEnd"/>
      <w:r w:rsidRPr="00BC40D9">
        <w:rPr>
          <w:lang w:val="en-GB"/>
        </w:rPr>
        <w:t xml:space="preserve"> age group before August 2021 were not excluded from the figure, as they may represent vaccination errors. Similarly, reports of COVID-19 vaccines administered to the 5–</w:t>
      </w:r>
      <w:proofErr w:type="gramStart"/>
      <w:r w:rsidRPr="00BC40D9">
        <w:rPr>
          <w:lang w:val="en-GB"/>
        </w:rPr>
        <w:t>11 year</w:t>
      </w:r>
      <w:proofErr w:type="gramEnd"/>
      <w:r w:rsidRPr="00BC40D9">
        <w:rPr>
          <w:lang w:val="en-GB"/>
        </w:rPr>
        <w:t xml:space="preserve"> age group before January 2022 were not excluded.</w:t>
      </w:r>
    </w:p>
    <w:p w14:paraId="24BEB875" w14:textId="42CDB5E0" w:rsidR="00152B21" w:rsidRPr="00BC40D9" w:rsidRDefault="00152B21" w:rsidP="00152B21">
      <w:pPr>
        <w:pStyle w:val="CDITable-Footnote"/>
        <w:rPr>
          <w:lang w:val="en-GB"/>
        </w:rPr>
      </w:pPr>
      <w:r w:rsidRPr="00BC40D9">
        <w:rPr>
          <w:lang w:val="en-GB"/>
        </w:rPr>
        <w:t>c</w:t>
      </w:r>
      <w:r w:rsidRPr="00BC40D9">
        <w:rPr>
          <w:lang w:val="en-GB"/>
        </w:rPr>
        <w:tab/>
        <w:t>Event markers shown represent the following events: A: start of COVID-19 vaccination program (with Comirnaty); B</w:t>
      </w:r>
      <w:r w:rsidR="009A5C15">
        <w:rPr>
          <w:lang w:val="en-GB"/>
        </w:rPr>
        <w:t> </w:t>
      </w:r>
      <w:r w:rsidRPr="00BC40D9">
        <w:rPr>
          <w:lang w:val="en-GB"/>
        </w:rPr>
        <w:t xml:space="preserve"> Vaxzevria introduced; C: preferential recommendation for Comirnaty over Vaxzevria in people aged &lt; 50 years (thrombosis with thrombocytopenia syndrome [TTS] concern); D: myocarditis concern; E: preferential recommendation for Comirnaty over Vaxzevria in people aged &lt; 60 years (TTS concern); F: start of COVID-19 vaccination program for 12–15 year olds (with Comirnaty); G: Spikevax introduced; H: booster program commenced for people ≥ 18 years old; I: start of COVID-19 vaccination program for 5–11 year olds (with Comirnaty); J: Nuvaxovid introduced; K: booster program commenced for people 16–17 years old; L: second booster dose recommended for people ≥ 50 years old.</w:t>
      </w:r>
    </w:p>
    <w:p w14:paraId="0FA159A6" w14:textId="77777777" w:rsidR="00222276" w:rsidRPr="00222276" w:rsidRDefault="00222276" w:rsidP="00222276">
      <w:pPr>
        <w:pStyle w:val="CDIFigure-Title"/>
        <w:rPr>
          <w:lang w:val="en-GB"/>
        </w:rPr>
      </w:pPr>
      <w:bookmarkStart w:id="38" w:name="_Toc215578725"/>
      <w:r w:rsidRPr="00222276">
        <w:rPr>
          <w:lang w:val="en-GB"/>
        </w:rPr>
        <w:lastRenderedPageBreak/>
        <w:t xml:space="preserve">Figure 3: AEFI reporting rates per 100,000 COVID-19 vaccine doses administered in 2022 recorded in the Adverse Event Management System database, by age group and vaccine </w:t>
      </w:r>
      <w:proofErr w:type="spellStart"/>
      <w:r w:rsidRPr="00222276">
        <w:rPr>
          <w:lang w:val="en-GB"/>
        </w:rPr>
        <w:t>brand</w:t>
      </w:r>
      <w:r w:rsidRPr="00222276">
        <w:rPr>
          <w:vertAlign w:val="superscript"/>
          <w:lang w:val="en-GB"/>
        </w:rPr>
        <w:t>a</w:t>
      </w:r>
      <w:bookmarkEnd w:id="38"/>
      <w:proofErr w:type="spellEnd"/>
    </w:p>
    <w:p w14:paraId="337744AF" w14:textId="4AF93867" w:rsidR="00192DC3" w:rsidRDefault="00222276" w:rsidP="00222276">
      <w:pPr>
        <w:pStyle w:val="CDIFigure-Placeholder"/>
      </w:pPr>
      <w:r>
        <w:rPr>
          <w:noProof/>
          <w14:ligatures w14:val="none"/>
        </w:rPr>
        <w:drawing>
          <wp:inline distT="0" distB="0" distL="0" distR="0" wp14:anchorId="55F5932B" wp14:editId="2F5981B9">
            <wp:extent cx="5767200" cy="7300800"/>
            <wp:effectExtent l="0" t="0" r="5080" b="0"/>
            <wp:docPr id="1163309377" name="Picture 3" descr="Figure 3 are panelled line graphs describing the adverse event reporting rates for each brand of COVID-19 vaccines per 100,000 doses each month from February 2021 to December 2022. Each of the top four panels corresponds to an age group of: 5-11, 12-15, 16-59 and ≥ 60 years. The bottom panel summarises reporting rates per 100,000 doses for all age groups. There was a general trend for, adverse event reporting rates to be the highest in the initial months following the rollout of each brand in each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09377" name="Picture 3" descr="Figure 3 are panelled line graphs describing the adverse event reporting rates for each brand of COVID-19 vaccines per 100,000 doses each month from February 2021 to December 2022. Each of the top four panels corresponds to an age group of: 5-11, 12-15, 16-59 and ≥ 60 years. The bottom panel summarises reporting rates per 100,000 doses for all age groups. There was a general trend for, adverse event reporting rates to be the highest in the initial months following the rollout of each brand in each age group."/>
                    <pic:cNvPicPr/>
                  </pic:nvPicPr>
                  <pic:blipFill>
                    <a:blip r:embed="rId26">
                      <a:extLst>
                        <a:ext uri="{28A0092B-C50C-407E-A947-70E740481C1C}">
                          <a14:useLocalDpi xmlns:a14="http://schemas.microsoft.com/office/drawing/2010/main" val="0"/>
                        </a:ext>
                      </a:extLst>
                    </a:blip>
                    <a:stretch>
                      <a:fillRect/>
                    </a:stretch>
                  </pic:blipFill>
                  <pic:spPr>
                    <a:xfrm>
                      <a:off x="0" y="0"/>
                      <a:ext cx="5767200" cy="7300800"/>
                    </a:xfrm>
                    <a:prstGeom prst="rect">
                      <a:avLst/>
                    </a:prstGeom>
                  </pic:spPr>
                </pic:pic>
              </a:graphicData>
            </a:graphic>
          </wp:inline>
        </w:drawing>
      </w:r>
    </w:p>
    <w:p w14:paraId="05F194C6" w14:textId="77777777" w:rsidR="00222276" w:rsidRPr="00222276" w:rsidRDefault="00222276" w:rsidP="00222276">
      <w:pPr>
        <w:pStyle w:val="CDITable-FirstFootnote"/>
        <w:rPr>
          <w:lang w:val="en-GB"/>
        </w:rPr>
      </w:pPr>
      <w:proofErr w:type="spellStart"/>
      <w:r w:rsidRPr="00222276">
        <w:rPr>
          <w:lang w:val="en-GB"/>
        </w:rPr>
        <w:t>a</w:t>
      </w:r>
      <w:proofErr w:type="spellEnd"/>
      <w:r w:rsidRPr="00222276">
        <w:rPr>
          <w:lang w:val="en-GB"/>
        </w:rPr>
        <w:tab/>
        <w:t xml:space="preserve">Rates for the 6 months to &lt; </w:t>
      </w:r>
      <w:proofErr w:type="gramStart"/>
      <w:r w:rsidRPr="00222276">
        <w:rPr>
          <w:lang w:val="en-GB"/>
        </w:rPr>
        <w:t>5 year</w:t>
      </w:r>
      <w:proofErr w:type="gramEnd"/>
      <w:r w:rsidRPr="00222276">
        <w:rPr>
          <w:lang w:val="en-GB"/>
        </w:rPr>
        <w:t xml:space="preserve"> age group were excluded from the figure due to small numbers of AEFI reports. Reports were also excluded from the data informing the figure under the following criteria: </w:t>
      </w:r>
      <w:proofErr w:type="spellStart"/>
      <w:r w:rsidRPr="00222276">
        <w:rPr>
          <w:lang w:val="en-GB"/>
        </w:rPr>
        <w:t>i</w:t>
      </w:r>
      <w:proofErr w:type="spellEnd"/>
      <w:r w:rsidRPr="00222276">
        <w:rPr>
          <w:lang w:val="en-GB"/>
        </w:rPr>
        <w:t>) where the date of vaccination was not recorded; ii) where vaccination was recorded for January 2021; iii) where Vaxzevria vaccination before March 2021 was reported; iv) where Spikevax vaccination before September 2021 was reported; and v) where Nuvaxovid vaccination before January 2022 was reported. Denominators were calculated using AIR data for each vaccine brand and age group. Rates were excluded for months where fewer than 1,000 doses of a specific vaccine brand were administered to a particular age group.</w:t>
      </w:r>
    </w:p>
    <w:p w14:paraId="7227353E" w14:textId="77777777" w:rsidR="00222276" w:rsidRPr="00222276" w:rsidRDefault="00222276" w:rsidP="00222276">
      <w:pPr>
        <w:pStyle w:val="Heading3"/>
        <w:rPr>
          <w:lang w:val="en-GB"/>
        </w:rPr>
      </w:pPr>
      <w:r w:rsidRPr="00222276">
        <w:rPr>
          <w:lang w:val="en-GB"/>
        </w:rPr>
        <w:lastRenderedPageBreak/>
        <w:t>Chest pain and other cardiac-related adverse events</w:t>
      </w:r>
    </w:p>
    <w:p w14:paraId="653288CD" w14:textId="77777777" w:rsidR="00222276" w:rsidRPr="00222276" w:rsidRDefault="00222276" w:rsidP="00222276">
      <w:pPr>
        <w:rPr>
          <w:lang w:val="en-GB"/>
        </w:rPr>
      </w:pPr>
      <w:r w:rsidRPr="00222276">
        <w:rPr>
          <w:lang w:val="en-GB"/>
        </w:rPr>
        <w:t xml:space="preserve">There were 2,743 reports of chest pain, with 474 reports (17.3%) categorised as serious (Table 4). The median age at COVID-19 vaccination was 35 years (interquartile range, IQR: 25–48 years). Of the 2,713 reports where the sex was provided, 1,515 (55.8%) were female and 1,198 (44.2%) were male. Of the 2,732 reports where the vaccine brand was provided, Comirnaty was the most frequently associated vaccine, included in 2,011/2,732 reports of chest pain (73.6%), followed by Spikevax (435/2,732 reports, 15.9%; Table 5). Please note that reports specifically assigned the PT ‘non-cardiac chest pain’ were mapped to the gastrointestinal nonspecific symptoms </w:t>
      </w:r>
      <w:proofErr w:type="gramStart"/>
      <w:r w:rsidRPr="00222276">
        <w:rPr>
          <w:lang w:val="en-GB"/>
        </w:rPr>
        <w:t>SMQ, and</w:t>
      </w:r>
      <w:proofErr w:type="gramEnd"/>
      <w:r w:rsidRPr="00222276">
        <w:rPr>
          <w:lang w:val="en-GB"/>
        </w:rPr>
        <w:t xml:space="preserve"> were not included within chest pain (Appendix A, Table A.3).</w:t>
      </w:r>
    </w:p>
    <w:p w14:paraId="5EB71549" w14:textId="77777777" w:rsidR="00222276" w:rsidRPr="00222276" w:rsidRDefault="00222276" w:rsidP="00222276">
      <w:pPr>
        <w:rPr>
          <w:lang w:val="en-GB"/>
        </w:rPr>
      </w:pPr>
      <w:r w:rsidRPr="00222276">
        <w:rPr>
          <w:lang w:val="en-GB"/>
        </w:rPr>
        <w:t xml:space="preserve">Included in 2,417/2,743 reports of chest pain (88.1%), there were additional PT/SMQ. The PT/SMQ most frequently occurring with chest pain were dyspnoea (875 reports), </w:t>
      </w:r>
      <w:proofErr w:type="spellStart"/>
      <w:r w:rsidRPr="00222276">
        <w:rPr>
          <w:lang w:val="en-GB"/>
        </w:rPr>
        <w:t>noninfectious</w:t>
      </w:r>
      <w:proofErr w:type="spellEnd"/>
      <w:r w:rsidRPr="00222276">
        <w:rPr>
          <w:lang w:val="en-GB"/>
        </w:rPr>
        <w:t xml:space="preserve"> myocarditis/pericarditis (639 reports; see section below) and ‘gastrointestinal nonspecific symptoms’ (523 reports). </w:t>
      </w:r>
    </w:p>
    <w:p w14:paraId="30B8722E" w14:textId="77777777" w:rsidR="00222276" w:rsidRPr="00222276" w:rsidRDefault="00222276" w:rsidP="00222276">
      <w:pPr>
        <w:rPr>
          <w:lang w:val="en-GB"/>
        </w:rPr>
      </w:pPr>
      <w:r w:rsidRPr="00222276">
        <w:rPr>
          <w:lang w:val="en-GB"/>
        </w:rPr>
        <w:t xml:space="preserve">Additionally, there were 699 COVID-19 AEFI reports coded with the PT/SMQ ‘chest discomfort’, which encompasses symptoms such as chest heaviness or tightness. In 279 of these chest discomfort reports, chest pain was also recorded. There were also 1,026 reports of palpitations, 461 of which included chest pain as an additional PT/SMQ. </w:t>
      </w:r>
    </w:p>
    <w:p w14:paraId="2F010E54" w14:textId="77777777" w:rsidR="00222276" w:rsidRPr="00222276" w:rsidRDefault="00222276" w:rsidP="00222276">
      <w:pPr>
        <w:pStyle w:val="Heading2"/>
        <w:rPr>
          <w:lang w:val="en-GB"/>
        </w:rPr>
      </w:pPr>
      <w:bookmarkStart w:id="39" w:name="_Toc215578714"/>
      <w:r w:rsidRPr="00222276">
        <w:rPr>
          <w:lang w:val="en-GB"/>
        </w:rPr>
        <w:t>Adverse events of special interest</w:t>
      </w:r>
      <w:bookmarkEnd w:id="39"/>
    </w:p>
    <w:p w14:paraId="568F6828" w14:textId="77777777" w:rsidR="00222276" w:rsidRPr="00222276" w:rsidRDefault="00222276" w:rsidP="00222276">
      <w:pPr>
        <w:rPr>
          <w:lang w:val="en-GB"/>
        </w:rPr>
      </w:pPr>
      <w:r w:rsidRPr="00222276">
        <w:rPr>
          <w:lang w:val="en-GB"/>
        </w:rPr>
        <w:t>The order of reporting frequency for the most common Brighton Collaboration-listed COVID-19 vaccine AESI in the AEMS database in 2022 remained the same as that in 2021. Myocarditis and/or pericarditis was the most frequently reported AESI, with 1,049 reports (5.7% of all COVID-19 AEFI reports; Table 6). The next most frequently reported AESI was thrombosis and thromboembolism (a Brighton Collaboration-defined grouping of LLT and PT, which does not specifically include the PT ‘thrombocytosis with thrombocytopenia syndrome’ but may capture cases of TTS through including thrombotic events at any anatomical site; details in Appendix A, Table A.4), followed by anaphylaxis. For most AESI, there were fewer than 5 reports per 100,000 doses administered of each COVID-19 vaccine brand in each age group, with the notable exception of four AESI: myocarditis and/or pericarditis, thrombosis and thromboembolism, thrombocytopenia, and anaphylaxis (Figure 4).</w:t>
      </w:r>
    </w:p>
    <w:p w14:paraId="0E873133" w14:textId="77777777" w:rsidR="009A5C15" w:rsidRDefault="00222276" w:rsidP="00222276">
      <w:pPr>
        <w:rPr>
          <w:lang w:val="en-GB"/>
        </w:rPr>
        <w:sectPr w:rsidR="009A5C15" w:rsidSect="001E3ECB">
          <w:footnotePr>
            <w:numFmt w:val="lowerRoman"/>
          </w:footnotePr>
          <w:pgSz w:w="11907" w:h="16840" w:code="9"/>
          <w:pgMar w:top="1134" w:right="1134" w:bottom="1134" w:left="1134" w:header="709" w:footer="567" w:gutter="0"/>
          <w:cols w:space="708"/>
          <w:docGrid w:linePitch="360"/>
        </w:sectPr>
      </w:pPr>
      <w:proofErr w:type="gramStart"/>
      <w:r w:rsidRPr="00222276">
        <w:rPr>
          <w:lang w:val="en-GB"/>
        </w:rPr>
        <w:t>Overall</w:t>
      </w:r>
      <w:proofErr w:type="gramEnd"/>
      <w:r w:rsidRPr="00222276">
        <w:rPr>
          <w:lang w:val="en-GB"/>
        </w:rPr>
        <w:t xml:space="preserve"> in all age groups, the reporting rate for myocarditis and/or pericarditis, as identified using Brighton Collaboration guidance, was 5.1 per 100,000 doses administered. Of the 1,041 myocarditis and/or pericarditis reports where sex was provided, 460 (44.2%) were female and 581 (55.8%) were male. The median age at vaccination was 34 years (IQR: 25–48 years). Of the 1,046 reports where the vaccine brand was known, 795 (76.0%) included Comirnaty, followed by 195 (18.6%) reports including Spikevax. In the 16–59 age group, the reporting rate for myocarditis and/or pericarditis ranged from 7.5 per 100,000 doses for Spikevax to 26.6 per 100,000 doses following Nuvaxovid. However, the highest vaccine brand- and age group-specific reporting rate for myocarditis and/or pericarditis was 28.4 per 100,000 doses of Spikevax administered to children aged 5–11 years. Spikevax was also associated with a rate of myocarditis and/or pericarditis reports of 19.3 per 100,000 doses in the 12–</w:t>
      </w:r>
      <w:proofErr w:type="gramStart"/>
      <w:r w:rsidRPr="00222276">
        <w:rPr>
          <w:lang w:val="en-GB"/>
        </w:rPr>
        <w:t>15 year</w:t>
      </w:r>
      <w:proofErr w:type="gramEnd"/>
      <w:r w:rsidRPr="00222276">
        <w:rPr>
          <w:lang w:val="en-GB"/>
        </w:rPr>
        <w:t xml:space="preserve"> age group. Notably, 455 (45.1%) of the 1,009 myocarditis and/or pericarditis reports where the jurisdiction was known originated from Western Australia.</w:t>
      </w:r>
    </w:p>
    <w:p w14:paraId="096341A9" w14:textId="77777777" w:rsidR="009A5C15" w:rsidRPr="009A5C15" w:rsidRDefault="009A5C15" w:rsidP="009A5C15">
      <w:pPr>
        <w:pStyle w:val="CDITable-Title"/>
        <w:spacing w:before="0"/>
        <w:rPr>
          <w:lang w:val="en-GB"/>
        </w:rPr>
      </w:pPr>
      <w:bookmarkStart w:id="40" w:name="_Toc215578749"/>
      <w:r w:rsidRPr="009A5C15">
        <w:rPr>
          <w:lang w:val="en-GB"/>
        </w:rPr>
        <w:lastRenderedPageBreak/>
        <w:t>Table 6: Adverse events of special interest (AESI) reported in reports of adverse events following immunisation (AEFI) with COVID-19 vaccines in 2022 in the Adverse Event Management System database</w:t>
      </w:r>
      <w:bookmarkEnd w:id="40"/>
    </w:p>
    <w:tbl>
      <w:tblPr>
        <w:tblW w:w="0" w:type="auto"/>
        <w:tblLayout w:type="fixed"/>
        <w:tblCellMar>
          <w:left w:w="0" w:type="dxa"/>
          <w:right w:w="0" w:type="dxa"/>
        </w:tblCellMar>
        <w:tblLook w:val="0000" w:firstRow="0" w:lastRow="0" w:firstColumn="0" w:lastColumn="0" w:noHBand="0" w:noVBand="0"/>
        <w:tblCaption w:val="Table 6: Adverse events of special interest (AESI) reported in reports of adverse events following immunisation (AEFI) with COVID-19 vaccines in 2022 in the Adverse Event Management System database"/>
        <w:tblDescription w:val="Table 6 lists twelve adverse events of special interest associated with COVID-19 vaccines. For each event, the table gives the total number of reports received in 2022, the number and proportion of reports classified as serious, and the number and proportion of reports for the five age groups of &lt; 5 years, 5-11 years, 12-15 years, 16-59 years and ≥ 60 years."/>
      </w:tblPr>
      <w:tblGrid>
        <w:gridCol w:w="3373"/>
        <w:gridCol w:w="1361"/>
        <w:gridCol w:w="1531"/>
        <w:gridCol w:w="1360"/>
        <w:gridCol w:w="1344"/>
        <w:gridCol w:w="1343"/>
        <w:gridCol w:w="1344"/>
        <w:gridCol w:w="1344"/>
        <w:gridCol w:w="1343"/>
      </w:tblGrid>
      <w:tr w:rsidR="009A5C15" w:rsidRPr="009A5C15" w14:paraId="2B06162A" w14:textId="77777777" w:rsidTr="009A5C15">
        <w:trPr>
          <w:trHeight w:val="60"/>
          <w:tblHeader/>
        </w:trPr>
        <w:tc>
          <w:tcPr>
            <w:tcW w:w="3373" w:type="dxa"/>
            <w:shd w:val="clear" w:color="auto" w:fill="1E4496" w:themeFill="text2"/>
            <w:tcMar>
              <w:top w:w="96" w:type="dxa"/>
              <w:left w:w="113" w:type="dxa"/>
              <w:bottom w:w="96" w:type="dxa"/>
              <w:right w:w="113" w:type="dxa"/>
            </w:tcMar>
            <w:vAlign w:val="bottom"/>
          </w:tcPr>
          <w:p w14:paraId="3253056F" w14:textId="77777777" w:rsidR="009A5C15" w:rsidRPr="009A5C15" w:rsidRDefault="009A5C15" w:rsidP="009A5C15">
            <w:pPr>
              <w:pStyle w:val="CDITable-HeaderRowLeft"/>
            </w:pPr>
            <w:r w:rsidRPr="009A5C15">
              <w:t>AESI</w:t>
            </w:r>
          </w:p>
        </w:tc>
        <w:tc>
          <w:tcPr>
            <w:tcW w:w="1361" w:type="dxa"/>
            <w:shd w:val="clear" w:color="auto" w:fill="1E4496" w:themeFill="text2"/>
            <w:tcMar>
              <w:top w:w="96" w:type="dxa"/>
              <w:left w:w="113" w:type="dxa"/>
              <w:bottom w:w="96" w:type="dxa"/>
              <w:right w:w="113" w:type="dxa"/>
            </w:tcMar>
            <w:vAlign w:val="bottom"/>
          </w:tcPr>
          <w:p w14:paraId="360441ED" w14:textId="77777777" w:rsidR="009A5C15" w:rsidRPr="009A5C15" w:rsidRDefault="009A5C15" w:rsidP="009A5C15">
            <w:pPr>
              <w:pStyle w:val="CDITable-HeaderRowCentre"/>
            </w:pPr>
            <w:r w:rsidRPr="009A5C15">
              <w:t>AEFI reports n (</w:t>
            </w:r>
            <w:proofErr w:type="gramStart"/>
            <w:r w:rsidRPr="009A5C15">
              <w:t>%)</w:t>
            </w:r>
            <w:proofErr w:type="spellStart"/>
            <w:r w:rsidRPr="009A5C15">
              <w:rPr>
                <w:vertAlign w:val="superscript"/>
              </w:rPr>
              <w:t>a</w:t>
            </w:r>
            <w:proofErr w:type="gramEnd"/>
            <w:r w:rsidRPr="009A5C15">
              <w:rPr>
                <w:vertAlign w:val="superscript"/>
              </w:rPr>
              <w:t>,b</w:t>
            </w:r>
            <w:proofErr w:type="spellEnd"/>
          </w:p>
        </w:tc>
        <w:tc>
          <w:tcPr>
            <w:tcW w:w="1531" w:type="dxa"/>
            <w:shd w:val="clear" w:color="auto" w:fill="1E4496" w:themeFill="text2"/>
            <w:tcMar>
              <w:top w:w="96" w:type="dxa"/>
              <w:left w:w="113" w:type="dxa"/>
              <w:bottom w:w="96" w:type="dxa"/>
              <w:right w:w="113" w:type="dxa"/>
            </w:tcMar>
            <w:vAlign w:val="bottom"/>
          </w:tcPr>
          <w:p w14:paraId="5C61E954" w14:textId="77777777" w:rsidR="009A5C15" w:rsidRPr="009A5C15" w:rsidRDefault="009A5C15" w:rsidP="009A5C15">
            <w:pPr>
              <w:pStyle w:val="CDITable-HeaderRowCentre"/>
            </w:pPr>
            <w:r w:rsidRPr="009A5C15">
              <w:t>Reports with a single vaccine coded as suspect</w:t>
            </w:r>
            <w:r w:rsidRPr="009A5C15">
              <w:br/>
              <w:t>n (</w:t>
            </w:r>
            <w:proofErr w:type="gramStart"/>
            <w:r w:rsidRPr="009A5C15">
              <w:t>%)</w:t>
            </w:r>
            <w:proofErr w:type="spellStart"/>
            <w:r w:rsidRPr="009A5C15">
              <w:rPr>
                <w:vertAlign w:val="superscript"/>
              </w:rPr>
              <w:t>c</w:t>
            </w:r>
            <w:proofErr w:type="gramEnd"/>
            <w:r w:rsidRPr="009A5C15">
              <w:rPr>
                <w:vertAlign w:val="superscript"/>
              </w:rPr>
              <w:t>,d</w:t>
            </w:r>
            <w:proofErr w:type="spellEnd"/>
          </w:p>
        </w:tc>
        <w:tc>
          <w:tcPr>
            <w:tcW w:w="1360" w:type="dxa"/>
            <w:shd w:val="clear" w:color="auto" w:fill="1E4496" w:themeFill="text2"/>
            <w:tcMar>
              <w:top w:w="96" w:type="dxa"/>
              <w:left w:w="113" w:type="dxa"/>
              <w:bottom w:w="96" w:type="dxa"/>
              <w:right w:w="113" w:type="dxa"/>
            </w:tcMar>
            <w:vAlign w:val="bottom"/>
          </w:tcPr>
          <w:p w14:paraId="33411941" w14:textId="77777777" w:rsidR="009A5C15" w:rsidRPr="009A5C15" w:rsidRDefault="009A5C15" w:rsidP="009A5C15">
            <w:pPr>
              <w:pStyle w:val="CDITable-HeaderRowCentre"/>
            </w:pPr>
            <w:r w:rsidRPr="009A5C15">
              <w:t>Serious AEFI</w:t>
            </w:r>
            <w:r w:rsidRPr="009A5C15">
              <w:br/>
              <w:t>n (</w:t>
            </w:r>
            <w:proofErr w:type="gramStart"/>
            <w:r w:rsidRPr="009A5C15">
              <w:t>%)</w:t>
            </w:r>
            <w:proofErr w:type="spellStart"/>
            <w:r w:rsidRPr="009A5C15">
              <w:rPr>
                <w:vertAlign w:val="superscript"/>
              </w:rPr>
              <w:t>d</w:t>
            </w:r>
            <w:proofErr w:type="gramEnd"/>
            <w:r w:rsidRPr="009A5C15">
              <w:rPr>
                <w:vertAlign w:val="superscript"/>
              </w:rPr>
              <w:t>,e</w:t>
            </w:r>
            <w:proofErr w:type="spellEnd"/>
          </w:p>
        </w:tc>
        <w:tc>
          <w:tcPr>
            <w:tcW w:w="1344" w:type="dxa"/>
            <w:shd w:val="clear" w:color="auto" w:fill="1E4496" w:themeFill="text2"/>
            <w:tcMar>
              <w:top w:w="96" w:type="dxa"/>
              <w:left w:w="113" w:type="dxa"/>
              <w:bottom w:w="96" w:type="dxa"/>
              <w:right w:w="113" w:type="dxa"/>
            </w:tcMar>
            <w:vAlign w:val="bottom"/>
          </w:tcPr>
          <w:p w14:paraId="63728F01" w14:textId="1E8C1087" w:rsidR="009A5C15" w:rsidRPr="009A5C15" w:rsidRDefault="009A5C15" w:rsidP="009A5C15">
            <w:pPr>
              <w:pStyle w:val="CDITable-HeaderRowCentre"/>
            </w:pPr>
            <w:r w:rsidRPr="009A5C15">
              <w:t>Aged &lt;</w:t>
            </w:r>
            <w:r>
              <w:t> </w:t>
            </w:r>
            <w:r w:rsidRPr="009A5C15">
              <w:t>5</w:t>
            </w:r>
            <w:r>
              <w:t> </w:t>
            </w:r>
            <w:r w:rsidRPr="009A5C15">
              <w:t>years n</w:t>
            </w:r>
            <w:r>
              <w:t> </w:t>
            </w:r>
            <w:r w:rsidRPr="009A5C15">
              <w:t>(</w:t>
            </w:r>
            <w:proofErr w:type="gramStart"/>
            <w:r w:rsidRPr="009A5C15">
              <w:t>%)</w:t>
            </w:r>
            <w:proofErr w:type="spellStart"/>
            <w:r w:rsidRPr="009A5C15">
              <w:rPr>
                <w:vertAlign w:val="superscript"/>
              </w:rPr>
              <w:t>d</w:t>
            </w:r>
            <w:proofErr w:type="gramEnd"/>
            <w:r w:rsidRPr="009A5C15">
              <w:rPr>
                <w:vertAlign w:val="superscript"/>
              </w:rPr>
              <w:t>,f</w:t>
            </w:r>
            <w:proofErr w:type="spellEnd"/>
          </w:p>
        </w:tc>
        <w:tc>
          <w:tcPr>
            <w:tcW w:w="1343" w:type="dxa"/>
            <w:shd w:val="clear" w:color="auto" w:fill="1E4496" w:themeFill="text2"/>
            <w:tcMar>
              <w:top w:w="96" w:type="dxa"/>
              <w:left w:w="113" w:type="dxa"/>
              <w:bottom w:w="96" w:type="dxa"/>
              <w:right w:w="113" w:type="dxa"/>
            </w:tcMar>
            <w:vAlign w:val="bottom"/>
          </w:tcPr>
          <w:p w14:paraId="3CE502A3" w14:textId="1413B152" w:rsidR="009A5C15" w:rsidRPr="009A5C15" w:rsidRDefault="009A5C15" w:rsidP="009A5C15">
            <w:pPr>
              <w:pStyle w:val="CDITable-HeaderRowCentre"/>
            </w:pPr>
            <w:r w:rsidRPr="009A5C15">
              <w:t>Aged</w:t>
            </w:r>
            <w:r>
              <w:br/>
            </w:r>
            <w:r w:rsidRPr="009A5C15">
              <w:t>5–11</w:t>
            </w:r>
            <w:r>
              <w:t> </w:t>
            </w:r>
            <w:r w:rsidRPr="009A5C15">
              <w:t>years n</w:t>
            </w:r>
            <w:r>
              <w:t> </w:t>
            </w:r>
            <w:r w:rsidRPr="009A5C15">
              <w:t>(</w:t>
            </w:r>
            <w:proofErr w:type="gramStart"/>
            <w:r w:rsidRPr="009A5C15">
              <w:t>%)</w:t>
            </w:r>
            <w:proofErr w:type="spellStart"/>
            <w:r w:rsidRPr="009A5C15">
              <w:rPr>
                <w:vertAlign w:val="superscript"/>
              </w:rPr>
              <w:t>d</w:t>
            </w:r>
            <w:proofErr w:type="gramEnd"/>
            <w:r w:rsidRPr="009A5C15">
              <w:rPr>
                <w:vertAlign w:val="superscript"/>
              </w:rPr>
              <w:t>,f</w:t>
            </w:r>
            <w:proofErr w:type="spellEnd"/>
          </w:p>
        </w:tc>
        <w:tc>
          <w:tcPr>
            <w:tcW w:w="1344" w:type="dxa"/>
            <w:shd w:val="clear" w:color="auto" w:fill="1E4496" w:themeFill="text2"/>
            <w:tcMar>
              <w:top w:w="96" w:type="dxa"/>
              <w:left w:w="113" w:type="dxa"/>
              <w:bottom w:w="96" w:type="dxa"/>
              <w:right w:w="113" w:type="dxa"/>
            </w:tcMar>
            <w:vAlign w:val="bottom"/>
          </w:tcPr>
          <w:p w14:paraId="38A308EC" w14:textId="038E7361" w:rsidR="009A5C15" w:rsidRPr="009A5C15" w:rsidRDefault="009A5C15" w:rsidP="009A5C15">
            <w:pPr>
              <w:pStyle w:val="CDITable-HeaderRowCentre"/>
            </w:pPr>
            <w:r w:rsidRPr="009A5C15">
              <w:t>Aged</w:t>
            </w:r>
            <w:r>
              <w:br/>
            </w:r>
            <w:r w:rsidRPr="009A5C15">
              <w:t>12–15</w:t>
            </w:r>
            <w:r>
              <w:t> </w:t>
            </w:r>
            <w:r w:rsidRPr="009A5C15">
              <w:t>years n</w:t>
            </w:r>
            <w:r>
              <w:t> </w:t>
            </w:r>
            <w:r w:rsidRPr="009A5C15">
              <w:t>(</w:t>
            </w:r>
            <w:proofErr w:type="gramStart"/>
            <w:r w:rsidRPr="009A5C15">
              <w:t>%)</w:t>
            </w:r>
            <w:proofErr w:type="spellStart"/>
            <w:r w:rsidRPr="009A5C15">
              <w:rPr>
                <w:vertAlign w:val="superscript"/>
              </w:rPr>
              <w:t>d</w:t>
            </w:r>
            <w:proofErr w:type="gramEnd"/>
            <w:r w:rsidRPr="009A5C15">
              <w:rPr>
                <w:vertAlign w:val="superscript"/>
              </w:rPr>
              <w:t>,f</w:t>
            </w:r>
            <w:proofErr w:type="spellEnd"/>
          </w:p>
        </w:tc>
        <w:tc>
          <w:tcPr>
            <w:tcW w:w="1344" w:type="dxa"/>
            <w:shd w:val="clear" w:color="auto" w:fill="1E4496" w:themeFill="text2"/>
            <w:tcMar>
              <w:top w:w="96" w:type="dxa"/>
              <w:left w:w="113" w:type="dxa"/>
              <w:bottom w:w="96" w:type="dxa"/>
              <w:right w:w="113" w:type="dxa"/>
            </w:tcMar>
            <w:vAlign w:val="bottom"/>
          </w:tcPr>
          <w:p w14:paraId="619A1A2D" w14:textId="44497768" w:rsidR="009A5C15" w:rsidRPr="009A5C15" w:rsidRDefault="009A5C15" w:rsidP="009A5C15">
            <w:pPr>
              <w:pStyle w:val="CDITable-HeaderRowCentre"/>
            </w:pPr>
            <w:r w:rsidRPr="009A5C15">
              <w:t>Aged</w:t>
            </w:r>
            <w:r>
              <w:br/>
            </w:r>
            <w:r w:rsidRPr="009A5C15">
              <w:t>16–59</w:t>
            </w:r>
            <w:r>
              <w:t> </w:t>
            </w:r>
            <w:r w:rsidRPr="009A5C15">
              <w:t>years n</w:t>
            </w:r>
            <w:r>
              <w:t> </w:t>
            </w:r>
            <w:r w:rsidRPr="009A5C15">
              <w:t>(</w:t>
            </w:r>
            <w:proofErr w:type="gramStart"/>
            <w:r w:rsidRPr="009A5C15">
              <w:t>%)</w:t>
            </w:r>
            <w:proofErr w:type="spellStart"/>
            <w:r w:rsidRPr="009A5C15">
              <w:rPr>
                <w:vertAlign w:val="superscript"/>
              </w:rPr>
              <w:t>d</w:t>
            </w:r>
            <w:proofErr w:type="gramEnd"/>
            <w:r w:rsidRPr="009A5C15">
              <w:rPr>
                <w:vertAlign w:val="superscript"/>
              </w:rPr>
              <w:t>,f</w:t>
            </w:r>
            <w:proofErr w:type="spellEnd"/>
          </w:p>
        </w:tc>
        <w:tc>
          <w:tcPr>
            <w:tcW w:w="1343" w:type="dxa"/>
            <w:shd w:val="clear" w:color="auto" w:fill="1E4496" w:themeFill="text2"/>
            <w:tcMar>
              <w:top w:w="96" w:type="dxa"/>
              <w:left w:w="113" w:type="dxa"/>
              <w:bottom w:w="96" w:type="dxa"/>
              <w:right w:w="113" w:type="dxa"/>
            </w:tcMar>
            <w:vAlign w:val="bottom"/>
          </w:tcPr>
          <w:p w14:paraId="6FEB2562" w14:textId="05B072B6" w:rsidR="009A5C15" w:rsidRPr="009A5C15" w:rsidRDefault="009A5C15" w:rsidP="009A5C15">
            <w:pPr>
              <w:pStyle w:val="CDITable-HeaderRowCentre"/>
            </w:pPr>
            <w:r w:rsidRPr="009A5C15">
              <w:t>Aged ≥</w:t>
            </w:r>
            <w:r>
              <w:t> </w:t>
            </w:r>
            <w:r w:rsidRPr="009A5C15">
              <w:t>60</w:t>
            </w:r>
            <w:r>
              <w:t> </w:t>
            </w:r>
            <w:r w:rsidRPr="009A5C15">
              <w:t>years n</w:t>
            </w:r>
            <w:r>
              <w:t> </w:t>
            </w:r>
            <w:r w:rsidRPr="009A5C15">
              <w:t>(</w:t>
            </w:r>
            <w:proofErr w:type="gramStart"/>
            <w:r w:rsidRPr="009A5C15">
              <w:t>%)</w:t>
            </w:r>
            <w:proofErr w:type="spellStart"/>
            <w:r w:rsidRPr="009A5C15">
              <w:rPr>
                <w:vertAlign w:val="superscript"/>
              </w:rPr>
              <w:t>d</w:t>
            </w:r>
            <w:proofErr w:type="gramEnd"/>
            <w:r w:rsidRPr="009A5C15">
              <w:rPr>
                <w:vertAlign w:val="superscript"/>
              </w:rPr>
              <w:t>,f</w:t>
            </w:r>
            <w:proofErr w:type="spellEnd"/>
          </w:p>
        </w:tc>
      </w:tr>
      <w:tr w:rsidR="009A5C15" w:rsidRPr="009A5C15" w14:paraId="700F7715" w14:textId="77777777" w:rsidTr="009A5C15">
        <w:trPr>
          <w:trHeight w:val="60"/>
        </w:trPr>
        <w:tc>
          <w:tcPr>
            <w:tcW w:w="3373" w:type="dxa"/>
            <w:tcBorders>
              <w:bottom w:val="single" w:sz="6" w:space="0" w:color="1E4496" w:themeColor="text2"/>
            </w:tcBorders>
            <w:tcMar>
              <w:top w:w="96" w:type="dxa"/>
              <w:left w:w="113" w:type="dxa"/>
              <w:bottom w:w="96" w:type="dxa"/>
              <w:right w:w="113" w:type="dxa"/>
            </w:tcMar>
            <w:vAlign w:val="center"/>
          </w:tcPr>
          <w:p w14:paraId="238D22F3" w14:textId="77777777" w:rsidR="009A5C15" w:rsidRPr="009A5C15" w:rsidRDefault="009A5C15" w:rsidP="009A5C15">
            <w:pPr>
              <w:pStyle w:val="CDITable-RowLeft"/>
            </w:pPr>
            <w:r w:rsidRPr="009A5C15">
              <w:t>Myocarditis and/or pericarditis</w:t>
            </w:r>
          </w:p>
        </w:tc>
        <w:tc>
          <w:tcPr>
            <w:tcW w:w="1361" w:type="dxa"/>
            <w:tcBorders>
              <w:bottom w:val="single" w:sz="6" w:space="0" w:color="1E4496" w:themeColor="text2"/>
            </w:tcBorders>
            <w:tcMar>
              <w:top w:w="96" w:type="dxa"/>
              <w:left w:w="113" w:type="dxa"/>
              <w:bottom w:w="96" w:type="dxa"/>
              <w:right w:w="113" w:type="dxa"/>
            </w:tcMar>
            <w:vAlign w:val="center"/>
          </w:tcPr>
          <w:p w14:paraId="78828802" w14:textId="77777777" w:rsidR="009A5C15" w:rsidRPr="009A5C15" w:rsidRDefault="009A5C15" w:rsidP="009A5C15">
            <w:pPr>
              <w:pStyle w:val="CDITable-RowCentre"/>
            </w:pPr>
            <w:r w:rsidRPr="009A5C15">
              <w:t>1,049 (5.7)</w:t>
            </w:r>
          </w:p>
        </w:tc>
        <w:tc>
          <w:tcPr>
            <w:tcW w:w="1531" w:type="dxa"/>
            <w:tcBorders>
              <w:bottom w:val="single" w:sz="6" w:space="0" w:color="1E4496" w:themeColor="text2"/>
            </w:tcBorders>
            <w:tcMar>
              <w:top w:w="96" w:type="dxa"/>
              <w:left w:w="113" w:type="dxa"/>
              <w:bottom w:w="96" w:type="dxa"/>
              <w:right w:w="113" w:type="dxa"/>
            </w:tcMar>
            <w:vAlign w:val="center"/>
          </w:tcPr>
          <w:p w14:paraId="42A8BCB9" w14:textId="77777777" w:rsidR="009A5C15" w:rsidRPr="009A5C15" w:rsidRDefault="009A5C15" w:rsidP="009A5C15">
            <w:pPr>
              <w:pStyle w:val="CDITable-RowCentre"/>
            </w:pPr>
            <w:r w:rsidRPr="009A5C15">
              <w:t>925 (88.2)</w:t>
            </w:r>
          </w:p>
        </w:tc>
        <w:tc>
          <w:tcPr>
            <w:tcW w:w="1360" w:type="dxa"/>
            <w:tcBorders>
              <w:bottom w:val="single" w:sz="6" w:space="0" w:color="1E4496" w:themeColor="text2"/>
            </w:tcBorders>
            <w:tcMar>
              <w:top w:w="96" w:type="dxa"/>
              <w:left w:w="113" w:type="dxa"/>
              <w:bottom w:w="96" w:type="dxa"/>
              <w:right w:w="113" w:type="dxa"/>
            </w:tcMar>
            <w:vAlign w:val="center"/>
          </w:tcPr>
          <w:p w14:paraId="5E5CD2C2" w14:textId="77777777" w:rsidR="009A5C15" w:rsidRPr="009A5C15" w:rsidRDefault="009A5C15" w:rsidP="009A5C15">
            <w:pPr>
              <w:pStyle w:val="CDITable-RowCentre"/>
            </w:pPr>
            <w:r w:rsidRPr="009A5C15">
              <w:t>369 (35.2)</w:t>
            </w:r>
          </w:p>
        </w:tc>
        <w:tc>
          <w:tcPr>
            <w:tcW w:w="1344" w:type="dxa"/>
            <w:tcBorders>
              <w:bottom w:val="single" w:sz="6" w:space="0" w:color="1E4496" w:themeColor="text2"/>
            </w:tcBorders>
            <w:tcMar>
              <w:top w:w="96" w:type="dxa"/>
              <w:left w:w="113" w:type="dxa"/>
              <w:bottom w:w="96" w:type="dxa"/>
              <w:right w:w="113" w:type="dxa"/>
            </w:tcMar>
            <w:vAlign w:val="center"/>
          </w:tcPr>
          <w:p w14:paraId="2A0E363E" w14:textId="77777777" w:rsidR="009A5C15" w:rsidRPr="009A5C15" w:rsidRDefault="009A5C15" w:rsidP="009A5C15">
            <w:pPr>
              <w:pStyle w:val="CDITable-RowCentre"/>
            </w:pPr>
            <w:r w:rsidRPr="009A5C15">
              <w:t>2 (0.2)</w:t>
            </w:r>
          </w:p>
        </w:tc>
        <w:tc>
          <w:tcPr>
            <w:tcW w:w="1343" w:type="dxa"/>
            <w:tcBorders>
              <w:bottom w:val="single" w:sz="6" w:space="0" w:color="1E4496" w:themeColor="text2"/>
            </w:tcBorders>
            <w:tcMar>
              <w:top w:w="96" w:type="dxa"/>
              <w:left w:w="113" w:type="dxa"/>
              <w:bottom w:w="96" w:type="dxa"/>
              <w:right w:w="113" w:type="dxa"/>
            </w:tcMar>
            <w:vAlign w:val="center"/>
          </w:tcPr>
          <w:p w14:paraId="7E43B339" w14:textId="77777777" w:rsidR="009A5C15" w:rsidRPr="009A5C15" w:rsidRDefault="009A5C15" w:rsidP="009A5C15">
            <w:pPr>
              <w:pStyle w:val="CDITable-RowCentre"/>
            </w:pPr>
            <w:r w:rsidRPr="009A5C15">
              <w:t>39 (3.7)</w:t>
            </w:r>
          </w:p>
        </w:tc>
        <w:tc>
          <w:tcPr>
            <w:tcW w:w="1344" w:type="dxa"/>
            <w:tcBorders>
              <w:bottom w:val="single" w:sz="6" w:space="0" w:color="1E4496" w:themeColor="text2"/>
            </w:tcBorders>
            <w:tcMar>
              <w:top w:w="96" w:type="dxa"/>
              <w:left w:w="113" w:type="dxa"/>
              <w:bottom w:w="96" w:type="dxa"/>
              <w:right w:w="113" w:type="dxa"/>
            </w:tcMar>
            <w:vAlign w:val="center"/>
          </w:tcPr>
          <w:p w14:paraId="063F9596" w14:textId="77777777" w:rsidR="009A5C15" w:rsidRPr="009A5C15" w:rsidRDefault="009A5C15" w:rsidP="009A5C15">
            <w:pPr>
              <w:pStyle w:val="CDITable-RowCentre"/>
            </w:pPr>
            <w:r w:rsidRPr="009A5C15">
              <w:t>26 (2.5)</w:t>
            </w:r>
          </w:p>
        </w:tc>
        <w:tc>
          <w:tcPr>
            <w:tcW w:w="1344" w:type="dxa"/>
            <w:tcBorders>
              <w:bottom w:val="single" w:sz="6" w:space="0" w:color="1E4496" w:themeColor="text2"/>
            </w:tcBorders>
            <w:tcMar>
              <w:top w:w="96" w:type="dxa"/>
              <w:left w:w="113" w:type="dxa"/>
              <w:bottom w:w="96" w:type="dxa"/>
              <w:right w:w="113" w:type="dxa"/>
            </w:tcMar>
            <w:vAlign w:val="center"/>
          </w:tcPr>
          <w:p w14:paraId="505A42FB" w14:textId="77777777" w:rsidR="009A5C15" w:rsidRPr="009A5C15" w:rsidRDefault="009A5C15" w:rsidP="009A5C15">
            <w:pPr>
              <w:pStyle w:val="CDITable-RowCentre"/>
            </w:pPr>
            <w:r w:rsidRPr="009A5C15">
              <w:t>834 (79.5)</w:t>
            </w:r>
          </w:p>
        </w:tc>
        <w:tc>
          <w:tcPr>
            <w:tcW w:w="1343" w:type="dxa"/>
            <w:tcBorders>
              <w:bottom w:val="single" w:sz="6" w:space="0" w:color="1E4496" w:themeColor="text2"/>
            </w:tcBorders>
            <w:tcMar>
              <w:top w:w="96" w:type="dxa"/>
              <w:left w:w="113" w:type="dxa"/>
              <w:bottom w:w="96" w:type="dxa"/>
              <w:right w:w="113" w:type="dxa"/>
            </w:tcMar>
            <w:vAlign w:val="center"/>
          </w:tcPr>
          <w:p w14:paraId="31C86675" w14:textId="77777777" w:rsidR="009A5C15" w:rsidRPr="009A5C15" w:rsidRDefault="009A5C15" w:rsidP="009A5C15">
            <w:pPr>
              <w:pStyle w:val="CDITable-RowCentre"/>
            </w:pPr>
            <w:r w:rsidRPr="009A5C15">
              <w:t>112 (10.7)</w:t>
            </w:r>
          </w:p>
        </w:tc>
      </w:tr>
      <w:tr w:rsidR="009A5C15" w:rsidRPr="009A5C15" w14:paraId="1595DE48"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586601" w14:textId="77777777" w:rsidR="009A5C15" w:rsidRPr="009A5C15" w:rsidRDefault="009A5C15" w:rsidP="009A5C15">
            <w:pPr>
              <w:pStyle w:val="CDITable-RowLeft"/>
            </w:pPr>
            <w:r w:rsidRPr="009A5C15">
              <w:t>Thrombosis and thromboembolism</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4DF422" w14:textId="77777777" w:rsidR="009A5C15" w:rsidRPr="009A5C15" w:rsidRDefault="009A5C15" w:rsidP="009A5C15">
            <w:pPr>
              <w:pStyle w:val="CDITable-RowCentre"/>
            </w:pPr>
            <w:r w:rsidRPr="009A5C15">
              <w:t>307 (1.7)</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9B5F91" w14:textId="77777777" w:rsidR="009A5C15" w:rsidRPr="009A5C15" w:rsidRDefault="009A5C15" w:rsidP="009A5C15">
            <w:pPr>
              <w:pStyle w:val="CDITable-RowCentre"/>
            </w:pPr>
            <w:r w:rsidRPr="009A5C15">
              <w:t>244 (79.5)</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AE25C1" w14:textId="77777777" w:rsidR="009A5C15" w:rsidRPr="009A5C15" w:rsidRDefault="009A5C15" w:rsidP="009A5C15">
            <w:pPr>
              <w:pStyle w:val="CDITable-RowCentre"/>
            </w:pPr>
            <w:r w:rsidRPr="009A5C15">
              <w:t>158 (51.5)</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EB1C21"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A2EE9C" w14:textId="77777777" w:rsidR="009A5C15" w:rsidRPr="009A5C15" w:rsidRDefault="009A5C15" w:rsidP="009A5C15">
            <w:pPr>
              <w:pStyle w:val="CDITable-RowCentre"/>
            </w:pPr>
            <w:r w:rsidRPr="009A5C15">
              <w:t>1 (0.3)</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A8C198"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17C5DA" w14:textId="77777777" w:rsidR="009A5C15" w:rsidRPr="009A5C15" w:rsidRDefault="009A5C15" w:rsidP="009A5C15">
            <w:pPr>
              <w:pStyle w:val="CDITable-RowCentre"/>
            </w:pPr>
            <w:r w:rsidRPr="009A5C15">
              <w:t>143 (46.6)</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0E09AB" w14:textId="77777777" w:rsidR="009A5C15" w:rsidRPr="009A5C15" w:rsidRDefault="009A5C15" w:rsidP="009A5C15">
            <w:pPr>
              <w:pStyle w:val="CDITable-RowCentre"/>
            </w:pPr>
            <w:r w:rsidRPr="009A5C15">
              <w:t>121 (39.4)</w:t>
            </w:r>
          </w:p>
        </w:tc>
      </w:tr>
      <w:tr w:rsidR="009A5C15" w:rsidRPr="009A5C15" w14:paraId="1939744E"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7D3EFB" w14:textId="77777777" w:rsidR="009A5C15" w:rsidRPr="009A5C15" w:rsidRDefault="009A5C15" w:rsidP="009A5C15">
            <w:pPr>
              <w:pStyle w:val="CDITable-RowLeft"/>
            </w:pPr>
            <w:r w:rsidRPr="009A5C15">
              <w:t>Anaphylaxis</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E60052" w14:textId="77777777" w:rsidR="009A5C15" w:rsidRPr="009A5C15" w:rsidRDefault="009A5C15" w:rsidP="009A5C15">
            <w:pPr>
              <w:pStyle w:val="CDITable-RowCentre"/>
            </w:pPr>
            <w:r w:rsidRPr="009A5C15">
              <w:t>164 (0.9)</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A71B2A" w14:textId="77777777" w:rsidR="009A5C15" w:rsidRPr="009A5C15" w:rsidRDefault="009A5C15" w:rsidP="009A5C15">
            <w:pPr>
              <w:pStyle w:val="CDITable-RowCentre"/>
            </w:pPr>
            <w:r w:rsidRPr="009A5C15">
              <w:t>153 (93.3)</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C9D7C6" w14:textId="77777777" w:rsidR="009A5C15" w:rsidRPr="009A5C15" w:rsidRDefault="009A5C15" w:rsidP="009A5C15">
            <w:pPr>
              <w:pStyle w:val="CDITable-RowCentre"/>
            </w:pPr>
            <w:r w:rsidRPr="009A5C15">
              <w:t>46 (28.0)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67A5A4"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4A4ED5" w14:textId="77777777" w:rsidR="009A5C15" w:rsidRPr="009A5C15" w:rsidRDefault="009A5C15" w:rsidP="009A5C15">
            <w:pPr>
              <w:pStyle w:val="CDITable-RowCentre"/>
            </w:pPr>
            <w:r w:rsidRPr="009A5C15">
              <w:t>5 (3.0)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BF1B71" w14:textId="77777777" w:rsidR="009A5C15" w:rsidRPr="009A5C15" w:rsidRDefault="009A5C15" w:rsidP="009A5C15">
            <w:pPr>
              <w:pStyle w:val="CDITable-RowCentre"/>
            </w:pPr>
            <w:r w:rsidRPr="009A5C15">
              <w:t>4 (2.4)</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8CA4A1" w14:textId="77777777" w:rsidR="009A5C15" w:rsidRPr="009A5C15" w:rsidRDefault="009A5C15" w:rsidP="009A5C15">
            <w:pPr>
              <w:pStyle w:val="CDITable-RowCentre"/>
            </w:pPr>
            <w:r w:rsidRPr="009A5C15">
              <w:t>130 (79.3)</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948183" w14:textId="77777777" w:rsidR="009A5C15" w:rsidRPr="009A5C15" w:rsidRDefault="009A5C15" w:rsidP="009A5C15">
            <w:pPr>
              <w:pStyle w:val="CDITable-RowCentre"/>
            </w:pPr>
            <w:r w:rsidRPr="009A5C15">
              <w:t>23 (14.0)</w:t>
            </w:r>
          </w:p>
        </w:tc>
      </w:tr>
      <w:tr w:rsidR="009A5C15" w:rsidRPr="009A5C15" w14:paraId="40B01A35"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2F9586" w14:textId="77777777" w:rsidR="009A5C15" w:rsidRPr="009A5C15" w:rsidRDefault="009A5C15" w:rsidP="009A5C15">
            <w:pPr>
              <w:pStyle w:val="CDITable-RowLeft"/>
            </w:pPr>
            <w:r w:rsidRPr="009A5C15">
              <w:t>Bell's palsy and facial nerve palsy</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881091" w14:textId="77777777" w:rsidR="009A5C15" w:rsidRPr="009A5C15" w:rsidRDefault="009A5C15" w:rsidP="009A5C15">
            <w:pPr>
              <w:pStyle w:val="CDITable-RowCentre"/>
            </w:pPr>
            <w:r w:rsidRPr="009A5C15">
              <w:t>161 (0.9)</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F0712D" w14:textId="77777777" w:rsidR="009A5C15" w:rsidRPr="009A5C15" w:rsidRDefault="009A5C15" w:rsidP="009A5C15">
            <w:pPr>
              <w:pStyle w:val="CDITable-RowCentre"/>
            </w:pPr>
            <w:r w:rsidRPr="009A5C15">
              <w:t>153 (95.0)</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2B7C6" w14:textId="77777777" w:rsidR="009A5C15" w:rsidRPr="009A5C15" w:rsidRDefault="009A5C15" w:rsidP="009A5C15">
            <w:pPr>
              <w:pStyle w:val="CDITable-RowCentre"/>
            </w:pPr>
            <w:r w:rsidRPr="009A5C15">
              <w:t>32 (19.9)</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C0D41D"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962452" w14:textId="77777777" w:rsidR="009A5C15" w:rsidRPr="009A5C15" w:rsidRDefault="009A5C15" w:rsidP="009A5C15">
            <w:pPr>
              <w:pStyle w:val="CDITable-RowCentre"/>
            </w:pPr>
            <w:r w:rsidRPr="009A5C15">
              <w:t>2 (1.2)</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FC1D37" w14:textId="77777777" w:rsidR="009A5C15" w:rsidRPr="009A5C15" w:rsidRDefault="009A5C15" w:rsidP="009A5C15">
            <w:pPr>
              <w:pStyle w:val="CDITable-RowCentre"/>
            </w:pPr>
            <w:r w:rsidRPr="009A5C15">
              <w:t>1 (0.6)</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F9AAC0" w14:textId="77777777" w:rsidR="009A5C15" w:rsidRPr="009A5C15" w:rsidRDefault="009A5C15" w:rsidP="009A5C15">
            <w:pPr>
              <w:pStyle w:val="CDITable-RowCentre"/>
            </w:pPr>
            <w:r w:rsidRPr="009A5C15">
              <w:t>105 (65.2)</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1848DC" w14:textId="77777777" w:rsidR="009A5C15" w:rsidRPr="009A5C15" w:rsidRDefault="009A5C15" w:rsidP="009A5C15">
            <w:pPr>
              <w:pStyle w:val="CDITable-RowCentre"/>
            </w:pPr>
            <w:r w:rsidRPr="009A5C15">
              <w:t>47 (29.2)</w:t>
            </w:r>
          </w:p>
        </w:tc>
      </w:tr>
      <w:tr w:rsidR="009A5C15" w:rsidRPr="009A5C15" w14:paraId="6D866079"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EA2784" w14:textId="77777777" w:rsidR="009A5C15" w:rsidRPr="009A5C15" w:rsidRDefault="009A5C15" w:rsidP="009A5C15">
            <w:pPr>
              <w:pStyle w:val="CDITable-RowLeft"/>
            </w:pPr>
            <w:r w:rsidRPr="009A5C15">
              <w:t>Generalised convulsion</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FAB8A3" w14:textId="77777777" w:rsidR="009A5C15" w:rsidRPr="009A5C15" w:rsidRDefault="009A5C15" w:rsidP="009A5C15">
            <w:pPr>
              <w:pStyle w:val="CDITable-RowCentre"/>
            </w:pPr>
            <w:r w:rsidRPr="009A5C15">
              <w:t>151 (0.8)</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8A1C35" w14:textId="77777777" w:rsidR="009A5C15" w:rsidRPr="009A5C15" w:rsidRDefault="009A5C15" w:rsidP="009A5C15">
            <w:pPr>
              <w:pStyle w:val="CDITable-RowCentre"/>
            </w:pPr>
            <w:r w:rsidRPr="009A5C15">
              <w:t>139 (92.1)</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68F2AC" w14:textId="77777777" w:rsidR="009A5C15" w:rsidRPr="009A5C15" w:rsidRDefault="009A5C15" w:rsidP="009A5C15">
            <w:pPr>
              <w:pStyle w:val="CDITable-RowCentre"/>
            </w:pPr>
            <w:r w:rsidRPr="009A5C15">
              <w:t>44 (29.1)</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328D06"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58DF2B" w14:textId="77777777" w:rsidR="009A5C15" w:rsidRPr="009A5C15" w:rsidRDefault="009A5C15" w:rsidP="009A5C15">
            <w:pPr>
              <w:pStyle w:val="CDITable-RowCentre"/>
            </w:pPr>
            <w:r w:rsidRPr="009A5C15">
              <w:t>37 (24.5)</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76531C" w14:textId="77777777" w:rsidR="009A5C15" w:rsidRPr="009A5C15" w:rsidRDefault="009A5C15" w:rsidP="009A5C15">
            <w:pPr>
              <w:pStyle w:val="CDITable-RowCentre"/>
            </w:pPr>
            <w:r w:rsidRPr="009A5C15">
              <w:t>4 (2.6)</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5F0E85" w14:textId="77777777" w:rsidR="009A5C15" w:rsidRPr="009A5C15" w:rsidRDefault="009A5C15" w:rsidP="009A5C15">
            <w:pPr>
              <w:pStyle w:val="CDITable-RowCentre"/>
            </w:pPr>
            <w:r w:rsidRPr="009A5C15">
              <w:t>90 (59.6)</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BCEABE" w14:textId="77777777" w:rsidR="009A5C15" w:rsidRPr="009A5C15" w:rsidRDefault="009A5C15" w:rsidP="009A5C15">
            <w:pPr>
              <w:pStyle w:val="CDITable-RowCentre"/>
            </w:pPr>
            <w:r w:rsidRPr="009A5C15">
              <w:t>17 (11.3)</w:t>
            </w:r>
          </w:p>
        </w:tc>
      </w:tr>
      <w:tr w:rsidR="009A5C15" w:rsidRPr="009A5C15" w14:paraId="7DF5AA3A"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2FFFE9" w14:textId="77777777" w:rsidR="009A5C15" w:rsidRPr="009A5C15" w:rsidRDefault="009A5C15" w:rsidP="009A5C15">
            <w:pPr>
              <w:pStyle w:val="CDITable-RowLeft"/>
            </w:pPr>
            <w:r w:rsidRPr="009A5C15">
              <w:t>Thrombocytopenia</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797485" w14:textId="77777777" w:rsidR="009A5C15" w:rsidRPr="009A5C15" w:rsidRDefault="009A5C15" w:rsidP="009A5C15">
            <w:pPr>
              <w:pStyle w:val="CDITable-RowCentre"/>
            </w:pPr>
            <w:r w:rsidRPr="009A5C15">
              <w:t>82 (0.4)</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77FB37" w14:textId="77777777" w:rsidR="009A5C15" w:rsidRPr="009A5C15" w:rsidRDefault="009A5C15" w:rsidP="009A5C15">
            <w:pPr>
              <w:pStyle w:val="CDITable-RowCentre"/>
            </w:pPr>
            <w:r w:rsidRPr="009A5C15">
              <w:t>55 (67.1)</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ED5235" w14:textId="77777777" w:rsidR="009A5C15" w:rsidRPr="009A5C15" w:rsidRDefault="009A5C15" w:rsidP="009A5C15">
            <w:pPr>
              <w:pStyle w:val="CDITable-RowCentre"/>
            </w:pPr>
            <w:r w:rsidRPr="009A5C15">
              <w:t>52 (63.4)</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77A44F"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E71123" w14:textId="77777777" w:rsidR="009A5C15" w:rsidRPr="009A5C15" w:rsidRDefault="009A5C15" w:rsidP="009A5C15">
            <w:pPr>
              <w:pStyle w:val="CDITable-RowCentre"/>
            </w:pPr>
            <w:r w:rsidRPr="009A5C15">
              <w:t>8 (9.8)</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894C85" w14:textId="77777777" w:rsidR="009A5C15" w:rsidRPr="009A5C15" w:rsidRDefault="009A5C15" w:rsidP="009A5C15">
            <w:pPr>
              <w:pStyle w:val="CDITable-RowCentre"/>
            </w:pPr>
            <w:r w:rsidRPr="009A5C15">
              <w:t>1 (1.2)</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497E3B" w14:textId="77777777" w:rsidR="009A5C15" w:rsidRPr="009A5C15" w:rsidRDefault="009A5C15" w:rsidP="009A5C15">
            <w:pPr>
              <w:pStyle w:val="CDITable-RowCentre"/>
            </w:pPr>
            <w:r w:rsidRPr="009A5C15">
              <w:t>33 (40.2)</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7C7732" w14:textId="77777777" w:rsidR="009A5C15" w:rsidRPr="009A5C15" w:rsidRDefault="009A5C15" w:rsidP="009A5C15">
            <w:pPr>
              <w:pStyle w:val="CDITable-RowCentre"/>
            </w:pPr>
            <w:r w:rsidRPr="009A5C15">
              <w:t>22 (26.8)</w:t>
            </w:r>
          </w:p>
        </w:tc>
      </w:tr>
      <w:tr w:rsidR="009A5C15" w:rsidRPr="009A5C15" w14:paraId="54E5036C"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907705" w14:textId="77777777" w:rsidR="009A5C15" w:rsidRPr="009A5C15" w:rsidRDefault="009A5C15" w:rsidP="009A5C15">
            <w:pPr>
              <w:pStyle w:val="CDITable-RowLeft"/>
            </w:pPr>
            <w:r w:rsidRPr="009A5C15">
              <w:t>Guillain-Barré Syndrome</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32CFB6" w14:textId="77777777" w:rsidR="009A5C15" w:rsidRPr="009A5C15" w:rsidRDefault="009A5C15" w:rsidP="009A5C15">
            <w:pPr>
              <w:pStyle w:val="CDITable-RowCentre"/>
            </w:pPr>
            <w:r w:rsidRPr="009A5C15">
              <w:t>34 (0.2)</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574B3D" w14:textId="77777777" w:rsidR="009A5C15" w:rsidRPr="009A5C15" w:rsidRDefault="009A5C15" w:rsidP="009A5C15">
            <w:pPr>
              <w:pStyle w:val="CDITable-RowCentre"/>
            </w:pPr>
            <w:r w:rsidRPr="009A5C15">
              <w:t>27 (79.4)</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EE3FFF" w14:textId="77777777" w:rsidR="009A5C15" w:rsidRPr="009A5C15" w:rsidRDefault="009A5C15" w:rsidP="009A5C15">
            <w:pPr>
              <w:pStyle w:val="CDITable-RowCentre"/>
            </w:pPr>
            <w:r w:rsidRPr="009A5C15">
              <w:t>25 (73.5)</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19F580"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EBFD81" w14:textId="77777777" w:rsidR="009A5C15" w:rsidRPr="009A5C15" w:rsidRDefault="009A5C15" w:rsidP="009A5C15">
            <w:pPr>
              <w:pStyle w:val="CDITable-RowCentre"/>
            </w:pPr>
            <w:r w:rsidRPr="009A5C15">
              <w:t>1 (2.9)</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68F4B6"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80C275" w14:textId="77777777" w:rsidR="009A5C15" w:rsidRPr="009A5C15" w:rsidRDefault="009A5C15" w:rsidP="009A5C15">
            <w:pPr>
              <w:pStyle w:val="CDITable-RowCentre"/>
            </w:pPr>
            <w:r w:rsidRPr="009A5C15">
              <w:t>17 (50)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B0E244" w14:textId="77777777" w:rsidR="009A5C15" w:rsidRPr="009A5C15" w:rsidRDefault="009A5C15" w:rsidP="009A5C15">
            <w:pPr>
              <w:pStyle w:val="CDITable-RowCentre"/>
            </w:pPr>
            <w:r w:rsidRPr="009A5C15">
              <w:t>13 (38.2)</w:t>
            </w:r>
          </w:p>
        </w:tc>
      </w:tr>
      <w:tr w:rsidR="009A5C15" w:rsidRPr="009A5C15" w14:paraId="6D0BBEF1"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C13354" w14:textId="77777777" w:rsidR="009A5C15" w:rsidRPr="009A5C15" w:rsidRDefault="009A5C15" w:rsidP="009A5C15">
            <w:pPr>
              <w:pStyle w:val="CDITable-RowLeft"/>
            </w:pPr>
            <w:r w:rsidRPr="009A5C15">
              <w:t>Multisystem inflammatory syndrome</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DB0956" w14:textId="77777777" w:rsidR="009A5C15" w:rsidRPr="009A5C15" w:rsidRDefault="009A5C15" w:rsidP="009A5C15">
            <w:pPr>
              <w:pStyle w:val="CDITable-RowCentre"/>
            </w:pPr>
            <w:r w:rsidRPr="009A5C15">
              <w:t>8 (0.04)</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0210C4" w14:textId="77777777" w:rsidR="009A5C15" w:rsidRPr="009A5C15" w:rsidRDefault="009A5C15" w:rsidP="009A5C15">
            <w:pPr>
              <w:pStyle w:val="CDITable-RowCentre"/>
            </w:pPr>
            <w:r w:rsidRPr="009A5C15">
              <w:t>6 (75.0)</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4A17F5" w14:textId="77777777" w:rsidR="009A5C15" w:rsidRPr="009A5C15" w:rsidRDefault="009A5C15" w:rsidP="009A5C15">
            <w:pPr>
              <w:pStyle w:val="CDITable-RowCentre"/>
            </w:pPr>
            <w:r w:rsidRPr="009A5C15">
              <w:t>7 (87.5)</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85C315"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99D57E" w14:textId="77777777" w:rsidR="009A5C15" w:rsidRPr="009A5C15" w:rsidRDefault="009A5C15" w:rsidP="009A5C15">
            <w:pPr>
              <w:pStyle w:val="CDITable-RowCentre"/>
            </w:pPr>
            <w:r w:rsidRPr="009A5C15">
              <w:t>6 (75.0)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A02CF2"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E92883" w14:textId="77777777" w:rsidR="009A5C15" w:rsidRPr="009A5C15" w:rsidRDefault="009A5C15" w:rsidP="009A5C15">
            <w:pPr>
              <w:pStyle w:val="CDITable-RowCentre"/>
            </w:pPr>
            <w:r w:rsidRPr="009A5C15">
              <w:t>2 (25.0)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C4194F" w14:textId="77777777" w:rsidR="009A5C15" w:rsidRPr="009A5C15" w:rsidRDefault="009A5C15" w:rsidP="009A5C15">
            <w:pPr>
              <w:pStyle w:val="CDITable-RowCentre"/>
            </w:pPr>
            <w:r w:rsidRPr="009A5C15">
              <w:t>0 (0)</w:t>
            </w:r>
          </w:p>
        </w:tc>
      </w:tr>
      <w:tr w:rsidR="009A5C15" w:rsidRPr="009A5C15" w14:paraId="350C2E6B"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A91C2F" w14:textId="77777777" w:rsidR="009A5C15" w:rsidRPr="009A5C15" w:rsidRDefault="009A5C15" w:rsidP="009A5C15">
            <w:pPr>
              <w:pStyle w:val="CDITable-RowLeft"/>
            </w:pPr>
            <w:r w:rsidRPr="009A5C15">
              <w:t>Aseptic meningitis</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AB21FF" w14:textId="77777777" w:rsidR="009A5C15" w:rsidRPr="009A5C15" w:rsidRDefault="009A5C15" w:rsidP="009A5C15">
            <w:pPr>
              <w:pStyle w:val="CDITable-RowCentre"/>
            </w:pPr>
            <w:r w:rsidRPr="009A5C15">
              <w:t>5 (0.03)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441545" w14:textId="77777777" w:rsidR="009A5C15" w:rsidRPr="009A5C15" w:rsidRDefault="009A5C15" w:rsidP="009A5C15">
            <w:pPr>
              <w:pStyle w:val="CDITable-RowCentre"/>
            </w:pPr>
            <w:r w:rsidRPr="009A5C15">
              <w:t>5 (100)</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F0C58A" w14:textId="77777777" w:rsidR="009A5C15" w:rsidRPr="009A5C15" w:rsidRDefault="009A5C15" w:rsidP="009A5C15">
            <w:pPr>
              <w:pStyle w:val="CDITable-RowCentre"/>
            </w:pPr>
            <w:r w:rsidRPr="009A5C15">
              <w:t>3 (60.0)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D7384A"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976412"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E6E3AE"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B93539" w14:textId="77777777" w:rsidR="009A5C15" w:rsidRPr="009A5C15" w:rsidRDefault="009A5C15" w:rsidP="009A5C15">
            <w:pPr>
              <w:pStyle w:val="CDITable-RowCentre"/>
            </w:pPr>
            <w:r w:rsidRPr="009A5C15">
              <w:t>5 (100)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3B893A" w14:textId="77777777" w:rsidR="009A5C15" w:rsidRPr="009A5C15" w:rsidRDefault="009A5C15" w:rsidP="009A5C15">
            <w:pPr>
              <w:pStyle w:val="CDITable-RowCentre"/>
            </w:pPr>
            <w:r w:rsidRPr="009A5C15">
              <w:t>0 (0)</w:t>
            </w:r>
          </w:p>
        </w:tc>
      </w:tr>
      <w:tr w:rsidR="009A5C15" w:rsidRPr="009A5C15" w14:paraId="5D39D2A8"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5D8920" w14:textId="77777777" w:rsidR="009A5C15" w:rsidRPr="009A5C15" w:rsidRDefault="009A5C15" w:rsidP="009A5C15">
            <w:pPr>
              <w:pStyle w:val="CDITable-RowLeft"/>
            </w:pPr>
            <w:r w:rsidRPr="009A5C15">
              <w:t>Encephalitis / encephalomyelitis</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626AB1" w14:textId="77777777" w:rsidR="009A5C15" w:rsidRPr="009A5C15" w:rsidRDefault="009A5C15" w:rsidP="009A5C15">
            <w:pPr>
              <w:pStyle w:val="CDITable-RowCentre"/>
            </w:pPr>
            <w:r w:rsidRPr="009A5C15">
              <w:t>4 (0.02)</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A3C885" w14:textId="77777777" w:rsidR="009A5C15" w:rsidRPr="009A5C15" w:rsidRDefault="009A5C15" w:rsidP="009A5C15">
            <w:pPr>
              <w:pStyle w:val="CDITable-RowCentre"/>
            </w:pPr>
            <w:r w:rsidRPr="009A5C15">
              <w:t>4 (100)</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503CFB" w14:textId="77777777" w:rsidR="009A5C15" w:rsidRPr="009A5C15" w:rsidRDefault="009A5C15" w:rsidP="009A5C15">
            <w:pPr>
              <w:pStyle w:val="CDITable-RowCentre"/>
            </w:pPr>
            <w:r w:rsidRPr="009A5C15">
              <w:t>3 (75.0)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403889"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C5A0F6"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BCB1E5"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015E55" w14:textId="77777777" w:rsidR="009A5C15" w:rsidRPr="009A5C15" w:rsidRDefault="009A5C15" w:rsidP="009A5C15">
            <w:pPr>
              <w:pStyle w:val="CDITable-RowCentre"/>
            </w:pPr>
            <w:r w:rsidRPr="009A5C15">
              <w:t>2 (50.0)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8CA8F1" w14:textId="77777777" w:rsidR="009A5C15" w:rsidRPr="009A5C15" w:rsidRDefault="009A5C15" w:rsidP="009A5C15">
            <w:pPr>
              <w:pStyle w:val="CDITable-RowCentre"/>
            </w:pPr>
            <w:r w:rsidRPr="009A5C15">
              <w:t>0 (0)</w:t>
            </w:r>
          </w:p>
        </w:tc>
      </w:tr>
      <w:tr w:rsidR="009A5C15" w:rsidRPr="009A5C15" w14:paraId="6C46EBFF"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535E36" w14:textId="77777777" w:rsidR="009A5C15" w:rsidRPr="009A5C15" w:rsidRDefault="009A5C15" w:rsidP="009A5C15">
            <w:pPr>
              <w:pStyle w:val="CDITable-RowLeft"/>
            </w:pPr>
            <w:r w:rsidRPr="009A5C15">
              <w:t>Acute disseminated encephalomyelitis</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51F5AA" w14:textId="77777777" w:rsidR="009A5C15" w:rsidRPr="009A5C15" w:rsidRDefault="009A5C15" w:rsidP="009A5C15">
            <w:pPr>
              <w:pStyle w:val="CDITable-RowCentre"/>
            </w:pPr>
            <w:r w:rsidRPr="009A5C15">
              <w:t>2 (0.01)</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4A4F80" w14:textId="77777777" w:rsidR="009A5C15" w:rsidRPr="009A5C15" w:rsidRDefault="009A5C15" w:rsidP="009A5C15">
            <w:pPr>
              <w:pStyle w:val="CDITable-RowCentre"/>
            </w:pPr>
            <w:r w:rsidRPr="009A5C15">
              <w:t>1 (50.0)</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D8CC0D" w14:textId="77777777" w:rsidR="009A5C15" w:rsidRPr="009A5C15" w:rsidRDefault="009A5C15" w:rsidP="009A5C15">
            <w:pPr>
              <w:pStyle w:val="CDITable-RowCentre"/>
            </w:pPr>
            <w:r w:rsidRPr="009A5C15">
              <w:t>1 (50.0)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18CD96"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93DC8B"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808D4C" w14:textId="77777777" w:rsidR="009A5C15" w:rsidRPr="009A5C15" w:rsidRDefault="009A5C15" w:rsidP="009A5C15">
            <w:pPr>
              <w:pStyle w:val="CDITable-RowCentre"/>
            </w:pPr>
            <w:r w:rsidRPr="009A5C15">
              <w:t>1 (50.0)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B97D6B" w14:textId="77777777" w:rsidR="009A5C15" w:rsidRPr="009A5C15" w:rsidRDefault="009A5C15" w:rsidP="009A5C15">
            <w:pPr>
              <w:pStyle w:val="CDITable-RowCentre"/>
            </w:pPr>
            <w:r w:rsidRPr="009A5C15">
              <w:t>1 (50.0)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0D3F6C" w14:textId="77777777" w:rsidR="009A5C15" w:rsidRPr="009A5C15" w:rsidRDefault="009A5C15" w:rsidP="009A5C15">
            <w:pPr>
              <w:pStyle w:val="CDITable-RowCentre"/>
            </w:pPr>
            <w:r w:rsidRPr="009A5C15">
              <w:t>0 (0)</w:t>
            </w:r>
          </w:p>
        </w:tc>
      </w:tr>
      <w:tr w:rsidR="009A5C15" w:rsidRPr="009A5C15" w14:paraId="14516159" w14:textId="77777777" w:rsidTr="009A5C15">
        <w:trPr>
          <w:trHeight w:val="60"/>
        </w:trPr>
        <w:tc>
          <w:tcPr>
            <w:tcW w:w="33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D886B3" w14:textId="77777777" w:rsidR="009A5C15" w:rsidRPr="009A5C15" w:rsidRDefault="009A5C15" w:rsidP="009A5C15">
            <w:pPr>
              <w:pStyle w:val="CDITable-RowLeft"/>
            </w:pPr>
            <w:r w:rsidRPr="009A5C15">
              <w:t>Acute respiratory distress syndrome</w:t>
            </w:r>
          </w:p>
        </w:tc>
        <w:tc>
          <w:tcPr>
            <w:tcW w:w="136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B484FA" w14:textId="77777777" w:rsidR="009A5C15" w:rsidRPr="009A5C15" w:rsidRDefault="009A5C15" w:rsidP="009A5C15">
            <w:pPr>
              <w:pStyle w:val="CDITable-RowCentre"/>
            </w:pPr>
            <w:r w:rsidRPr="009A5C15">
              <w:t>0 (0)</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5E3FB7" w14:textId="77777777" w:rsidR="009A5C15" w:rsidRPr="009A5C15" w:rsidRDefault="009A5C15" w:rsidP="009A5C15">
            <w:pPr>
              <w:pStyle w:val="CDITable-RowCentre"/>
            </w:pPr>
            <w:r w:rsidRPr="009A5C15">
              <w:t>0 (0)</w:t>
            </w:r>
          </w:p>
        </w:tc>
        <w:tc>
          <w:tcPr>
            <w:tcW w:w="136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F219A"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78EDC9"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46ED85"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12D551" w14:textId="77777777" w:rsidR="009A5C15" w:rsidRPr="009A5C15" w:rsidRDefault="009A5C15" w:rsidP="009A5C15">
            <w:pPr>
              <w:pStyle w:val="CDITable-RowCentre"/>
            </w:pPr>
            <w:r w:rsidRPr="009A5C15">
              <w:t>0 (0)</w:t>
            </w:r>
          </w:p>
        </w:tc>
        <w:tc>
          <w:tcPr>
            <w:tcW w:w="134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8E61A2" w14:textId="77777777" w:rsidR="009A5C15" w:rsidRPr="009A5C15" w:rsidRDefault="009A5C15" w:rsidP="009A5C15">
            <w:pPr>
              <w:pStyle w:val="CDITable-RowCentre"/>
            </w:pPr>
            <w:r w:rsidRPr="009A5C15">
              <w:t>0 (0)</w:t>
            </w:r>
          </w:p>
        </w:tc>
        <w:tc>
          <w:tcPr>
            <w:tcW w:w="134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44828E" w14:textId="77777777" w:rsidR="009A5C15" w:rsidRPr="009A5C15" w:rsidRDefault="009A5C15" w:rsidP="009A5C15">
            <w:pPr>
              <w:pStyle w:val="CDITable-RowCentre"/>
            </w:pPr>
            <w:r w:rsidRPr="009A5C15">
              <w:t>0 (0)</w:t>
            </w:r>
          </w:p>
        </w:tc>
      </w:tr>
    </w:tbl>
    <w:p w14:paraId="70D93619" w14:textId="77777777" w:rsidR="009A5C15" w:rsidRPr="009A5C15" w:rsidRDefault="009A5C15" w:rsidP="009A5C15">
      <w:pPr>
        <w:pStyle w:val="CDITable-FirstFootnote"/>
        <w:rPr>
          <w:lang w:val="en-GB"/>
        </w:rPr>
      </w:pPr>
      <w:proofErr w:type="gramStart"/>
      <w:r w:rsidRPr="009A5C15">
        <w:rPr>
          <w:lang w:val="en-GB"/>
        </w:rPr>
        <w:t>a</w:t>
      </w:r>
      <w:r w:rsidRPr="009A5C15">
        <w:rPr>
          <w:lang w:val="en-GB"/>
        </w:rPr>
        <w:tab/>
        <w:t>Number of</w:t>
      </w:r>
      <w:proofErr w:type="gramEnd"/>
      <w:r w:rsidRPr="009A5C15">
        <w:rPr>
          <w:lang w:val="en-GB"/>
        </w:rPr>
        <w:t xml:space="preserve"> AEFI reports in which the AESI was reported. More than one AESI may be recorded in the same report. Note that any discrepancies between AEFI reports for similar conditions in Table 3 and Table 6 are due to differences in methodology used to identify AEFI reports to be included.</w:t>
      </w:r>
    </w:p>
    <w:p w14:paraId="57FD49CD" w14:textId="77777777" w:rsidR="009A5C15" w:rsidRPr="009A5C15" w:rsidRDefault="009A5C15" w:rsidP="009A5C15">
      <w:pPr>
        <w:pStyle w:val="CDITable-Footnote"/>
        <w:rPr>
          <w:lang w:val="en-GB"/>
        </w:rPr>
      </w:pPr>
      <w:r w:rsidRPr="009A5C15">
        <w:rPr>
          <w:lang w:val="en-GB"/>
        </w:rPr>
        <w:t>b</w:t>
      </w:r>
      <w:r w:rsidRPr="009A5C15">
        <w:rPr>
          <w:lang w:val="en-GB"/>
        </w:rPr>
        <w:tab/>
        <w:t>Percentages are calculated for the total number of COVID-19 AEFI reports in 2022.</w:t>
      </w:r>
    </w:p>
    <w:p w14:paraId="2B052CE5" w14:textId="77777777" w:rsidR="009A5C15" w:rsidRPr="009A5C15" w:rsidRDefault="009A5C15" w:rsidP="009A5C15">
      <w:pPr>
        <w:pStyle w:val="CDITable-Footnote"/>
        <w:rPr>
          <w:lang w:val="en-GB"/>
        </w:rPr>
      </w:pPr>
      <w:r w:rsidRPr="009A5C15">
        <w:rPr>
          <w:lang w:val="en-GB"/>
        </w:rPr>
        <w:t>c</w:t>
      </w:r>
      <w:r w:rsidRPr="009A5C15">
        <w:rPr>
          <w:lang w:val="en-GB"/>
        </w:rPr>
        <w:tab/>
        <w:t>AEFI reports where only one vaccine was coded as ‘suspect’ with relation to causal involvement in a reported adverse event.</w:t>
      </w:r>
    </w:p>
    <w:p w14:paraId="0098047E" w14:textId="77777777" w:rsidR="009A5C15" w:rsidRPr="009A5C15" w:rsidRDefault="009A5C15" w:rsidP="009A5C15">
      <w:pPr>
        <w:pStyle w:val="CDITable-Footnote"/>
        <w:rPr>
          <w:lang w:val="en-GB"/>
        </w:rPr>
      </w:pPr>
      <w:r w:rsidRPr="009A5C15">
        <w:rPr>
          <w:lang w:val="en-GB"/>
        </w:rPr>
        <w:t>d</w:t>
      </w:r>
      <w:r w:rsidRPr="009A5C15">
        <w:rPr>
          <w:lang w:val="en-GB"/>
        </w:rPr>
        <w:tab/>
        <w:t xml:space="preserve">Percentages are calculated for the number of AEFI reports where the AESI was reported. </w:t>
      </w:r>
    </w:p>
    <w:p w14:paraId="62F10B32" w14:textId="77777777" w:rsidR="009A5C15" w:rsidRPr="009A5C15" w:rsidRDefault="009A5C15" w:rsidP="009A5C15">
      <w:pPr>
        <w:pStyle w:val="CDITable-Footnote"/>
        <w:rPr>
          <w:lang w:val="en-GB"/>
        </w:rPr>
      </w:pPr>
      <w:r w:rsidRPr="009A5C15">
        <w:rPr>
          <w:lang w:val="en-GB"/>
        </w:rPr>
        <w:t>e</w:t>
      </w:r>
      <w:r w:rsidRPr="009A5C15">
        <w:rPr>
          <w:lang w:val="en-GB"/>
        </w:rPr>
        <w:tab/>
      </w:r>
      <w:proofErr w:type="gramStart"/>
      <w:r w:rsidRPr="009A5C15">
        <w:rPr>
          <w:lang w:val="en-GB"/>
        </w:rPr>
        <w:t>An</w:t>
      </w:r>
      <w:proofErr w:type="gramEnd"/>
      <w:r w:rsidRPr="009A5C15">
        <w:rPr>
          <w:lang w:val="en-GB"/>
        </w:rPr>
        <w:t xml:space="preserve"> adverse event report is defined as ‘</w:t>
      </w:r>
      <w:proofErr w:type="spellStart"/>
      <w:r w:rsidRPr="009A5C15">
        <w:rPr>
          <w:lang w:val="en-GB"/>
        </w:rPr>
        <w:t>serious’</w:t>
      </w:r>
      <w:proofErr w:type="spellEnd"/>
      <w:r w:rsidRPr="009A5C15">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171909C0" w14:textId="1AAE8647" w:rsidR="009A5C15" w:rsidRDefault="009A5C15" w:rsidP="009A5C15">
      <w:pPr>
        <w:pStyle w:val="CDITable-Footnote"/>
        <w:rPr>
          <w:lang w:val="en-GB"/>
        </w:rPr>
      </w:pPr>
      <w:r w:rsidRPr="009A5C15">
        <w:rPr>
          <w:lang w:val="en-GB"/>
        </w:rPr>
        <w:t>f</w:t>
      </w:r>
      <w:r w:rsidRPr="009A5C15">
        <w:rPr>
          <w:lang w:val="en-GB"/>
        </w:rPr>
        <w:tab/>
        <w:t>Includes only AEFI reports where an age or date of birth has been provided.</w:t>
      </w:r>
    </w:p>
    <w:p w14:paraId="0433D19E" w14:textId="77777777" w:rsidR="009A5C15" w:rsidRDefault="009A5C15" w:rsidP="00222276">
      <w:pPr>
        <w:rPr>
          <w:lang w:val="en-GB"/>
        </w:rPr>
        <w:sectPr w:rsidR="009A5C15" w:rsidSect="009A5C15">
          <w:footnotePr>
            <w:numFmt w:val="lowerRoman"/>
          </w:footnotePr>
          <w:pgSz w:w="16840" w:h="11907" w:orient="landscape" w:code="9"/>
          <w:pgMar w:top="1077" w:right="1134" w:bottom="1077" w:left="1134" w:header="709" w:footer="567" w:gutter="0"/>
          <w:cols w:space="708"/>
          <w:docGrid w:linePitch="360"/>
        </w:sectPr>
      </w:pPr>
    </w:p>
    <w:p w14:paraId="375C7AAA" w14:textId="77777777" w:rsidR="009A5C15" w:rsidRPr="009A5C15" w:rsidRDefault="009A5C15" w:rsidP="007A1FC6">
      <w:pPr>
        <w:pStyle w:val="CDIFigure-Title"/>
        <w:spacing w:before="0"/>
        <w:rPr>
          <w:lang w:val="en-GB"/>
        </w:rPr>
      </w:pPr>
      <w:bookmarkStart w:id="41" w:name="_Toc215578726"/>
      <w:r w:rsidRPr="009A5C15">
        <w:rPr>
          <w:lang w:val="en-GB"/>
        </w:rPr>
        <w:lastRenderedPageBreak/>
        <w:t xml:space="preserve">Figure 4: Selected AESI reporting rates per 100,000 COVID-19 vaccine doses administered in 2022 recorded in the Adverse Event Management System (AEMS) database, by age group and vaccine </w:t>
      </w:r>
      <w:proofErr w:type="spellStart"/>
      <w:proofErr w:type="gramStart"/>
      <w:r w:rsidRPr="009A5C15">
        <w:rPr>
          <w:lang w:val="en-GB"/>
        </w:rPr>
        <w:t>brand</w:t>
      </w:r>
      <w:r w:rsidRPr="009A5C15">
        <w:rPr>
          <w:vertAlign w:val="superscript"/>
          <w:lang w:val="en-GB"/>
        </w:rPr>
        <w:t>a,b</w:t>
      </w:r>
      <w:bookmarkEnd w:id="41"/>
      <w:proofErr w:type="spellEnd"/>
      <w:proofErr w:type="gramEnd"/>
    </w:p>
    <w:p w14:paraId="521A54CF" w14:textId="453935F5" w:rsidR="009A5C15" w:rsidRDefault="009A5C15" w:rsidP="009A5C15">
      <w:pPr>
        <w:pStyle w:val="CDIFigure-Placeholder"/>
        <w:rPr>
          <w:lang w:val="en-GB"/>
        </w:rPr>
      </w:pPr>
      <w:r>
        <w:rPr>
          <w:noProof/>
          <w:lang w:val="en-GB"/>
          <w14:ligatures w14:val="none"/>
        </w:rPr>
        <w:drawing>
          <wp:inline distT="0" distB="0" distL="0" distR="0" wp14:anchorId="3ED7D703" wp14:editId="43C9AEB6">
            <wp:extent cx="6000115" cy="7233313"/>
            <wp:effectExtent l="0" t="0" r="635" b="5715"/>
            <wp:docPr id="1846729038" name="Picture 4" descr="Figure 4 are panelled bar charts describing the 2022 reporting rates per 100,000 COVID-19 vaccine doses for selected adverse events of special interest (AESI). Each of the eleven panels corresponds to a selected adverse event of special interest, and displays reporting rates for four age groups from five years and above, across the four vaccine brands in use in Australia in 2022. The highest reporting rates were observed for thrombosis and thromboembolism after Vaxzevria among adult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29038" name="Picture 4" descr="Figure 4 are panelled bar charts describing the 2022 reporting rates per 100,000 COVID-19 vaccine doses for selected adverse events of special interest (AESI). Each of the eleven panels corresponds to a selected adverse event of special interest, and displays reporting rates for four age groups from five years and above, across the four vaccine brands in use in Australia in 2022. The highest reporting rates were observed for thrombosis and thromboembolism after Vaxzevria among adult age groups."/>
                    <pic:cNvPicPr/>
                  </pic:nvPicPr>
                  <pic:blipFill rotWithShape="1">
                    <a:blip r:embed="rId27">
                      <a:extLst>
                        <a:ext uri="{28A0092B-C50C-407E-A947-70E740481C1C}">
                          <a14:useLocalDpi xmlns:a14="http://schemas.microsoft.com/office/drawing/2010/main" val="0"/>
                        </a:ext>
                      </a:extLst>
                    </a:blip>
                    <a:srcRect t="561" b="395"/>
                    <a:stretch>
                      <a:fillRect/>
                    </a:stretch>
                  </pic:blipFill>
                  <pic:spPr bwMode="auto">
                    <a:xfrm>
                      <a:off x="0" y="0"/>
                      <a:ext cx="6001200" cy="7234621"/>
                    </a:xfrm>
                    <a:prstGeom prst="rect">
                      <a:avLst/>
                    </a:prstGeom>
                    <a:ln>
                      <a:noFill/>
                    </a:ln>
                    <a:extLst>
                      <a:ext uri="{53640926-AAD7-44D8-BBD7-CCE9431645EC}">
                        <a14:shadowObscured xmlns:a14="http://schemas.microsoft.com/office/drawing/2010/main"/>
                      </a:ext>
                    </a:extLst>
                  </pic:spPr>
                </pic:pic>
              </a:graphicData>
            </a:graphic>
          </wp:inline>
        </w:drawing>
      </w:r>
    </w:p>
    <w:p w14:paraId="69FDC8D3" w14:textId="77777777" w:rsidR="009A5C15" w:rsidRPr="009A5C15" w:rsidRDefault="009A5C15" w:rsidP="009A5C15">
      <w:pPr>
        <w:pStyle w:val="CDITable-FirstFootnote"/>
        <w:rPr>
          <w:lang w:val="en-GB"/>
        </w:rPr>
      </w:pPr>
      <w:proofErr w:type="spellStart"/>
      <w:r w:rsidRPr="009A5C15">
        <w:rPr>
          <w:lang w:val="en-GB"/>
        </w:rPr>
        <w:t>a</w:t>
      </w:r>
      <w:proofErr w:type="spellEnd"/>
      <w:r w:rsidRPr="009A5C15">
        <w:rPr>
          <w:lang w:val="en-GB"/>
        </w:rPr>
        <w:tab/>
        <w:t xml:space="preserve">Rates for the 6 months to &lt; </w:t>
      </w:r>
      <w:proofErr w:type="gramStart"/>
      <w:r w:rsidRPr="009A5C15">
        <w:rPr>
          <w:lang w:val="en-GB"/>
        </w:rPr>
        <w:t>5 year</w:t>
      </w:r>
      <w:proofErr w:type="gramEnd"/>
      <w:r w:rsidRPr="009A5C15">
        <w:rPr>
          <w:lang w:val="en-GB"/>
        </w:rPr>
        <w:t xml:space="preserve"> age group were excluded from the figure due to small numbers of AEFI reports. Denominators were calculated using AIR data for each vaccine brand and age group. Rates were excluded for months where fewer than 1,000 doses of a specific vaccine brand were administered to a specific age group. See Methods section for process of selecting specific AESI for inclusion for analysis. Acute respiratory distress syndrome (ARDS) was excluded from this figure as there were zero reports of this AESI in 2022.</w:t>
      </w:r>
    </w:p>
    <w:p w14:paraId="480E47AE" w14:textId="77777777" w:rsidR="009A5C15" w:rsidRPr="009A5C15" w:rsidRDefault="009A5C15" w:rsidP="009A5C15">
      <w:pPr>
        <w:pStyle w:val="CDITable-Footnote"/>
        <w:rPr>
          <w:lang w:val="en-GB"/>
        </w:rPr>
      </w:pPr>
      <w:r w:rsidRPr="009A5C15">
        <w:rPr>
          <w:lang w:val="en-GB"/>
        </w:rPr>
        <w:t>b</w:t>
      </w:r>
      <w:r w:rsidRPr="009A5C15">
        <w:rPr>
          <w:lang w:val="en-GB"/>
        </w:rPr>
        <w:tab/>
        <w:t>Abbreviations used in figure: ADEM: acute disseminated encephalomyelitis; MIS-C/MIS-A: multisystem inflammatory syndrome in children/adults; C: Comirnaty; N: Nuvaxovid; S: Spikevax; V: Vaxzevria.</w:t>
      </w:r>
    </w:p>
    <w:p w14:paraId="2EC28763" w14:textId="1F51F804" w:rsidR="00222276" w:rsidRPr="00222276" w:rsidRDefault="00222276" w:rsidP="00222276">
      <w:pPr>
        <w:rPr>
          <w:lang w:val="en-GB"/>
        </w:rPr>
      </w:pPr>
      <w:r w:rsidRPr="00222276">
        <w:rPr>
          <w:lang w:val="en-GB"/>
        </w:rPr>
        <w:lastRenderedPageBreak/>
        <w:t xml:space="preserve">Across all age groups and brands, thrombosis and thromboembolism </w:t>
      </w:r>
      <w:proofErr w:type="gramStart"/>
      <w:r w:rsidRPr="00222276">
        <w:rPr>
          <w:lang w:val="en-GB"/>
        </w:rPr>
        <w:t>was</w:t>
      </w:r>
      <w:proofErr w:type="gramEnd"/>
      <w:r w:rsidRPr="00222276">
        <w:rPr>
          <w:lang w:val="en-GB"/>
        </w:rPr>
        <w:t xml:space="preserve"> 1.5 per 100,000 doses. Of the 282 reports of thrombosis and thromboembolism where sex was provided, 161 (57.1%) were female and 121 (42.9%) were male. The median age at vaccination was 56 years (IQR: 43–68 years), noting that in 42 reports (13.7%), age was not provided. Comirnaty was associated with most reports of thrombosis and thromboembolism (186 reports, 60.6%) followed by Vaxzevria (72 reports, 23.5%).</w:t>
      </w:r>
    </w:p>
    <w:p w14:paraId="77D0B1A9" w14:textId="3C09D751" w:rsidR="00222276" w:rsidRPr="00222276" w:rsidRDefault="00222276" w:rsidP="00222276">
      <w:pPr>
        <w:rPr>
          <w:lang w:val="en-GB"/>
        </w:rPr>
      </w:pPr>
      <w:r w:rsidRPr="00222276">
        <w:rPr>
          <w:lang w:val="en-GB"/>
        </w:rPr>
        <w:t>For thrombocytopenia, there was a reporting rate of 21.0 per 100,000 doses of Vaxzevria in the ≥</w:t>
      </w:r>
      <w:r w:rsidR="007A1FC6">
        <w:rPr>
          <w:lang w:val="en-GB"/>
        </w:rPr>
        <w:t> </w:t>
      </w:r>
      <w:proofErr w:type="gramStart"/>
      <w:r w:rsidRPr="00222276">
        <w:rPr>
          <w:lang w:val="en-GB"/>
        </w:rPr>
        <w:t>60 year</w:t>
      </w:r>
      <w:proofErr w:type="gramEnd"/>
      <w:r w:rsidRPr="00222276">
        <w:rPr>
          <w:lang w:val="en-GB"/>
        </w:rPr>
        <w:t xml:space="preserve"> age group, and 13.9 per 100,000 doses of Vaxzevria in the 16–</w:t>
      </w:r>
      <w:proofErr w:type="gramStart"/>
      <w:r w:rsidRPr="00222276">
        <w:rPr>
          <w:lang w:val="en-GB"/>
        </w:rPr>
        <w:t>59 year</w:t>
      </w:r>
      <w:proofErr w:type="gramEnd"/>
      <w:r w:rsidRPr="00222276">
        <w:rPr>
          <w:lang w:val="en-GB"/>
        </w:rPr>
        <w:t xml:space="preserve"> age group. For anaphylaxis, reporting rates of 13.9 per 100,000 doses of Vaxzevria and 9.1 per 100,000 doses of Nuvaxovid were observed in the 16–</w:t>
      </w:r>
      <w:proofErr w:type="gramStart"/>
      <w:r w:rsidRPr="00222276">
        <w:rPr>
          <w:lang w:val="en-GB"/>
        </w:rPr>
        <w:t>59 year</w:t>
      </w:r>
      <w:proofErr w:type="gramEnd"/>
      <w:r w:rsidRPr="00222276">
        <w:rPr>
          <w:lang w:val="en-GB"/>
        </w:rPr>
        <w:t xml:space="preserve"> age group. Additionally, the reporting rate for both generalised convulsion and Guillain-Barré syndrome was 6.0 per 100,000 Vaxzevria doses administered to the 16–</w:t>
      </w:r>
      <w:proofErr w:type="gramStart"/>
      <w:r w:rsidRPr="00222276">
        <w:rPr>
          <w:lang w:val="en-GB"/>
        </w:rPr>
        <w:t>59 year</w:t>
      </w:r>
      <w:proofErr w:type="gramEnd"/>
      <w:r w:rsidRPr="00222276">
        <w:rPr>
          <w:lang w:val="en-GB"/>
        </w:rPr>
        <w:t xml:space="preserve"> age group.</w:t>
      </w:r>
    </w:p>
    <w:p w14:paraId="1C3C924A" w14:textId="77777777" w:rsidR="00222276" w:rsidRPr="00222276" w:rsidRDefault="00222276" w:rsidP="00222276">
      <w:pPr>
        <w:rPr>
          <w:lang w:val="en-GB"/>
        </w:rPr>
      </w:pPr>
      <w:r w:rsidRPr="00222276">
        <w:rPr>
          <w:lang w:val="en-GB"/>
        </w:rPr>
        <w:t>Focusing on the specific syndrome of TTS, from 1 January 2022 to 31 December 2022, there were 26 reports of TTS reported to the TGA involving Vaxzevria. Of these, five were cases reported in the published academic literature, with a single case classified as probable by the TGA, noting this case involved a vaccine administered in 2021. The remainder of cases reported in 2022 had insufficient information for classification or were assessed as unlikely to be TTS.</w:t>
      </w:r>
    </w:p>
    <w:p w14:paraId="27EEB086" w14:textId="77777777" w:rsidR="007A1FC6" w:rsidRPr="007A1FC6" w:rsidRDefault="007A1FC6" w:rsidP="007A1FC6">
      <w:pPr>
        <w:pStyle w:val="Heading2"/>
        <w:rPr>
          <w:lang w:val="en-GB"/>
        </w:rPr>
      </w:pPr>
      <w:bookmarkStart w:id="42" w:name="_Toc215578715"/>
      <w:r w:rsidRPr="007A1FC6">
        <w:rPr>
          <w:lang w:val="en-GB"/>
        </w:rPr>
        <w:t>Serious adverse events</w:t>
      </w:r>
      <w:bookmarkEnd w:id="42"/>
    </w:p>
    <w:p w14:paraId="0AF6D0A9" w14:textId="7B4459DE" w:rsidR="007A1FC6" w:rsidRPr="007A1FC6" w:rsidRDefault="007A1FC6" w:rsidP="007A1FC6">
      <w:pPr>
        <w:rPr>
          <w:lang w:val="en-GB"/>
        </w:rPr>
      </w:pPr>
      <w:r w:rsidRPr="007A1FC6">
        <w:rPr>
          <w:lang w:val="en-GB"/>
        </w:rPr>
        <w:t>Of the COVID-19 vaccine AEFI reports in AEMS in 2022, there were 2,559 (13.9%) which were categorised as serious, representing a rate of 12.5 serious AEFI reports per 100,000 doses administered, and 9.9 serious AEFI reports per 100,000 population (Table 3). Excluding the &lt;</w:t>
      </w:r>
      <w:r>
        <w:rPr>
          <w:lang w:val="en-GB"/>
        </w:rPr>
        <w:t> </w:t>
      </w:r>
      <w:proofErr w:type="gramStart"/>
      <w:r w:rsidRPr="007A1FC6">
        <w:rPr>
          <w:lang w:val="en-GB"/>
        </w:rPr>
        <w:t>5</w:t>
      </w:r>
      <w:r>
        <w:rPr>
          <w:lang w:val="en-GB"/>
        </w:rPr>
        <w:t> </w:t>
      </w:r>
      <w:r w:rsidRPr="007A1FC6">
        <w:rPr>
          <w:lang w:val="en-GB"/>
        </w:rPr>
        <w:t>year</w:t>
      </w:r>
      <w:proofErr w:type="gramEnd"/>
      <w:r w:rsidRPr="007A1FC6">
        <w:rPr>
          <w:lang w:val="en-GB"/>
        </w:rPr>
        <w:t xml:space="preserve"> age group due to low dose numbers, the 16–</w:t>
      </w:r>
      <w:proofErr w:type="gramStart"/>
      <w:r w:rsidRPr="007A1FC6">
        <w:rPr>
          <w:lang w:val="en-GB"/>
        </w:rPr>
        <w:t>59 year</w:t>
      </w:r>
      <w:proofErr w:type="gramEnd"/>
      <w:r w:rsidRPr="007A1FC6">
        <w:rPr>
          <w:lang w:val="en-GB"/>
        </w:rPr>
        <w:t xml:space="preserve"> age group had the highest serious adverse event reporting rate, at 14.6 serious reports per 100,000 COVID-19 doses administered. The 5–</w:t>
      </w:r>
      <w:proofErr w:type="gramStart"/>
      <w:r w:rsidRPr="007A1FC6">
        <w:rPr>
          <w:lang w:val="en-GB"/>
        </w:rPr>
        <w:t>11 year</w:t>
      </w:r>
      <w:proofErr w:type="gramEnd"/>
      <w:r w:rsidRPr="007A1FC6">
        <w:rPr>
          <w:lang w:val="en-GB"/>
        </w:rPr>
        <w:t xml:space="preserve"> age group had the lowest reporting rate of 5.8 serious reports per 100,000 doses administered.</w:t>
      </w:r>
    </w:p>
    <w:p w14:paraId="39AF9DEA" w14:textId="77777777" w:rsidR="007A1FC6" w:rsidRPr="007A1FC6" w:rsidRDefault="007A1FC6" w:rsidP="007A1FC6">
      <w:pPr>
        <w:rPr>
          <w:lang w:val="en-GB"/>
        </w:rPr>
      </w:pPr>
      <w:r w:rsidRPr="007A1FC6">
        <w:rPr>
          <w:lang w:val="en-GB"/>
        </w:rPr>
        <w:t xml:space="preserve">The PT/SMQ most frequently included in serious AE reports were chest pain (474 serious reports, 18.5% of all serious reports; Table 4), COVID-19 (383, 15.0%), </w:t>
      </w:r>
      <w:proofErr w:type="spellStart"/>
      <w:r w:rsidRPr="007A1FC6">
        <w:rPr>
          <w:lang w:val="en-GB"/>
        </w:rPr>
        <w:t>noninfectious</w:t>
      </w:r>
      <w:proofErr w:type="spellEnd"/>
      <w:r w:rsidRPr="007A1FC6">
        <w:rPr>
          <w:lang w:val="en-GB"/>
        </w:rPr>
        <w:t xml:space="preserve"> myocarditis/pericarditis (351, 13.7%), dyspnoea (342, 13.4%), and ‘gastrointestinal nonspecific symptoms’ (320, 12.5%). Please note that more than one PT/SMQ may be included in each serious adverse event report.</w:t>
      </w:r>
    </w:p>
    <w:p w14:paraId="2149EE87" w14:textId="77777777" w:rsidR="007A1FC6" w:rsidRPr="007A1FC6" w:rsidRDefault="007A1FC6" w:rsidP="007A1FC6">
      <w:pPr>
        <w:rPr>
          <w:lang w:val="en-GB"/>
        </w:rPr>
      </w:pPr>
      <w:r w:rsidRPr="007A1FC6">
        <w:rPr>
          <w:lang w:val="en-GB"/>
        </w:rPr>
        <w:t>The proportion of AEFI reports where the outcome was categorised as serious was highest for Vaxzevria (34.0%); amongst other vaccine brands, the proportion was similar for Nuvaxovid (14.0%), Comirnaty (13.3%) and Spikevax (13.2%; Table 2).</w:t>
      </w:r>
    </w:p>
    <w:p w14:paraId="2C5086B0" w14:textId="77777777" w:rsidR="007A1FC6" w:rsidRPr="007A1FC6" w:rsidRDefault="007A1FC6" w:rsidP="007A1FC6">
      <w:pPr>
        <w:pStyle w:val="Heading3"/>
        <w:rPr>
          <w:lang w:val="en-GB"/>
        </w:rPr>
      </w:pPr>
      <w:r w:rsidRPr="007A1FC6">
        <w:rPr>
          <w:lang w:val="en-GB"/>
        </w:rPr>
        <w:t>Deaths following vaccination</w:t>
      </w:r>
    </w:p>
    <w:p w14:paraId="284BD904" w14:textId="77777777" w:rsidR="007A1FC6" w:rsidRPr="007A1FC6" w:rsidRDefault="007A1FC6" w:rsidP="007A1FC6">
      <w:pPr>
        <w:rPr>
          <w:lang w:val="en-GB"/>
        </w:rPr>
      </w:pPr>
      <w:r w:rsidRPr="007A1FC6">
        <w:rPr>
          <w:lang w:val="en-GB"/>
        </w:rPr>
        <w:t xml:space="preserve">Of the 18,398 AEFI reports for COVID-19 vaccines in 2022, there were 160 (0.9%) which reported an outcome of death following vaccination (Table 7), of which only one was determined as likely to be linked to vaccination, as assessed by the TGA and reviewed by an expert panel (see </w:t>
      </w:r>
      <w:r w:rsidRPr="007A1FC6">
        <w:rPr>
          <w:i/>
          <w:iCs/>
          <w:lang w:val="en-GB"/>
        </w:rPr>
        <w:t>Methods</w:t>
      </w:r>
      <w:r w:rsidRPr="007A1FC6">
        <w:rPr>
          <w:lang w:val="en-GB"/>
        </w:rPr>
        <w:t xml:space="preserve"> section for more details).</w:t>
      </w:r>
    </w:p>
    <w:p w14:paraId="00D14872" w14:textId="77777777" w:rsidR="007A1FC6" w:rsidRPr="007A1FC6" w:rsidRDefault="007A1FC6" w:rsidP="007A1FC6">
      <w:pPr>
        <w:pStyle w:val="CDITable-Title"/>
        <w:rPr>
          <w:lang w:val="en-GB"/>
        </w:rPr>
      </w:pPr>
      <w:bookmarkStart w:id="43" w:name="_Toc215578750"/>
      <w:r w:rsidRPr="007A1FC6">
        <w:rPr>
          <w:lang w:val="en-GB"/>
        </w:rPr>
        <w:lastRenderedPageBreak/>
        <w:t xml:space="preserve">Table 7: Age distribution and median time to death for reports of death following immunisation with COVID-19 vaccines in 2022 in the Adverse Event Management System </w:t>
      </w:r>
      <w:proofErr w:type="spellStart"/>
      <w:r w:rsidRPr="007A1FC6">
        <w:rPr>
          <w:lang w:val="en-GB"/>
        </w:rPr>
        <w:t>database</w:t>
      </w:r>
      <w:r w:rsidRPr="007A1FC6">
        <w:rPr>
          <w:vertAlign w:val="superscript"/>
          <w:lang w:val="en-GB"/>
        </w:rPr>
        <w:t>a</w:t>
      </w:r>
      <w:bookmarkEnd w:id="43"/>
      <w:proofErr w:type="spellEnd"/>
    </w:p>
    <w:tbl>
      <w:tblPr>
        <w:tblW w:w="0" w:type="auto"/>
        <w:tblLayout w:type="fixed"/>
        <w:tblCellMar>
          <w:left w:w="0" w:type="dxa"/>
          <w:right w:w="0" w:type="dxa"/>
        </w:tblCellMar>
        <w:tblLook w:val="0000" w:firstRow="0" w:lastRow="0" w:firstColumn="0" w:lastColumn="0" w:noHBand="0" w:noVBand="0"/>
        <w:tblCaption w:val="Table 7: Age distribution and median time to death for reports of death following immunisation with COVID-19 vaccines in 2022 in the Adverse Event Management System database"/>
        <w:tblDescription w:val="Table 7 relates specifically to adverse event reports following COVID-19 vaccines in 2022 where death is listed as the outcome in the AEMS database. The table shows the number of fatal reports in each 20-year age band, and the median interval between the reported day of vaccination and reported day of death for each age band."/>
      </w:tblPr>
      <w:tblGrid>
        <w:gridCol w:w="3213"/>
        <w:gridCol w:w="3212"/>
        <w:gridCol w:w="3213"/>
      </w:tblGrid>
      <w:tr w:rsidR="007A1FC6" w:rsidRPr="007A1FC6" w14:paraId="43909C61" w14:textId="77777777" w:rsidTr="007A1FC6">
        <w:trPr>
          <w:trHeight w:val="60"/>
          <w:tblHeader/>
        </w:trPr>
        <w:tc>
          <w:tcPr>
            <w:tcW w:w="3213" w:type="dxa"/>
            <w:shd w:val="clear" w:color="auto" w:fill="1E4496" w:themeFill="text2"/>
            <w:tcMar>
              <w:top w:w="113" w:type="dxa"/>
              <w:left w:w="113" w:type="dxa"/>
              <w:bottom w:w="113" w:type="dxa"/>
              <w:right w:w="113" w:type="dxa"/>
            </w:tcMar>
            <w:vAlign w:val="bottom"/>
          </w:tcPr>
          <w:p w14:paraId="4E3D1242" w14:textId="77777777" w:rsidR="007A1FC6" w:rsidRPr="007A1FC6" w:rsidRDefault="007A1FC6" w:rsidP="007A1FC6">
            <w:pPr>
              <w:pStyle w:val="CDITable-HeaderRowLeft"/>
            </w:pPr>
            <w:r w:rsidRPr="007A1FC6">
              <w:t>Age at death (years)</w:t>
            </w:r>
          </w:p>
        </w:tc>
        <w:tc>
          <w:tcPr>
            <w:tcW w:w="3212" w:type="dxa"/>
            <w:shd w:val="clear" w:color="auto" w:fill="1E4496" w:themeFill="text2"/>
            <w:tcMar>
              <w:top w:w="113" w:type="dxa"/>
              <w:left w:w="113" w:type="dxa"/>
              <w:bottom w:w="113" w:type="dxa"/>
              <w:right w:w="113" w:type="dxa"/>
            </w:tcMar>
            <w:vAlign w:val="bottom"/>
          </w:tcPr>
          <w:p w14:paraId="17F24AF7" w14:textId="77777777" w:rsidR="007A1FC6" w:rsidRPr="007A1FC6" w:rsidRDefault="007A1FC6" w:rsidP="007A1FC6">
            <w:pPr>
              <w:pStyle w:val="CDITable-HeaderRowCentre"/>
            </w:pPr>
            <w:r w:rsidRPr="007A1FC6">
              <w:t>AEFI reports n (</w:t>
            </w:r>
            <w:proofErr w:type="gramStart"/>
            <w:r w:rsidRPr="007A1FC6">
              <w:t>%)</w:t>
            </w:r>
            <w:r w:rsidRPr="007A1FC6">
              <w:rPr>
                <w:vertAlign w:val="superscript"/>
              </w:rPr>
              <w:t>b</w:t>
            </w:r>
            <w:proofErr w:type="gramEnd"/>
          </w:p>
        </w:tc>
        <w:tc>
          <w:tcPr>
            <w:tcW w:w="3213" w:type="dxa"/>
            <w:shd w:val="clear" w:color="auto" w:fill="1E4496" w:themeFill="text2"/>
            <w:tcMar>
              <w:top w:w="113" w:type="dxa"/>
              <w:left w:w="113" w:type="dxa"/>
              <w:bottom w:w="113" w:type="dxa"/>
              <w:right w:w="113" w:type="dxa"/>
            </w:tcMar>
            <w:vAlign w:val="bottom"/>
          </w:tcPr>
          <w:p w14:paraId="4532A92A" w14:textId="77777777" w:rsidR="007A1FC6" w:rsidRPr="007A1FC6" w:rsidRDefault="007A1FC6" w:rsidP="007A1FC6">
            <w:pPr>
              <w:pStyle w:val="CDITable-HeaderRowCentre"/>
            </w:pPr>
            <w:r w:rsidRPr="007A1FC6">
              <w:t>Median time to death (days)</w:t>
            </w:r>
          </w:p>
        </w:tc>
      </w:tr>
      <w:tr w:rsidR="007A1FC6" w:rsidRPr="007A1FC6" w14:paraId="69D26224" w14:textId="77777777" w:rsidTr="007A1FC6">
        <w:trPr>
          <w:trHeight w:val="60"/>
        </w:trPr>
        <w:tc>
          <w:tcPr>
            <w:tcW w:w="3213" w:type="dxa"/>
            <w:tcBorders>
              <w:bottom w:val="single" w:sz="6" w:space="0" w:color="1E4496" w:themeColor="text2"/>
            </w:tcBorders>
            <w:tcMar>
              <w:top w:w="113" w:type="dxa"/>
              <w:left w:w="113" w:type="dxa"/>
              <w:bottom w:w="113" w:type="dxa"/>
              <w:right w:w="113" w:type="dxa"/>
            </w:tcMar>
            <w:vAlign w:val="center"/>
          </w:tcPr>
          <w:p w14:paraId="1DCC1333" w14:textId="77777777" w:rsidR="007A1FC6" w:rsidRPr="007A1FC6" w:rsidRDefault="007A1FC6" w:rsidP="007A1FC6">
            <w:pPr>
              <w:pStyle w:val="CDITable-RowLeft"/>
            </w:pPr>
            <w:r w:rsidRPr="007A1FC6">
              <w:t>0–17</w:t>
            </w:r>
          </w:p>
        </w:tc>
        <w:tc>
          <w:tcPr>
            <w:tcW w:w="3212" w:type="dxa"/>
            <w:tcBorders>
              <w:bottom w:val="single" w:sz="6" w:space="0" w:color="1E4496" w:themeColor="text2"/>
            </w:tcBorders>
            <w:tcMar>
              <w:top w:w="113" w:type="dxa"/>
              <w:left w:w="113" w:type="dxa"/>
              <w:bottom w:w="113" w:type="dxa"/>
              <w:right w:w="113" w:type="dxa"/>
            </w:tcMar>
            <w:vAlign w:val="center"/>
          </w:tcPr>
          <w:p w14:paraId="39095CD3" w14:textId="77777777" w:rsidR="007A1FC6" w:rsidRPr="007A1FC6" w:rsidRDefault="007A1FC6" w:rsidP="007A1FC6">
            <w:pPr>
              <w:pStyle w:val="CDITable-RowCentre"/>
            </w:pPr>
            <w:r w:rsidRPr="007A1FC6">
              <w:t>6 (3.9%)</w:t>
            </w:r>
          </w:p>
        </w:tc>
        <w:tc>
          <w:tcPr>
            <w:tcW w:w="3213" w:type="dxa"/>
            <w:tcBorders>
              <w:bottom w:val="single" w:sz="6" w:space="0" w:color="1E4496" w:themeColor="text2"/>
            </w:tcBorders>
            <w:tcMar>
              <w:top w:w="113" w:type="dxa"/>
              <w:left w:w="113" w:type="dxa"/>
              <w:bottom w:w="113" w:type="dxa"/>
              <w:right w:w="113" w:type="dxa"/>
            </w:tcMar>
            <w:vAlign w:val="center"/>
          </w:tcPr>
          <w:p w14:paraId="373AE790" w14:textId="77777777" w:rsidR="007A1FC6" w:rsidRPr="007A1FC6" w:rsidRDefault="007A1FC6" w:rsidP="007A1FC6">
            <w:pPr>
              <w:pStyle w:val="CDITable-RowCentre"/>
            </w:pPr>
            <w:r w:rsidRPr="007A1FC6">
              <w:t>4.5</w:t>
            </w:r>
          </w:p>
        </w:tc>
      </w:tr>
      <w:tr w:rsidR="007A1FC6" w:rsidRPr="007A1FC6" w14:paraId="22B2BCD2" w14:textId="77777777" w:rsidTr="007A1FC6">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0BEF52" w14:textId="77777777" w:rsidR="007A1FC6" w:rsidRPr="007A1FC6" w:rsidRDefault="007A1FC6" w:rsidP="007A1FC6">
            <w:pPr>
              <w:pStyle w:val="CDITable-RowLeft"/>
            </w:pPr>
            <w:r w:rsidRPr="007A1FC6">
              <w:t>18–29</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8FA60" w14:textId="77777777" w:rsidR="007A1FC6" w:rsidRPr="007A1FC6" w:rsidRDefault="007A1FC6" w:rsidP="007A1FC6">
            <w:pPr>
              <w:pStyle w:val="CDITable-RowCentre"/>
            </w:pPr>
            <w:r w:rsidRPr="007A1FC6">
              <w:t>5 (3.3%)</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A09B2" w14:textId="77777777" w:rsidR="007A1FC6" w:rsidRPr="007A1FC6" w:rsidRDefault="007A1FC6" w:rsidP="007A1FC6">
            <w:pPr>
              <w:pStyle w:val="CDITable-RowCentre"/>
            </w:pPr>
            <w:r w:rsidRPr="007A1FC6">
              <w:t>3</w:t>
            </w:r>
          </w:p>
        </w:tc>
      </w:tr>
      <w:tr w:rsidR="007A1FC6" w:rsidRPr="007A1FC6" w14:paraId="19A875B2" w14:textId="77777777" w:rsidTr="007A1FC6">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27EE2" w14:textId="77777777" w:rsidR="007A1FC6" w:rsidRPr="007A1FC6" w:rsidRDefault="007A1FC6" w:rsidP="007A1FC6">
            <w:pPr>
              <w:pStyle w:val="CDITable-RowLeft"/>
            </w:pPr>
            <w:r w:rsidRPr="007A1FC6">
              <w:t>30–49</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CA7F98" w14:textId="77777777" w:rsidR="007A1FC6" w:rsidRPr="007A1FC6" w:rsidRDefault="007A1FC6" w:rsidP="007A1FC6">
            <w:pPr>
              <w:pStyle w:val="CDITable-RowCentre"/>
            </w:pPr>
            <w:r w:rsidRPr="007A1FC6">
              <w:t>25 (16.3%)</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D9560" w14:textId="77777777" w:rsidR="007A1FC6" w:rsidRPr="007A1FC6" w:rsidRDefault="007A1FC6" w:rsidP="007A1FC6">
            <w:pPr>
              <w:pStyle w:val="CDITable-RowCentre"/>
            </w:pPr>
            <w:r w:rsidRPr="007A1FC6">
              <w:t>13</w:t>
            </w:r>
          </w:p>
        </w:tc>
      </w:tr>
      <w:tr w:rsidR="007A1FC6" w:rsidRPr="007A1FC6" w14:paraId="531F379B" w14:textId="77777777" w:rsidTr="007A1FC6">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7E961" w14:textId="77777777" w:rsidR="007A1FC6" w:rsidRPr="007A1FC6" w:rsidRDefault="007A1FC6" w:rsidP="007A1FC6">
            <w:pPr>
              <w:pStyle w:val="CDITable-RowLeft"/>
            </w:pPr>
            <w:r w:rsidRPr="007A1FC6">
              <w:t>50–69</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12587" w14:textId="77777777" w:rsidR="007A1FC6" w:rsidRPr="007A1FC6" w:rsidRDefault="007A1FC6" w:rsidP="007A1FC6">
            <w:pPr>
              <w:pStyle w:val="CDITable-RowCentre"/>
            </w:pPr>
            <w:r w:rsidRPr="007A1FC6">
              <w:t>37 (24.2%)</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9661E" w14:textId="77777777" w:rsidR="007A1FC6" w:rsidRPr="007A1FC6" w:rsidRDefault="007A1FC6" w:rsidP="007A1FC6">
            <w:pPr>
              <w:pStyle w:val="CDITable-RowCentre"/>
            </w:pPr>
            <w:r w:rsidRPr="007A1FC6">
              <w:t>16</w:t>
            </w:r>
          </w:p>
        </w:tc>
      </w:tr>
      <w:tr w:rsidR="007A1FC6" w:rsidRPr="007A1FC6" w14:paraId="443C0EE7" w14:textId="77777777" w:rsidTr="007A1FC6">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A523AD" w14:textId="77777777" w:rsidR="007A1FC6" w:rsidRPr="007A1FC6" w:rsidRDefault="007A1FC6" w:rsidP="007A1FC6">
            <w:pPr>
              <w:pStyle w:val="CDITable-RowLeft"/>
            </w:pPr>
            <w:r w:rsidRPr="007A1FC6">
              <w:t>70–89</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6930B" w14:textId="77777777" w:rsidR="007A1FC6" w:rsidRPr="007A1FC6" w:rsidRDefault="007A1FC6" w:rsidP="007A1FC6">
            <w:pPr>
              <w:pStyle w:val="CDITable-RowCentre"/>
            </w:pPr>
            <w:r w:rsidRPr="007A1FC6">
              <w:t>66 (43.1%)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3D5C0" w14:textId="77777777" w:rsidR="007A1FC6" w:rsidRPr="007A1FC6" w:rsidRDefault="007A1FC6" w:rsidP="007A1FC6">
            <w:pPr>
              <w:pStyle w:val="CDITable-RowCentre"/>
            </w:pPr>
            <w:r w:rsidRPr="007A1FC6">
              <w:t>10.5</w:t>
            </w:r>
          </w:p>
        </w:tc>
      </w:tr>
      <w:tr w:rsidR="007A1FC6" w:rsidRPr="007A1FC6" w14:paraId="7886DADB" w14:textId="77777777" w:rsidTr="007A1FC6">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1479FA" w14:textId="77777777" w:rsidR="007A1FC6" w:rsidRPr="007A1FC6" w:rsidRDefault="007A1FC6" w:rsidP="007A1FC6">
            <w:pPr>
              <w:pStyle w:val="CDITable-RowLeft"/>
            </w:pPr>
            <w:r w:rsidRPr="007A1FC6">
              <w:t>90+</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83F4A" w14:textId="77777777" w:rsidR="007A1FC6" w:rsidRPr="007A1FC6" w:rsidRDefault="007A1FC6" w:rsidP="007A1FC6">
            <w:pPr>
              <w:pStyle w:val="CDITable-RowCentre"/>
            </w:pPr>
            <w:r w:rsidRPr="007A1FC6">
              <w:t>14 (9.2%)</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0E10E" w14:textId="77777777" w:rsidR="007A1FC6" w:rsidRPr="007A1FC6" w:rsidRDefault="007A1FC6" w:rsidP="007A1FC6">
            <w:pPr>
              <w:pStyle w:val="CDITable-RowCentre"/>
            </w:pPr>
            <w:r w:rsidRPr="007A1FC6">
              <w:t>3</w:t>
            </w:r>
          </w:p>
        </w:tc>
      </w:tr>
      <w:tr w:rsidR="007A1FC6" w:rsidRPr="007A1FC6" w14:paraId="277AC283" w14:textId="77777777" w:rsidTr="007A1FC6">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6FEAA" w14:textId="77777777" w:rsidR="007A1FC6" w:rsidRPr="007A1FC6" w:rsidRDefault="007A1FC6" w:rsidP="007A1FC6">
            <w:pPr>
              <w:pStyle w:val="CDITable-RowLeft"/>
            </w:pPr>
            <w:r w:rsidRPr="007A1FC6">
              <w:t>Unknown</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E4AA62" w14:textId="77777777" w:rsidR="007A1FC6" w:rsidRPr="007A1FC6" w:rsidRDefault="007A1FC6" w:rsidP="007A1FC6">
            <w:pPr>
              <w:pStyle w:val="CDITable-RowCentre"/>
            </w:pPr>
            <w:r w:rsidRPr="007A1FC6">
              <w:t>7</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93748" w14:textId="77777777" w:rsidR="007A1FC6" w:rsidRPr="007A1FC6" w:rsidRDefault="007A1FC6" w:rsidP="007A1FC6">
            <w:pPr>
              <w:pStyle w:val="CDITable-RowCentre"/>
            </w:pPr>
            <w:r w:rsidRPr="007A1FC6">
              <w:t>No information</w:t>
            </w:r>
          </w:p>
        </w:tc>
      </w:tr>
    </w:tbl>
    <w:p w14:paraId="18F23637" w14:textId="77777777" w:rsidR="007A1FC6" w:rsidRPr="007A1FC6" w:rsidRDefault="007A1FC6" w:rsidP="007A1FC6">
      <w:pPr>
        <w:pStyle w:val="CDITable-FirstFootnote"/>
        <w:rPr>
          <w:lang w:val="en-GB"/>
        </w:rPr>
      </w:pPr>
      <w:r w:rsidRPr="007A1FC6">
        <w:rPr>
          <w:lang w:val="en-GB"/>
        </w:rPr>
        <w:t>a</w:t>
      </w:r>
      <w:r w:rsidRPr="007A1FC6">
        <w:rPr>
          <w:lang w:val="en-GB"/>
        </w:rPr>
        <w:tab/>
      </w:r>
      <w:proofErr w:type="gramStart"/>
      <w:r w:rsidRPr="007A1FC6">
        <w:rPr>
          <w:lang w:val="en-GB"/>
        </w:rPr>
        <w:t>An</w:t>
      </w:r>
      <w:proofErr w:type="gramEnd"/>
      <w:r w:rsidRPr="007A1FC6">
        <w:rPr>
          <w:lang w:val="en-GB"/>
        </w:rPr>
        <w:t xml:space="preserve"> outcome of death following vaccination does not mean that the vaccine caused the death. Only one death following a COVID-19 vaccine administered in 2022 was assessed by TGA as likely to be causally linked to vaccination.</w:t>
      </w:r>
    </w:p>
    <w:p w14:paraId="1F169A9F" w14:textId="77777777" w:rsidR="007A1FC6" w:rsidRPr="007A1FC6" w:rsidRDefault="007A1FC6" w:rsidP="007A1FC6">
      <w:pPr>
        <w:pStyle w:val="CDITable-Footnote"/>
        <w:rPr>
          <w:lang w:val="en-GB"/>
        </w:rPr>
      </w:pPr>
      <w:r w:rsidRPr="007A1FC6">
        <w:rPr>
          <w:lang w:val="en-GB"/>
        </w:rPr>
        <w:t>b</w:t>
      </w:r>
      <w:r w:rsidRPr="007A1FC6">
        <w:rPr>
          <w:lang w:val="en-GB"/>
        </w:rPr>
        <w:tab/>
        <w:t>Percentages are calculated for the number of reports of death following COVID-19 vaccination where age at death can be determined.</w:t>
      </w:r>
    </w:p>
    <w:p w14:paraId="5B11C5DF" w14:textId="77777777" w:rsidR="007A1FC6" w:rsidRPr="007A1FC6" w:rsidRDefault="007A1FC6" w:rsidP="007A1FC6">
      <w:pPr>
        <w:pStyle w:val="Normal-morespacebefore"/>
        <w:rPr>
          <w:lang w:val="en-GB"/>
        </w:rPr>
      </w:pPr>
      <w:r w:rsidRPr="007A1FC6">
        <w:rPr>
          <w:lang w:val="en-GB"/>
        </w:rPr>
        <w:t>Reporting a death to the TGA does not mean that the vaccine caused the death, or that the individual completing the report considers that the death was caused by a vaccine. The TGA strongly encourages consumers and health professionals to report suspected adverse events, particularly serious or fatal events, even if there is only a very small chance a vaccine was the cause. Many deaths reported are likely of a coincidental nature, due to other causes. All reports containing sufficient information, including fatal reports, are de-identified and published in the DAEN—medicines.</w:t>
      </w:r>
      <w:r w:rsidRPr="007A1FC6">
        <w:rPr>
          <w:vertAlign w:val="superscript"/>
          <w:lang w:val="en-GB"/>
        </w:rPr>
        <w:t>33</w:t>
      </w:r>
      <w:r w:rsidRPr="007A1FC6">
        <w:rPr>
          <w:lang w:val="en-GB"/>
        </w:rPr>
        <w:t xml:space="preserve"> Publication of a report in the DAEN—medicines </w:t>
      </w:r>
      <w:proofErr w:type="gramStart"/>
      <w:r w:rsidRPr="007A1FC6">
        <w:rPr>
          <w:lang w:val="en-GB"/>
        </w:rPr>
        <w:t>does</w:t>
      </w:r>
      <w:proofErr w:type="gramEnd"/>
      <w:r w:rsidRPr="007A1FC6">
        <w:rPr>
          <w:lang w:val="en-GB"/>
        </w:rPr>
        <w:t xml:space="preserve"> not mean that the vaccine caused the adverse event. All reports of death are also included in the TGA safety monitoring data, even if a coroner or expert panel has concluded that the death is unrelated to vaccination.</w:t>
      </w:r>
    </w:p>
    <w:p w14:paraId="53E0EDC1" w14:textId="77777777" w:rsidR="007A1FC6" w:rsidRPr="007A1FC6" w:rsidRDefault="007A1FC6" w:rsidP="007A1FC6">
      <w:pPr>
        <w:rPr>
          <w:lang w:val="en-GB"/>
        </w:rPr>
      </w:pPr>
      <w:r w:rsidRPr="007A1FC6">
        <w:rPr>
          <w:lang w:val="en-GB"/>
        </w:rPr>
        <w:t xml:space="preserve">More than 60% of these 160 reports were in people aged ≥ 60 years (Table 7). The median age at death was 72 years and the median time between the most recent COVID-19 vaccination and death was 13 days (range: 0–375 days). </w:t>
      </w:r>
    </w:p>
    <w:p w14:paraId="770DD49C" w14:textId="77777777" w:rsidR="007A1FC6" w:rsidRPr="007A1FC6" w:rsidRDefault="007A1FC6" w:rsidP="007A1FC6">
      <w:pPr>
        <w:rPr>
          <w:lang w:val="en-GB"/>
        </w:rPr>
      </w:pPr>
      <w:r w:rsidRPr="007A1FC6">
        <w:rPr>
          <w:lang w:val="en-GB"/>
        </w:rPr>
        <w:t xml:space="preserve">Most of the reports of death following COVID-19 vaccination were submitted to the TGA by state and territory health departments (102 reports; 63.8%), followed by consumers (29 reports; 18.1%). Sixteen reports (10.0%) originated from pharmaceutical companies; thirteen reports (8.1%) were submitted directly by health professionals including </w:t>
      </w:r>
      <w:proofErr w:type="gramStart"/>
      <w:r w:rsidRPr="007A1FC6">
        <w:rPr>
          <w:lang w:val="en-GB"/>
        </w:rPr>
        <w:t>coroners</w:t>
      </w:r>
      <w:proofErr w:type="gramEnd"/>
      <w:r w:rsidRPr="007A1FC6">
        <w:rPr>
          <w:lang w:val="en-GB"/>
        </w:rPr>
        <w:t xml:space="preserve"> courts. </w:t>
      </w:r>
    </w:p>
    <w:p w14:paraId="68A25A28" w14:textId="09C8A0B6" w:rsidR="007A1FC6" w:rsidRPr="007A1FC6" w:rsidRDefault="007A1FC6" w:rsidP="007A1FC6">
      <w:pPr>
        <w:rPr>
          <w:lang w:val="en-GB"/>
        </w:rPr>
      </w:pPr>
      <w:r w:rsidRPr="007A1FC6">
        <w:rPr>
          <w:lang w:val="en-GB"/>
        </w:rPr>
        <w:t xml:space="preserve">For both age groups of &lt; 60 years and ≥ 60 years, the </w:t>
      </w:r>
      <w:proofErr w:type="gramStart"/>
      <w:r w:rsidRPr="007A1FC6">
        <w:rPr>
          <w:lang w:val="en-GB"/>
        </w:rPr>
        <w:t>most commonly reported</w:t>
      </w:r>
      <w:proofErr w:type="gramEnd"/>
      <w:r w:rsidRPr="007A1FC6">
        <w:rPr>
          <w:lang w:val="en-GB"/>
        </w:rPr>
        <w:t xml:space="preserve"> PT/SMQ with a fatal outcome was ‘adverse event following immunisation’ (34% among &lt; 60 years; 25% among ≥</w:t>
      </w:r>
      <w:r>
        <w:rPr>
          <w:lang w:val="en-GB"/>
        </w:rPr>
        <w:t> </w:t>
      </w:r>
      <w:r w:rsidRPr="007A1FC6">
        <w:rPr>
          <w:lang w:val="en-GB"/>
        </w:rPr>
        <w:t xml:space="preserve">60 years). This MedDRA PT was used by the TGA for adverse event reports with fatal outcomes where limited additional clinical information was provided. The second </w:t>
      </w:r>
      <w:proofErr w:type="gramStart"/>
      <w:r w:rsidRPr="007A1FC6">
        <w:rPr>
          <w:lang w:val="en-GB"/>
        </w:rPr>
        <w:t>most commonly reported</w:t>
      </w:r>
      <w:proofErr w:type="gramEnd"/>
      <w:r w:rsidRPr="007A1FC6">
        <w:rPr>
          <w:lang w:val="en-GB"/>
        </w:rPr>
        <w:t xml:space="preserve"> PT/SMQ with a fatal outcome for people aged &lt; 60 years was ‘shock-associated circulatory or cardiac conditions (</w:t>
      </w:r>
      <w:proofErr w:type="spellStart"/>
      <w:r w:rsidRPr="007A1FC6">
        <w:rPr>
          <w:lang w:val="en-GB"/>
        </w:rPr>
        <w:t>excl</w:t>
      </w:r>
      <w:proofErr w:type="spellEnd"/>
      <w:r w:rsidRPr="007A1FC6">
        <w:rPr>
          <w:lang w:val="en-GB"/>
        </w:rPr>
        <w:t xml:space="preserve"> </w:t>
      </w:r>
      <w:r w:rsidRPr="007A1FC6">
        <w:rPr>
          <w:i/>
          <w:iCs/>
          <w:lang w:val="en-GB"/>
        </w:rPr>
        <w:t>torsade de pointes</w:t>
      </w:r>
      <w:r w:rsidRPr="007A1FC6">
        <w:rPr>
          <w:lang w:val="en-GB"/>
        </w:rPr>
        <w:t xml:space="preserve">)’; followed, in order of frequency, by ‘gastrointestinal nonspecific symptoms and therapeutic procedures’; myocardial infarction; </w:t>
      </w:r>
      <w:proofErr w:type="spellStart"/>
      <w:r w:rsidRPr="007A1FC6">
        <w:rPr>
          <w:lang w:val="en-GB"/>
        </w:rPr>
        <w:t>noninfectious</w:t>
      </w:r>
      <w:proofErr w:type="spellEnd"/>
      <w:r w:rsidRPr="007A1FC6">
        <w:rPr>
          <w:lang w:val="en-GB"/>
        </w:rPr>
        <w:t xml:space="preserve"> myocarditis/pericarditis; and ‘haemodynamic oedema, effusions and fluid overload’. The second </w:t>
      </w:r>
      <w:proofErr w:type="gramStart"/>
      <w:r w:rsidRPr="007A1FC6">
        <w:rPr>
          <w:lang w:val="en-GB"/>
        </w:rPr>
        <w:t>most commonly reported</w:t>
      </w:r>
      <w:proofErr w:type="gramEnd"/>
      <w:r w:rsidRPr="007A1FC6">
        <w:rPr>
          <w:lang w:val="en-GB"/>
        </w:rPr>
        <w:t xml:space="preserve"> PT/SMQ with a fatal outcome for people aged ≥ 60 years was myocardial infarction; followed, in order of frequency, by ‘shock-associated circulatory or cardiac conditions </w:t>
      </w:r>
      <w:r w:rsidRPr="007A1FC6">
        <w:rPr>
          <w:lang w:val="en-GB"/>
        </w:rPr>
        <w:lastRenderedPageBreak/>
        <w:t>(</w:t>
      </w:r>
      <w:proofErr w:type="spellStart"/>
      <w:r w:rsidRPr="007A1FC6">
        <w:rPr>
          <w:lang w:val="en-GB"/>
        </w:rPr>
        <w:t>excl</w:t>
      </w:r>
      <w:proofErr w:type="spellEnd"/>
      <w:r w:rsidRPr="007A1FC6">
        <w:rPr>
          <w:lang w:val="en-GB"/>
        </w:rPr>
        <w:t xml:space="preserve"> </w:t>
      </w:r>
      <w:r w:rsidRPr="007A1FC6">
        <w:rPr>
          <w:i/>
          <w:iCs/>
          <w:lang w:val="en-GB"/>
        </w:rPr>
        <w:t>torsade de pointes</w:t>
      </w:r>
      <w:r w:rsidRPr="007A1FC6">
        <w:rPr>
          <w:lang w:val="en-GB"/>
        </w:rPr>
        <w:t xml:space="preserve">)’; ‘embolic and thrombotic events, venous’; concomitant disease aggravated; and cerebrovascular accident. </w:t>
      </w:r>
    </w:p>
    <w:p w14:paraId="3769A98B" w14:textId="77777777" w:rsidR="007A1FC6" w:rsidRPr="007A1FC6" w:rsidRDefault="007A1FC6" w:rsidP="007A1FC6">
      <w:pPr>
        <w:rPr>
          <w:lang w:val="en-GB"/>
        </w:rPr>
      </w:pPr>
      <w:r w:rsidRPr="007A1FC6">
        <w:rPr>
          <w:lang w:val="en-GB"/>
        </w:rPr>
        <w:t>It is important to note that while there have been AEFI reports with an outcome of death among children, none have been determined to be causally linked to COVID-19 vaccines after expert assessment by the TGA.</w:t>
      </w:r>
    </w:p>
    <w:p w14:paraId="6B99FA62" w14:textId="77777777" w:rsidR="007A1FC6" w:rsidRPr="007A1FC6" w:rsidRDefault="007A1FC6" w:rsidP="007A1FC6">
      <w:pPr>
        <w:pStyle w:val="Heading3"/>
        <w:rPr>
          <w:lang w:val="en-GB"/>
        </w:rPr>
      </w:pPr>
      <w:r w:rsidRPr="007A1FC6">
        <w:rPr>
          <w:lang w:val="en-GB"/>
        </w:rPr>
        <w:t>VSIG meetings</w:t>
      </w:r>
    </w:p>
    <w:p w14:paraId="0D2766FC" w14:textId="77777777" w:rsidR="007A1FC6" w:rsidRPr="007A1FC6" w:rsidRDefault="007A1FC6" w:rsidP="007A1FC6">
      <w:pPr>
        <w:rPr>
          <w:lang w:val="en-GB"/>
        </w:rPr>
      </w:pPr>
      <w:r w:rsidRPr="007A1FC6">
        <w:rPr>
          <w:lang w:val="en-GB"/>
        </w:rPr>
        <w:t>Two VSIG meetings were convened to discuss two fatal AEFI cases following COVID-19 vaccination that occurred in 2022. The VSIG found that one death was likely to be linked to vaccination. This death occurred in a woman who developed myocarditis following a booster dose of Spikevax.</w:t>
      </w:r>
      <w:r w:rsidRPr="007A1FC6">
        <w:rPr>
          <w:vertAlign w:val="superscript"/>
          <w:lang w:val="en-GB"/>
        </w:rPr>
        <w:t>35</w:t>
      </w:r>
      <w:r w:rsidRPr="007A1FC6">
        <w:rPr>
          <w:lang w:val="en-GB"/>
        </w:rPr>
        <w:t xml:space="preserve"> The second case was of myocarditis which occurred approximately one month after a booster dose of Comirnaty.</w:t>
      </w:r>
      <w:r w:rsidRPr="007A1FC6">
        <w:rPr>
          <w:vertAlign w:val="superscript"/>
          <w:lang w:val="en-GB"/>
        </w:rPr>
        <w:t>36</w:t>
      </w:r>
      <w:r w:rsidRPr="007A1FC6">
        <w:rPr>
          <w:lang w:val="en-GB"/>
        </w:rPr>
        <w:t xml:space="preserve"> The VSIG concluded that this death was unlikely to have a causal link to the vaccine.</w:t>
      </w:r>
    </w:p>
    <w:p w14:paraId="3BA67BE2" w14:textId="77777777" w:rsidR="007A1FC6" w:rsidRPr="007A1FC6" w:rsidRDefault="007A1FC6" w:rsidP="007A1FC6">
      <w:pPr>
        <w:pStyle w:val="Heading2"/>
        <w:rPr>
          <w:lang w:val="en-GB"/>
        </w:rPr>
      </w:pPr>
      <w:bookmarkStart w:id="44" w:name="_Toc215578716"/>
      <w:r w:rsidRPr="007A1FC6">
        <w:rPr>
          <w:lang w:val="en-GB"/>
        </w:rPr>
        <w:t>Safety monitoring</w:t>
      </w:r>
      <w:bookmarkEnd w:id="44"/>
    </w:p>
    <w:p w14:paraId="7CEB58A0" w14:textId="77777777" w:rsidR="007A1FC6" w:rsidRPr="007A1FC6" w:rsidRDefault="007A1FC6" w:rsidP="007A1FC6">
      <w:pPr>
        <w:rPr>
          <w:lang w:val="en-GB"/>
        </w:rPr>
      </w:pPr>
      <w:r w:rsidRPr="007A1FC6">
        <w:rPr>
          <w:lang w:val="en-GB"/>
        </w:rPr>
        <w:t xml:space="preserve">Table 8 summarises the safety topics that were the focus of TGA-initiated investigations for COVID-19 vaccines in 2022, and some of the specific actions taken consequent to these investigations. Ten safety topics underwent multiple separate investigations as new evidence emerged, including topics that were initially investigated in 2021 and reopened for further investigation in 2022. Additional actions, including updating COVID-19 vaccine product information, were undertaken </w:t>
      </w:r>
      <w:proofErr w:type="gramStart"/>
      <w:r w:rsidRPr="007A1FC6">
        <w:rPr>
          <w:lang w:val="en-GB"/>
        </w:rPr>
        <w:t>as a result of</w:t>
      </w:r>
      <w:proofErr w:type="gramEnd"/>
      <w:r w:rsidRPr="007A1FC6">
        <w:rPr>
          <w:lang w:val="en-GB"/>
        </w:rPr>
        <w:t xml:space="preserve"> TGA investigations for 10 separate safety topics in 2022. </w:t>
      </w:r>
    </w:p>
    <w:p w14:paraId="70CA2727" w14:textId="77777777" w:rsidR="007A1FC6" w:rsidRDefault="007A1FC6" w:rsidP="007A1FC6">
      <w:pPr>
        <w:rPr>
          <w:lang w:val="en-GB"/>
        </w:rPr>
        <w:sectPr w:rsidR="007A1FC6" w:rsidSect="001E3ECB">
          <w:footnotePr>
            <w:numFmt w:val="lowerRoman"/>
          </w:footnotePr>
          <w:pgSz w:w="11907" w:h="16840" w:code="9"/>
          <w:pgMar w:top="1134" w:right="1134" w:bottom="1134" w:left="1134" w:header="709" w:footer="567" w:gutter="0"/>
          <w:cols w:space="708"/>
          <w:docGrid w:linePitch="360"/>
        </w:sectPr>
      </w:pPr>
      <w:r w:rsidRPr="007A1FC6">
        <w:rPr>
          <w:lang w:val="en-GB"/>
        </w:rPr>
        <w:t>Table 8 includes data until 31 December 2022 and does not capture the total number of investigations performed by the TGA, or the regulatory action that occurred subsequently for these safety topics in 2023 or beyond.</w:t>
      </w:r>
    </w:p>
    <w:p w14:paraId="35918EDE" w14:textId="77777777" w:rsidR="007A1FC6" w:rsidRPr="007A1FC6" w:rsidRDefault="007A1FC6" w:rsidP="007A1FC6">
      <w:pPr>
        <w:pStyle w:val="CDITable-Title"/>
        <w:spacing w:before="0"/>
        <w:rPr>
          <w:lang w:val="en-GB"/>
        </w:rPr>
      </w:pPr>
      <w:bookmarkStart w:id="45" w:name="_Toc215578751"/>
      <w:r w:rsidRPr="007A1FC6">
        <w:rPr>
          <w:lang w:val="en-GB"/>
        </w:rPr>
        <w:lastRenderedPageBreak/>
        <w:t>Table 8: Safety topics investigated for COVID-19 vaccines undertaken by the TGA in 2022</w:t>
      </w:r>
      <w:r w:rsidRPr="007A1FC6">
        <w:rPr>
          <w:vertAlign w:val="superscript"/>
          <w:lang w:val="en-GB"/>
        </w:rPr>
        <w:t>a</w:t>
      </w:r>
      <w:bookmarkEnd w:id="45"/>
    </w:p>
    <w:tbl>
      <w:tblPr>
        <w:tblW w:w="0" w:type="auto"/>
        <w:tblLayout w:type="fixed"/>
        <w:tblCellMar>
          <w:left w:w="0" w:type="dxa"/>
          <w:right w:w="0" w:type="dxa"/>
        </w:tblCellMar>
        <w:tblLook w:val="0000" w:firstRow="0" w:lastRow="0" w:firstColumn="0" w:lastColumn="0" w:noHBand="0" w:noVBand="0"/>
        <w:tblCaption w:val="Table 8: Safety topics investigated for COVID-19 vaccines undertaken by the TGA in 2022"/>
        <w:tblDescription w:val="Table 8 lists the investigations undertaken by the Therapeutic Goods Administration in 2022 by topic (usually a specific adverse event or a group of related adverse events) and COVID-19 vaccine potentially implicated. The outcome (or provisional outcome at 31 December 2022) of each investigation is also listed in the table."/>
      </w:tblPr>
      <w:tblGrid>
        <w:gridCol w:w="2778"/>
        <w:gridCol w:w="5442"/>
        <w:gridCol w:w="4139"/>
        <w:gridCol w:w="1984"/>
      </w:tblGrid>
      <w:tr w:rsidR="00D93C42" w:rsidRPr="00D93C42" w14:paraId="56BE88CD" w14:textId="77777777" w:rsidTr="00CA6E70">
        <w:trPr>
          <w:trHeight w:val="60"/>
          <w:tblHeader/>
        </w:trPr>
        <w:tc>
          <w:tcPr>
            <w:tcW w:w="2778" w:type="dxa"/>
            <w:shd w:val="clear" w:color="auto" w:fill="1E4496" w:themeFill="text2"/>
            <w:tcMar>
              <w:top w:w="113" w:type="dxa"/>
              <w:left w:w="113" w:type="dxa"/>
              <w:bottom w:w="113" w:type="dxa"/>
              <w:right w:w="113" w:type="dxa"/>
            </w:tcMar>
            <w:vAlign w:val="bottom"/>
          </w:tcPr>
          <w:p w14:paraId="5D4426A3" w14:textId="77777777" w:rsidR="00D93C42" w:rsidRPr="00D93C42" w:rsidRDefault="00D93C42" w:rsidP="00D93C42"/>
        </w:tc>
        <w:tc>
          <w:tcPr>
            <w:tcW w:w="5442" w:type="dxa"/>
            <w:shd w:val="clear" w:color="auto" w:fill="1E4496" w:themeFill="text2"/>
            <w:tcMar>
              <w:top w:w="113" w:type="dxa"/>
              <w:left w:w="113" w:type="dxa"/>
              <w:bottom w:w="113" w:type="dxa"/>
              <w:right w:w="113" w:type="dxa"/>
            </w:tcMar>
            <w:vAlign w:val="bottom"/>
          </w:tcPr>
          <w:p w14:paraId="1A8B2E28" w14:textId="77777777" w:rsidR="00D93C42" w:rsidRPr="00D93C42" w:rsidRDefault="00D93C42" w:rsidP="00D93C42">
            <w:pPr>
              <w:pStyle w:val="CDITable-HeaderRowLeft"/>
            </w:pPr>
            <w:r w:rsidRPr="00D93C42">
              <w:t>Potential adverse event investigated</w:t>
            </w:r>
          </w:p>
        </w:tc>
        <w:tc>
          <w:tcPr>
            <w:tcW w:w="4139" w:type="dxa"/>
            <w:shd w:val="clear" w:color="auto" w:fill="1E4496" w:themeFill="text2"/>
            <w:tcMar>
              <w:top w:w="113" w:type="dxa"/>
              <w:left w:w="113" w:type="dxa"/>
              <w:bottom w:w="113" w:type="dxa"/>
              <w:right w:w="113" w:type="dxa"/>
            </w:tcMar>
            <w:vAlign w:val="bottom"/>
          </w:tcPr>
          <w:p w14:paraId="6876806E" w14:textId="77777777" w:rsidR="00D93C42" w:rsidRPr="00D93C42" w:rsidRDefault="00D93C42" w:rsidP="00D93C42">
            <w:pPr>
              <w:pStyle w:val="CDITable-HeaderRowLeft"/>
            </w:pPr>
            <w:r w:rsidRPr="00D93C42">
              <w:t>Outcome/status at the end of 2022</w:t>
            </w:r>
            <w:r w:rsidRPr="00D93C42">
              <w:rPr>
                <w:vertAlign w:val="superscript"/>
              </w:rPr>
              <w:t>b</w:t>
            </w:r>
          </w:p>
        </w:tc>
        <w:tc>
          <w:tcPr>
            <w:tcW w:w="1984" w:type="dxa"/>
            <w:shd w:val="clear" w:color="auto" w:fill="1E4496" w:themeFill="text2"/>
            <w:tcMar>
              <w:top w:w="113" w:type="dxa"/>
              <w:left w:w="113" w:type="dxa"/>
              <w:bottom w:w="113" w:type="dxa"/>
              <w:right w:w="113" w:type="dxa"/>
            </w:tcMar>
            <w:vAlign w:val="bottom"/>
          </w:tcPr>
          <w:p w14:paraId="2529FC3D" w14:textId="77777777" w:rsidR="00D93C42" w:rsidRPr="00D93C42" w:rsidRDefault="00D93C42" w:rsidP="00D93C42">
            <w:pPr>
              <w:pStyle w:val="CDITable-HeaderRowCentre"/>
            </w:pPr>
            <w:r w:rsidRPr="00D93C42">
              <w:t>Topic reviewed multiple times</w:t>
            </w:r>
          </w:p>
        </w:tc>
      </w:tr>
      <w:tr w:rsidR="00D93C42" w:rsidRPr="00D93C42" w14:paraId="5EB58893" w14:textId="77777777" w:rsidTr="00CA6E70">
        <w:trPr>
          <w:trHeight w:val="60"/>
        </w:trPr>
        <w:tc>
          <w:tcPr>
            <w:tcW w:w="2778" w:type="dxa"/>
            <w:vMerge w:val="restart"/>
            <w:tcBorders>
              <w:bottom w:val="single" w:sz="6" w:space="0" w:color="1E4496" w:themeColor="text2"/>
            </w:tcBorders>
            <w:tcMar>
              <w:top w:w="113" w:type="dxa"/>
              <w:left w:w="113" w:type="dxa"/>
              <w:bottom w:w="113" w:type="dxa"/>
              <w:right w:w="113" w:type="dxa"/>
            </w:tcMar>
            <w:vAlign w:val="center"/>
          </w:tcPr>
          <w:p w14:paraId="6692F5BD" w14:textId="77777777" w:rsidR="00D93C42" w:rsidRPr="00D93C42" w:rsidRDefault="00D93C42" w:rsidP="00CA6E70">
            <w:pPr>
              <w:pStyle w:val="CDITable-RowLeft"/>
            </w:pPr>
            <w:r w:rsidRPr="00D93C42">
              <w:t>Comirnaty</w:t>
            </w:r>
          </w:p>
        </w:tc>
        <w:tc>
          <w:tcPr>
            <w:tcW w:w="5442" w:type="dxa"/>
            <w:tcBorders>
              <w:bottom w:val="single" w:sz="6" w:space="0" w:color="1E4496" w:themeColor="text2"/>
            </w:tcBorders>
            <w:tcMar>
              <w:top w:w="113" w:type="dxa"/>
              <w:left w:w="113" w:type="dxa"/>
              <w:bottom w:w="113" w:type="dxa"/>
              <w:right w:w="113" w:type="dxa"/>
            </w:tcMar>
            <w:vAlign w:val="center"/>
          </w:tcPr>
          <w:p w14:paraId="2EEA48A0" w14:textId="77777777" w:rsidR="00D93C42" w:rsidRPr="00D93C42" w:rsidRDefault="00D93C42" w:rsidP="00D93C42">
            <w:pPr>
              <w:pStyle w:val="CDITable-RowLeft"/>
            </w:pPr>
            <w:r w:rsidRPr="00D93C42">
              <w:t>Anti-glomerular basement membrane disease</w:t>
            </w:r>
          </w:p>
        </w:tc>
        <w:tc>
          <w:tcPr>
            <w:tcW w:w="4139" w:type="dxa"/>
            <w:tcBorders>
              <w:bottom w:val="single" w:sz="6" w:space="0" w:color="1E4496" w:themeColor="text2"/>
            </w:tcBorders>
            <w:tcMar>
              <w:top w:w="113" w:type="dxa"/>
              <w:left w:w="113" w:type="dxa"/>
              <w:bottom w:w="113" w:type="dxa"/>
              <w:right w:w="113" w:type="dxa"/>
            </w:tcMar>
            <w:vAlign w:val="center"/>
          </w:tcPr>
          <w:p w14:paraId="6CF0EA5A" w14:textId="77777777" w:rsidR="00D93C42" w:rsidRPr="00D93C42" w:rsidRDefault="00D93C42" w:rsidP="00D93C42">
            <w:pPr>
              <w:pStyle w:val="CDITable-RowLeft"/>
            </w:pPr>
            <w:r w:rsidRPr="00D93C42">
              <w:t>Returned to routine monitoring</w:t>
            </w:r>
          </w:p>
        </w:tc>
        <w:tc>
          <w:tcPr>
            <w:tcW w:w="1984" w:type="dxa"/>
            <w:tcBorders>
              <w:bottom w:val="single" w:sz="6" w:space="0" w:color="1E4496" w:themeColor="text2"/>
            </w:tcBorders>
            <w:tcMar>
              <w:top w:w="113" w:type="dxa"/>
              <w:left w:w="113" w:type="dxa"/>
              <w:bottom w:w="113" w:type="dxa"/>
              <w:right w:w="113" w:type="dxa"/>
            </w:tcMar>
            <w:vAlign w:val="center"/>
          </w:tcPr>
          <w:p w14:paraId="715B82CB" w14:textId="77777777" w:rsidR="00D93C42" w:rsidRPr="00D93C42" w:rsidRDefault="00D93C42" w:rsidP="00D93C42">
            <w:pPr>
              <w:pStyle w:val="CDITable-RowCentre"/>
            </w:pPr>
            <w:r w:rsidRPr="00D93C42">
              <w:t>No</w:t>
            </w:r>
          </w:p>
        </w:tc>
      </w:tr>
      <w:tr w:rsidR="00D93C42" w:rsidRPr="00D93C42" w14:paraId="76264E4B" w14:textId="77777777" w:rsidTr="00CA6E70">
        <w:trPr>
          <w:trHeight w:val="60"/>
        </w:trPr>
        <w:tc>
          <w:tcPr>
            <w:tcW w:w="2778" w:type="dxa"/>
            <w:vMerge/>
            <w:tcBorders>
              <w:top w:val="single" w:sz="6" w:space="0" w:color="1E4496" w:themeColor="text2"/>
              <w:bottom w:val="single" w:sz="6" w:space="0" w:color="1E4496" w:themeColor="text2"/>
            </w:tcBorders>
          </w:tcPr>
          <w:p w14:paraId="75455FB8"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5FA67" w14:textId="77777777" w:rsidR="00D93C42" w:rsidRPr="00D93C42" w:rsidRDefault="00D93C42" w:rsidP="00D93C42">
            <w:pPr>
              <w:pStyle w:val="CDITable-RowLeft"/>
            </w:pPr>
            <w:r w:rsidRPr="00D93C42">
              <w:t>Appendicitis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3EBE7"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DD662" w14:textId="77777777" w:rsidR="00D93C42" w:rsidRPr="00D93C42" w:rsidRDefault="00D93C42" w:rsidP="00D93C42">
            <w:pPr>
              <w:pStyle w:val="CDITable-RowCentre"/>
            </w:pPr>
            <w:r w:rsidRPr="00D93C42">
              <w:t>Yes</w:t>
            </w:r>
          </w:p>
        </w:tc>
      </w:tr>
      <w:tr w:rsidR="00D93C42" w:rsidRPr="00D93C42" w14:paraId="7EEE6A3D" w14:textId="77777777" w:rsidTr="00CA6E70">
        <w:trPr>
          <w:trHeight w:val="60"/>
        </w:trPr>
        <w:tc>
          <w:tcPr>
            <w:tcW w:w="2778" w:type="dxa"/>
            <w:vMerge/>
            <w:tcBorders>
              <w:bottom w:val="single" w:sz="6" w:space="0" w:color="1E4496" w:themeColor="text2"/>
            </w:tcBorders>
          </w:tcPr>
          <w:p w14:paraId="36968FED"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C5A87" w14:textId="77777777" w:rsidR="00D93C42" w:rsidRPr="00D93C42" w:rsidRDefault="00D93C42" w:rsidP="00D93C42">
            <w:pPr>
              <w:pStyle w:val="CDITable-RowLeft"/>
            </w:pPr>
            <w:r w:rsidRPr="00D93C42">
              <w:t>Bronchitis / lower respiratory tract infection</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9C84E"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63B51" w14:textId="77777777" w:rsidR="00D93C42" w:rsidRPr="00D93C42" w:rsidRDefault="00D93C42" w:rsidP="00D93C42">
            <w:pPr>
              <w:pStyle w:val="CDITable-RowCentre"/>
            </w:pPr>
            <w:r w:rsidRPr="00D93C42">
              <w:t>No</w:t>
            </w:r>
          </w:p>
        </w:tc>
      </w:tr>
      <w:tr w:rsidR="00D93C42" w:rsidRPr="00D93C42" w14:paraId="3259216E" w14:textId="77777777" w:rsidTr="00CA6E70">
        <w:trPr>
          <w:trHeight w:val="60"/>
        </w:trPr>
        <w:tc>
          <w:tcPr>
            <w:tcW w:w="2778" w:type="dxa"/>
            <w:vMerge/>
            <w:tcBorders>
              <w:bottom w:val="single" w:sz="6" w:space="0" w:color="1E4496" w:themeColor="text2"/>
            </w:tcBorders>
          </w:tcPr>
          <w:p w14:paraId="1B6EA1DF"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4974A" w14:textId="77777777" w:rsidR="00D93C42" w:rsidRPr="00D93C42" w:rsidRDefault="00D93C42" w:rsidP="00D93C42">
            <w:pPr>
              <w:pStyle w:val="CDITable-RowLeft"/>
            </w:pPr>
            <w:r w:rsidRPr="00D93C42">
              <w:t xml:space="preserve">Cardiomyopathy </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CE353"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59C14A" w14:textId="77777777" w:rsidR="00D93C42" w:rsidRPr="00D93C42" w:rsidRDefault="00D93C42" w:rsidP="00D93C42">
            <w:pPr>
              <w:pStyle w:val="CDITable-RowCentre"/>
            </w:pPr>
            <w:r w:rsidRPr="00D93C42">
              <w:t>Yes</w:t>
            </w:r>
          </w:p>
        </w:tc>
      </w:tr>
      <w:tr w:rsidR="00D93C42" w:rsidRPr="00D93C42" w14:paraId="1AEFF069" w14:textId="77777777" w:rsidTr="00CA6E70">
        <w:trPr>
          <w:trHeight w:val="60"/>
        </w:trPr>
        <w:tc>
          <w:tcPr>
            <w:tcW w:w="2778" w:type="dxa"/>
            <w:vMerge/>
            <w:tcBorders>
              <w:bottom w:val="single" w:sz="6" w:space="0" w:color="1E4496" w:themeColor="text2"/>
            </w:tcBorders>
          </w:tcPr>
          <w:p w14:paraId="20644205"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45711D" w14:textId="77777777" w:rsidR="00D93C42" w:rsidRPr="00D93C42" w:rsidRDefault="00D93C42" w:rsidP="00D93C42">
            <w:pPr>
              <w:pStyle w:val="CDITable-RowLeft"/>
            </w:pPr>
            <w:r w:rsidRPr="00D93C42">
              <w:t>Central serous chorioretinopathy</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14153"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3D42F" w14:textId="77777777" w:rsidR="00D93C42" w:rsidRPr="00D93C42" w:rsidRDefault="00D93C42" w:rsidP="00D93C42">
            <w:pPr>
              <w:pStyle w:val="CDITable-RowCentre"/>
            </w:pPr>
            <w:r w:rsidRPr="00D93C42">
              <w:t>No</w:t>
            </w:r>
          </w:p>
        </w:tc>
      </w:tr>
      <w:tr w:rsidR="00D93C42" w:rsidRPr="00D93C42" w14:paraId="00F2AC99" w14:textId="77777777" w:rsidTr="00CA6E70">
        <w:trPr>
          <w:trHeight w:val="60"/>
        </w:trPr>
        <w:tc>
          <w:tcPr>
            <w:tcW w:w="2778" w:type="dxa"/>
            <w:vMerge/>
            <w:tcBorders>
              <w:bottom w:val="single" w:sz="6" w:space="0" w:color="1E4496" w:themeColor="text2"/>
            </w:tcBorders>
          </w:tcPr>
          <w:p w14:paraId="01E69DC0"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3E8BAC" w14:textId="77777777" w:rsidR="00D93C42" w:rsidRPr="00D93C42" w:rsidRDefault="00D93C42" w:rsidP="00D93C42">
            <w:pPr>
              <w:pStyle w:val="CDITable-RowLeft"/>
            </w:pPr>
            <w:r w:rsidRPr="00D93C42">
              <w:t>Chilblains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0EC74"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BD3A1" w14:textId="77777777" w:rsidR="00D93C42" w:rsidRPr="00D93C42" w:rsidRDefault="00D93C42" w:rsidP="00D93C42">
            <w:pPr>
              <w:pStyle w:val="CDITable-RowCentre"/>
            </w:pPr>
            <w:r w:rsidRPr="00D93C42">
              <w:t>No</w:t>
            </w:r>
          </w:p>
        </w:tc>
      </w:tr>
      <w:tr w:rsidR="00D93C42" w:rsidRPr="00D93C42" w14:paraId="05D13AC9" w14:textId="77777777" w:rsidTr="00CA6E70">
        <w:trPr>
          <w:trHeight w:val="60"/>
        </w:trPr>
        <w:tc>
          <w:tcPr>
            <w:tcW w:w="2778" w:type="dxa"/>
            <w:vMerge/>
            <w:tcBorders>
              <w:bottom w:val="single" w:sz="6" w:space="0" w:color="1E4496" w:themeColor="text2"/>
            </w:tcBorders>
          </w:tcPr>
          <w:p w14:paraId="78D425BF"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90B1E" w14:textId="77777777" w:rsidR="00D93C42" w:rsidRPr="00D93C42" w:rsidRDefault="00D93C42" w:rsidP="00D93C42">
            <w:pPr>
              <w:pStyle w:val="CDITable-RowLeft"/>
            </w:pPr>
            <w:r w:rsidRPr="00D93C42">
              <w:t>Guillain-Barré syndrome</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C7782"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B18893" w14:textId="77777777" w:rsidR="00D93C42" w:rsidRPr="00D93C42" w:rsidRDefault="00D93C42" w:rsidP="00D93C42">
            <w:pPr>
              <w:pStyle w:val="CDITable-RowCentre"/>
            </w:pPr>
            <w:r w:rsidRPr="00D93C42">
              <w:t>No</w:t>
            </w:r>
          </w:p>
        </w:tc>
      </w:tr>
      <w:tr w:rsidR="00D93C42" w:rsidRPr="00D93C42" w14:paraId="62F1DA75" w14:textId="77777777" w:rsidTr="00CA6E70">
        <w:trPr>
          <w:trHeight w:val="60"/>
        </w:trPr>
        <w:tc>
          <w:tcPr>
            <w:tcW w:w="2778" w:type="dxa"/>
            <w:vMerge/>
            <w:tcBorders>
              <w:bottom w:val="single" w:sz="6" w:space="0" w:color="1E4496" w:themeColor="text2"/>
            </w:tcBorders>
          </w:tcPr>
          <w:p w14:paraId="46C8DA28"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65FFA8" w14:textId="77777777" w:rsidR="00D93C42" w:rsidRPr="00D93C42" w:rsidRDefault="00D93C42" w:rsidP="00D93C42">
            <w:pPr>
              <w:pStyle w:val="CDITable-RowLeft"/>
            </w:pPr>
            <w:r w:rsidRPr="00D93C42">
              <w:t>Laryngitis, tonsilitis, and tonsillar inflammation</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DA2AD"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6AE1A" w14:textId="77777777" w:rsidR="00D93C42" w:rsidRPr="00D93C42" w:rsidRDefault="00D93C42" w:rsidP="00D93C42">
            <w:pPr>
              <w:pStyle w:val="CDITable-RowCentre"/>
            </w:pPr>
            <w:r w:rsidRPr="00D93C42">
              <w:t>No</w:t>
            </w:r>
          </w:p>
        </w:tc>
      </w:tr>
      <w:tr w:rsidR="00D93C42" w:rsidRPr="00D93C42" w14:paraId="17607EF9" w14:textId="77777777" w:rsidTr="00CA6E70">
        <w:trPr>
          <w:trHeight w:val="60"/>
        </w:trPr>
        <w:tc>
          <w:tcPr>
            <w:tcW w:w="2778" w:type="dxa"/>
            <w:vMerge/>
            <w:tcBorders>
              <w:bottom w:val="single" w:sz="6" w:space="0" w:color="1E4496" w:themeColor="text2"/>
            </w:tcBorders>
          </w:tcPr>
          <w:p w14:paraId="7356B17D"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3F355" w14:textId="77777777" w:rsidR="00D93C42" w:rsidRPr="00D93C42" w:rsidRDefault="00D93C42" w:rsidP="00D93C42">
            <w:pPr>
              <w:pStyle w:val="CDITable-RowLeft"/>
            </w:pPr>
            <w:r w:rsidRPr="00D93C42">
              <w:t>Multisystem inflammatory syndrome in children (MIS-C)</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FAE583" w14:textId="77777777" w:rsidR="00D93C42" w:rsidRPr="00D93C42" w:rsidRDefault="00D93C42" w:rsidP="00D93C42">
            <w:pPr>
              <w:pStyle w:val="CDITable-RowLeft"/>
            </w:pPr>
            <w:r w:rsidRPr="00D93C42">
              <w:t>Returned to routine monitoring and referral to external organisation for enhanced surveillance</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43A011" w14:textId="77777777" w:rsidR="00D93C42" w:rsidRPr="00D93C42" w:rsidRDefault="00D93C42" w:rsidP="00D93C42">
            <w:pPr>
              <w:pStyle w:val="CDITable-RowCentre"/>
            </w:pPr>
            <w:r w:rsidRPr="00D93C42">
              <w:t>Yes</w:t>
            </w:r>
          </w:p>
        </w:tc>
      </w:tr>
      <w:tr w:rsidR="00D93C42" w:rsidRPr="00D93C42" w14:paraId="5794CF64" w14:textId="77777777" w:rsidTr="00CA6E70">
        <w:trPr>
          <w:trHeight w:val="60"/>
        </w:trPr>
        <w:tc>
          <w:tcPr>
            <w:tcW w:w="2778" w:type="dxa"/>
            <w:vMerge/>
            <w:tcBorders>
              <w:bottom w:val="single" w:sz="6" w:space="0" w:color="1E4496" w:themeColor="text2"/>
            </w:tcBorders>
          </w:tcPr>
          <w:p w14:paraId="6BF3E547"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AFD84C" w14:textId="77777777" w:rsidR="00D93C42" w:rsidRPr="00D93C42" w:rsidRDefault="00D93C42" w:rsidP="00D93C42">
            <w:pPr>
              <w:pStyle w:val="CDITable-RowLeft"/>
            </w:pPr>
            <w:r w:rsidRPr="00D93C42">
              <w:t>Neuralgic amyotrophy</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986B2"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11F26" w14:textId="77777777" w:rsidR="00D93C42" w:rsidRPr="00D93C42" w:rsidRDefault="00D93C42" w:rsidP="00D93C42">
            <w:pPr>
              <w:pStyle w:val="CDITable-RowCentre"/>
            </w:pPr>
            <w:r w:rsidRPr="00D93C42">
              <w:t>No</w:t>
            </w:r>
          </w:p>
        </w:tc>
      </w:tr>
      <w:tr w:rsidR="00D93C42" w:rsidRPr="00D93C42" w14:paraId="6A77851E" w14:textId="77777777" w:rsidTr="00CA6E70">
        <w:trPr>
          <w:trHeight w:val="60"/>
        </w:trPr>
        <w:tc>
          <w:tcPr>
            <w:tcW w:w="2778" w:type="dxa"/>
            <w:vMerge/>
            <w:tcBorders>
              <w:bottom w:val="single" w:sz="6" w:space="0" w:color="1E4496" w:themeColor="text2"/>
            </w:tcBorders>
          </w:tcPr>
          <w:p w14:paraId="02E52053"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5C055" w14:textId="77777777" w:rsidR="00D93C42" w:rsidRPr="00D93C42" w:rsidRDefault="00D93C42" w:rsidP="00D93C42">
            <w:pPr>
              <w:pStyle w:val="CDITable-RowLeft"/>
            </w:pPr>
            <w:r w:rsidRPr="00D93C42">
              <w:t>Neutropenia</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04ED9" w14:textId="77777777" w:rsidR="00D93C42" w:rsidRPr="00D93C42" w:rsidRDefault="00D93C42" w:rsidP="00D93C42">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DE719" w14:textId="77777777" w:rsidR="00D93C42" w:rsidRPr="00D93C42" w:rsidRDefault="00D93C42" w:rsidP="00D93C42">
            <w:pPr>
              <w:pStyle w:val="CDITable-RowCentre"/>
            </w:pPr>
            <w:r w:rsidRPr="00D93C42">
              <w:t>No</w:t>
            </w:r>
          </w:p>
        </w:tc>
      </w:tr>
      <w:tr w:rsidR="00D93C42" w:rsidRPr="00D93C42" w14:paraId="4FAE94FE" w14:textId="77777777" w:rsidTr="00CA6E70">
        <w:trPr>
          <w:trHeight w:val="60"/>
        </w:trPr>
        <w:tc>
          <w:tcPr>
            <w:tcW w:w="2778" w:type="dxa"/>
            <w:vMerge/>
            <w:tcBorders>
              <w:bottom w:val="single" w:sz="6" w:space="0" w:color="1E4496" w:themeColor="text2"/>
            </w:tcBorders>
          </w:tcPr>
          <w:p w14:paraId="063AC457"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8AFB6D" w14:textId="77777777" w:rsidR="00D93C42" w:rsidRPr="00D93C42" w:rsidRDefault="00D93C42" w:rsidP="00CA6E70">
            <w:pPr>
              <w:pStyle w:val="CDITable-RowLeft"/>
            </w:pPr>
            <w:r w:rsidRPr="00D93C42">
              <w:t>Oral herpes and mouth ulcers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C3274"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886C47" w14:textId="77777777" w:rsidR="00D93C42" w:rsidRPr="00D93C42" w:rsidRDefault="00D93C42" w:rsidP="00CA6E70">
            <w:pPr>
              <w:pStyle w:val="CDITable-RowCentre"/>
            </w:pPr>
            <w:r w:rsidRPr="00D93C42">
              <w:t>No</w:t>
            </w:r>
          </w:p>
        </w:tc>
      </w:tr>
      <w:tr w:rsidR="00D93C42" w:rsidRPr="00D93C42" w14:paraId="7536FABB" w14:textId="77777777" w:rsidTr="00CA6E70">
        <w:trPr>
          <w:trHeight w:val="60"/>
        </w:trPr>
        <w:tc>
          <w:tcPr>
            <w:tcW w:w="2778" w:type="dxa"/>
            <w:vMerge/>
            <w:tcBorders>
              <w:bottom w:val="single" w:sz="6" w:space="0" w:color="1E4496" w:themeColor="text2"/>
            </w:tcBorders>
          </w:tcPr>
          <w:p w14:paraId="7796ACC3"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6EA288" w14:textId="77777777" w:rsidR="00D93C42" w:rsidRPr="00D93C42" w:rsidRDefault="00D93C42" w:rsidP="00CA6E70">
            <w:pPr>
              <w:pStyle w:val="CDITable-RowLeft"/>
            </w:pPr>
            <w:r w:rsidRPr="00D93C42">
              <w:t>Sjögren’s syndrome</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5E389D"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AEA685" w14:textId="77777777" w:rsidR="00D93C42" w:rsidRPr="00D93C42" w:rsidRDefault="00D93C42" w:rsidP="00CA6E70">
            <w:pPr>
              <w:pStyle w:val="CDITable-RowCentre"/>
            </w:pPr>
            <w:r w:rsidRPr="00D93C42">
              <w:t>No</w:t>
            </w:r>
          </w:p>
        </w:tc>
      </w:tr>
      <w:tr w:rsidR="00D93C42" w:rsidRPr="00D93C42" w14:paraId="0A9D3048" w14:textId="77777777" w:rsidTr="00CA6E70">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DBD89" w14:textId="77777777" w:rsidR="00D93C42" w:rsidRPr="00D93C42" w:rsidRDefault="00D93C42" w:rsidP="00CA6E70">
            <w:pPr>
              <w:pStyle w:val="CDITable-RowLeft"/>
            </w:pPr>
            <w:r w:rsidRPr="00D93C42">
              <w:t>Comirnaty and Spikevax</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9D164C" w14:textId="77777777" w:rsidR="00D93C42" w:rsidRPr="00D93C42" w:rsidRDefault="00D93C42" w:rsidP="00CA6E70">
            <w:pPr>
              <w:pStyle w:val="CDITable-RowLeft"/>
            </w:pPr>
            <w:r w:rsidRPr="00D93C42">
              <w:t>Myocarditis / pericarditis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D402C"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3944E" w14:textId="77777777" w:rsidR="00D93C42" w:rsidRPr="00D93C42" w:rsidRDefault="00D93C42" w:rsidP="00CA6E70">
            <w:pPr>
              <w:pStyle w:val="CDITable-RowCentre"/>
            </w:pPr>
            <w:r w:rsidRPr="00D93C42">
              <w:t>Yes</w:t>
            </w:r>
          </w:p>
        </w:tc>
      </w:tr>
      <w:tr w:rsidR="00D93C42" w:rsidRPr="00D93C42" w14:paraId="6E9A18FE" w14:textId="77777777" w:rsidTr="00CA6E70">
        <w:trPr>
          <w:trHeight w:val="60"/>
        </w:trPr>
        <w:tc>
          <w:tcPr>
            <w:tcW w:w="2778" w:type="dxa"/>
            <w:vMerge/>
            <w:tcBorders>
              <w:bottom w:val="single" w:sz="6" w:space="0" w:color="1E4496" w:themeColor="text2"/>
            </w:tcBorders>
          </w:tcPr>
          <w:p w14:paraId="4B51F99F"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21CD5" w14:textId="77777777" w:rsidR="00D93C42" w:rsidRPr="00D93C42" w:rsidRDefault="00D93C42" w:rsidP="00CA6E70">
            <w:pPr>
              <w:pStyle w:val="CDITable-RowLeft"/>
            </w:pPr>
            <w:r w:rsidRPr="00D93C42">
              <w:t>Heavy menstrual bleeding</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8E993"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59035" w14:textId="77777777" w:rsidR="00D93C42" w:rsidRPr="00D93C42" w:rsidRDefault="00D93C42" w:rsidP="00CA6E70">
            <w:pPr>
              <w:pStyle w:val="CDITable-RowCentre"/>
            </w:pPr>
            <w:r w:rsidRPr="00D93C42">
              <w:t>Yes</w:t>
            </w:r>
          </w:p>
        </w:tc>
      </w:tr>
      <w:tr w:rsidR="00D93C42" w:rsidRPr="00D93C42" w14:paraId="0BA5F954" w14:textId="77777777" w:rsidTr="00CA6E70">
        <w:trPr>
          <w:trHeight w:val="60"/>
        </w:trPr>
        <w:tc>
          <w:tcPr>
            <w:tcW w:w="2778" w:type="dxa"/>
            <w:vMerge w:val="restart"/>
            <w:tcBorders>
              <w:top w:val="single" w:sz="6" w:space="0" w:color="1E4496" w:themeColor="text2"/>
            </w:tcBorders>
            <w:tcMar>
              <w:top w:w="113" w:type="dxa"/>
              <w:left w:w="113" w:type="dxa"/>
              <w:bottom w:w="113" w:type="dxa"/>
              <w:right w:w="113" w:type="dxa"/>
            </w:tcMar>
            <w:vAlign w:val="center"/>
          </w:tcPr>
          <w:p w14:paraId="28BDBD03" w14:textId="77777777" w:rsidR="00D93C42" w:rsidRPr="00D93C42" w:rsidRDefault="00D93C42" w:rsidP="00CA6E70">
            <w:pPr>
              <w:pStyle w:val="CDITable-RowLeft"/>
            </w:pPr>
            <w:r w:rsidRPr="00D93C42">
              <w:t>Comirnaty and Vaxzevria</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08F5EF" w14:textId="77777777" w:rsidR="00D93C42" w:rsidRPr="00D93C42" w:rsidRDefault="00D93C42" w:rsidP="00CA6E70">
            <w:pPr>
              <w:pStyle w:val="CDITable-RowLeft"/>
            </w:pPr>
            <w:r w:rsidRPr="00D93C42">
              <w:t>Arterial thromboses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F7D21"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005ABE" w14:textId="77777777" w:rsidR="00D93C42" w:rsidRPr="00D93C42" w:rsidRDefault="00D93C42" w:rsidP="00CA6E70">
            <w:pPr>
              <w:pStyle w:val="CDITable-RowCentre"/>
            </w:pPr>
            <w:r w:rsidRPr="00D93C42">
              <w:t>No</w:t>
            </w:r>
          </w:p>
        </w:tc>
      </w:tr>
      <w:tr w:rsidR="00D93C42" w:rsidRPr="00D93C42" w14:paraId="5D98EBE6" w14:textId="77777777" w:rsidTr="00CA6E70">
        <w:trPr>
          <w:trHeight w:val="60"/>
        </w:trPr>
        <w:tc>
          <w:tcPr>
            <w:tcW w:w="2778" w:type="dxa"/>
            <w:vMerge/>
          </w:tcPr>
          <w:p w14:paraId="795AB7DF"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CD43C" w14:textId="77777777" w:rsidR="00D93C42" w:rsidRPr="00D93C42" w:rsidRDefault="00D93C42" w:rsidP="00CA6E70">
            <w:pPr>
              <w:pStyle w:val="CDITable-RowLeft"/>
            </w:pPr>
            <w:r w:rsidRPr="00D93C42">
              <w:t>Heart rate / rhythm disorders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6BCC4"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4832C" w14:textId="77777777" w:rsidR="00D93C42" w:rsidRPr="00D93C42" w:rsidRDefault="00D93C42" w:rsidP="00CA6E70">
            <w:pPr>
              <w:pStyle w:val="CDITable-RowCentre"/>
            </w:pPr>
            <w:r w:rsidRPr="00D93C42">
              <w:t>No</w:t>
            </w:r>
          </w:p>
        </w:tc>
      </w:tr>
      <w:tr w:rsidR="00D93C42" w:rsidRPr="00D93C42" w14:paraId="4EBD3275" w14:textId="77777777" w:rsidTr="00CA6E70">
        <w:trPr>
          <w:trHeight w:val="60"/>
        </w:trPr>
        <w:tc>
          <w:tcPr>
            <w:tcW w:w="2778" w:type="dxa"/>
            <w:vMerge/>
          </w:tcPr>
          <w:p w14:paraId="4E9ECA3E"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197BF" w14:textId="77777777" w:rsidR="00D93C42" w:rsidRPr="00D93C42" w:rsidRDefault="00D93C42" w:rsidP="00CA6E70">
            <w:pPr>
              <w:pStyle w:val="CDITable-RowLeft"/>
            </w:pPr>
            <w:r w:rsidRPr="00D93C42">
              <w:t>Iritis / uveitis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E75173"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2CAB86" w14:textId="77777777" w:rsidR="00D93C42" w:rsidRPr="00D93C42" w:rsidRDefault="00D93C42" w:rsidP="00CA6E70">
            <w:pPr>
              <w:pStyle w:val="CDITable-RowCentre"/>
            </w:pPr>
            <w:r w:rsidRPr="00D93C42">
              <w:t>Yes</w:t>
            </w:r>
          </w:p>
        </w:tc>
      </w:tr>
      <w:tr w:rsidR="00D93C42" w:rsidRPr="00D93C42" w14:paraId="7AA3FE01" w14:textId="77777777" w:rsidTr="00CA6E70">
        <w:trPr>
          <w:trHeight w:val="60"/>
        </w:trPr>
        <w:tc>
          <w:tcPr>
            <w:tcW w:w="2778" w:type="dxa"/>
            <w:vMerge/>
          </w:tcPr>
          <w:p w14:paraId="4B45993B"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44765" w14:textId="77777777" w:rsidR="00D93C42" w:rsidRPr="00D93C42" w:rsidRDefault="00D93C42" w:rsidP="00CA6E70">
            <w:pPr>
              <w:pStyle w:val="CDITable-RowLeft"/>
            </w:pPr>
            <w:r w:rsidRPr="00D93C42">
              <w:t>Type 1 diabetes mellitus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03DB29"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FB9C32" w14:textId="77777777" w:rsidR="00D93C42" w:rsidRPr="00D93C42" w:rsidRDefault="00D93C42" w:rsidP="00CA6E70">
            <w:pPr>
              <w:pStyle w:val="CDITable-RowCentre"/>
            </w:pPr>
            <w:r w:rsidRPr="00D93C42">
              <w:t>No</w:t>
            </w:r>
          </w:p>
        </w:tc>
      </w:tr>
      <w:tr w:rsidR="00D93C42" w:rsidRPr="00D93C42" w14:paraId="3C9E04FE" w14:textId="77777777" w:rsidTr="00CA6E70">
        <w:trPr>
          <w:trHeight w:val="60"/>
        </w:trPr>
        <w:tc>
          <w:tcPr>
            <w:tcW w:w="2778" w:type="dxa"/>
            <w:vMerge/>
            <w:tcBorders>
              <w:bottom w:val="single" w:sz="6" w:space="0" w:color="1E4496" w:themeColor="text2"/>
            </w:tcBorders>
          </w:tcPr>
          <w:p w14:paraId="00547663"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E578E" w14:textId="77777777" w:rsidR="00D93C42" w:rsidRPr="00D93C42" w:rsidRDefault="00D93C42" w:rsidP="00CA6E70">
            <w:pPr>
              <w:pStyle w:val="CDITable-RowLeft"/>
            </w:pPr>
            <w:r w:rsidRPr="00D93C42">
              <w:t>Vitreous detachment / floaters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81C724"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C18F2A" w14:textId="77777777" w:rsidR="00D93C42" w:rsidRPr="00D93C42" w:rsidRDefault="00D93C42" w:rsidP="00CA6E70">
            <w:pPr>
              <w:pStyle w:val="CDITable-RowCentre"/>
            </w:pPr>
            <w:r w:rsidRPr="00D93C42">
              <w:t>No</w:t>
            </w:r>
          </w:p>
        </w:tc>
      </w:tr>
      <w:tr w:rsidR="00D93C42" w:rsidRPr="00D93C42" w14:paraId="318BFB02" w14:textId="77777777" w:rsidTr="00CA6E70">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249BC" w14:textId="77777777" w:rsidR="00D93C42" w:rsidRPr="00D93C42" w:rsidRDefault="00D93C42" w:rsidP="00CA6E70">
            <w:pPr>
              <w:pStyle w:val="CDITable-RowLeft"/>
            </w:pPr>
            <w:r w:rsidRPr="00D93C42">
              <w:t>Nuvaxovid</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37362" w14:textId="77777777" w:rsidR="00D93C42" w:rsidRPr="00D93C42" w:rsidRDefault="00D93C42" w:rsidP="00CA6E70">
            <w:pPr>
              <w:pStyle w:val="CDITable-RowLeft"/>
            </w:pPr>
            <w:r w:rsidRPr="00D93C42">
              <w:t>Hypoaesthesia and paraesthesia</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E5862"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818305" w14:textId="77777777" w:rsidR="00D93C42" w:rsidRPr="00D93C42" w:rsidRDefault="00D93C42" w:rsidP="00CA6E70">
            <w:pPr>
              <w:pStyle w:val="CDITable-RowCentre"/>
            </w:pPr>
            <w:r w:rsidRPr="00D93C42">
              <w:t>No</w:t>
            </w:r>
          </w:p>
        </w:tc>
      </w:tr>
      <w:tr w:rsidR="00D93C42" w:rsidRPr="00D93C42" w14:paraId="6C0D3F86" w14:textId="77777777" w:rsidTr="00CA6E70">
        <w:trPr>
          <w:trHeight w:val="60"/>
        </w:trPr>
        <w:tc>
          <w:tcPr>
            <w:tcW w:w="2778" w:type="dxa"/>
            <w:vMerge/>
            <w:tcBorders>
              <w:top w:val="single" w:sz="6" w:space="0" w:color="1E4496" w:themeColor="text2"/>
              <w:bottom w:val="single" w:sz="6" w:space="0" w:color="1E4496" w:themeColor="text2"/>
            </w:tcBorders>
          </w:tcPr>
          <w:p w14:paraId="62294B4C"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A9F10" w14:textId="77777777" w:rsidR="00D93C42" w:rsidRPr="00D93C42" w:rsidRDefault="00D93C42" w:rsidP="00CA6E70">
            <w:pPr>
              <w:pStyle w:val="CDITable-RowLeft"/>
            </w:pPr>
            <w:r w:rsidRPr="00D93C42">
              <w:t>Myocarditis / pericarditis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51DB4"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8143A8" w14:textId="77777777" w:rsidR="00D93C42" w:rsidRPr="00D93C42" w:rsidRDefault="00D93C42" w:rsidP="00CA6E70">
            <w:pPr>
              <w:pStyle w:val="CDITable-RowCentre"/>
            </w:pPr>
            <w:r w:rsidRPr="00D93C42">
              <w:t>No</w:t>
            </w:r>
          </w:p>
        </w:tc>
      </w:tr>
      <w:tr w:rsidR="00D93C42" w:rsidRPr="00D93C42" w14:paraId="1CC217A0" w14:textId="77777777" w:rsidTr="00CA6E70">
        <w:trPr>
          <w:trHeight w:val="60"/>
        </w:trPr>
        <w:tc>
          <w:tcPr>
            <w:tcW w:w="2778" w:type="dxa"/>
            <w:vMerge/>
            <w:tcBorders>
              <w:top w:val="single" w:sz="6" w:space="0" w:color="1E4496" w:themeColor="text2"/>
              <w:bottom w:val="single" w:sz="6" w:space="0" w:color="1E4496" w:themeColor="text2"/>
            </w:tcBorders>
          </w:tcPr>
          <w:p w14:paraId="534ADA0F"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C5E51" w14:textId="77777777" w:rsidR="00D93C42" w:rsidRPr="00D93C42" w:rsidRDefault="00D93C42" w:rsidP="00CA6E70">
            <w:pPr>
              <w:pStyle w:val="CDITable-RowLeft"/>
            </w:pPr>
            <w:r w:rsidRPr="00D93C42">
              <w:t>Tinnitus, hypoacusis and ear discomfort</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B46B4"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45C34" w14:textId="77777777" w:rsidR="00D93C42" w:rsidRPr="00D93C42" w:rsidRDefault="00D93C42" w:rsidP="00CA6E70">
            <w:pPr>
              <w:pStyle w:val="CDITable-RowCentre"/>
            </w:pPr>
            <w:r w:rsidRPr="00D93C42">
              <w:t>No</w:t>
            </w:r>
          </w:p>
        </w:tc>
      </w:tr>
      <w:tr w:rsidR="00D93C42" w:rsidRPr="00D93C42" w14:paraId="6028D184" w14:textId="77777777" w:rsidTr="00CA6E70">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111BB5" w14:textId="77777777" w:rsidR="00D93C42" w:rsidRPr="00D93C42" w:rsidRDefault="00D93C42" w:rsidP="00CA6E70">
            <w:pPr>
              <w:pStyle w:val="CDITable-RowLeft"/>
            </w:pPr>
            <w:r w:rsidRPr="00D93C42">
              <w:t>Spikevax</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0CCA3" w14:textId="77777777" w:rsidR="00D93C42" w:rsidRPr="00D93C42" w:rsidRDefault="00D93C42" w:rsidP="00CA6E70">
            <w:pPr>
              <w:pStyle w:val="CDITable-RowLeft"/>
            </w:pPr>
            <w:r w:rsidRPr="00D93C42">
              <w:t>Urticaria</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9779E8"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C9A51" w14:textId="77777777" w:rsidR="00D93C42" w:rsidRPr="00D93C42" w:rsidRDefault="00D93C42" w:rsidP="00CA6E70">
            <w:pPr>
              <w:pStyle w:val="CDITable-RowCentre"/>
            </w:pPr>
            <w:r w:rsidRPr="00D93C42">
              <w:t>No</w:t>
            </w:r>
          </w:p>
        </w:tc>
      </w:tr>
      <w:tr w:rsidR="00D93C42" w:rsidRPr="00D93C42" w14:paraId="1099A541" w14:textId="77777777" w:rsidTr="00CA6E70">
        <w:trPr>
          <w:trHeight w:val="60"/>
        </w:trPr>
        <w:tc>
          <w:tcPr>
            <w:tcW w:w="2778" w:type="dxa"/>
            <w:vMerge/>
            <w:tcBorders>
              <w:bottom w:val="single" w:sz="6" w:space="0" w:color="1E4496" w:themeColor="text2"/>
            </w:tcBorders>
          </w:tcPr>
          <w:p w14:paraId="18FAA8B8"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766AB" w14:textId="77777777" w:rsidR="00D93C42" w:rsidRPr="00D93C42" w:rsidRDefault="00D93C42" w:rsidP="00CA6E70">
            <w:pPr>
              <w:pStyle w:val="CDITable-RowLeft"/>
            </w:pPr>
            <w:r w:rsidRPr="00D93C42">
              <w:t>Capillary leak syndrome</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AA76D"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1603B9" w14:textId="77777777" w:rsidR="00D93C42" w:rsidRPr="00D93C42" w:rsidRDefault="00D93C42" w:rsidP="00CA6E70">
            <w:pPr>
              <w:pStyle w:val="CDITable-RowCentre"/>
            </w:pPr>
            <w:r w:rsidRPr="00D93C42">
              <w:t>No</w:t>
            </w:r>
          </w:p>
        </w:tc>
      </w:tr>
      <w:tr w:rsidR="00D93C42" w:rsidRPr="00D93C42" w14:paraId="095CE1FF" w14:textId="77777777" w:rsidTr="00CA6E70">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5684E" w14:textId="77777777" w:rsidR="00D93C42" w:rsidRPr="00D93C42" w:rsidRDefault="00D93C42" w:rsidP="00CA6E70">
            <w:pPr>
              <w:pStyle w:val="CDITable-RowLeft"/>
            </w:pPr>
            <w:r w:rsidRPr="00D93C42">
              <w:t>Vaxzevria</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F734B" w14:textId="77777777" w:rsidR="00D93C42" w:rsidRPr="00D93C42" w:rsidRDefault="00D93C42" w:rsidP="00CA6E70">
            <w:pPr>
              <w:pStyle w:val="CDITable-RowLeft"/>
            </w:pPr>
            <w:r w:rsidRPr="00D93C42">
              <w:t>Acute disseminated encephalomyelitis, encephalitis, and encephalopathy</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6E0EF"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7FFEC0" w14:textId="77777777" w:rsidR="00D93C42" w:rsidRPr="00D93C42" w:rsidRDefault="00D93C42" w:rsidP="00CA6E70">
            <w:pPr>
              <w:pStyle w:val="CDITable-RowCentre"/>
            </w:pPr>
            <w:r w:rsidRPr="00D93C42">
              <w:t>Yes</w:t>
            </w:r>
          </w:p>
        </w:tc>
      </w:tr>
      <w:tr w:rsidR="00D93C42" w:rsidRPr="00D93C42" w14:paraId="116CDA4B" w14:textId="77777777" w:rsidTr="00CA6E70">
        <w:trPr>
          <w:trHeight w:val="60"/>
        </w:trPr>
        <w:tc>
          <w:tcPr>
            <w:tcW w:w="2778" w:type="dxa"/>
            <w:vMerge/>
            <w:tcBorders>
              <w:bottom w:val="single" w:sz="6" w:space="0" w:color="1E4496" w:themeColor="text2"/>
            </w:tcBorders>
          </w:tcPr>
          <w:p w14:paraId="4B56A9BC"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BA70AE" w14:textId="77777777" w:rsidR="00D93C42" w:rsidRPr="00D93C42" w:rsidRDefault="00D93C42" w:rsidP="00CA6E70">
            <w:pPr>
              <w:pStyle w:val="CDITable-RowLeft"/>
            </w:pPr>
            <w:r w:rsidRPr="00D93C42">
              <w:t xml:space="preserve">Acute macular </w:t>
            </w:r>
            <w:proofErr w:type="spellStart"/>
            <w:r w:rsidRPr="00D93C42">
              <w:t>neuroretinopathies</w:t>
            </w:r>
            <w:proofErr w:type="spellEnd"/>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81A5D1"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31E44" w14:textId="77777777" w:rsidR="00D93C42" w:rsidRPr="00D93C42" w:rsidRDefault="00D93C42" w:rsidP="00CA6E70">
            <w:pPr>
              <w:pStyle w:val="CDITable-RowCentre"/>
            </w:pPr>
            <w:r w:rsidRPr="00D93C42">
              <w:t>No</w:t>
            </w:r>
          </w:p>
        </w:tc>
      </w:tr>
      <w:tr w:rsidR="00D93C42" w:rsidRPr="00D93C42" w14:paraId="4AB31A7A" w14:textId="77777777" w:rsidTr="00CA6E70">
        <w:trPr>
          <w:trHeight w:val="60"/>
        </w:trPr>
        <w:tc>
          <w:tcPr>
            <w:tcW w:w="2778" w:type="dxa"/>
            <w:vMerge/>
            <w:tcBorders>
              <w:bottom w:val="single" w:sz="6" w:space="0" w:color="1E4496" w:themeColor="text2"/>
            </w:tcBorders>
          </w:tcPr>
          <w:p w14:paraId="17FF1C95"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F82F7C" w14:textId="77777777" w:rsidR="00D93C42" w:rsidRPr="00D93C42" w:rsidRDefault="00D93C42" w:rsidP="00CA6E70">
            <w:pPr>
              <w:pStyle w:val="CDITable-RowLeft"/>
            </w:pPr>
            <w:r w:rsidRPr="00D93C42">
              <w:t>Acute myocardial infarction</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27A18"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52C096" w14:textId="77777777" w:rsidR="00D93C42" w:rsidRPr="00D93C42" w:rsidRDefault="00D93C42" w:rsidP="00CA6E70">
            <w:pPr>
              <w:pStyle w:val="CDITable-RowCentre"/>
            </w:pPr>
            <w:r w:rsidRPr="00D93C42">
              <w:t>No</w:t>
            </w:r>
          </w:p>
        </w:tc>
      </w:tr>
      <w:tr w:rsidR="00D93C42" w:rsidRPr="00D93C42" w14:paraId="1F9BA207" w14:textId="77777777" w:rsidTr="00CA6E70">
        <w:trPr>
          <w:trHeight w:val="60"/>
        </w:trPr>
        <w:tc>
          <w:tcPr>
            <w:tcW w:w="2778" w:type="dxa"/>
            <w:vMerge/>
            <w:tcBorders>
              <w:bottom w:val="single" w:sz="6" w:space="0" w:color="1E4496" w:themeColor="text2"/>
            </w:tcBorders>
          </w:tcPr>
          <w:p w14:paraId="540B87F2" w14:textId="77777777" w:rsidR="00D93C42" w:rsidRPr="00D93C42" w:rsidRDefault="00D93C42" w:rsidP="00CA6E70">
            <w:pPr>
              <w:pStyle w:val="CDITable-RowLeft"/>
            </w:pP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B2FA5" w14:textId="77777777" w:rsidR="00D93C42" w:rsidRPr="00D93C42" w:rsidRDefault="00D93C42" w:rsidP="00CA6E70">
            <w:pPr>
              <w:pStyle w:val="CDITable-RowLeft"/>
            </w:pPr>
            <w:r w:rsidRPr="00D93C42">
              <w:t>Transverse myelitis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FB9E4"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B1759" w14:textId="77777777" w:rsidR="00D93C42" w:rsidRPr="00D93C42" w:rsidRDefault="00D93C42" w:rsidP="00CA6E70">
            <w:pPr>
              <w:pStyle w:val="CDITable-RowCentre"/>
            </w:pPr>
            <w:r w:rsidRPr="00D93C42">
              <w:t>No</w:t>
            </w:r>
          </w:p>
        </w:tc>
      </w:tr>
      <w:tr w:rsidR="00D93C42" w:rsidRPr="00D93C42" w14:paraId="23E89F1A" w14:textId="77777777" w:rsidTr="00CA6E70">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3AF00" w14:textId="77777777" w:rsidR="00D93C42" w:rsidRPr="00D93C42" w:rsidRDefault="00D93C42" w:rsidP="00CA6E70">
            <w:pPr>
              <w:pStyle w:val="CDITable-RowLeft"/>
            </w:pPr>
            <w:r w:rsidRPr="00D93C42">
              <w:t>All COVID-19 vaccines</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D5F48" w14:textId="77777777" w:rsidR="00D93C42" w:rsidRPr="00D93C42" w:rsidRDefault="00D93C42" w:rsidP="00CA6E70">
            <w:pPr>
              <w:pStyle w:val="CDITable-RowLeft"/>
            </w:pPr>
            <w:r w:rsidRPr="00D93C42">
              <w:t>Acute kidney injury</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CFD2F"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49DE78" w14:textId="77777777" w:rsidR="00D93C42" w:rsidRPr="00D93C42" w:rsidRDefault="00D93C42" w:rsidP="00CA6E70">
            <w:pPr>
              <w:pStyle w:val="CDITable-RowCentre"/>
            </w:pPr>
            <w:r w:rsidRPr="00D93C42">
              <w:t>No</w:t>
            </w:r>
          </w:p>
        </w:tc>
      </w:tr>
      <w:tr w:rsidR="00D93C42" w:rsidRPr="00D93C42" w14:paraId="08D2263C" w14:textId="77777777" w:rsidTr="00CA6E70">
        <w:trPr>
          <w:trHeight w:val="60"/>
        </w:trPr>
        <w:tc>
          <w:tcPr>
            <w:tcW w:w="2778" w:type="dxa"/>
            <w:vMerge/>
            <w:tcBorders>
              <w:bottom w:val="single" w:sz="6" w:space="0" w:color="1E4496" w:themeColor="text2"/>
            </w:tcBorders>
          </w:tcPr>
          <w:p w14:paraId="2E2C6570"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C4DFB" w14:textId="77777777" w:rsidR="00D93C42" w:rsidRPr="00D93C42" w:rsidRDefault="00D93C42" w:rsidP="00CA6E70">
            <w:pPr>
              <w:pStyle w:val="CDITable-RowLeft"/>
            </w:pPr>
            <w:r w:rsidRPr="00D93C42">
              <w:t>Acute mental state change</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87D49"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3B30F6" w14:textId="77777777" w:rsidR="00D93C42" w:rsidRPr="00D93C42" w:rsidRDefault="00D93C42" w:rsidP="00CA6E70">
            <w:pPr>
              <w:pStyle w:val="CDITable-RowCentre"/>
            </w:pPr>
            <w:r w:rsidRPr="00D93C42">
              <w:t>No</w:t>
            </w:r>
          </w:p>
        </w:tc>
      </w:tr>
      <w:tr w:rsidR="00D93C42" w:rsidRPr="00D93C42" w14:paraId="4C430366" w14:textId="77777777" w:rsidTr="00CA6E70">
        <w:trPr>
          <w:trHeight w:val="60"/>
        </w:trPr>
        <w:tc>
          <w:tcPr>
            <w:tcW w:w="2778" w:type="dxa"/>
            <w:vMerge/>
            <w:tcBorders>
              <w:bottom w:val="single" w:sz="6" w:space="0" w:color="1E4496" w:themeColor="text2"/>
            </w:tcBorders>
          </w:tcPr>
          <w:p w14:paraId="01118F9C"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F15E9" w14:textId="77777777" w:rsidR="00D93C42" w:rsidRPr="00D93C42" w:rsidRDefault="00D93C42" w:rsidP="00CA6E70">
            <w:pPr>
              <w:pStyle w:val="CDITable-RowLeft"/>
            </w:pPr>
            <w:r w:rsidRPr="00D93C42">
              <w:t>Alopecia</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85500"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1BFAD" w14:textId="77777777" w:rsidR="00D93C42" w:rsidRPr="00D93C42" w:rsidRDefault="00D93C42" w:rsidP="00CA6E70">
            <w:pPr>
              <w:pStyle w:val="CDITable-RowCentre"/>
            </w:pPr>
            <w:r w:rsidRPr="00D93C42">
              <w:t>No</w:t>
            </w:r>
          </w:p>
        </w:tc>
      </w:tr>
      <w:tr w:rsidR="00D93C42" w:rsidRPr="00D93C42" w14:paraId="4BA73FC0" w14:textId="77777777" w:rsidTr="00CA6E70">
        <w:trPr>
          <w:trHeight w:val="60"/>
        </w:trPr>
        <w:tc>
          <w:tcPr>
            <w:tcW w:w="2778" w:type="dxa"/>
            <w:vMerge/>
            <w:tcBorders>
              <w:bottom w:val="single" w:sz="6" w:space="0" w:color="1E4496" w:themeColor="text2"/>
            </w:tcBorders>
          </w:tcPr>
          <w:p w14:paraId="41E638B2"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9D9EF" w14:textId="77777777" w:rsidR="00D93C42" w:rsidRPr="00D93C42" w:rsidRDefault="00D93C42" w:rsidP="00CA6E70">
            <w:pPr>
              <w:pStyle w:val="CDITable-RowLeft"/>
            </w:pPr>
            <w:r w:rsidRPr="00D93C42">
              <w:t>Arterial dissection</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A746C"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141D4" w14:textId="77777777" w:rsidR="00D93C42" w:rsidRPr="00D93C42" w:rsidRDefault="00D93C42" w:rsidP="00CA6E70">
            <w:pPr>
              <w:pStyle w:val="CDITable-RowCentre"/>
            </w:pPr>
            <w:r w:rsidRPr="00D93C42">
              <w:t>No</w:t>
            </w:r>
          </w:p>
        </w:tc>
      </w:tr>
      <w:tr w:rsidR="00D93C42" w:rsidRPr="00D93C42" w14:paraId="35C2C9E3" w14:textId="77777777" w:rsidTr="00CA6E70">
        <w:trPr>
          <w:trHeight w:val="60"/>
        </w:trPr>
        <w:tc>
          <w:tcPr>
            <w:tcW w:w="2778" w:type="dxa"/>
            <w:vMerge/>
            <w:tcBorders>
              <w:bottom w:val="single" w:sz="6" w:space="0" w:color="1E4496" w:themeColor="text2"/>
            </w:tcBorders>
          </w:tcPr>
          <w:p w14:paraId="6A458B81"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5BD24" w14:textId="77777777" w:rsidR="00D93C42" w:rsidRPr="00D93C42" w:rsidRDefault="00D93C42" w:rsidP="00CA6E70">
            <w:pPr>
              <w:pStyle w:val="CDITable-RowLeft"/>
            </w:pPr>
            <w:r w:rsidRPr="00D93C42">
              <w:t>Encephalitis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35C96C"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D08AD" w14:textId="77777777" w:rsidR="00D93C42" w:rsidRPr="00D93C42" w:rsidRDefault="00D93C42" w:rsidP="00CA6E70">
            <w:pPr>
              <w:pStyle w:val="CDITable-RowCentre"/>
            </w:pPr>
            <w:r w:rsidRPr="00D93C42">
              <w:t>No</w:t>
            </w:r>
          </w:p>
        </w:tc>
      </w:tr>
      <w:tr w:rsidR="00D93C42" w:rsidRPr="00D93C42" w14:paraId="3CC37BB8" w14:textId="77777777" w:rsidTr="00CA6E70">
        <w:trPr>
          <w:trHeight w:val="60"/>
        </w:trPr>
        <w:tc>
          <w:tcPr>
            <w:tcW w:w="2778" w:type="dxa"/>
            <w:vMerge/>
            <w:tcBorders>
              <w:bottom w:val="single" w:sz="6" w:space="0" w:color="1E4496" w:themeColor="text2"/>
            </w:tcBorders>
          </w:tcPr>
          <w:p w14:paraId="0CC7D8D1"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58B1C" w14:textId="77777777" w:rsidR="00D93C42" w:rsidRPr="00D93C42" w:rsidRDefault="00D93C42" w:rsidP="00CA6E70">
            <w:pPr>
              <w:pStyle w:val="CDITable-RowLeft"/>
            </w:pPr>
            <w:r w:rsidRPr="00D93C42">
              <w:t>Mastitis (Including breast swelling)</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6B26C" w14:textId="77777777" w:rsidR="00D93C42" w:rsidRPr="00D93C42" w:rsidRDefault="00D93C42" w:rsidP="00CA6E70">
            <w:pPr>
              <w:pStyle w:val="CDITable-RowLeft"/>
            </w:pPr>
            <w:r w:rsidRPr="00D93C42">
              <w:t>Under negotiation with sponsor</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7BFBC" w14:textId="77777777" w:rsidR="00D93C42" w:rsidRPr="00D93C42" w:rsidRDefault="00D93C42" w:rsidP="00CA6E70">
            <w:pPr>
              <w:pStyle w:val="CDITable-RowCentre"/>
            </w:pPr>
            <w:r w:rsidRPr="00D93C42">
              <w:t>No</w:t>
            </w:r>
          </w:p>
        </w:tc>
      </w:tr>
      <w:tr w:rsidR="00D93C42" w:rsidRPr="00D93C42" w14:paraId="21F5A693" w14:textId="77777777" w:rsidTr="00CA6E70">
        <w:trPr>
          <w:trHeight w:val="60"/>
        </w:trPr>
        <w:tc>
          <w:tcPr>
            <w:tcW w:w="2778" w:type="dxa"/>
            <w:vMerge/>
            <w:tcBorders>
              <w:bottom w:val="single" w:sz="6" w:space="0" w:color="1E4496" w:themeColor="text2"/>
            </w:tcBorders>
          </w:tcPr>
          <w:p w14:paraId="326E1564"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7651C" w14:textId="77777777" w:rsidR="00D93C42" w:rsidRPr="00D93C42" w:rsidRDefault="00D93C42" w:rsidP="00CA6E70">
            <w:pPr>
              <w:pStyle w:val="CDITable-RowLeft"/>
            </w:pPr>
            <w:r w:rsidRPr="00D93C42">
              <w:t>Menstrual cycle irregularities / disorders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EBD77"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72CFC" w14:textId="77777777" w:rsidR="00D93C42" w:rsidRPr="00D93C42" w:rsidRDefault="00D93C42" w:rsidP="00CA6E70">
            <w:pPr>
              <w:pStyle w:val="CDITable-RowCentre"/>
            </w:pPr>
            <w:r w:rsidRPr="00D93C42">
              <w:t>Yes</w:t>
            </w:r>
          </w:p>
        </w:tc>
      </w:tr>
      <w:tr w:rsidR="00D93C42" w:rsidRPr="00D93C42" w14:paraId="54F7C031" w14:textId="77777777" w:rsidTr="00CA6E70">
        <w:trPr>
          <w:trHeight w:val="60"/>
        </w:trPr>
        <w:tc>
          <w:tcPr>
            <w:tcW w:w="2778" w:type="dxa"/>
            <w:vMerge/>
            <w:tcBorders>
              <w:bottom w:val="single" w:sz="6" w:space="0" w:color="1E4496" w:themeColor="text2"/>
            </w:tcBorders>
          </w:tcPr>
          <w:p w14:paraId="680425E0"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DDF5D" w14:textId="77777777" w:rsidR="00D93C42" w:rsidRPr="00D93C42" w:rsidRDefault="00D93C42" w:rsidP="00CA6E70">
            <w:pPr>
              <w:pStyle w:val="CDITable-RowLeft"/>
            </w:pPr>
            <w:r w:rsidRPr="00D93C42">
              <w:t>Multisystem inflammatory syndrome in adults (MIS-A) and Multisystem inflammatory syndrome in children (MIS-C)</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EB639"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16E77" w14:textId="77777777" w:rsidR="00D93C42" w:rsidRPr="00D93C42" w:rsidRDefault="00D93C42" w:rsidP="00CA6E70">
            <w:pPr>
              <w:pStyle w:val="CDITable-RowCentre"/>
            </w:pPr>
            <w:r w:rsidRPr="00D93C42">
              <w:t>Yes</w:t>
            </w:r>
          </w:p>
        </w:tc>
      </w:tr>
      <w:tr w:rsidR="00D93C42" w:rsidRPr="00D93C42" w14:paraId="08AF9ACE" w14:textId="77777777" w:rsidTr="00CA6E70">
        <w:trPr>
          <w:trHeight w:val="60"/>
        </w:trPr>
        <w:tc>
          <w:tcPr>
            <w:tcW w:w="2778" w:type="dxa"/>
            <w:vMerge/>
            <w:tcBorders>
              <w:bottom w:val="single" w:sz="6" w:space="0" w:color="1E4496" w:themeColor="text2"/>
            </w:tcBorders>
          </w:tcPr>
          <w:p w14:paraId="3F950665"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32E6D" w14:textId="77777777" w:rsidR="00D93C42" w:rsidRPr="00D93C42" w:rsidRDefault="00D93C42" w:rsidP="00CA6E70">
            <w:pPr>
              <w:pStyle w:val="CDITable-RowLeft"/>
            </w:pPr>
            <w:r w:rsidRPr="00D93C42">
              <w:t>Polymyalgia rheumatica</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B8EE5B"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CDBF8" w14:textId="77777777" w:rsidR="00D93C42" w:rsidRPr="00D93C42" w:rsidRDefault="00D93C42" w:rsidP="00CA6E70">
            <w:pPr>
              <w:pStyle w:val="CDITable-RowCentre"/>
            </w:pPr>
            <w:r w:rsidRPr="00D93C42">
              <w:t>No</w:t>
            </w:r>
          </w:p>
        </w:tc>
      </w:tr>
      <w:tr w:rsidR="00D93C42" w:rsidRPr="00D93C42" w14:paraId="1731F172" w14:textId="77777777" w:rsidTr="00CA6E70">
        <w:trPr>
          <w:trHeight w:val="60"/>
        </w:trPr>
        <w:tc>
          <w:tcPr>
            <w:tcW w:w="2778" w:type="dxa"/>
            <w:vMerge/>
            <w:tcBorders>
              <w:bottom w:val="single" w:sz="6" w:space="0" w:color="1E4496" w:themeColor="text2"/>
            </w:tcBorders>
          </w:tcPr>
          <w:p w14:paraId="53D27EEA"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BCC0C" w14:textId="77777777" w:rsidR="00D93C42" w:rsidRPr="00D93C42" w:rsidRDefault="00D93C42" w:rsidP="00CA6E70">
            <w:pPr>
              <w:pStyle w:val="CDITable-RowLeft"/>
            </w:pPr>
            <w:r w:rsidRPr="00D93C42">
              <w:t>Uveitis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FB78F" w14:textId="77777777" w:rsidR="00D93C42" w:rsidRPr="00D93C42" w:rsidRDefault="00D93C42" w:rsidP="00CA6E70">
            <w:pPr>
              <w:pStyle w:val="CDITable-RowLeft"/>
            </w:pPr>
            <w:r w:rsidRPr="00D93C42">
              <w:t>Returned to routine monitoring</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21C290" w14:textId="77777777" w:rsidR="00D93C42" w:rsidRPr="00D93C42" w:rsidRDefault="00D93C42" w:rsidP="00CA6E70">
            <w:pPr>
              <w:pStyle w:val="CDITable-RowCentre"/>
            </w:pPr>
            <w:r w:rsidRPr="00D93C42">
              <w:t>Yes</w:t>
            </w:r>
          </w:p>
        </w:tc>
      </w:tr>
      <w:tr w:rsidR="00D93C42" w:rsidRPr="00D93C42" w14:paraId="2E5D5767" w14:textId="77777777" w:rsidTr="00CA6E70">
        <w:trPr>
          <w:trHeight w:val="60"/>
        </w:trPr>
        <w:tc>
          <w:tcPr>
            <w:tcW w:w="2778" w:type="dxa"/>
            <w:vMerge/>
            <w:tcBorders>
              <w:bottom w:val="single" w:sz="6" w:space="0" w:color="1E4496" w:themeColor="text2"/>
            </w:tcBorders>
          </w:tcPr>
          <w:p w14:paraId="720861CD" w14:textId="77777777" w:rsidR="00D93C42" w:rsidRPr="00D93C42" w:rsidRDefault="00D93C42" w:rsidP="00D93C42"/>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CE8F0" w14:textId="77777777" w:rsidR="00D93C42" w:rsidRPr="00D93C42" w:rsidRDefault="00D93C42" w:rsidP="00CA6E70">
            <w:pPr>
              <w:pStyle w:val="CDITable-RowLeft"/>
            </w:pPr>
            <w:r w:rsidRPr="00D93C42">
              <w:t>Vulvovaginal ulcerations (Lipschutz ulcers) in adolescent girls</w:t>
            </w:r>
          </w:p>
        </w:tc>
        <w:tc>
          <w:tcPr>
            <w:tcW w:w="413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11595" w14:textId="77777777" w:rsidR="00D93C42" w:rsidRPr="00D93C42" w:rsidRDefault="00D93C42" w:rsidP="00CA6E70">
            <w:pPr>
              <w:pStyle w:val="CDITable-RowLeft"/>
            </w:pPr>
            <w:r w:rsidRPr="00D93C42">
              <w:t>Product information updated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C5B92B" w14:textId="77777777" w:rsidR="00D93C42" w:rsidRPr="00D93C42" w:rsidRDefault="00D93C42" w:rsidP="00CA6E70">
            <w:pPr>
              <w:pStyle w:val="CDITable-RowCentre"/>
            </w:pPr>
            <w:r w:rsidRPr="00D93C42">
              <w:t>No</w:t>
            </w:r>
          </w:p>
        </w:tc>
      </w:tr>
    </w:tbl>
    <w:p w14:paraId="57CEDC36" w14:textId="77777777" w:rsidR="007A1FC6" w:rsidRPr="007A1FC6" w:rsidRDefault="007A1FC6" w:rsidP="00CA6E70">
      <w:pPr>
        <w:pStyle w:val="CDITable-FirstFootnote"/>
        <w:rPr>
          <w:lang w:val="en-GB"/>
        </w:rPr>
      </w:pPr>
      <w:r w:rsidRPr="007A1FC6">
        <w:rPr>
          <w:lang w:val="en-GB"/>
        </w:rPr>
        <w:t>a</w:t>
      </w:r>
      <w:r w:rsidRPr="007A1FC6">
        <w:rPr>
          <w:lang w:val="en-GB"/>
        </w:rPr>
        <w:tab/>
      </w:r>
      <w:proofErr w:type="spellStart"/>
      <w:r w:rsidRPr="007A1FC6">
        <w:rPr>
          <w:lang w:val="en-GB"/>
        </w:rPr>
        <w:t>A</w:t>
      </w:r>
      <w:proofErr w:type="spellEnd"/>
      <w:r w:rsidRPr="007A1FC6">
        <w:rPr>
          <w:lang w:val="en-GB"/>
        </w:rPr>
        <w:t xml:space="preserve"> targeted investigation may be initiated by the TGA following a preliminary assessment of information arising from reporting patterns, overseas regulators, published literature and other sources of safety data. As new information arises about a potential issue, multiple targeted investigations may be </w:t>
      </w:r>
      <w:proofErr w:type="gramStart"/>
      <w:r w:rsidRPr="007A1FC6">
        <w:rPr>
          <w:lang w:val="en-GB"/>
        </w:rPr>
        <w:t>undertaken</w:t>
      </w:r>
      <w:proofErr w:type="gramEnd"/>
      <w:r w:rsidRPr="007A1FC6">
        <w:rPr>
          <w:lang w:val="en-GB"/>
        </w:rPr>
        <w:t xml:space="preserve"> and investigations may occur through other processes such as a TGA review of sponsor safety data. Regardless of the number of times the TGA reviewed a safety topic, it will only appear once in Table 8.</w:t>
      </w:r>
    </w:p>
    <w:p w14:paraId="0BB255B8" w14:textId="77777777" w:rsidR="007A1FC6" w:rsidRDefault="007A1FC6" w:rsidP="007A1FC6">
      <w:pPr>
        <w:pStyle w:val="CDITable-Footnote"/>
        <w:rPr>
          <w:lang w:val="en-GB"/>
        </w:rPr>
        <w:sectPr w:rsidR="007A1FC6" w:rsidSect="007A1FC6">
          <w:footnotePr>
            <w:numFmt w:val="lowerRoman"/>
          </w:footnotePr>
          <w:pgSz w:w="16840" w:h="11907" w:orient="landscape" w:code="9"/>
          <w:pgMar w:top="1134" w:right="1134" w:bottom="1134" w:left="1134" w:header="709" w:footer="567" w:gutter="0"/>
          <w:cols w:space="708"/>
          <w:docGrid w:linePitch="360"/>
        </w:sectPr>
      </w:pPr>
      <w:r w:rsidRPr="007A1FC6">
        <w:rPr>
          <w:lang w:val="en-GB"/>
        </w:rPr>
        <w:t>b</w:t>
      </w:r>
      <w:r w:rsidRPr="007A1FC6">
        <w:rPr>
          <w:lang w:val="en-GB"/>
        </w:rPr>
        <w:tab/>
        <w:t xml:space="preserve">Includes regulatory action undertaken by the TGA only; does not include actions undertaken by the COVID-19 vaccination program. </w:t>
      </w:r>
    </w:p>
    <w:p w14:paraId="456E733E" w14:textId="77777777" w:rsidR="006E0B0E" w:rsidRDefault="008017B6" w:rsidP="007A1FC6">
      <w:pPr>
        <w:pStyle w:val="Heading1-nospacebefore"/>
      </w:pPr>
      <w:bookmarkStart w:id="46" w:name="_Toc215578717"/>
      <w:bookmarkStart w:id="47" w:name="_Toc195519590"/>
      <w:bookmarkStart w:id="48" w:name="_Toc195522359"/>
      <w:r>
        <w:lastRenderedPageBreak/>
        <w:t>Discussion</w:t>
      </w:r>
      <w:bookmarkEnd w:id="46"/>
    </w:p>
    <w:p w14:paraId="686BA946" w14:textId="77777777" w:rsidR="00504904" w:rsidRPr="00504904" w:rsidRDefault="00504904" w:rsidP="00504904">
      <w:pPr>
        <w:rPr>
          <w:lang w:val="en-GB"/>
        </w:rPr>
      </w:pPr>
      <w:r w:rsidRPr="00504904">
        <w:rPr>
          <w:lang w:val="en-GB"/>
        </w:rPr>
        <w:t>In 2022, Australia entered its second year of COVID-19 vaccination. The annual AEFI reporting rate for all COVID-19 vaccines was 89.6 per 100,000 doses administered. This reporting rate was markedly reduced (by 67.0%) from a rate of 271.4 reports per 100,000 COVID-19 vaccine doses in 2021.</w:t>
      </w:r>
      <w:r w:rsidRPr="00504904">
        <w:rPr>
          <w:vertAlign w:val="superscript"/>
          <w:lang w:val="en-GB"/>
        </w:rPr>
        <w:t>6</w:t>
      </w:r>
      <w:r w:rsidRPr="00504904">
        <w:rPr>
          <w:lang w:val="en-GB"/>
        </w:rPr>
        <w:t xml:space="preserve"> However, it was still higher than the corresponding rate for non-COVID-19 vaccines of 18.8 reports per 100,000 doses administered.</w:t>
      </w:r>
      <w:r w:rsidRPr="00504904">
        <w:rPr>
          <w:vertAlign w:val="superscript"/>
          <w:lang w:val="en-GB"/>
        </w:rPr>
        <w:t>34</w:t>
      </w:r>
      <w:r w:rsidRPr="00504904">
        <w:rPr>
          <w:lang w:val="en-GB"/>
        </w:rPr>
        <w:t xml:space="preserve"> This difference may relate to the public focus on COVID-19 vaccine safety remaining relatively higher than that for more routine vaccines.</w:t>
      </w:r>
    </w:p>
    <w:p w14:paraId="0549C231" w14:textId="77777777" w:rsidR="00504904" w:rsidRPr="00504904" w:rsidRDefault="00504904" w:rsidP="00504904">
      <w:pPr>
        <w:rPr>
          <w:lang w:val="en-GB"/>
        </w:rPr>
      </w:pPr>
      <w:r w:rsidRPr="00504904">
        <w:rPr>
          <w:lang w:val="en-GB"/>
        </w:rPr>
        <w:t>The highest monthly reporting rate occurred in March, with 120.6 AEFI reports per 100,000 doses of COVID-19 vaccines administered (Figure 1). This represents almost one tenth of the all-time peak monthly AEFI reporting rate of 1,194.1 per 100,000 doses, which occurred in March 2021, predominantly driven by reports involving Vaxzevria (Figure 3). While the highest monthly count of AEFI reports in 2022 was for vaccines administered in January, there was no corresponding increase in the reporting rate per 100,000 doses administered.</w:t>
      </w:r>
    </w:p>
    <w:p w14:paraId="79AB8A85" w14:textId="77777777" w:rsidR="00504904" w:rsidRPr="00504904" w:rsidRDefault="00504904" w:rsidP="00504904">
      <w:pPr>
        <w:rPr>
          <w:lang w:val="en-GB"/>
        </w:rPr>
      </w:pPr>
      <w:r w:rsidRPr="00504904">
        <w:rPr>
          <w:lang w:val="en-GB"/>
        </w:rPr>
        <w:t xml:space="preserve">The population-based reporting rate was also significantly lower in 2022, at 70.8 reports per 100,000 population, which represents a decrease from 507.8 reports per 100,000 population in 2021. However, these rates are not directly comparable, as the 2021 rate was calculated with a denominator of the Australian population over the age of 12, reflecting eligibility for COVID-19 vaccines at the time; the 2022 rate uses an all-age denominator. Additionally, on average </w:t>
      </w:r>
      <w:proofErr w:type="gramStart"/>
      <w:r w:rsidRPr="00504904">
        <w:rPr>
          <w:lang w:val="en-GB"/>
        </w:rPr>
        <w:t>each individual</w:t>
      </w:r>
      <w:proofErr w:type="gramEnd"/>
      <w:r w:rsidRPr="00504904">
        <w:rPr>
          <w:lang w:val="en-GB"/>
        </w:rPr>
        <w:t xml:space="preserve"> in the population received fewer doses of COVID-19 vaccines over the course of the year in 2022 than in 2021.</w:t>
      </w:r>
    </w:p>
    <w:p w14:paraId="44EDFD69" w14:textId="77777777" w:rsidR="00504904" w:rsidRPr="00504904" w:rsidRDefault="00504904" w:rsidP="00504904">
      <w:pPr>
        <w:rPr>
          <w:lang w:val="en-GB"/>
        </w:rPr>
      </w:pPr>
      <w:r w:rsidRPr="00504904">
        <w:rPr>
          <w:lang w:val="en-GB"/>
        </w:rPr>
        <w:t>The proportion of AEFI reports submitted by consumers was higher for COVID-19 vaccines than for all other vaccines in 2022 (24.4% and 5.4% respectively) and was similar to that observed in 2021 (26.5%; Appendix A, Figure A.1).</w:t>
      </w:r>
      <w:r w:rsidRPr="00504904">
        <w:rPr>
          <w:vertAlign w:val="superscript"/>
          <w:lang w:val="en-GB"/>
        </w:rPr>
        <w:t>6,34</w:t>
      </w:r>
      <w:r w:rsidRPr="00504904">
        <w:rPr>
          <w:lang w:val="en-GB"/>
        </w:rPr>
        <w:t xml:space="preserve"> This may reflect a sustained higher level of publicity, awareness of and interest in COVID-19 vaccine safety in the community.</w:t>
      </w:r>
    </w:p>
    <w:p w14:paraId="791F90F7" w14:textId="77777777" w:rsidR="00504904" w:rsidRPr="00504904" w:rsidRDefault="00504904" w:rsidP="00504904">
      <w:pPr>
        <w:rPr>
          <w:lang w:val="en-GB"/>
        </w:rPr>
      </w:pPr>
      <w:r w:rsidRPr="00504904">
        <w:rPr>
          <w:lang w:val="en-GB"/>
        </w:rPr>
        <w:t xml:space="preserve">The serious adverse event reporting rate of 12.5 per 100,000 COVID-19 vaccine doses administered was lower than the corresponding rate of 46.3 serious reports per 100,000 doses in 2021. Most of the events most frequently associated with serious adverse event reports remained similar across the two years, </w:t>
      </w:r>
      <w:proofErr w:type="gramStart"/>
      <w:r w:rsidRPr="00504904">
        <w:rPr>
          <w:lang w:val="en-GB"/>
        </w:rPr>
        <w:t>with the exception of</w:t>
      </w:r>
      <w:proofErr w:type="gramEnd"/>
      <w:r w:rsidRPr="00504904">
        <w:rPr>
          <w:lang w:val="en-GB"/>
        </w:rPr>
        <w:t xml:space="preserve"> an increase in reports of COVID-19 infection in 2022. This finding likely represents a higher level of SARS-CoV-2 transmission in the community in 2022, leading to an increase in the incidence of COVID-19 infection overall.</w:t>
      </w:r>
      <w:r w:rsidRPr="00504904">
        <w:rPr>
          <w:vertAlign w:val="superscript"/>
          <w:lang w:val="en-GB"/>
        </w:rPr>
        <w:t>37</w:t>
      </w:r>
    </w:p>
    <w:p w14:paraId="4B093C2E" w14:textId="77777777" w:rsidR="00504904" w:rsidRPr="00504904" w:rsidRDefault="00504904" w:rsidP="00504904">
      <w:pPr>
        <w:rPr>
          <w:lang w:val="en-GB"/>
        </w:rPr>
      </w:pPr>
      <w:r w:rsidRPr="00504904">
        <w:rPr>
          <w:lang w:val="en-GB"/>
        </w:rPr>
        <w:t>COVID-19 vaccines were administered to children aged below 12 years for the first time in 2022. AEFI reporting rates were substantially higher in the &lt; 5 age group compared to all others, at 2,443.1 reports per 100,000 doses administered, with four of the 29 reports (13.8%) classified as serious. However, this rate is derived from a small total number of doses (1,189) administered to this age group, which limits meaningful interpretation of the reporting rate. In addition, vaccines were only recommended for children in this age group with pre-existing medical conditions, who may experience higher background rates of adverse health events from their disease, or from other medications or other causes.</w:t>
      </w:r>
      <w:r w:rsidRPr="00504904">
        <w:rPr>
          <w:vertAlign w:val="superscript"/>
          <w:lang w:val="en-GB"/>
        </w:rPr>
        <w:t>38</w:t>
      </w:r>
      <w:r w:rsidRPr="00504904">
        <w:rPr>
          <w:lang w:val="en-GB"/>
        </w:rPr>
        <w:t xml:space="preserve"> Furthermore, this rate also includes 21 reports of vaccination error, and three reports where vaccines were not administered to infants, but involved indirect </w:t>
      </w:r>
      <w:r w:rsidRPr="00504904">
        <w:rPr>
          <w:i/>
          <w:iCs/>
          <w:lang w:val="en-GB"/>
        </w:rPr>
        <w:t>in utero</w:t>
      </w:r>
      <w:r w:rsidRPr="00504904">
        <w:rPr>
          <w:lang w:val="en-GB"/>
        </w:rPr>
        <w:t xml:space="preserve"> or breastmilk exposures of infants to COVID-19 vaccines given to the mother. Importantly, no serious pregnancy-related safety concerns have been identified with COVID-19 vaccines. The Royal Australian and New Zealand College of Obstetricians and Gynaecologists (RANZCOG) and ATAGI recommended COVID-19 vaccination for all people trying to conceive, who are pregnant, and who are breastfeeding.</w:t>
      </w:r>
      <w:r w:rsidRPr="00504904">
        <w:rPr>
          <w:vertAlign w:val="superscript"/>
          <w:lang w:val="en-GB"/>
        </w:rPr>
        <w:t>39-41</w:t>
      </w:r>
      <w:r w:rsidRPr="00504904">
        <w:rPr>
          <w:lang w:val="en-GB"/>
        </w:rPr>
        <w:t xml:space="preserve"> </w:t>
      </w:r>
    </w:p>
    <w:p w14:paraId="3C5692A5" w14:textId="77777777" w:rsidR="00504904" w:rsidRPr="00504904" w:rsidRDefault="00504904" w:rsidP="00504904">
      <w:pPr>
        <w:rPr>
          <w:lang w:val="en-GB"/>
        </w:rPr>
      </w:pPr>
      <w:r w:rsidRPr="00504904">
        <w:rPr>
          <w:lang w:val="en-GB"/>
        </w:rPr>
        <w:lastRenderedPageBreak/>
        <w:t xml:space="preserve">AEFI reporting rates were the second lowest of all age groups among children aged 5–11 years, with a lower proportion of serious AEFI reports compared to other age groups. With the exceptions of chest pain and vaccination error, the </w:t>
      </w:r>
      <w:proofErr w:type="gramStart"/>
      <w:r w:rsidRPr="00504904">
        <w:rPr>
          <w:lang w:val="en-GB"/>
        </w:rPr>
        <w:t>most commonly reported</w:t>
      </w:r>
      <w:proofErr w:type="gramEnd"/>
      <w:r w:rsidRPr="00504904">
        <w:rPr>
          <w:lang w:val="en-GB"/>
        </w:rPr>
        <w:t xml:space="preserve"> events were expected common AEFI, such as ‘gastrointestinal nonspecific </w:t>
      </w:r>
      <w:proofErr w:type="gramStart"/>
      <w:r w:rsidRPr="00504904">
        <w:rPr>
          <w:lang w:val="en-GB"/>
        </w:rPr>
        <w:t>symptoms’</w:t>
      </w:r>
      <w:proofErr w:type="gramEnd"/>
      <w:r w:rsidRPr="00504904">
        <w:rPr>
          <w:lang w:val="en-GB"/>
        </w:rPr>
        <w:t xml:space="preserve"> and hypersensitivity. These findings are consistent with the international experience in relation to the safety of COVID-19 vaccines in the 5–</w:t>
      </w:r>
      <w:proofErr w:type="gramStart"/>
      <w:r w:rsidRPr="00504904">
        <w:rPr>
          <w:lang w:val="en-GB"/>
        </w:rPr>
        <w:t>11 year</w:t>
      </w:r>
      <w:proofErr w:type="gramEnd"/>
      <w:r w:rsidRPr="00504904">
        <w:rPr>
          <w:lang w:val="en-GB"/>
        </w:rPr>
        <w:t xml:space="preserve"> age group, including the higher relative frequency of vaccination errors being reported, as observed in the US VAERS spontaneous surveillance system.</w:t>
      </w:r>
      <w:r w:rsidRPr="00504904">
        <w:rPr>
          <w:vertAlign w:val="superscript"/>
          <w:lang w:val="en-GB"/>
        </w:rPr>
        <w:t>42-45</w:t>
      </w:r>
    </w:p>
    <w:p w14:paraId="604486ED" w14:textId="77777777" w:rsidR="00504904" w:rsidRPr="00504904" w:rsidRDefault="00504904" w:rsidP="00504904">
      <w:pPr>
        <w:rPr>
          <w:lang w:val="en-GB"/>
        </w:rPr>
      </w:pPr>
      <w:r w:rsidRPr="00504904">
        <w:rPr>
          <w:lang w:val="en-GB"/>
        </w:rPr>
        <w:t>Vaccination errors were among the five most frequently occurring reports in each of the paediatric age groups (&lt; 5 years, 5–11 years, 12–15 years), and the tenth most frequently reported COVID-19 AEFI overall, appearing in 7.6% of COVID-19 AEFI reports in 2022. This represents a relative increase in reports describing errors compared to 2021, where ‘medication errors’ was the forty-eighth most frequently reported term (1.2% of all COVID-19 AEFI reports). Across all age groups, 1,282 (91.2%) of vaccination errors were reported either without another term in the same report, or in conjunction with another term that provided additional information about the error reported (for example, ‘underdose’, ‘product expiration date issue’). Therefore, in most cases, reports of vaccination errors were not accompanied by reports of adverse sequelae from the error. The classification of ‘</w:t>
      </w:r>
      <w:proofErr w:type="spellStart"/>
      <w:r w:rsidRPr="00504904">
        <w:rPr>
          <w:lang w:val="en-GB"/>
        </w:rPr>
        <w:t>serious’</w:t>
      </w:r>
      <w:proofErr w:type="spellEnd"/>
      <w:r w:rsidRPr="00504904">
        <w:rPr>
          <w:lang w:val="en-GB"/>
        </w:rPr>
        <w:t xml:space="preserve"> was applied to 0.6% of all AEFI reports featuring vaccination errors (9/1,282). The increase in the relative frequency of reported vaccination errors may reflect more errors occurring or more proactive reporting of errors. In 2022, there were frequent changes to COVID-19 vaccination policy and programs, leading to a greater potential for error. The concurrent use of multiple standard and paediatric formulations may have led to errors related to the formulation administered, as evident in reports of children aged four and twelve receiving the 5–11 year formulation, which was also observed internationally.</w:t>
      </w:r>
      <w:r w:rsidRPr="00504904">
        <w:rPr>
          <w:vertAlign w:val="superscript"/>
          <w:lang w:val="en-GB"/>
        </w:rPr>
        <w:t>42-45</w:t>
      </w:r>
      <w:r w:rsidRPr="00504904">
        <w:rPr>
          <w:lang w:val="en-GB"/>
        </w:rPr>
        <w:t xml:space="preserve"> The TGA, ATAGI and the COVID-19 vaccination program responded to error reports of incorrect formulations administered to children through issuing reminders and visual aids targeted to health professionals, with ATAGI also publishing guidance on the appropriate actions for health professionals to take after an error has occurred.</w:t>
      </w:r>
      <w:r w:rsidRPr="00504904">
        <w:rPr>
          <w:vertAlign w:val="superscript"/>
          <w:lang w:val="en-GB"/>
        </w:rPr>
        <w:t>38,46-48</w:t>
      </w:r>
      <w:r w:rsidRPr="00504904">
        <w:rPr>
          <w:lang w:val="en-GB"/>
        </w:rPr>
        <w:t xml:space="preserve"> However, a review of the case narrative field of a sample of vaccination error reports in AEMS also demonstrated that many of these reports were related to incorrect interpretation of funding eligibility (such as the number of booster doses an individual was recommended to receive), rather than an error that related to vaccination technique, off-label administration or product quality.</w:t>
      </w:r>
    </w:p>
    <w:p w14:paraId="3FF91AC6" w14:textId="77777777" w:rsidR="00504904" w:rsidRPr="00504904" w:rsidRDefault="00504904" w:rsidP="00504904">
      <w:pPr>
        <w:rPr>
          <w:lang w:val="en-GB"/>
        </w:rPr>
      </w:pPr>
      <w:r w:rsidRPr="00504904">
        <w:rPr>
          <w:lang w:val="en-GB"/>
        </w:rPr>
        <w:t>Myocarditis and/or pericarditis remained the most frequently reported AESI in 2022. The overall reporting rate of 5.1 per 100,000 COVID-19 vaccine doses in 2022 was lower than the rate of 9.8 reports per 100,000 doses observed in 2021. The proportion of myocarditis and/or pericarditis categorised as serious was similar across the two years, with 35.2% in 2022 compared to 35.4% in 2021. A disproportionate number of myocarditis and/or pericarditis reports originated from Western Australia, and may be related to the jurisdictional implementation of additional surveillance methods, such as data linkage.</w:t>
      </w:r>
      <w:r w:rsidRPr="00504904">
        <w:rPr>
          <w:vertAlign w:val="superscript"/>
          <w:lang w:val="en-GB"/>
        </w:rPr>
        <w:t>49</w:t>
      </w:r>
      <w:r w:rsidRPr="00504904">
        <w:rPr>
          <w:lang w:val="en-GB"/>
        </w:rPr>
        <w:t xml:space="preserve"> It is important to note that this report summarises myocarditis and/or pericarditis differently to the COVID-19 vaccine safety reports available from the TGA website.</w:t>
      </w:r>
      <w:r w:rsidRPr="00504904">
        <w:rPr>
          <w:vertAlign w:val="superscript"/>
          <w:lang w:val="en-GB"/>
        </w:rPr>
        <w:t>50</w:t>
      </w:r>
      <w:r w:rsidRPr="00504904">
        <w:rPr>
          <w:lang w:val="en-GB"/>
        </w:rPr>
        <w:t xml:space="preserve"> Firstly, the website data separates myocarditis cases from pericarditis cases, and secondly, the cases of myocarditis and pericarditis reported on the website have undergone clinical review, and only cases of likely myocarditis or pericarditis are included on the website, not all reports received. </w:t>
      </w:r>
      <w:proofErr w:type="gramStart"/>
      <w:r w:rsidRPr="00504904">
        <w:rPr>
          <w:lang w:val="en-GB"/>
        </w:rPr>
        <w:t>Both of these</w:t>
      </w:r>
      <w:proofErr w:type="gramEnd"/>
      <w:r w:rsidRPr="00504904">
        <w:rPr>
          <w:lang w:val="en-GB"/>
        </w:rPr>
        <w:t xml:space="preserve"> differences in methodology would lead to rates reported on the TGA website to be lower than those calculated for this report. </w:t>
      </w:r>
    </w:p>
    <w:p w14:paraId="5284EE41" w14:textId="77777777" w:rsidR="00504904" w:rsidRPr="00504904" w:rsidRDefault="00504904" w:rsidP="00504904">
      <w:pPr>
        <w:rPr>
          <w:lang w:val="en-GB"/>
        </w:rPr>
      </w:pPr>
      <w:r w:rsidRPr="00504904">
        <w:rPr>
          <w:lang w:val="en-GB"/>
        </w:rPr>
        <w:t xml:space="preserve">The 2022 reporting rate for the AESI thrombosis and thromboembolism, of 1.5 per 100,000 doses of all COVID-19 vaccines administered, was lower than the 8.2 reports per 100,000 doses in 2021. While the reporting rates of thrombosis and thromboembolism following Vaxzevria in the 16–59 age group and the ≥ </w:t>
      </w:r>
      <w:proofErr w:type="gramStart"/>
      <w:r w:rsidRPr="00504904">
        <w:rPr>
          <w:lang w:val="en-GB"/>
        </w:rPr>
        <w:t>60 year</w:t>
      </w:r>
      <w:proofErr w:type="gramEnd"/>
      <w:r w:rsidRPr="00504904">
        <w:rPr>
          <w:lang w:val="en-GB"/>
        </w:rPr>
        <w:t xml:space="preserve"> age group were higher in 2022 (33.9 and 43.4 reports per 100,000 </w:t>
      </w:r>
      <w:r w:rsidRPr="00504904">
        <w:rPr>
          <w:lang w:val="en-GB"/>
        </w:rPr>
        <w:lastRenderedPageBreak/>
        <w:t>doses respectively) than in 2021 (14.7 and 20.9 reports per 100,000 doses respectively), this rate could be impacted by the substantially fewer doses of Vaxzevria administered in 2022. The continued media coverage in 2022 of blood clots associated with Vaxzevria may have also contributed to higher reporting rates. The serious adverse event reporting rate for thrombosis and thromboembolism in 2022 was 0.8 per 100,000 doses of COVID-19 vaccines administered in all age groups, lower than that of 3.3 per 100,000 doses in 2021.</w:t>
      </w:r>
    </w:p>
    <w:p w14:paraId="50B502A9" w14:textId="77777777" w:rsidR="00504904" w:rsidRPr="00504904" w:rsidRDefault="00504904" w:rsidP="00504904">
      <w:pPr>
        <w:rPr>
          <w:lang w:val="en-GB"/>
        </w:rPr>
      </w:pPr>
      <w:r w:rsidRPr="00504904">
        <w:rPr>
          <w:lang w:val="en-GB"/>
        </w:rPr>
        <w:t>The 160 COVID-19 vaccine AEFI reports with a fatal outcome represent 0.8 fatal reports per 100,000 doses administered, markedly lower than in 2021, where there were 1.9 reports with a fatal outcome per 100,000 doses administered. This may reflect a greater proportion of COVID-19 vaccine doses being given to younger age groups in 2022. The median age in reports with a fatal outcome following COVID-19 vaccination was 72 years in 2022, compared to 76 years in 2021. The official diagnosed cause of death is not always included in the TGA AEFI report. However, the most common adverse events that feature in COVID-19 AEFI reports with fatal outcomes are predominantly cardiovascular in nature, aligning with ischaemic heart diseases and cerebrovascular diseases being among the top five leading causes of death in Australia overall.</w:t>
      </w:r>
      <w:r w:rsidRPr="00504904">
        <w:rPr>
          <w:vertAlign w:val="superscript"/>
          <w:lang w:val="en-GB"/>
        </w:rPr>
        <w:t>51</w:t>
      </w:r>
      <w:r w:rsidRPr="00504904">
        <w:rPr>
          <w:lang w:val="en-GB"/>
        </w:rPr>
        <w:t xml:space="preserve"> Specific fatal AEFI cases were reviewed by VSIG, with the conclusion that only one was likely to be linked to a COVID-19 vaccine.</w:t>
      </w:r>
    </w:p>
    <w:p w14:paraId="4B33FF6F" w14:textId="77777777" w:rsidR="00504904" w:rsidRPr="00504904" w:rsidRDefault="00504904" w:rsidP="00504904">
      <w:pPr>
        <w:rPr>
          <w:lang w:val="en-GB"/>
        </w:rPr>
      </w:pPr>
      <w:r w:rsidRPr="00504904">
        <w:rPr>
          <w:lang w:val="en-GB"/>
        </w:rPr>
        <w:t xml:space="preserve">Australia benefits from having more than one surveillance modality for COVID-19 vaccine AEFI. National sentinel active safety surveillance, using a self-reported digital survey of COVID-19 vaccine recipients, was undertaken throughout 2022 by the </w:t>
      </w:r>
      <w:proofErr w:type="spellStart"/>
      <w:r w:rsidRPr="00504904">
        <w:rPr>
          <w:lang w:val="en-GB"/>
        </w:rPr>
        <w:t>AusVaxSafety</w:t>
      </w:r>
      <w:proofErr w:type="spellEnd"/>
      <w:r w:rsidRPr="00504904">
        <w:rPr>
          <w:lang w:val="en-GB"/>
        </w:rPr>
        <w:t xml:space="preserve"> system.</w:t>
      </w:r>
      <w:r w:rsidRPr="00504904">
        <w:rPr>
          <w:vertAlign w:val="superscript"/>
          <w:lang w:val="en-GB"/>
        </w:rPr>
        <w:t>52,53</w:t>
      </w:r>
      <w:r w:rsidRPr="00504904">
        <w:rPr>
          <w:lang w:val="en-GB"/>
        </w:rPr>
        <w:t xml:space="preserve"> The differences in methodology preclude direct comparison of findings between the two systems. However, </w:t>
      </w:r>
      <w:proofErr w:type="spellStart"/>
      <w:r w:rsidRPr="00504904">
        <w:rPr>
          <w:lang w:val="en-GB"/>
        </w:rPr>
        <w:t>AusVaxSafety</w:t>
      </w:r>
      <w:proofErr w:type="spellEnd"/>
      <w:r w:rsidRPr="00504904">
        <w:rPr>
          <w:lang w:val="en-GB"/>
        </w:rPr>
        <w:t xml:space="preserve"> data generally corroborate TGA spontaneous surveillance data in that the proportion of participants who reported seeking medical assistance following COVID-19 vaccination was low. The most frequently reported solicited adverse events after COVID-19 vaccines in 2022 </w:t>
      </w:r>
      <w:proofErr w:type="spellStart"/>
      <w:r w:rsidRPr="00504904">
        <w:rPr>
          <w:lang w:val="en-GB"/>
        </w:rPr>
        <w:t>AusVaxSafety</w:t>
      </w:r>
      <w:proofErr w:type="spellEnd"/>
      <w:r w:rsidRPr="00504904">
        <w:rPr>
          <w:lang w:val="en-GB"/>
        </w:rPr>
        <w:t xml:space="preserve"> data were injection site reactions, followed by fatigue and headache, in both adult and paediatric populations.</w:t>
      </w:r>
    </w:p>
    <w:p w14:paraId="24DB30B3" w14:textId="77777777" w:rsidR="00504904" w:rsidRPr="00504904" w:rsidRDefault="00504904" w:rsidP="00504904">
      <w:pPr>
        <w:rPr>
          <w:lang w:val="en-GB"/>
        </w:rPr>
      </w:pPr>
      <w:r w:rsidRPr="00504904">
        <w:rPr>
          <w:lang w:val="en-GB"/>
        </w:rPr>
        <w:t>As is the case with any spontaneous surveillance system, vaccine safety monitoring by the TGA relies on adverse events being reported. Therefore, a limitation to this analysis is underreporting, which also means that AEFI reporting rates cannot be used as a proxy for AEFI incidence rates.</w:t>
      </w:r>
      <w:r w:rsidRPr="00504904">
        <w:rPr>
          <w:vertAlign w:val="superscript"/>
          <w:lang w:val="en-GB"/>
        </w:rPr>
        <w:t>7,54</w:t>
      </w:r>
      <w:r w:rsidRPr="00504904">
        <w:rPr>
          <w:lang w:val="en-GB"/>
        </w:rPr>
        <w:t xml:space="preserve"> In the context of gradually subsiding public and media attention on COVID-19 vaccines since the initial rollout, there may be more underreporting in 2022 than in 2021. However, despite this relative reduction in reporting activity, the spontaneous AEFI surveillance system was able to detect a range of new safety signals, leading to investigation to verify any association, followed by corresponding regulatory and programmatic action, as needed. </w:t>
      </w:r>
    </w:p>
    <w:p w14:paraId="07E801AC" w14:textId="77777777" w:rsidR="00504904" w:rsidRPr="00504904" w:rsidRDefault="00504904" w:rsidP="00504904">
      <w:pPr>
        <w:rPr>
          <w:lang w:val="en-GB"/>
        </w:rPr>
      </w:pPr>
      <w:r w:rsidRPr="00504904">
        <w:rPr>
          <w:lang w:val="en-GB"/>
        </w:rPr>
        <w:t xml:space="preserve">AEFI reports may vary significantly in completeness and quality of </w:t>
      </w:r>
      <w:proofErr w:type="gramStart"/>
      <w:r w:rsidRPr="00504904">
        <w:rPr>
          <w:lang w:val="en-GB"/>
        </w:rPr>
        <w:t>information, and</w:t>
      </w:r>
      <w:proofErr w:type="gramEnd"/>
      <w:r w:rsidRPr="00504904">
        <w:rPr>
          <w:lang w:val="en-GB"/>
        </w:rPr>
        <w:t xml:space="preserve"> are not always verified against clinical notes. Each AEFI report can include multiple vaccines, vaccination dates, AEFI, and AEFI onset dates. Therefore, it is not always possible to associate specific vaccines with specific AEFI and AEFI onset dates. Seriousness criteria may be applied inconsistently by different </w:t>
      </w:r>
      <w:proofErr w:type="gramStart"/>
      <w:r w:rsidRPr="00504904">
        <w:rPr>
          <w:lang w:val="en-GB"/>
        </w:rPr>
        <w:t>reporters, and</w:t>
      </w:r>
      <w:proofErr w:type="gramEnd"/>
      <w:r w:rsidRPr="00504904">
        <w:rPr>
          <w:lang w:val="en-GB"/>
        </w:rPr>
        <w:t xml:space="preserve"> is therefore not necessarily a reliable guide to the safety profile of a vaccine. The dose numbers of COVID-19 vaccines are also not systematically captured or recorded within the AEMS database, meaning that AEFI reporting rates for a specific dose of a vaccine cannot be determined. Additionally, the analytical decision to include 121 adverse event reports where both COVID-19 and non-COVID-19 vaccines were nominated in this COVID-19 vaccines report, and not the report for all other vaccines, would have led to an increase, albeit nominal, in AEFI reporting rates for COVID-19 vaccines.</w:t>
      </w:r>
    </w:p>
    <w:p w14:paraId="3947EDFC" w14:textId="049438B1" w:rsidR="0001020A" w:rsidRDefault="00504904" w:rsidP="00504904">
      <w:pPr>
        <w:keepLines/>
      </w:pPr>
      <w:r w:rsidRPr="00504904">
        <w:rPr>
          <w:lang w:val="en-GB"/>
        </w:rPr>
        <w:lastRenderedPageBreak/>
        <w:t>Additionally, vaccination data from the AIR, which has been utilised to calculate AEFI rates per 100,000 vaccine doses, may include COVID-19 vaccines administered overseas when COVID-19 vaccines or specific brands were not available in Australia. The AIR is also limited in its capture of demographic and clinical detail, meaning that it may not be possible to calculate dose-based AEFI reporting rates for specific subgroups.</w:t>
      </w:r>
      <w:r w:rsidRPr="00504904">
        <w:rPr>
          <w:vertAlign w:val="superscript"/>
          <w:lang w:val="en-GB"/>
        </w:rPr>
        <w:t>55</w:t>
      </w:r>
      <w:r w:rsidRPr="00504904">
        <w:rPr>
          <w:lang w:val="en-GB"/>
        </w:rPr>
        <w:t xml:space="preserve"> Finally, it is essential to reiterate that the AEFI reported here are not necessarily causally related to vaccination, as only a temporal, not casual, association is necessary for an AEFI to be reported. The TGA strongly encourages consumers and health professionals to report suspected adverse events, even if in their view, there is only a very small chance the event was caused by a vaccine. </w:t>
      </w:r>
    </w:p>
    <w:p w14:paraId="1781BBEF" w14:textId="77777777" w:rsidR="00FE2847" w:rsidRDefault="008017B6" w:rsidP="008017B6">
      <w:pPr>
        <w:pStyle w:val="Heading1"/>
      </w:pPr>
      <w:bookmarkStart w:id="49" w:name="_Toc215578718"/>
      <w:bookmarkEnd w:id="47"/>
      <w:bookmarkEnd w:id="48"/>
      <w:r>
        <w:lastRenderedPageBreak/>
        <w:t>Conclusion</w:t>
      </w:r>
      <w:bookmarkEnd w:id="49"/>
    </w:p>
    <w:p w14:paraId="67137C11" w14:textId="1AB1154B" w:rsidR="008017B6" w:rsidRPr="008017B6" w:rsidRDefault="00504904" w:rsidP="008017B6">
      <w:r w:rsidRPr="00504904">
        <w:rPr>
          <w:lang w:val="en-GB"/>
        </w:rPr>
        <w:t>The second year of COVID-19 vaccination in Australia afforded further opportunities to improve our understanding of the safety profile of the relatively new COVID-19 vaccines, juxtaposed against a background of changes in the COVID-19 vaccine recommendations. Despite the introduction of new vaccines and new age groups receiving vaccines, the AEFI reporting rates observed in 2022 for COVID-19 vaccines were significantly lower than those in 2021, likely reflecting greater familiarity with these vaccines over time. However, reporting rates for COVID-19 vaccines remained above those for other vaccines. Notably, with greater doses of COVID-19 doses administered to children and adolescents, the safety profile of COVID-19 vaccines in these age groups was shown to be reassuring, particularly among the 5–</w:t>
      </w:r>
      <w:proofErr w:type="gramStart"/>
      <w:r w:rsidRPr="00504904">
        <w:rPr>
          <w:lang w:val="en-GB"/>
        </w:rPr>
        <w:t>11 year</w:t>
      </w:r>
      <w:proofErr w:type="gramEnd"/>
      <w:r w:rsidRPr="00504904">
        <w:rPr>
          <w:lang w:val="en-GB"/>
        </w:rPr>
        <w:t xml:space="preserve"> age group to whom COVID-19 vaccines were introduced in 2022. The spontaneous monitoring and analysis of AEFI reports by the TGA was reinforced by the TGA’s investigation into potential safety issues, including the identification and confirmation of new and evolving safety signals, and regulatory action in response to the confirmation of specific safety concerns.</w:t>
      </w:r>
    </w:p>
    <w:p w14:paraId="718B7383" w14:textId="77777777" w:rsidR="00F216F0" w:rsidRDefault="00F216F0" w:rsidP="00F216F0">
      <w:pPr>
        <w:pStyle w:val="Heading1"/>
      </w:pPr>
      <w:bookmarkStart w:id="50" w:name="_Toc195530510"/>
      <w:bookmarkStart w:id="51" w:name="_Toc215578719"/>
      <w:bookmarkStart w:id="52" w:name="_Toc195530508"/>
      <w:r>
        <w:lastRenderedPageBreak/>
        <w:t>Acknowledgments</w:t>
      </w:r>
      <w:bookmarkEnd w:id="50"/>
      <w:bookmarkEnd w:id="51"/>
    </w:p>
    <w:p w14:paraId="0DDB528B" w14:textId="170DC5A7" w:rsidR="00F216F0" w:rsidRPr="008017B6" w:rsidRDefault="00504904" w:rsidP="00F216F0">
      <w:r w:rsidRPr="00504904">
        <w:rPr>
          <w:lang w:val="en-GB"/>
        </w:rPr>
        <w:t>This report is a deliverable under contract with the Australian Government Department of Health, Disability and Ageing in relation to services for immunisation research and surveillance, and has been prepared by Yuanfei Anny Huang, Nicholas Wood, Lucy Deng and Kristine Macartney at the National Centre for Immunisation Research and Surveillance (NCIRS), and Claire Larter, Megan</w:t>
      </w:r>
      <w:r>
        <w:rPr>
          <w:lang w:val="en-GB"/>
        </w:rPr>
        <w:t> </w:t>
      </w:r>
      <w:r w:rsidRPr="00504904">
        <w:rPr>
          <w:lang w:val="en-GB"/>
        </w:rPr>
        <w:t xml:space="preserve">Hickie, Megan O’Moore, Belinda Jones, Sophie Russell and Elspeth Kay at the Therapeutic Goods Administration. We would also like to acknowledge and thank Alexandra Hendry and Tristan Franks at NCIRS for providing vaccine dose data from the Australian Immunisation Register. </w:t>
      </w:r>
    </w:p>
    <w:p w14:paraId="31FA4BFB" w14:textId="77777777" w:rsidR="008A0736" w:rsidRDefault="008A0736" w:rsidP="008A0736">
      <w:pPr>
        <w:pStyle w:val="Heading1"/>
      </w:pPr>
      <w:bookmarkStart w:id="53" w:name="_Toc215578720"/>
      <w:r>
        <w:lastRenderedPageBreak/>
        <w:t>Author details</w:t>
      </w:r>
      <w:bookmarkEnd w:id="52"/>
      <w:bookmarkEnd w:id="53"/>
    </w:p>
    <w:p w14:paraId="513C7545" w14:textId="77777777" w:rsidR="00504904" w:rsidRPr="00504904" w:rsidRDefault="00504904" w:rsidP="00504904">
      <w:pPr>
        <w:rPr>
          <w:lang w:val="en-GB"/>
        </w:rPr>
      </w:pPr>
      <w:r w:rsidRPr="00504904">
        <w:rPr>
          <w:lang w:val="en-GB"/>
        </w:rPr>
        <w:t>Yuanfei Anny Huang,</w:t>
      </w:r>
      <w:r w:rsidRPr="00504904">
        <w:rPr>
          <w:vertAlign w:val="superscript"/>
          <w:lang w:val="en-GB"/>
        </w:rPr>
        <w:t>1</w:t>
      </w:r>
      <w:r w:rsidRPr="00504904">
        <w:rPr>
          <w:lang w:val="en-GB"/>
        </w:rPr>
        <w:t xml:space="preserve"> </w:t>
      </w:r>
    </w:p>
    <w:p w14:paraId="176BA851" w14:textId="77777777" w:rsidR="00504904" w:rsidRPr="00504904" w:rsidRDefault="00504904" w:rsidP="00504904">
      <w:pPr>
        <w:rPr>
          <w:lang w:val="en-GB"/>
        </w:rPr>
      </w:pPr>
      <w:r w:rsidRPr="00504904">
        <w:rPr>
          <w:lang w:val="en-GB"/>
        </w:rPr>
        <w:t>Claire Larter,</w:t>
      </w:r>
      <w:r w:rsidRPr="00504904">
        <w:rPr>
          <w:vertAlign w:val="superscript"/>
          <w:lang w:val="en-GB"/>
        </w:rPr>
        <w:t>2</w:t>
      </w:r>
      <w:r w:rsidRPr="00504904">
        <w:rPr>
          <w:lang w:val="en-GB"/>
        </w:rPr>
        <w:t xml:space="preserve"> </w:t>
      </w:r>
    </w:p>
    <w:p w14:paraId="1824F382" w14:textId="77777777" w:rsidR="00504904" w:rsidRPr="00504904" w:rsidRDefault="00504904" w:rsidP="00504904">
      <w:pPr>
        <w:rPr>
          <w:lang w:val="en-GB"/>
        </w:rPr>
      </w:pPr>
      <w:r w:rsidRPr="00504904">
        <w:rPr>
          <w:lang w:val="en-GB"/>
        </w:rPr>
        <w:t>Megan Hickie,</w:t>
      </w:r>
      <w:r w:rsidRPr="00504904">
        <w:rPr>
          <w:vertAlign w:val="superscript"/>
          <w:lang w:val="en-GB"/>
        </w:rPr>
        <w:t>2</w:t>
      </w:r>
      <w:r w:rsidRPr="00504904">
        <w:rPr>
          <w:lang w:val="en-GB"/>
        </w:rPr>
        <w:t xml:space="preserve"> </w:t>
      </w:r>
    </w:p>
    <w:p w14:paraId="5C9E9206" w14:textId="77777777" w:rsidR="00504904" w:rsidRPr="00504904" w:rsidRDefault="00504904" w:rsidP="00504904">
      <w:pPr>
        <w:rPr>
          <w:lang w:val="en-GB"/>
        </w:rPr>
      </w:pPr>
      <w:r w:rsidRPr="00504904">
        <w:rPr>
          <w:lang w:val="en-GB"/>
        </w:rPr>
        <w:t>Megan O’Moore,</w:t>
      </w:r>
      <w:r w:rsidRPr="00504904">
        <w:rPr>
          <w:vertAlign w:val="superscript"/>
          <w:lang w:val="en-GB"/>
        </w:rPr>
        <w:t>2</w:t>
      </w:r>
      <w:r w:rsidRPr="00504904">
        <w:rPr>
          <w:lang w:val="en-GB"/>
        </w:rPr>
        <w:t xml:space="preserve"> </w:t>
      </w:r>
    </w:p>
    <w:p w14:paraId="4A54DB2D" w14:textId="77777777" w:rsidR="00504904" w:rsidRPr="00504904" w:rsidRDefault="00504904" w:rsidP="00504904">
      <w:pPr>
        <w:rPr>
          <w:lang w:val="en-GB"/>
        </w:rPr>
      </w:pPr>
      <w:r w:rsidRPr="00504904">
        <w:rPr>
          <w:lang w:val="en-GB"/>
        </w:rPr>
        <w:t>Belinda Jones,</w:t>
      </w:r>
      <w:r w:rsidRPr="00504904">
        <w:rPr>
          <w:vertAlign w:val="superscript"/>
          <w:lang w:val="en-GB"/>
        </w:rPr>
        <w:t>2</w:t>
      </w:r>
      <w:r w:rsidRPr="00504904">
        <w:rPr>
          <w:lang w:val="en-GB"/>
        </w:rPr>
        <w:t xml:space="preserve"> </w:t>
      </w:r>
    </w:p>
    <w:p w14:paraId="346935E0" w14:textId="77777777" w:rsidR="00504904" w:rsidRPr="00504904" w:rsidRDefault="00504904" w:rsidP="00504904">
      <w:pPr>
        <w:rPr>
          <w:lang w:val="en-GB"/>
        </w:rPr>
      </w:pPr>
      <w:r w:rsidRPr="00504904">
        <w:rPr>
          <w:lang w:val="en-GB"/>
        </w:rPr>
        <w:t>Lucy Deng,</w:t>
      </w:r>
      <w:r w:rsidRPr="00504904">
        <w:rPr>
          <w:vertAlign w:val="superscript"/>
          <w:lang w:val="en-GB"/>
        </w:rPr>
        <w:t>1</w:t>
      </w:r>
      <w:r w:rsidRPr="00504904">
        <w:rPr>
          <w:lang w:val="en-GB"/>
        </w:rPr>
        <w:t xml:space="preserve"> </w:t>
      </w:r>
    </w:p>
    <w:p w14:paraId="434494C3" w14:textId="77777777" w:rsidR="00504904" w:rsidRPr="00504904" w:rsidRDefault="00504904" w:rsidP="00504904">
      <w:pPr>
        <w:rPr>
          <w:lang w:val="en-GB"/>
        </w:rPr>
      </w:pPr>
      <w:r w:rsidRPr="00504904">
        <w:rPr>
          <w:lang w:val="en-GB"/>
        </w:rPr>
        <w:t>Sophie Russell,</w:t>
      </w:r>
      <w:r w:rsidRPr="00504904">
        <w:rPr>
          <w:vertAlign w:val="superscript"/>
          <w:lang w:val="en-GB"/>
        </w:rPr>
        <w:t>2</w:t>
      </w:r>
      <w:r w:rsidRPr="00504904">
        <w:rPr>
          <w:lang w:val="en-GB"/>
        </w:rPr>
        <w:t xml:space="preserve"> </w:t>
      </w:r>
    </w:p>
    <w:p w14:paraId="390BD422" w14:textId="77777777" w:rsidR="00504904" w:rsidRPr="00504904" w:rsidRDefault="00504904" w:rsidP="00504904">
      <w:pPr>
        <w:rPr>
          <w:lang w:val="en-GB"/>
        </w:rPr>
      </w:pPr>
      <w:r w:rsidRPr="00504904">
        <w:rPr>
          <w:lang w:val="en-GB"/>
        </w:rPr>
        <w:t>Elspeth Kay,</w:t>
      </w:r>
      <w:r w:rsidRPr="00504904">
        <w:rPr>
          <w:vertAlign w:val="superscript"/>
          <w:lang w:val="en-GB"/>
        </w:rPr>
        <w:t>2</w:t>
      </w:r>
      <w:r w:rsidRPr="00504904">
        <w:rPr>
          <w:lang w:val="en-GB"/>
        </w:rPr>
        <w:t xml:space="preserve"> </w:t>
      </w:r>
    </w:p>
    <w:p w14:paraId="15D5E748" w14:textId="77777777" w:rsidR="00504904" w:rsidRPr="00504904" w:rsidRDefault="00504904" w:rsidP="00504904">
      <w:pPr>
        <w:rPr>
          <w:lang w:val="en-GB"/>
        </w:rPr>
      </w:pPr>
      <w:r w:rsidRPr="00504904">
        <w:rPr>
          <w:lang w:val="en-GB"/>
        </w:rPr>
        <w:t>Kristine Macartney,</w:t>
      </w:r>
      <w:r w:rsidRPr="00504904">
        <w:rPr>
          <w:vertAlign w:val="superscript"/>
          <w:lang w:val="en-GB"/>
        </w:rPr>
        <w:t>1</w:t>
      </w:r>
      <w:r w:rsidRPr="00504904">
        <w:rPr>
          <w:lang w:val="en-GB"/>
        </w:rPr>
        <w:t xml:space="preserve"> </w:t>
      </w:r>
    </w:p>
    <w:p w14:paraId="4A168135" w14:textId="77777777" w:rsidR="00504904" w:rsidRPr="00504904" w:rsidRDefault="00504904" w:rsidP="00504904">
      <w:pPr>
        <w:rPr>
          <w:lang w:val="en-GB"/>
        </w:rPr>
      </w:pPr>
      <w:r w:rsidRPr="00504904">
        <w:rPr>
          <w:lang w:val="en-GB"/>
        </w:rPr>
        <w:t>Nicholas Wood</w:t>
      </w:r>
      <w:r w:rsidRPr="00504904">
        <w:rPr>
          <w:vertAlign w:val="superscript"/>
          <w:lang w:val="en-GB"/>
        </w:rPr>
        <w:t>1</w:t>
      </w:r>
    </w:p>
    <w:p w14:paraId="5C67B61A" w14:textId="77777777" w:rsidR="00504904" w:rsidRPr="00504904" w:rsidRDefault="00504904" w:rsidP="00504904">
      <w:pPr>
        <w:pStyle w:val="CDINumberedList1L1"/>
        <w:numPr>
          <w:ilvl w:val="0"/>
          <w:numId w:val="11"/>
        </w:numPr>
        <w:ind w:left="397" w:hanging="397"/>
        <w:rPr>
          <w:lang w:val="en-GB"/>
        </w:rPr>
      </w:pPr>
      <w:r w:rsidRPr="00504904">
        <w:rPr>
          <w:lang w:val="en-GB"/>
        </w:rPr>
        <w:t>National Centre for Immunisation Research and Surveillance, The University of Sydney and The Children’s Hospital at Westmead, Sydney, Australia</w:t>
      </w:r>
    </w:p>
    <w:p w14:paraId="11C1FA36" w14:textId="77777777" w:rsidR="00504904" w:rsidRPr="00504904" w:rsidRDefault="00504904" w:rsidP="00504904">
      <w:pPr>
        <w:pStyle w:val="CDINumberedList1L1"/>
        <w:ind w:left="397" w:hanging="397"/>
        <w:rPr>
          <w:lang w:val="en-GB"/>
        </w:rPr>
      </w:pPr>
      <w:r w:rsidRPr="00504904">
        <w:rPr>
          <w:lang w:val="en-GB"/>
        </w:rPr>
        <w:t>Pharmacovigilance Branch, Therapeutic Goods Administration, Department of Health, Canberra, Australia</w:t>
      </w:r>
    </w:p>
    <w:p w14:paraId="71A9A71F" w14:textId="77777777" w:rsidR="00423436" w:rsidRDefault="00423436" w:rsidP="00423436">
      <w:pPr>
        <w:pStyle w:val="CDICorrespondingauthor"/>
      </w:pPr>
      <w:r>
        <w:t>Corresponding author</w:t>
      </w:r>
    </w:p>
    <w:p w14:paraId="14932BE2" w14:textId="77777777" w:rsidR="002C1959" w:rsidRPr="002C1959" w:rsidRDefault="002C1959" w:rsidP="002C1959">
      <w:pPr>
        <w:rPr>
          <w:lang w:val="en-GB"/>
        </w:rPr>
      </w:pPr>
      <w:r w:rsidRPr="002C1959">
        <w:rPr>
          <w:lang w:val="en-GB"/>
        </w:rPr>
        <w:t>Dr Yuanfei Anny Huang</w:t>
      </w:r>
    </w:p>
    <w:p w14:paraId="6D07373E" w14:textId="77777777" w:rsidR="002C1959" w:rsidRPr="002C1959" w:rsidRDefault="002C1959" w:rsidP="002C1959">
      <w:pPr>
        <w:rPr>
          <w:lang w:val="en-GB"/>
        </w:rPr>
      </w:pPr>
      <w:r w:rsidRPr="002C1959">
        <w:rPr>
          <w:lang w:val="en-GB"/>
        </w:rPr>
        <w:t>National Centre for Immunisation Research and Surveillance, Locked Bag 4001, Westmead NSW 2145, Sydney, Australia</w:t>
      </w:r>
    </w:p>
    <w:p w14:paraId="48DF43ED" w14:textId="77777777" w:rsidR="002C1959" w:rsidRPr="002C1959" w:rsidRDefault="002C1959" w:rsidP="002C1959">
      <w:pPr>
        <w:rPr>
          <w:lang w:val="en-GB"/>
        </w:rPr>
      </w:pPr>
      <w:r w:rsidRPr="002C1959">
        <w:rPr>
          <w:lang w:val="en-GB"/>
        </w:rPr>
        <w:t>Phone: +61 2 9845 1416</w:t>
      </w:r>
    </w:p>
    <w:p w14:paraId="383DC56C" w14:textId="77777777" w:rsidR="002C1959" w:rsidRPr="002C1959" w:rsidRDefault="002C1959" w:rsidP="002C1959">
      <w:pPr>
        <w:rPr>
          <w:lang w:val="en-GB"/>
        </w:rPr>
      </w:pPr>
      <w:r w:rsidRPr="002C1959">
        <w:rPr>
          <w:lang w:val="en-GB"/>
        </w:rPr>
        <w:t>Fax: +61 2 9845 1418</w:t>
      </w:r>
    </w:p>
    <w:p w14:paraId="147D4D3F" w14:textId="0A98A77E" w:rsidR="008A0736" w:rsidRDefault="002C1959" w:rsidP="00423436">
      <w:r w:rsidRPr="002C1959">
        <w:rPr>
          <w:lang w:val="en-GB"/>
        </w:rPr>
        <w:t xml:space="preserve">Email: </w:t>
      </w:r>
      <w:hyperlink r:id="rId28" w:history="1">
        <w:r w:rsidRPr="002C1959">
          <w:rPr>
            <w:rStyle w:val="Hyperlink"/>
            <w:lang w:val="en-GB"/>
          </w:rPr>
          <w:t>yuanfei.huang@health.nsw.gov.au</w:t>
        </w:r>
      </w:hyperlink>
      <w:r>
        <w:rPr>
          <w:lang w:val="en-GB"/>
        </w:rPr>
        <w:t xml:space="preserve"> </w:t>
      </w:r>
    </w:p>
    <w:p w14:paraId="26091C77" w14:textId="77777777" w:rsidR="008A0736" w:rsidRDefault="008A0736" w:rsidP="00122ADA">
      <w:pPr>
        <w:pStyle w:val="Heading1"/>
      </w:pPr>
      <w:bookmarkStart w:id="54" w:name="_Toc195530511"/>
      <w:bookmarkStart w:id="55" w:name="_Toc215578721"/>
      <w:r>
        <w:lastRenderedPageBreak/>
        <w:t>References</w:t>
      </w:r>
      <w:bookmarkEnd w:id="54"/>
      <w:bookmarkEnd w:id="55"/>
    </w:p>
    <w:p w14:paraId="032386BC" w14:textId="4F6E6DAF" w:rsidR="00DF6A18" w:rsidRDefault="00DF6A18" w:rsidP="00DF6A18">
      <w:pPr>
        <w:pStyle w:val="CDINumberedList1L1"/>
        <w:numPr>
          <w:ilvl w:val="0"/>
          <w:numId w:val="12"/>
        </w:numPr>
        <w:ind w:left="397" w:hanging="397"/>
      </w:pPr>
      <w:r>
        <w:t xml:space="preserve">Valeri M, Durrani S, Tran C, Chiu C, Macartney KK, Giles ML et al. ATAGI 2023 annual statement on immunisation. </w:t>
      </w:r>
      <w:r w:rsidRPr="00DF6A18">
        <w:rPr>
          <w:i/>
          <w:iCs/>
        </w:rPr>
        <w:t>Commun Dis Intell (2018)</w:t>
      </w:r>
      <w:r>
        <w:t>. 2023;47</w:t>
      </w:r>
      <w:r w:rsidR="003D533C">
        <w:t>.</w:t>
      </w:r>
      <w:r>
        <w:t xml:space="preserve"> doi: </w:t>
      </w:r>
      <w:hyperlink r:id="rId29" w:history="1">
        <w:r w:rsidRPr="00C03798">
          <w:rPr>
            <w:rStyle w:val="Hyperlink"/>
          </w:rPr>
          <w:t>https://doi.org/10.33321/cdi.2023.47.42</w:t>
        </w:r>
      </w:hyperlink>
      <w:r>
        <w:t>.</w:t>
      </w:r>
    </w:p>
    <w:p w14:paraId="04F48E9A" w14:textId="552D114F" w:rsidR="00DF6A18" w:rsidRDefault="00DF6A18" w:rsidP="00DF6A18">
      <w:pPr>
        <w:pStyle w:val="CDINumberedList1L1"/>
        <w:ind w:left="397" w:hanging="397"/>
      </w:pPr>
      <w:r>
        <w:t xml:space="preserve">National Centre for Immunisation Research and Surveillance (NCIRS). </w:t>
      </w:r>
      <w:r w:rsidRPr="00DF6A18">
        <w:rPr>
          <w:i/>
          <w:iCs/>
        </w:rPr>
        <w:t>Significant events in COVID-19 vaccination practice in Australia</w:t>
      </w:r>
      <w:r>
        <w:t xml:space="preserve">. Sydney: Sydney Children’s Hospital Network, NCIRS; 2024. [Accessed in 2024.] Available from: </w:t>
      </w:r>
      <w:hyperlink r:id="rId30" w:history="1">
        <w:r w:rsidRPr="00C03798">
          <w:rPr>
            <w:rStyle w:val="Hyperlink"/>
          </w:rPr>
          <w:t>https://ncirs.org.au/sites/default/files/2025-04/COVID-19_March%202025.pdf</w:t>
        </w:r>
      </w:hyperlink>
      <w:r>
        <w:t>.</w:t>
      </w:r>
    </w:p>
    <w:p w14:paraId="350F552F" w14:textId="6690CFA1" w:rsidR="00DF6A18" w:rsidRDefault="00DF6A18" w:rsidP="00DF6A18">
      <w:pPr>
        <w:pStyle w:val="CDINumberedList1L1"/>
        <w:ind w:left="397" w:hanging="397"/>
      </w:pPr>
      <w:r>
        <w:t xml:space="preserve">Council for International Organizations of Medical Sciences (CIOMS) c/o World Health Organization (WHO). </w:t>
      </w:r>
      <w:r w:rsidRPr="00DF6A18">
        <w:rPr>
          <w:i/>
          <w:iCs/>
        </w:rPr>
        <w:t>Definition and Application of Terms for Vaccine Pharmacovigilance: Report of CIOMS/WHO Working Group on Vaccine Pharmacovigilance</w:t>
      </w:r>
      <w:r>
        <w:t xml:space="preserve">. Geneva: CIOMS; 2012. Available from: </w:t>
      </w:r>
      <w:hyperlink r:id="rId31" w:history="1">
        <w:r w:rsidRPr="00C03798">
          <w:rPr>
            <w:rStyle w:val="Hyperlink"/>
          </w:rPr>
          <w:t>https://www.who.int/publications/m/item/9789290360834</w:t>
        </w:r>
      </w:hyperlink>
      <w:r>
        <w:t>.</w:t>
      </w:r>
    </w:p>
    <w:p w14:paraId="2843AF21" w14:textId="4504E39E" w:rsidR="00DF6A18" w:rsidRDefault="00DF6A18" w:rsidP="00DF6A18">
      <w:pPr>
        <w:pStyle w:val="CDINumberedList1L1"/>
        <w:ind w:left="397" w:hanging="397"/>
      </w:pPr>
      <w:r>
        <w:t xml:space="preserve">Therapeutic Goods Administration (TGA). Reporting adverse events. [Webpage.] Canberra: Australian Government Department of Health, Disability and Ageing, TGA; 2024. [Accessed during 2024.] Available from: </w:t>
      </w:r>
      <w:hyperlink r:id="rId32" w:history="1">
        <w:r w:rsidRPr="00C03798">
          <w:rPr>
            <w:rStyle w:val="Hyperlink"/>
          </w:rPr>
          <w:t>https://www.tga.gov.au/safety/reporting-problems/reporting-adverse-events</w:t>
        </w:r>
      </w:hyperlink>
      <w:r>
        <w:t>.</w:t>
      </w:r>
    </w:p>
    <w:p w14:paraId="47A23F05" w14:textId="77777777" w:rsidR="00DF6A18" w:rsidRDefault="00DF6A18" w:rsidP="00DF6A18">
      <w:pPr>
        <w:pStyle w:val="CDINumberedList1L1"/>
        <w:ind w:left="397" w:hanging="397"/>
      </w:pPr>
      <w:r>
        <w:t xml:space="preserve">Lawrence G, Boyd I, McIntyre P, Isaacs D. Surveillance of adverse events following immunisation: Australia 2002 to 2003. </w:t>
      </w:r>
      <w:r w:rsidRPr="00DF6A18">
        <w:rPr>
          <w:i/>
          <w:iCs/>
        </w:rPr>
        <w:t>Commun Dis Intell Q Rep</w:t>
      </w:r>
      <w:r>
        <w:t>. 2004;28(3):324–38.</w:t>
      </w:r>
    </w:p>
    <w:p w14:paraId="36588396" w14:textId="5DAFC43F" w:rsidR="00DF6A18" w:rsidRDefault="00DF6A18" w:rsidP="00DF6A18">
      <w:pPr>
        <w:pStyle w:val="CDINumberedList1L1"/>
        <w:ind w:left="397" w:hanging="397"/>
      </w:pPr>
      <w:r>
        <w:t xml:space="preserve">Glover C, Deng L, Larter C, Brogan C, Richardson O, Huang YA et al. Surveillance of adverse events following immunisation in Australia, COVID-19 vaccines, 2021. </w:t>
      </w:r>
      <w:r w:rsidRPr="00DF6A18">
        <w:rPr>
          <w:i/>
          <w:iCs/>
        </w:rPr>
        <w:t>Commun Dis Intell (2018)</w:t>
      </w:r>
      <w:r>
        <w:t xml:space="preserve">. 2024;48. doi: </w:t>
      </w:r>
      <w:hyperlink r:id="rId33" w:history="1">
        <w:r w:rsidRPr="00C03798">
          <w:rPr>
            <w:rStyle w:val="Hyperlink"/>
          </w:rPr>
          <w:t>https://doi.org/10.33321/cdi.2024.48.2</w:t>
        </w:r>
      </w:hyperlink>
      <w:r>
        <w:t>.</w:t>
      </w:r>
    </w:p>
    <w:p w14:paraId="7CBCEEB3" w14:textId="48871DF5" w:rsidR="00DF6A18" w:rsidRDefault="00DF6A18" w:rsidP="00DF6A18">
      <w:pPr>
        <w:pStyle w:val="CDINumberedList1L1"/>
        <w:ind w:left="397" w:hanging="397"/>
      </w:pPr>
      <w:proofErr w:type="spellStart"/>
      <w:r>
        <w:t>O’Moore</w:t>
      </w:r>
      <w:proofErr w:type="spellEnd"/>
      <w:r>
        <w:t xml:space="preserve"> M, Jones B, Hickie M, Glover C, Deng L, Huang Y et al. National pharmacovigilance of seasonal influenza vaccines in Australia. </w:t>
      </w:r>
      <w:r w:rsidRPr="00DF6A18">
        <w:rPr>
          <w:i/>
          <w:iCs/>
        </w:rPr>
        <w:t>Med J Aust</w:t>
      </w:r>
      <w:r>
        <w:t>. 2024;221(4):178–81. doi: </w:t>
      </w:r>
      <w:hyperlink r:id="rId34" w:history="1">
        <w:r w:rsidRPr="00C03798">
          <w:rPr>
            <w:rStyle w:val="Hyperlink"/>
          </w:rPr>
          <w:t>https://doi.org/10.5694/mja2.52381</w:t>
        </w:r>
      </w:hyperlink>
      <w:r>
        <w:t>.</w:t>
      </w:r>
    </w:p>
    <w:p w14:paraId="771E47BA" w14:textId="6B314A05" w:rsidR="00DF6A18" w:rsidRDefault="00DF6A18" w:rsidP="00DF6A18">
      <w:pPr>
        <w:pStyle w:val="CDINumberedList1L1"/>
        <w:ind w:left="397" w:hanging="397"/>
      </w:pPr>
      <w:r>
        <w:t xml:space="preserve">International Council for Harmonisation of Technical Requirements for Pharmaceuticals for Human Use (ICH). Introductory Guide MedDRA Version 26.1. Brussels: ICH; September 2023. Available from: </w:t>
      </w:r>
      <w:hyperlink r:id="rId35" w:history="1">
        <w:r w:rsidRPr="00C03798">
          <w:rPr>
            <w:rStyle w:val="Hyperlink"/>
          </w:rPr>
          <w:t>https://admin.meddra.org/sites/default/files/guidance/file/intguide_26_1_English.pdf</w:t>
        </w:r>
      </w:hyperlink>
      <w:r>
        <w:t>.</w:t>
      </w:r>
    </w:p>
    <w:p w14:paraId="5FB2B0C4" w14:textId="4FB9D00F" w:rsidR="00DF6A18" w:rsidRDefault="00DF6A18" w:rsidP="00DF6A18">
      <w:pPr>
        <w:pStyle w:val="CDINumberedList1L1"/>
        <w:ind w:left="397" w:hanging="397"/>
      </w:pPr>
      <w:r>
        <w:t xml:space="preserve">Medical Dictionary for Regulatory Activities (MedDRA). Standardised MedDRA Queries. [Webpage.] Herndon VA: MedDRA: 2023. [Accessed during 2024.] Available from: </w:t>
      </w:r>
      <w:hyperlink r:id="rId36" w:history="1">
        <w:r w:rsidRPr="00C03798">
          <w:rPr>
            <w:rStyle w:val="Hyperlink"/>
          </w:rPr>
          <w:t>https://www.meddra.org/standardised-meddra-queries</w:t>
        </w:r>
      </w:hyperlink>
      <w:r>
        <w:t>.</w:t>
      </w:r>
    </w:p>
    <w:p w14:paraId="65343554" w14:textId="02FBC88E" w:rsidR="00DF6A18" w:rsidRDefault="00DF6A18" w:rsidP="00DF6A18">
      <w:pPr>
        <w:pStyle w:val="CDINumberedList1L1"/>
        <w:ind w:left="397" w:hanging="397"/>
      </w:pPr>
      <w:r>
        <w:t xml:space="preserve">MedDRA. </w:t>
      </w:r>
      <w:r w:rsidRPr="00DF6A18">
        <w:rPr>
          <w:i/>
          <w:iCs/>
        </w:rPr>
        <w:t>Introductory Guide for Standardised MedDRA Queries (SMQs) (Version 26.1)</w:t>
      </w:r>
      <w:r>
        <w:t xml:space="preserve">. Geneva: International Council for Harmonisation of Technical Requirements for Pharmaceuticals for Human Use, MedDRA; September 2023. Available from: </w:t>
      </w:r>
      <w:hyperlink r:id="rId37" w:history="1">
        <w:r w:rsidRPr="00C03798">
          <w:rPr>
            <w:rStyle w:val="Hyperlink"/>
          </w:rPr>
          <w:t>https://admin.meddra.org/sites/default/files/guidance/file/SMQ_intguide_26_1_English.pdf</w:t>
        </w:r>
      </w:hyperlink>
      <w:r>
        <w:t>.</w:t>
      </w:r>
    </w:p>
    <w:p w14:paraId="1EEEC776" w14:textId="478BC654" w:rsidR="00DF6A18" w:rsidRDefault="00DF6A18" w:rsidP="00DF6A18">
      <w:pPr>
        <w:pStyle w:val="CDINumberedList1L1"/>
        <w:ind w:left="397" w:hanging="397"/>
      </w:pPr>
      <w:r>
        <w:t xml:space="preserve">Safety Platform for Emergency </w:t>
      </w:r>
      <w:proofErr w:type="spellStart"/>
      <w:r>
        <w:t>vACcines</w:t>
      </w:r>
      <w:proofErr w:type="spellEnd"/>
      <w:r>
        <w:t xml:space="preserve"> (SPEAC). </w:t>
      </w:r>
      <w:r w:rsidRPr="00DF6A18">
        <w:rPr>
          <w:i/>
          <w:iCs/>
        </w:rPr>
        <w:t>Updated (October 2022) COVID-19 AESI including status of associated Brighton case definitions</w:t>
      </w:r>
      <w:r>
        <w:t xml:space="preserve">. Basel: Brighton Collaboration, SPEAC; 31 October 2022. [Accessed during 2023–2024.] Available from: </w:t>
      </w:r>
      <w:hyperlink r:id="rId38" w:history="1">
        <w:r w:rsidRPr="00C03798">
          <w:rPr>
            <w:rStyle w:val="Hyperlink"/>
          </w:rPr>
          <w:t>https://brightoncollaboration.us/wp-content/uploads/2022/11/Updated-COVID-19-AESI-list_Oct2022.pdf</w:t>
        </w:r>
      </w:hyperlink>
      <w:r>
        <w:t>.</w:t>
      </w:r>
    </w:p>
    <w:p w14:paraId="4966BB94" w14:textId="2A83A25F" w:rsidR="00DF6A18" w:rsidRDefault="00DF6A18" w:rsidP="00DF6A18">
      <w:pPr>
        <w:pStyle w:val="CDINumberedList1L1"/>
        <w:ind w:left="397" w:hanging="397"/>
      </w:pPr>
      <w:r>
        <w:lastRenderedPageBreak/>
        <w:t xml:space="preserve">Law B, SPEAC. </w:t>
      </w:r>
      <w:r w:rsidRPr="00DF6A18">
        <w:rPr>
          <w:i/>
          <w:iCs/>
        </w:rPr>
        <w:t>SO2 – D2.5.2.1 – AESI Case Definition Companion Guide for 1st Tier AESI: Acute Disseminated Encephalomyelitis (ADEM)</w:t>
      </w:r>
      <w:r>
        <w:t xml:space="preserve">. Basel: Brighton Collaboration, SPEAC; 11 February 2021. Available from: </w:t>
      </w:r>
      <w:hyperlink r:id="rId39" w:history="1">
        <w:r w:rsidRPr="00C03798">
          <w:rPr>
            <w:rStyle w:val="Hyperlink"/>
          </w:rPr>
          <w:t>https://brightoncollaboration.us/wp-content/uploads/2021/03/SPEAC_D2.5.2.1_ADEM-Case-Definition-Companion-Guide_V1.0_format12063-1.pdf</w:t>
        </w:r>
      </w:hyperlink>
      <w:r>
        <w:t>.</w:t>
      </w:r>
    </w:p>
    <w:p w14:paraId="05370213" w14:textId="7F43FC38" w:rsidR="00DF6A18" w:rsidRDefault="00DF6A18" w:rsidP="00DF6A18">
      <w:pPr>
        <w:pStyle w:val="CDINumberedList1L1"/>
        <w:ind w:left="397" w:hanging="397"/>
      </w:pPr>
      <w:r>
        <w:t xml:space="preserve">Law B, SPEAC. </w:t>
      </w:r>
      <w:r w:rsidRPr="00DF6A18">
        <w:rPr>
          <w:i/>
          <w:iCs/>
        </w:rPr>
        <w:t>SO2 – D2.5.2.1 – AESI Case Definition Companion Guide for 1st Tier AESI: Anaphylaxis</w:t>
      </w:r>
      <w:r>
        <w:t xml:space="preserve">. Basel: Brighton Collaboration, SPEAC; 5 February 2021. Available from: </w:t>
      </w:r>
      <w:hyperlink r:id="rId40" w:history="1">
        <w:r w:rsidRPr="00C03798">
          <w:rPr>
            <w:rStyle w:val="Hyperlink"/>
          </w:rPr>
          <w:t>https://brightoncollaboration.us/wp-content/uploads/2021/03/SPEAC_D2.5.2.1_Anaphylaxis-Case-Definition-Companion-Guide_V1.0-12070-1.pdf</w:t>
        </w:r>
      </w:hyperlink>
      <w:r>
        <w:t>.</w:t>
      </w:r>
    </w:p>
    <w:p w14:paraId="2A573632" w14:textId="25AEB9BD" w:rsidR="00DF6A18" w:rsidRDefault="00DF6A18" w:rsidP="00DF6A18">
      <w:pPr>
        <w:pStyle w:val="CDINumberedList1L1"/>
        <w:ind w:left="397" w:hanging="397"/>
      </w:pPr>
      <w:r>
        <w:t xml:space="preserve">Law B, Rojo Villaescusa M, SPEAC. </w:t>
      </w:r>
      <w:r w:rsidRPr="00DF6A18">
        <w:rPr>
          <w:i/>
          <w:iCs/>
        </w:rPr>
        <w:t>SO2 – D2.5.2.2 – AESI Case Definition Companion Guide: Acute Respiratory Distress Syndrome (ARDS)</w:t>
      </w:r>
      <w:r>
        <w:t xml:space="preserve">. Basel: Brighton Collaboration, SPEAC; 17 October 2022. Available from: </w:t>
      </w:r>
      <w:hyperlink r:id="rId41" w:history="1">
        <w:r w:rsidRPr="00C03798">
          <w:rPr>
            <w:rStyle w:val="Hyperlink"/>
          </w:rPr>
          <w:t>https://brightoncollaboration.org/wp-content/uploads/2023/06/SPEAC_D2.5.2.2_ARDS-Case-Definition-Companion-Guide-V1.0-17Oct2022-1.pdf</w:t>
        </w:r>
      </w:hyperlink>
      <w:r>
        <w:t>.</w:t>
      </w:r>
    </w:p>
    <w:p w14:paraId="6EC6E4D8" w14:textId="646D758D" w:rsidR="00DF6A18" w:rsidRDefault="00DF6A18" w:rsidP="00DF6A18">
      <w:pPr>
        <w:pStyle w:val="CDINumberedList1L1"/>
        <w:ind w:left="397" w:hanging="397"/>
      </w:pPr>
      <w:r>
        <w:t xml:space="preserve">Law B, SPEAC. </w:t>
      </w:r>
      <w:r w:rsidRPr="00DF6A18">
        <w:rPr>
          <w:i/>
          <w:iCs/>
        </w:rPr>
        <w:t>SO2 – D2.5.2.1 – AESI Case Definition Companion Guide for 1st Tier AESI: Aseptic Meningitis</w:t>
      </w:r>
      <w:r>
        <w:t xml:space="preserve">. Basel: Brighton Collaboration, SPEAC; 21 February 2021. Available from: </w:t>
      </w:r>
      <w:hyperlink r:id="rId42" w:history="1">
        <w:r w:rsidRPr="00C03798">
          <w:rPr>
            <w:rStyle w:val="Hyperlink"/>
          </w:rPr>
          <w:t>https://brightoncollaboration.us/wp-content/uploads/2021/03/SPEAC_D2.5.2.1_Aseptic-Meningitis-Case-Definition-Companion-Guide_V1.0_format12069-1.pdf</w:t>
        </w:r>
      </w:hyperlink>
      <w:r>
        <w:t>.</w:t>
      </w:r>
    </w:p>
    <w:p w14:paraId="5F4613A6" w14:textId="763BE967" w:rsidR="00DF6A18" w:rsidRDefault="00DF6A18" w:rsidP="00DF6A18">
      <w:pPr>
        <w:pStyle w:val="CDINumberedList1L1"/>
        <w:ind w:left="397" w:hanging="397"/>
      </w:pPr>
      <w:r>
        <w:t xml:space="preserve">Law B, SPEAC. </w:t>
      </w:r>
      <w:r w:rsidRPr="00DF6A18">
        <w:rPr>
          <w:i/>
          <w:iCs/>
        </w:rPr>
        <w:t>SO2 – D2.5.2.1 – AESI Case Definition Companion Guide for 1st Tier AESI: Facial Nerve Palsy</w:t>
      </w:r>
      <w:r>
        <w:t xml:space="preserve">. Basel: Brighton Collaboration; 11 February 2021. Available from: </w:t>
      </w:r>
      <w:hyperlink r:id="rId43" w:history="1">
        <w:r w:rsidRPr="00C03798">
          <w:rPr>
            <w:rStyle w:val="Hyperlink"/>
          </w:rPr>
          <w:t>https://brightoncollaboration.us/wp-content/uploads/2021/10/SPEAC_D2.5.2.1_Facial-Nerve-Palsy-Case-Definition-Companion-Guide_V1.0_format12067-1.pdf</w:t>
        </w:r>
      </w:hyperlink>
      <w:r>
        <w:t>.</w:t>
      </w:r>
    </w:p>
    <w:p w14:paraId="1E6CB7C6" w14:textId="72E84035" w:rsidR="00DF6A18" w:rsidRDefault="00DF6A18" w:rsidP="00DF6A18">
      <w:pPr>
        <w:pStyle w:val="CDINumberedList1L1"/>
        <w:ind w:left="397" w:hanging="397"/>
      </w:pPr>
      <w:r>
        <w:t xml:space="preserve">Law B, SPEAC. </w:t>
      </w:r>
      <w:r w:rsidRPr="00DF6A18">
        <w:rPr>
          <w:i/>
          <w:iCs/>
        </w:rPr>
        <w:t>SO2 – D2.5.2.1 – AESI Case Definition Companion Guide for 1st Tier AESI: Acute Encephalitis</w:t>
      </w:r>
      <w:r>
        <w:t xml:space="preserve">. Basel: Brighton Collaboration, SPEAC; 21 February 2021. Available from: </w:t>
      </w:r>
      <w:hyperlink r:id="rId44" w:history="1">
        <w:r w:rsidRPr="00C03798">
          <w:rPr>
            <w:rStyle w:val="Hyperlink"/>
          </w:rPr>
          <w:t>https://brightoncollaboration.us/wp-content/uploads/2021/03/SPEAC_D2.5.2.1_Encephalitis-Case-Definition-Companion-Guide_V1.0_format12064-1.pdf</w:t>
        </w:r>
      </w:hyperlink>
      <w:r>
        <w:t>.</w:t>
      </w:r>
    </w:p>
    <w:p w14:paraId="4BD2F30E" w14:textId="58337974" w:rsidR="00DF6A18" w:rsidRDefault="00DF6A18" w:rsidP="00DF6A18">
      <w:pPr>
        <w:pStyle w:val="CDINumberedList1L1"/>
        <w:ind w:left="397" w:hanging="397"/>
      </w:pPr>
      <w:r>
        <w:t xml:space="preserve">Law B, SPEAC. </w:t>
      </w:r>
      <w:r w:rsidRPr="00DF6A18">
        <w:rPr>
          <w:i/>
          <w:iCs/>
        </w:rPr>
        <w:t>SO2 – D2.5.2.1 – AESI Case Definition Companion Guide for 1st Tier AESI: Generalized Convulsion</w:t>
      </w:r>
      <w:r>
        <w:t xml:space="preserve">. Basel: Brighton Collaboration, SPEAC; 15 February 2021. Available from: </w:t>
      </w:r>
      <w:hyperlink r:id="rId45" w:history="1">
        <w:r w:rsidRPr="00C03798">
          <w:rPr>
            <w:rStyle w:val="Hyperlink"/>
          </w:rPr>
          <w:t>https://brightoncollaboration.us/wp-content/uploads/2021/03/SPEAC_D2.5.2.1_Generalised-Convulsion-Case-Definition-Companion-Guide-V1.0_format12068-1.pdf</w:t>
        </w:r>
      </w:hyperlink>
      <w:r>
        <w:t>.</w:t>
      </w:r>
    </w:p>
    <w:p w14:paraId="76C34EE7" w14:textId="6C0579BF" w:rsidR="00DF6A18" w:rsidRDefault="00DF6A18" w:rsidP="00DF6A18">
      <w:pPr>
        <w:pStyle w:val="CDINumberedList1L1"/>
        <w:ind w:left="397" w:hanging="397"/>
      </w:pPr>
      <w:r>
        <w:t>Law B, SPEAC. S</w:t>
      </w:r>
      <w:r w:rsidRPr="00DF6A18">
        <w:rPr>
          <w:i/>
          <w:iCs/>
        </w:rPr>
        <w:t>O2 – D2.5.2.1 – AESI Case Definition Companion Guide for 1st Tier AESI: Guillain Barré and Miller Fisher Syndromes</w:t>
      </w:r>
      <w:r>
        <w:t xml:space="preserve">. Basel: Brighton Collaboration, SPEAC; 9 February 2021. Available from: </w:t>
      </w:r>
      <w:hyperlink r:id="rId46" w:history="1">
        <w:r w:rsidRPr="00C03798">
          <w:rPr>
            <w:rStyle w:val="Hyperlink"/>
          </w:rPr>
          <w:t>https://brightoncollaboration.us/wp-content/uploads/2021/03/SPEAC_D2.5.2.1-GBS-Case-Definition-Companion-Guide_V1.0_format12062-1.pdf</w:t>
        </w:r>
      </w:hyperlink>
      <w:r>
        <w:t>.</w:t>
      </w:r>
    </w:p>
    <w:p w14:paraId="3DB6E68F" w14:textId="77777777" w:rsidR="00DF6A18" w:rsidRDefault="00DF6A18" w:rsidP="00DF6A18">
      <w:pPr>
        <w:pStyle w:val="CDINumberedList1L1"/>
        <w:ind w:left="397" w:hanging="397"/>
      </w:pPr>
      <w:r>
        <w:t xml:space="preserve">Law B, SPEAC. </w:t>
      </w:r>
      <w:r w:rsidRPr="00DF6A18">
        <w:rPr>
          <w:i/>
          <w:iCs/>
        </w:rPr>
        <w:t xml:space="preserve">AESI Case Definition Companion Guide: Multisystem Inflammatory Syndrome </w:t>
      </w:r>
      <w:proofErr w:type="gramStart"/>
      <w:r w:rsidRPr="00DF6A18">
        <w:rPr>
          <w:i/>
          <w:iCs/>
        </w:rPr>
        <w:t>In</w:t>
      </w:r>
      <w:proofErr w:type="gramEnd"/>
      <w:r w:rsidRPr="00DF6A18">
        <w:rPr>
          <w:i/>
          <w:iCs/>
        </w:rPr>
        <w:t xml:space="preserve"> Children and Adults (MIS-C/A)</w:t>
      </w:r>
      <w:r>
        <w:t>. Basel: Brighton Collaboration, SPEAC; 19 October 2022. Not available online.</w:t>
      </w:r>
    </w:p>
    <w:p w14:paraId="2CB7D27E" w14:textId="27411C82" w:rsidR="00DF6A18" w:rsidRDefault="00DF6A18" w:rsidP="00DF6A18">
      <w:pPr>
        <w:pStyle w:val="CDINumberedList1L1"/>
        <w:ind w:left="397" w:hanging="397"/>
      </w:pPr>
      <w:r>
        <w:t xml:space="preserve">Law B, SPEAC. </w:t>
      </w:r>
      <w:r w:rsidRPr="00DF6A18">
        <w:rPr>
          <w:i/>
          <w:iCs/>
        </w:rPr>
        <w:t>SO2 – D2.5.2.2 – AESI Case Definition Companion Guide for 2nd Tier AESI: Myocarditis and Pericarditis</w:t>
      </w:r>
      <w:r>
        <w:t xml:space="preserve">. Basel: Brighton Collaboration, SPEAC; 13 May 2022. Available from: </w:t>
      </w:r>
      <w:hyperlink r:id="rId47" w:history="1">
        <w:r w:rsidRPr="00C03798">
          <w:rPr>
            <w:rStyle w:val="Hyperlink"/>
          </w:rPr>
          <w:t>https://brightoncollaboration.us/wp-content/uploads/2022/05/SPEAC_D2.5.2.2_Myocarditis-companion-guide_codes-updated_BL_2022_May12.pdf</w:t>
        </w:r>
      </w:hyperlink>
      <w:r>
        <w:t>.</w:t>
      </w:r>
    </w:p>
    <w:p w14:paraId="2312FDBF" w14:textId="692EBA75" w:rsidR="00DF6A18" w:rsidRDefault="00DF6A18" w:rsidP="00DF6A18">
      <w:pPr>
        <w:pStyle w:val="CDINumberedList1L1"/>
        <w:ind w:left="397" w:hanging="397"/>
      </w:pPr>
      <w:r>
        <w:lastRenderedPageBreak/>
        <w:t xml:space="preserve">Law B, SPEAC. </w:t>
      </w:r>
      <w:r w:rsidRPr="00DF6A18">
        <w:rPr>
          <w:i/>
          <w:iCs/>
        </w:rPr>
        <w:t>SO2 – D2.5.2.1 – AESI Case Definition Companion Guide for 1st Tier AESI: Thrombocytopenia</w:t>
      </w:r>
      <w:r>
        <w:t xml:space="preserve">. Basel: Brighton Collaboration, SPEAC; 8 February 2021. Available from: </w:t>
      </w:r>
      <w:hyperlink r:id="rId48" w:history="1">
        <w:r w:rsidRPr="00C03798">
          <w:rPr>
            <w:rStyle w:val="Hyperlink"/>
          </w:rPr>
          <w:t>https://brightoncollaboration.us/wp-content/uploads/2021/03/SPEAC_D2.5.2.1-Thrombocytopenia-Case-Definition-Companion-Guide_V1.0_format12065-1.pdf</w:t>
        </w:r>
      </w:hyperlink>
      <w:r>
        <w:t>.</w:t>
      </w:r>
    </w:p>
    <w:p w14:paraId="2A9D574A" w14:textId="4D4E26BB" w:rsidR="00DF6A18" w:rsidRDefault="00DF6A18" w:rsidP="00DF6A18">
      <w:pPr>
        <w:pStyle w:val="CDINumberedList1L1"/>
        <w:ind w:left="397" w:hanging="397"/>
      </w:pPr>
      <w:r>
        <w:t>Law B, Villaescusa MR, SPEAC. A</w:t>
      </w:r>
      <w:r w:rsidRPr="00DF6A18">
        <w:rPr>
          <w:i/>
          <w:iCs/>
        </w:rPr>
        <w:t>ESI Case Definition Companion Guide: Thrombosis and Thromboembolism</w:t>
      </w:r>
      <w:r>
        <w:t xml:space="preserve">. Basel: Brighton Collaboration, SPEAC; 10 October 2022. Available from: </w:t>
      </w:r>
      <w:hyperlink r:id="rId49" w:history="1">
        <w:r w:rsidRPr="00C03798">
          <w:rPr>
            <w:rStyle w:val="Hyperlink"/>
          </w:rPr>
          <w:t>https://zenodo.org/records/7181081</w:t>
        </w:r>
      </w:hyperlink>
      <w:r>
        <w:t>.</w:t>
      </w:r>
    </w:p>
    <w:p w14:paraId="712A6F9F" w14:textId="357D036E" w:rsidR="00DF6A18" w:rsidRDefault="00DF6A18" w:rsidP="00DF6A18">
      <w:pPr>
        <w:pStyle w:val="CDINumberedList1L1"/>
        <w:ind w:left="397" w:hanging="397"/>
      </w:pPr>
      <w:r>
        <w:t xml:space="preserve">World Health Organization (WHO). </w:t>
      </w:r>
      <w:r w:rsidRPr="00DF6A18">
        <w:rPr>
          <w:i/>
          <w:iCs/>
        </w:rPr>
        <w:t>Global manual on surveillance of adverse events following immunization: 2016 update</w:t>
      </w:r>
      <w:r>
        <w:t xml:space="preserve">. Geneva: WHO; 31 May 2016. Available from: </w:t>
      </w:r>
      <w:hyperlink r:id="rId50" w:history="1">
        <w:r w:rsidRPr="00C03798">
          <w:rPr>
            <w:rStyle w:val="Hyperlink"/>
          </w:rPr>
          <w:t>https://www.who.int/publications/i/item/9789241507769</w:t>
        </w:r>
      </w:hyperlink>
      <w:r>
        <w:t>.</w:t>
      </w:r>
    </w:p>
    <w:p w14:paraId="04091A61" w14:textId="4AB5AA3E" w:rsidR="00DF6A18" w:rsidRDefault="00DF6A18" w:rsidP="00DF6A18">
      <w:pPr>
        <w:pStyle w:val="CDINumberedList1L1"/>
        <w:ind w:left="397" w:hanging="397"/>
      </w:pPr>
      <w:r>
        <w:t xml:space="preserve">WHO. </w:t>
      </w:r>
      <w:r w:rsidRPr="00DF6A18">
        <w:rPr>
          <w:i/>
          <w:iCs/>
        </w:rPr>
        <w:t>Causality assessment of an adverse event following immunization (AEFI): user manual for the revised WHO classification, 2nd ed., 2019 update</w:t>
      </w:r>
      <w:r>
        <w:t xml:space="preserve">. Geneva: WHO; 16 April 2021. Available from: </w:t>
      </w:r>
      <w:hyperlink r:id="rId51" w:history="1">
        <w:r w:rsidRPr="00C03798">
          <w:rPr>
            <w:rStyle w:val="Hyperlink"/>
          </w:rPr>
          <w:t>https://www.who.int/publications/i/item/9789241516990</w:t>
        </w:r>
      </w:hyperlink>
      <w:r>
        <w:t>.</w:t>
      </w:r>
    </w:p>
    <w:p w14:paraId="6C45B934" w14:textId="14DF7A6E" w:rsidR="00DF6A18" w:rsidRDefault="00DF6A18" w:rsidP="00DF6A18">
      <w:pPr>
        <w:pStyle w:val="CDINumberedList1L1"/>
        <w:ind w:left="397" w:hanging="397"/>
      </w:pPr>
      <w:r>
        <w:t xml:space="preserve">TGA. Third Australian case of thrombosis likely linked to AstraZeneca ChAdOx1-S COVID-19 vaccine. [Webpage.] Canberra: Australian Government Department of Health, Disability and Ageing, TGA; 16 April 2021. [Accessed during 2025.] Available from: </w:t>
      </w:r>
      <w:hyperlink r:id="rId52" w:history="1">
        <w:r w:rsidRPr="00C03798">
          <w:rPr>
            <w:rStyle w:val="Hyperlink"/>
          </w:rPr>
          <w:t>https://www.tga.gov.au/news/safety-alerts/third-australian-case-thrombosis-likely-linked-astrazeneca-chadox1-s-covid-19-vaccine</w:t>
        </w:r>
      </w:hyperlink>
      <w:r>
        <w:t>.</w:t>
      </w:r>
    </w:p>
    <w:p w14:paraId="49DEE20C" w14:textId="2A5A9352" w:rsidR="00DF6A18" w:rsidRDefault="00DF6A18" w:rsidP="00DF6A18">
      <w:pPr>
        <w:pStyle w:val="CDINumberedList1L1"/>
        <w:ind w:left="397" w:hanging="397"/>
      </w:pPr>
      <w:r>
        <w:t xml:space="preserve">Australian Government: Services Australia. Australian Immunisation Register. [Webpage.] Canberra: Services Australia; 2024. [Accessed during 2024.] Available from: </w:t>
      </w:r>
      <w:hyperlink r:id="rId53" w:history="1">
        <w:r w:rsidRPr="00C03798">
          <w:rPr>
            <w:rStyle w:val="Hyperlink"/>
          </w:rPr>
          <w:t>https://www.servicesaustralia.gov.au/australian-immunisation-register</w:t>
        </w:r>
      </w:hyperlink>
      <w:r>
        <w:t>.</w:t>
      </w:r>
    </w:p>
    <w:p w14:paraId="0692BE67" w14:textId="62F0C5FF" w:rsidR="00DF6A18" w:rsidRPr="00DF6A18" w:rsidRDefault="00DF6A18" w:rsidP="00DF6A18">
      <w:pPr>
        <w:pStyle w:val="CDINumberedList1L1"/>
        <w:ind w:left="397" w:hanging="397"/>
      </w:pPr>
      <w:r>
        <w:t xml:space="preserve">Australian Government Department of Health, Disability and Ageing. Mandatory reporting of National Immunisation Program vaccines to the Australian Immunisation Register began on 1 July 2021. </w:t>
      </w:r>
      <w:r w:rsidRPr="00DF6A18">
        <w:t xml:space="preserve">[Webpage.] Canberra: Australian Government Department of Health, Disability and Ageing; 8 July 2021. </w:t>
      </w:r>
      <w:r>
        <w:t xml:space="preserve">[Accessed during 2024.] Available from: </w:t>
      </w:r>
      <w:hyperlink r:id="rId54" w:history="1">
        <w:r w:rsidRPr="00C03798">
          <w:rPr>
            <w:rStyle w:val="Hyperlink"/>
          </w:rPr>
          <w:t>https://www.health.gov.au/news/mandatory-reporting-of-</w:t>
        </w:r>
        <w:r w:rsidRPr="00C03798">
          <w:rPr>
            <w:rStyle w:val="Hyperlink"/>
            <w:spacing w:val="-1"/>
          </w:rPr>
          <w:t>national-immunisation-program-vaccines-to-the-australian-immunisation-register-began-on-1-july-2021</w:t>
        </w:r>
      </w:hyperlink>
      <w:r w:rsidRPr="00DF6A18">
        <w:t>.</w:t>
      </w:r>
    </w:p>
    <w:p w14:paraId="469F394E" w14:textId="7D596D8C" w:rsidR="00DF6A18" w:rsidRDefault="00DF6A18" w:rsidP="00DF6A18">
      <w:pPr>
        <w:pStyle w:val="CDINumberedList1L1"/>
        <w:ind w:left="397" w:hanging="397"/>
      </w:pPr>
      <w:r>
        <w:t xml:space="preserve">Hull B, Hendry A, Dey A, Brotherton J, Macartney K, Beard F. Annual Immunisation Coverage Report 2022. </w:t>
      </w:r>
      <w:r w:rsidRPr="00DF6A18">
        <w:rPr>
          <w:i/>
          <w:iCs/>
        </w:rPr>
        <w:t>Commun Dis Intell (2018)</w:t>
      </w:r>
      <w:r>
        <w:t>. 2025;49. doi: </w:t>
      </w:r>
      <w:hyperlink r:id="rId55" w:history="1">
        <w:r w:rsidRPr="00C03798">
          <w:rPr>
            <w:rStyle w:val="Hyperlink"/>
          </w:rPr>
          <w:t>https://doi.org/10.33321/cdi.2025.49.023</w:t>
        </w:r>
      </w:hyperlink>
      <w:r>
        <w:t>.</w:t>
      </w:r>
    </w:p>
    <w:p w14:paraId="65662E8A" w14:textId="62BBBCBB" w:rsidR="00DF6A18" w:rsidRDefault="00DF6A18" w:rsidP="00DF6A18">
      <w:pPr>
        <w:pStyle w:val="CDINumberedList1L1"/>
        <w:ind w:left="397" w:hanging="397"/>
      </w:pPr>
      <w:r>
        <w:t xml:space="preserve">Australian Bureau of Statistics. National, state and territory population. Reference period: June 2022. [Webpage.] Canberra: Australian Bureau of Statistics; 15 December 2022. [Accessed during 2023.] Available from: </w:t>
      </w:r>
      <w:hyperlink r:id="rId56" w:history="1">
        <w:r w:rsidRPr="00C03798">
          <w:rPr>
            <w:rStyle w:val="Hyperlink"/>
          </w:rPr>
          <w:t>https://www.abs.gov.au/statistics/people/population/national-state-and-territory-population/jun-2022</w:t>
        </w:r>
      </w:hyperlink>
      <w:r>
        <w:t>.</w:t>
      </w:r>
    </w:p>
    <w:p w14:paraId="1C144FBB" w14:textId="6F1F1287" w:rsidR="00DF6A18" w:rsidRDefault="00DF6A18" w:rsidP="00DF6A18">
      <w:pPr>
        <w:pStyle w:val="CDINumberedList1L1"/>
        <w:ind w:left="397" w:hanging="397"/>
      </w:pPr>
      <w:r>
        <w:t xml:space="preserve">R Core Team. R: A Language and Environment for Statistical Computing. [Application.] Vienna: R Foundation for Statistical Computing; 2020. Available from: </w:t>
      </w:r>
      <w:hyperlink r:id="rId57" w:history="1">
        <w:r w:rsidRPr="00C03798">
          <w:rPr>
            <w:rStyle w:val="Hyperlink"/>
          </w:rPr>
          <w:t>https://www.R-project.org/</w:t>
        </w:r>
      </w:hyperlink>
      <w:r>
        <w:t>.</w:t>
      </w:r>
    </w:p>
    <w:p w14:paraId="52438C7A" w14:textId="24B5B949" w:rsidR="00DF6A18" w:rsidRDefault="00DF6A18" w:rsidP="00DF6A18">
      <w:pPr>
        <w:pStyle w:val="CDINumberedList1L1"/>
        <w:ind w:left="397" w:hanging="397"/>
      </w:pPr>
      <w:r>
        <w:t xml:space="preserve">TGA. Database of Adverse Event Notifications (DAEN). [Webpage.] Canberra: Australian Government Department of Health, Disability and Ageing, TGA; 2023. [Accessed during 2024.] Available from: </w:t>
      </w:r>
      <w:hyperlink r:id="rId58" w:history="1">
        <w:r w:rsidRPr="00C03798">
          <w:rPr>
            <w:rStyle w:val="Hyperlink"/>
          </w:rPr>
          <w:t>https://www.tga.gov.au/safety/database-adverse-event-notifications-daen</w:t>
        </w:r>
      </w:hyperlink>
      <w:r>
        <w:t>.</w:t>
      </w:r>
    </w:p>
    <w:p w14:paraId="04711278" w14:textId="04F422BC" w:rsidR="00DF6A18" w:rsidRDefault="00DF6A18" w:rsidP="00DF6A18">
      <w:pPr>
        <w:pStyle w:val="CDINumberedList1L1"/>
        <w:ind w:left="397" w:hanging="397"/>
      </w:pPr>
      <w:r>
        <w:lastRenderedPageBreak/>
        <w:t xml:space="preserve">TGA. DAEN - medicines: Information for consumers. [Webpage.] Canberra: Australian Government Department of Health, Disability and Ageing, TGA; 2023. [Accessed during 2025.] Available from: </w:t>
      </w:r>
      <w:hyperlink r:id="rId59" w:anchor="what-the-tga-does-with-information-in-the-database" w:history="1">
        <w:r w:rsidRPr="00C03798">
          <w:rPr>
            <w:rStyle w:val="Hyperlink"/>
          </w:rPr>
          <w:t>https://www.tga.gov.au/resources/resource/reference-material/daen-medicines-information-consumers#what-the-tga-does-with-information-in-the-database</w:t>
        </w:r>
      </w:hyperlink>
      <w:r>
        <w:t>.</w:t>
      </w:r>
    </w:p>
    <w:p w14:paraId="00DE3986" w14:textId="463091EF" w:rsidR="00DF6A18" w:rsidRDefault="00DF6A18" w:rsidP="00DF6A18">
      <w:pPr>
        <w:pStyle w:val="CDINumberedList1L1"/>
        <w:ind w:left="397" w:hanging="397"/>
      </w:pPr>
      <w:r>
        <w:t xml:space="preserve">Huang YA, Larter C, Hickie M, </w:t>
      </w:r>
      <w:proofErr w:type="spellStart"/>
      <w:r>
        <w:t>O’Moore</w:t>
      </w:r>
      <w:proofErr w:type="spellEnd"/>
      <w:r>
        <w:t xml:space="preserve"> M, Jones B, Deng L et al. Surveillance of adverse events following immunisation in Australia, 2022. </w:t>
      </w:r>
      <w:r w:rsidRPr="00DF6A18">
        <w:rPr>
          <w:i/>
          <w:iCs/>
        </w:rPr>
        <w:t>Commun Dis Intell (2018)</w:t>
      </w:r>
      <w:r>
        <w:t>. 2025;49. doi: </w:t>
      </w:r>
      <w:hyperlink r:id="rId60" w:history="1">
        <w:r w:rsidRPr="00C03798">
          <w:rPr>
            <w:rStyle w:val="Hyperlink"/>
          </w:rPr>
          <w:t>https://doi.org/10.33321/cdi.2025.49.043</w:t>
        </w:r>
      </w:hyperlink>
      <w:r>
        <w:t>.</w:t>
      </w:r>
    </w:p>
    <w:p w14:paraId="6851786F" w14:textId="71699FAB" w:rsidR="00DF6A18" w:rsidRDefault="00DF6A18" w:rsidP="00DF6A18">
      <w:pPr>
        <w:pStyle w:val="CDINumberedList1L1"/>
        <w:ind w:left="397" w:hanging="397"/>
      </w:pPr>
      <w:r>
        <w:t xml:space="preserve">TGA. COVID-19 vaccine weekly safety report - 23-09-2022. [Webpage.] Canberra: Australian Government Department of Health, Disability and Ageing, TGA; 23 September 2022. [Accessed during 2025.] Available from: </w:t>
      </w:r>
      <w:hyperlink r:id="rId61" w:history="1">
        <w:r w:rsidRPr="00C03798">
          <w:rPr>
            <w:rStyle w:val="Hyperlink"/>
          </w:rPr>
          <w:t>https://www.tga.gov.au/news/covid-19-vaccine-safety-reports/covid-19-vaccine-safety-report-23-09-2022</w:t>
        </w:r>
      </w:hyperlink>
      <w:r>
        <w:t>.</w:t>
      </w:r>
    </w:p>
    <w:p w14:paraId="1886215B" w14:textId="3179D290" w:rsidR="00DF6A18" w:rsidRDefault="00DF6A18" w:rsidP="00DF6A18">
      <w:pPr>
        <w:pStyle w:val="CDINumberedList1L1"/>
        <w:ind w:left="397" w:hanging="397"/>
      </w:pPr>
      <w:r>
        <w:t xml:space="preserve">TGA. COVID-19 vaccine weekly safety report - 19-05-2022. [Webpage.] Canberra: Australian Government Department of Health, Disability and Ageing, TGA; 19 May 2022. [Accessed during 2025.] Available from: </w:t>
      </w:r>
      <w:hyperlink r:id="rId62" w:history="1">
        <w:r w:rsidRPr="00C03798">
          <w:rPr>
            <w:rStyle w:val="Hyperlink"/>
          </w:rPr>
          <w:t>https://www.tga.gov.au/news/covid-19-vaccine-safety-reports/covid-19-vaccine-weekly-safety-report-19-05-2022</w:t>
        </w:r>
      </w:hyperlink>
      <w:r>
        <w:t>.</w:t>
      </w:r>
    </w:p>
    <w:p w14:paraId="6CBA55A1" w14:textId="61570117" w:rsidR="00DF6A18" w:rsidRDefault="00DF6A18" w:rsidP="00DF6A18">
      <w:pPr>
        <w:pStyle w:val="CDINumberedList1L1"/>
        <w:ind w:left="397" w:hanging="397"/>
      </w:pPr>
      <w:r>
        <w:t xml:space="preserve">Australian Institute of Health and Welfare (AIHW). COVID-19. [Webpage.] Canberra: Australian Government, AIHW; 16 July 2024. [Accessed during 2025.] Available from: </w:t>
      </w:r>
      <w:hyperlink r:id="rId63" w:history="1">
        <w:r w:rsidRPr="00C03798">
          <w:rPr>
            <w:rStyle w:val="Hyperlink"/>
          </w:rPr>
          <w:t>https://www.aihw.gov.au/reports/australias-health/covid-19</w:t>
        </w:r>
      </w:hyperlink>
      <w:r>
        <w:t>.</w:t>
      </w:r>
    </w:p>
    <w:p w14:paraId="4373FCD2" w14:textId="3935C6B0" w:rsidR="00DF6A18" w:rsidRDefault="00DF6A18" w:rsidP="00DF6A18">
      <w:pPr>
        <w:pStyle w:val="CDINumberedList1L1"/>
        <w:ind w:left="397" w:hanging="397"/>
      </w:pPr>
      <w:r>
        <w:t xml:space="preserve">Australian Government Department of Health, Disability and Ageing. ATAGI recommendations on COVID-19 vaccine use in children aged 6 months to &lt; 5 years. [Webpage.] Canberra: Australian Government Department of Health, Disability and Ageing; 3 August 2022. [Accessed during 2025.] Available from: </w:t>
      </w:r>
      <w:hyperlink r:id="rId64" w:history="1">
        <w:r w:rsidRPr="00C03798">
          <w:rPr>
            <w:rStyle w:val="Hyperlink"/>
          </w:rPr>
          <w:t>https://www.health.gov.au/news/atagi-recommendations-on-covid-19-vaccine-use-in-children-aged-6-months-to</w:t>
        </w:r>
      </w:hyperlink>
      <w:r>
        <w:t>.</w:t>
      </w:r>
    </w:p>
    <w:p w14:paraId="53B6DD87" w14:textId="22B6EA6C" w:rsidR="00DF6A18" w:rsidRDefault="00DF6A18" w:rsidP="00DF6A18">
      <w:pPr>
        <w:pStyle w:val="CDINumberedList1L1"/>
        <w:ind w:left="397" w:hanging="397"/>
      </w:pPr>
      <w:r>
        <w:t xml:space="preserve">Royal Australian and New Zealand College of Obstetricians and Gynaecologists (RANZCOG). COVID-19 vaccination in pregnant and breastfeeding women and those planning pregnancy. [Webpage.] Melbourne: RANZCOG; 10 July 2024. [Accessed during 2024.] Available from: </w:t>
      </w:r>
      <w:hyperlink r:id="rId65" w:history="1">
        <w:r w:rsidRPr="00C03798">
          <w:rPr>
            <w:rStyle w:val="Hyperlink"/>
          </w:rPr>
          <w:t>https://ranzcog.edu.au/news/covid-19-vaccination-pregnant-breastfeeding/</w:t>
        </w:r>
      </w:hyperlink>
      <w:r>
        <w:t>.</w:t>
      </w:r>
    </w:p>
    <w:p w14:paraId="295D6AB2" w14:textId="5CF3D2C5" w:rsidR="00DF6A18" w:rsidRDefault="00DF6A18" w:rsidP="00DF6A18">
      <w:pPr>
        <w:pStyle w:val="CDINumberedList1L1"/>
        <w:ind w:left="397" w:hanging="397"/>
      </w:pPr>
      <w:r>
        <w:t xml:space="preserve">Australian Government Department of Health, Disability and Ageing. </w:t>
      </w:r>
      <w:r w:rsidRPr="00DF6A18">
        <w:rPr>
          <w:i/>
          <w:iCs/>
        </w:rPr>
        <w:t>COVID-19 vaccination decision guide for women who are pregnant, breastfeeding or planning pregnancy (Version 8.8)</w:t>
      </w:r>
      <w:r>
        <w:t xml:space="preserve">. Canberra: Australian Government Department of Health, Disability and Ageing; 12 January 2024. [Accessed during 2024.] Available from: </w:t>
      </w:r>
      <w:hyperlink r:id="rId66" w:history="1">
        <w:r w:rsidRPr="00C03798">
          <w:rPr>
            <w:rStyle w:val="Hyperlink"/>
          </w:rPr>
          <w:t>https://www.health.gov.au/sites/default/files/2024-01/covid-19-vaccination-shared-decision-making-guide-for-women-who-are-pregnant-breastfeeding-or-planning-pregnancy.pdf</w:t>
        </w:r>
      </w:hyperlink>
      <w:r>
        <w:t>.</w:t>
      </w:r>
    </w:p>
    <w:p w14:paraId="7FD302A8" w14:textId="72E060BD" w:rsidR="00DF6A18" w:rsidRDefault="00DF6A18" w:rsidP="00DF6A18">
      <w:pPr>
        <w:pStyle w:val="CDINumberedList1L1"/>
        <w:ind w:left="397" w:hanging="397"/>
      </w:pPr>
      <w:r>
        <w:t xml:space="preserve">Australian Government Department of Health, Disability and Ageing, Australian Immunisation Handbook. Vaccinated pregnant women may consider a further dose during pregnancy. [Webpage.] Canberra: Australian Government Department of Health, Disability and Ageing; 22 November 2024. Available from: </w:t>
      </w:r>
      <w:hyperlink r:id="rId67" w:history="1">
        <w:r w:rsidRPr="00C03798">
          <w:rPr>
            <w:rStyle w:val="Hyperlink"/>
          </w:rPr>
          <w:t>https://immunisationhandbook.health.gov.au/recommendations/vaccinated-pregnant-women-may-consider-a-further-dose-during-pregnancy</w:t>
        </w:r>
      </w:hyperlink>
      <w:r>
        <w:t>.</w:t>
      </w:r>
    </w:p>
    <w:p w14:paraId="5D19D89F" w14:textId="1290AF3F" w:rsidR="00DF6A18" w:rsidRDefault="00DF6A18" w:rsidP="00DF6A18">
      <w:pPr>
        <w:pStyle w:val="CDINumberedList1L1"/>
        <w:ind w:left="397" w:hanging="397"/>
      </w:pPr>
      <w:r>
        <w:t xml:space="preserve">Hause AM, Baggs J, Marquez P, Myers TR, Su JR, Hugueley B et al. Safety monitoring of Pfizer-BioNTech COVID-19 vaccine booster doses among children aged 5–11 years – United States. </w:t>
      </w:r>
      <w:r w:rsidRPr="00DF6A18">
        <w:rPr>
          <w:i/>
          <w:iCs/>
        </w:rPr>
        <w:t xml:space="preserve">MMWR </w:t>
      </w:r>
      <w:proofErr w:type="spellStart"/>
      <w:r w:rsidRPr="00DF6A18">
        <w:rPr>
          <w:i/>
          <w:iCs/>
        </w:rPr>
        <w:t>Morb</w:t>
      </w:r>
      <w:proofErr w:type="spellEnd"/>
      <w:r w:rsidRPr="00DF6A18">
        <w:rPr>
          <w:i/>
          <w:iCs/>
        </w:rPr>
        <w:t xml:space="preserve"> Mortal </w:t>
      </w:r>
      <w:proofErr w:type="spellStart"/>
      <w:r w:rsidRPr="00DF6A18">
        <w:rPr>
          <w:i/>
          <w:iCs/>
        </w:rPr>
        <w:t>Wkly</w:t>
      </w:r>
      <w:proofErr w:type="spellEnd"/>
      <w:r w:rsidRPr="00DF6A18">
        <w:rPr>
          <w:i/>
          <w:iCs/>
        </w:rPr>
        <w:t xml:space="preserve"> Rep</w:t>
      </w:r>
      <w:r>
        <w:t>. 2022;71(33):1047–51. doi: </w:t>
      </w:r>
      <w:hyperlink r:id="rId68" w:history="1">
        <w:r w:rsidRPr="00C03798">
          <w:rPr>
            <w:rStyle w:val="Hyperlink"/>
          </w:rPr>
          <w:t>https://doi.org/10.15585/mmwr.mm7133a3</w:t>
        </w:r>
      </w:hyperlink>
      <w:r>
        <w:t>.</w:t>
      </w:r>
    </w:p>
    <w:p w14:paraId="439833B0" w14:textId="1930FE22" w:rsidR="00DF6A18" w:rsidRDefault="00DF6A18" w:rsidP="00DF6A18">
      <w:pPr>
        <w:pStyle w:val="CDINumberedList1L1"/>
        <w:ind w:left="397" w:hanging="397"/>
      </w:pPr>
      <w:r>
        <w:lastRenderedPageBreak/>
        <w:t xml:space="preserve">Hause AM, Shay DK, Klein NP, Abara WE, Baggs J, Cortese MM et al. Safety of COVID-19 vaccination in United States children ages 5 to 11 years. </w:t>
      </w:r>
      <w:proofErr w:type="spellStart"/>
      <w:r w:rsidRPr="00DF6A18">
        <w:rPr>
          <w:i/>
          <w:iCs/>
        </w:rPr>
        <w:t>Pediatrics</w:t>
      </w:r>
      <w:proofErr w:type="spellEnd"/>
      <w:r>
        <w:t>. 2022;150(2</w:t>
      </w:r>
      <w:proofErr w:type="gramStart"/>
      <w:r>
        <w:t>):e</w:t>
      </w:r>
      <w:proofErr w:type="gramEnd"/>
      <w:r>
        <w:t xml:space="preserve">2022057313. doi: </w:t>
      </w:r>
      <w:hyperlink r:id="rId69" w:history="1">
        <w:r w:rsidRPr="00C03798">
          <w:rPr>
            <w:rStyle w:val="Hyperlink"/>
          </w:rPr>
          <w:t>https://doi.org/10.1542/peds.2022-057313</w:t>
        </w:r>
      </w:hyperlink>
      <w:r>
        <w:t>.</w:t>
      </w:r>
    </w:p>
    <w:p w14:paraId="4103BE4E" w14:textId="3010EA8E" w:rsidR="00DF6A18" w:rsidRDefault="00DF6A18" w:rsidP="00DF6A18">
      <w:pPr>
        <w:pStyle w:val="CDINumberedList1L1"/>
        <w:ind w:left="397" w:hanging="397"/>
      </w:pPr>
      <w:proofErr w:type="spellStart"/>
      <w:r>
        <w:t>Piechotta</w:t>
      </w:r>
      <w:proofErr w:type="spellEnd"/>
      <w:r>
        <w:t xml:space="preserve"> V, Siemens W, Thielemann I, Toews M, Koch J, Vygen-Bonnet S et al. Safety and effectiveness of vaccines against COVID-19 in children aged 5–11 years: a systematic review and meta-analysis. </w:t>
      </w:r>
      <w:r w:rsidRPr="00DF6A18">
        <w:rPr>
          <w:i/>
          <w:iCs/>
        </w:rPr>
        <w:t xml:space="preserve">Lancet Child </w:t>
      </w:r>
      <w:proofErr w:type="spellStart"/>
      <w:r w:rsidRPr="00DF6A18">
        <w:rPr>
          <w:i/>
          <w:iCs/>
        </w:rPr>
        <w:t>Adolesc</w:t>
      </w:r>
      <w:proofErr w:type="spellEnd"/>
      <w:r w:rsidRPr="00DF6A18">
        <w:rPr>
          <w:i/>
          <w:iCs/>
        </w:rPr>
        <w:t xml:space="preserve"> Health</w:t>
      </w:r>
      <w:r>
        <w:t>. 2023;7(6):379–91. doi: </w:t>
      </w:r>
      <w:hyperlink r:id="rId70" w:history="1">
        <w:r w:rsidRPr="00C03798">
          <w:rPr>
            <w:rStyle w:val="Hyperlink"/>
          </w:rPr>
          <w:t>https://doi.org/10.1016/S2352-4642(23)00078-0</w:t>
        </w:r>
      </w:hyperlink>
      <w:r>
        <w:t>.</w:t>
      </w:r>
    </w:p>
    <w:p w14:paraId="47A8883B" w14:textId="239BA994" w:rsidR="00DF6A18" w:rsidRDefault="00DF6A18" w:rsidP="00DF6A18">
      <w:pPr>
        <w:pStyle w:val="CDINumberedList1L1"/>
        <w:ind w:left="397" w:hanging="397"/>
      </w:pPr>
      <w:r>
        <w:t xml:space="preserve">WHO. GACVS statement regarding COVID-19 immunization errors in children. [Webpage.] Geneva: WHO; 30 August 2022. [Accessed during 2025.] Available from: </w:t>
      </w:r>
      <w:hyperlink r:id="rId71" w:history="1">
        <w:r w:rsidRPr="00C03798">
          <w:rPr>
            <w:rStyle w:val="Hyperlink"/>
          </w:rPr>
          <w:t>https://www.who.int/news/item/30-08-2022-statement-covid-19-immunization-errors-children</w:t>
        </w:r>
      </w:hyperlink>
      <w:r>
        <w:t>.</w:t>
      </w:r>
    </w:p>
    <w:p w14:paraId="277F2DBB" w14:textId="1E53B795" w:rsidR="00DF6A18" w:rsidRDefault="00DF6A18" w:rsidP="00DF6A18">
      <w:pPr>
        <w:pStyle w:val="CDINumberedList1L1"/>
        <w:ind w:left="397" w:hanging="397"/>
      </w:pPr>
      <w:r>
        <w:t xml:space="preserve">TGA. COVID-19 vaccine weekly safety report - 10-02-2022. [Webpage.] Canberra: Australian Government Department of Health, Disability and Ageing, TGA; 10 February 2022. [Accessed during 2025.] Available from: </w:t>
      </w:r>
      <w:hyperlink r:id="rId72" w:anchor="vaccination-errors-in-children" w:history="1">
        <w:r w:rsidRPr="00C03798">
          <w:rPr>
            <w:rStyle w:val="Hyperlink"/>
          </w:rPr>
          <w:t>https://www.tga.gov.au/news/covid-19-vaccine-safety-reports/covid-19-vaccine-weekly-safety-report-10-02-2022#vaccination-errors-in-children</w:t>
        </w:r>
      </w:hyperlink>
      <w:r>
        <w:t>.</w:t>
      </w:r>
    </w:p>
    <w:p w14:paraId="550A20CB" w14:textId="5D444CB4" w:rsidR="00DF6A18" w:rsidRDefault="00DF6A18" w:rsidP="00DF6A18">
      <w:pPr>
        <w:pStyle w:val="CDINumberedList1L1"/>
        <w:ind w:left="397" w:hanging="397"/>
      </w:pPr>
      <w:r>
        <w:t xml:space="preserve">Australian Government Department of Health, Disability and Ageing. </w:t>
      </w:r>
      <w:r w:rsidRPr="00DF6A18">
        <w:rPr>
          <w:i/>
          <w:iCs/>
        </w:rPr>
        <w:t>COVID-19 vaccination (as of 1</w:t>
      </w:r>
      <w:r w:rsidRPr="00FF12BF">
        <w:rPr>
          <w:i/>
          <w:iCs/>
        </w:rPr>
        <w:t>4 Nove</w:t>
      </w:r>
      <w:r w:rsidRPr="00DF6A18">
        <w:rPr>
          <w:i/>
          <w:iCs/>
        </w:rPr>
        <w:t>mber 2024)</w:t>
      </w:r>
      <w:r>
        <w:t xml:space="preserve">. Canberra: Australian Government Department of Health, Disability and Ageing; 14 November 2024. [Accessed during 2025.] Available from: </w:t>
      </w:r>
      <w:hyperlink r:id="rId73" w:history="1">
        <w:r w:rsidRPr="00C03798">
          <w:rPr>
            <w:rStyle w:val="Hyperlink"/>
          </w:rPr>
          <w:t>https://www.health.gov.au/sites/default/files/2024-11/covid-19-vaccines-in-australia-a3-poster.pdf</w:t>
        </w:r>
      </w:hyperlink>
      <w:r>
        <w:t>.</w:t>
      </w:r>
    </w:p>
    <w:p w14:paraId="0098FEFD" w14:textId="5D700602" w:rsidR="00DF6A18" w:rsidRDefault="00DF6A18" w:rsidP="00DF6A18">
      <w:pPr>
        <w:pStyle w:val="CDINumberedList1L1"/>
        <w:ind w:left="397" w:hanging="397"/>
      </w:pPr>
      <w:r>
        <w:t xml:space="preserve">Australian Government Department of Health, Disability and Ageing, ATAGI. </w:t>
      </w:r>
      <w:r w:rsidRPr="00DF6A18">
        <w:rPr>
          <w:i/>
          <w:iCs/>
        </w:rPr>
        <w:t>ATAGI Clinical Guidance on COVID-19 Vaccine Administration Errors (Version 2.2)</w:t>
      </w:r>
      <w:r>
        <w:t xml:space="preserve">. Canberra: Australian Government Department of Health, Disability and Ageing, ATAGI; 8 August 2024. Available from: </w:t>
      </w:r>
      <w:hyperlink r:id="rId74" w:history="1">
        <w:r w:rsidRPr="00C03798">
          <w:rPr>
            <w:rStyle w:val="Hyperlink"/>
          </w:rPr>
          <w:t>https://www.health.gov.au/sites/default/files/2024-08/atagi-clinical-guidance-on-covid-19-vaccine-administration-errors.pdf</w:t>
        </w:r>
      </w:hyperlink>
      <w:r>
        <w:t>.</w:t>
      </w:r>
    </w:p>
    <w:p w14:paraId="087AF154" w14:textId="48134693" w:rsidR="00DF6A18" w:rsidRDefault="00DF6A18" w:rsidP="00DF6A18">
      <w:pPr>
        <w:pStyle w:val="CDINumberedList1L1"/>
        <w:ind w:left="397" w:hanging="397"/>
      </w:pPr>
      <w:r>
        <w:t xml:space="preserve">State Government of Western Australia Department of Health (WA Health), Communicable Disease Control Directorate. </w:t>
      </w:r>
      <w:r w:rsidRPr="00DF6A18">
        <w:rPr>
          <w:i/>
          <w:iCs/>
        </w:rPr>
        <w:t>Western Australian Vaccine Safety Surveillance – Annual Report 2022</w:t>
      </w:r>
      <w:r>
        <w:t xml:space="preserve">. Perth: WA Health; 2023. Available from: </w:t>
      </w:r>
      <w:hyperlink r:id="rId75" w:history="1">
        <w:r w:rsidRPr="00C03798">
          <w:rPr>
            <w:rStyle w:val="Hyperlink"/>
          </w:rPr>
          <w:t>https://www.health.wa.gov.au/~/media/Corp/Documents/Health-for/Immunisation/Western-Australia-Vaccine-Safety-Surveillance-Annual-Report-2022.pdf</w:t>
        </w:r>
      </w:hyperlink>
      <w:r>
        <w:t>.</w:t>
      </w:r>
    </w:p>
    <w:p w14:paraId="6F88C695" w14:textId="53C1A9C0" w:rsidR="00DF6A18" w:rsidRDefault="00DF6A18" w:rsidP="00DF6A18">
      <w:pPr>
        <w:pStyle w:val="CDINumberedList1L1"/>
        <w:ind w:left="397" w:hanging="397"/>
      </w:pPr>
      <w:r>
        <w:t xml:space="preserve">TGA. COVID-19 vaccine safety report - 29-06-2023. [Webpage.] Canberra: Australian Government Department of Health, Disability and Ageing, TGA; 29 June 2023. [Accessed during 2025.] Available from: </w:t>
      </w:r>
      <w:hyperlink r:id="rId76" w:history="1">
        <w:r w:rsidRPr="00C03798">
          <w:rPr>
            <w:rStyle w:val="Hyperlink"/>
          </w:rPr>
          <w:t>https://www.tga.gov.au/news/covid-19-vaccine-safety-reports/covid-19-vaccine-safety-report-29-06-2023</w:t>
        </w:r>
      </w:hyperlink>
      <w:r>
        <w:t>.</w:t>
      </w:r>
    </w:p>
    <w:p w14:paraId="6D3727C4" w14:textId="5D4671AD" w:rsidR="00DF6A18" w:rsidRDefault="00DF6A18" w:rsidP="00DF6A18">
      <w:pPr>
        <w:pStyle w:val="CDINumberedList1L1"/>
        <w:ind w:left="397" w:hanging="397"/>
      </w:pPr>
      <w:r>
        <w:t xml:space="preserve">Australian Bureau of Statistics. Causes of Death, Australia. Reference period: 2022. [Webpage.] Canberra: Australian Bureau of Statistics; 29 September 2023. [Accessed during 2024.] Available from: </w:t>
      </w:r>
      <w:hyperlink r:id="rId77" w:history="1">
        <w:r w:rsidRPr="00C03798">
          <w:rPr>
            <w:rStyle w:val="Hyperlink"/>
          </w:rPr>
          <w:t>https://www.abs.gov.au/statistics/health/causes-death/causes-death-australia/2022</w:t>
        </w:r>
      </w:hyperlink>
      <w:r>
        <w:t>.</w:t>
      </w:r>
    </w:p>
    <w:p w14:paraId="77FD8682" w14:textId="272E77F2" w:rsidR="00DF6A18" w:rsidRDefault="00DF6A18" w:rsidP="00DF6A18">
      <w:pPr>
        <w:pStyle w:val="CDINumberedList1L1"/>
        <w:ind w:left="397" w:hanging="397"/>
      </w:pPr>
      <w:r>
        <w:t xml:space="preserve">Australian Government Department of Health, Disability and Ageing. </w:t>
      </w:r>
      <w:r w:rsidRPr="00DF6A18">
        <w:rPr>
          <w:i/>
          <w:iCs/>
        </w:rPr>
        <w:t xml:space="preserve">Vaccine safety in Australia </w:t>
      </w:r>
      <w:proofErr w:type="spellStart"/>
      <w:r w:rsidRPr="00DF6A18">
        <w:rPr>
          <w:i/>
          <w:iCs/>
        </w:rPr>
        <w:t>AusVaxSafety</w:t>
      </w:r>
      <w:proofErr w:type="spellEnd"/>
      <w:r w:rsidRPr="00DF6A18">
        <w:rPr>
          <w:i/>
          <w:iCs/>
        </w:rPr>
        <w:t xml:space="preserve"> – Summary report 2022</w:t>
      </w:r>
      <w:r>
        <w:t xml:space="preserve">. Canberra: Australian Government Department of Health, Disability and Ageing; 23 February 2024. Available from: </w:t>
      </w:r>
      <w:hyperlink r:id="rId78" w:history="1">
        <w:r w:rsidRPr="00C03798">
          <w:rPr>
            <w:rStyle w:val="Hyperlink"/>
          </w:rPr>
          <w:t>https://www.health.gov.au/resources/publications/vaccine-safety-in-australia-ausvaxsafety-summary-report-2022</w:t>
        </w:r>
      </w:hyperlink>
      <w:r>
        <w:t>.</w:t>
      </w:r>
    </w:p>
    <w:p w14:paraId="541E1041" w14:textId="6ACE2AE3" w:rsidR="00DF6A18" w:rsidRDefault="00DF6A18" w:rsidP="00DF6A18">
      <w:pPr>
        <w:pStyle w:val="CDINumberedList1L1"/>
        <w:ind w:left="397" w:hanging="397"/>
      </w:pPr>
      <w:r>
        <w:lastRenderedPageBreak/>
        <w:t xml:space="preserve">Reynolds R, Tay E, Dymock M, Deng L, Glover C, Lopez LK et al. Short-term active safety surveillance of the Spikevax and Nuvaxovid priming doses in Australia. </w:t>
      </w:r>
      <w:r w:rsidRPr="00DF6A18">
        <w:rPr>
          <w:i/>
          <w:iCs/>
        </w:rPr>
        <w:t>Vaccines</w:t>
      </w:r>
      <w:r>
        <w:t xml:space="preserve">. 2024;12(9):971. doi: </w:t>
      </w:r>
      <w:hyperlink r:id="rId79" w:history="1">
        <w:r w:rsidRPr="00C03798">
          <w:rPr>
            <w:rStyle w:val="Hyperlink"/>
          </w:rPr>
          <w:t>https://doi.org/10.3390/vaccines12090971</w:t>
        </w:r>
      </w:hyperlink>
      <w:r>
        <w:t>.</w:t>
      </w:r>
    </w:p>
    <w:p w14:paraId="20625E2A" w14:textId="0F409937" w:rsidR="00DF6A18" w:rsidRDefault="00DF6A18" w:rsidP="00DF6A18">
      <w:pPr>
        <w:pStyle w:val="CDINumberedList1L1"/>
        <w:ind w:left="397" w:hanging="397"/>
      </w:pPr>
      <w:r>
        <w:t xml:space="preserve">Shimabukuro T, Nguyen M, Martin D, DeStefano F. Safety monitoring in the Vaccine Adverse Event Reporting System (VAERS). </w:t>
      </w:r>
      <w:r w:rsidRPr="00DF6A18">
        <w:rPr>
          <w:i/>
          <w:iCs/>
        </w:rPr>
        <w:t>Vaccine</w:t>
      </w:r>
      <w:r>
        <w:t>. 2015;33(36):4398–405. doi: </w:t>
      </w:r>
      <w:hyperlink r:id="rId80" w:history="1">
        <w:r w:rsidRPr="00C03798">
          <w:rPr>
            <w:rStyle w:val="Hyperlink"/>
          </w:rPr>
          <w:t>https://doi.org/10.1016/j.vaccine.2015.07.035</w:t>
        </w:r>
      </w:hyperlink>
      <w:r>
        <w:t>.</w:t>
      </w:r>
    </w:p>
    <w:p w14:paraId="4695CC02" w14:textId="074825AD" w:rsidR="0058264F" w:rsidRPr="001E3ECB" w:rsidRDefault="00DF6A18" w:rsidP="00DF6A18">
      <w:pPr>
        <w:pStyle w:val="CDINumberedList1L1"/>
        <w:ind w:left="397" w:hanging="397"/>
      </w:pPr>
      <w:r>
        <w:t xml:space="preserve">Tuckerman J, Blyth CC, Beard FH, </w:t>
      </w:r>
      <w:proofErr w:type="spellStart"/>
      <w:r>
        <w:t>Danchin</w:t>
      </w:r>
      <w:proofErr w:type="spellEnd"/>
      <w:r>
        <w:t xml:space="preserve"> MH. COVID-19 and changes in the National Immunisation Program: a unique opportunity to optimise the Australian Immunisation Register (AIR). </w:t>
      </w:r>
      <w:r w:rsidRPr="00DF6A18">
        <w:rPr>
          <w:i/>
          <w:iCs/>
        </w:rPr>
        <w:t>Med J Aust</w:t>
      </w:r>
      <w:r>
        <w:t xml:space="preserve">. 2021;214(6):247–9. doi: </w:t>
      </w:r>
      <w:hyperlink r:id="rId81" w:history="1">
        <w:r w:rsidRPr="00C03798">
          <w:rPr>
            <w:rStyle w:val="Hyperlink"/>
          </w:rPr>
          <w:t>https://doi.org/10.5694/mja2.50971</w:t>
        </w:r>
      </w:hyperlink>
      <w:r>
        <w:t>.</w:t>
      </w:r>
    </w:p>
    <w:p w14:paraId="7BC04D34" w14:textId="77777777" w:rsidR="004973B4" w:rsidRDefault="004973B4" w:rsidP="004973B4">
      <w:pPr>
        <w:pStyle w:val="Heading1-nospacebefore"/>
      </w:pPr>
      <w:bookmarkStart w:id="56" w:name="_Toc215578722"/>
      <w:r>
        <w:lastRenderedPageBreak/>
        <w:t>Appendix A</w:t>
      </w:r>
      <w:bookmarkEnd w:id="56"/>
    </w:p>
    <w:p w14:paraId="5FECD69E" w14:textId="77777777" w:rsidR="00B96E5E" w:rsidRPr="00B96E5E" w:rsidRDefault="00B96E5E" w:rsidP="00B96E5E">
      <w:pPr>
        <w:pStyle w:val="CDITable-Title"/>
        <w:spacing w:before="240"/>
        <w:rPr>
          <w:vertAlign w:val="superscript"/>
          <w:lang w:val="en-GB"/>
        </w:rPr>
      </w:pPr>
      <w:bookmarkStart w:id="57" w:name="_Toc215578752"/>
      <w:r w:rsidRPr="00B96E5E">
        <w:rPr>
          <w:lang w:val="en-GB"/>
        </w:rPr>
        <w:t>Table A.1: Changes in COVID-19 immunisation policy and program in 2022</w:t>
      </w:r>
      <w:r w:rsidRPr="00B96E5E">
        <w:rPr>
          <w:vertAlign w:val="superscript"/>
          <w:lang w:val="en-GB"/>
        </w:rPr>
        <w:t>2</w:t>
      </w:r>
      <w:bookmarkEnd w:id="57"/>
    </w:p>
    <w:tbl>
      <w:tblPr>
        <w:tblW w:w="0" w:type="auto"/>
        <w:tblLayout w:type="fixed"/>
        <w:tblCellMar>
          <w:left w:w="0" w:type="dxa"/>
          <w:right w:w="0" w:type="dxa"/>
        </w:tblCellMar>
        <w:tblLook w:val="0000" w:firstRow="0" w:lastRow="0" w:firstColumn="0" w:lastColumn="0" w:noHBand="0" w:noVBand="0"/>
        <w:tblCaption w:val="Table A.1: Changes in COVID-19 immunisation policy and program in 2022"/>
        <w:tblDescription w:val="Table A.1 describes significant events relating to the COVID-19 immunisation program in Australia in 2022. These events include the introduction of new vaccines the expansion of vaccine eligibility to new age groups, and the recommendation of booster doses."/>
      </w:tblPr>
      <w:tblGrid>
        <w:gridCol w:w="1417"/>
        <w:gridCol w:w="8221"/>
      </w:tblGrid>
      <w:tr w:rsidR="00B96E5E" w:rsidRPr="00B96E5E" w14:paraId="7F2E39F6" w14:textId="77777777" w:rsidTr="00B96E5E">
        <w:trPr>
          <w:trHeight w:val="60"/>
          <w:tblHeader/>
        </w:trPr>
        <w:tc>
          <w:tcPr>
            <w:tcW w:w="1417" w:type="dxa"/>
            <w:shd w:val="clear" w:color="auto" w:fill="1E4496" w:themeFill="text2"/>
            <w:tcMar>
              <w:top w:w="113" w:type="dxa"/>
              <w:left w:w="113" w:type="dxa"/>
              <w:bottom w:w="113" w:type="dxa"/>
              <w:right w:w="113" w:type="dxa"/>
            </w:tcMar>
            <w:vAlign w:val="bottom"/>
          </w:tcPr>
          <w:p w14:paraId="791F37F3" w14:textId="77777777" w:rsidR="00B96E5E" w:rsidRPr="00B96E5E" w:rsidRDefault="00B96E5E" w:rsidP="00B96E5E">
            <w:pPr>
              <w:pStyle w:val="CDITable-HeaderRowLeft"/>
            </w:pPr>
            <w:r w:rsidRPr="00B96E5E">
              <w:t>Month</w:t>
            </w:r>
          </w:p>
        </w:tc>
        <w:tc>
          <w:tcPr>
            <w:tcW w:w="8221" w:type="dxa"/>
            <w:shd w:val="clear" w:color="auto" w:fill="1E4496" w:themeFill="text2"/>
            <w:tcMar>
              <w:top w:w="113" w:type="dxa"/>
              <w:left w:w="113" w:type="dxa"/>
              <w:bottom w:w="113" w:type="dxa"/>
              <w:right w:w="113" w:type="dxa"/>
            </w:tcMar>
            <w:vAlign w:val="bottom"/>
          </w:tcPr>
          <w:p w14:paraId="3DB26089" w14:textId="77777777" w:rsidR="00B96E5E" w:rsidRPr="00B96E5E" w:rsidRDefault="00B96E5E" w:rsidP="00B96E5E">
            <w:pPr>
              <w:pStyle w:val="CDITable-HeaderRowLeft"/>
            </w:pPr>
            <w:r w:rsidRPr="00B96E5E">
              <w:t>Change</w:t>
            </w:r>
          </w:p>
        </w:tc>
      </w:tr>
      <w:tr w:rsidR="00B96E5E" w:rsidRPr="00B96E5E" w14:paraId="08826EF8" w14:textId="77777777" w:rsidTr="00B96E5E">
        <w:trPr>
          <w:trHeight w:val="60"/>
        </w:trPr>
        <w:tc>
          <w:tcPr>
            <w:tcW w:w="1417"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B729C89" w14:textId="77777777" w:rsidR="00B96E5E" w:rsidRPr="00B96E5E" w:rsidRDefault="00B96E5E" w:rsidP="00B96E5E">
            <w:pPr>
              <w:pStyle w:val="CDITable-RowLeft"/>
              <w:rPr>
                <w:b/>
                <w:bCs/>
              </w:rPr>
            </w:pPr>
            <w:r w:rsidRPr="00B96E5E">
              <w:rPr>
                <w:b/>
                <w:bCs/>
              </w:rPr>
              <w:t xml:space="preserve">January </w:t>
            </w:r>
          </w:p>
        </w:tc>
        <w:tc>
          <w:tcPr>
            <w:tcW w:w="8221" w:type="dxa"/>
            <w:tcBorders>
              <w:bottom w:val="single" w:sz="6" w:space="0" w:color="1E4496" w:themeColor="text2"/>
            </w:tcBorders>
            <w:tcMar>
              <w:top w:w="113" w:type="dxa"/>
              <w:left w:w="113" w:type="dxa"/>
              <w:bottom w:w="113" w:type="dxa"/>
              <w:right w:w="113" w:type="dxa"/>
            </w:tcMar>
            <w:vAlign w:val="center"/>
          </w:tcPr>
          <w:p w14:paraId="66EC0B82" w14:textId="77777777" w:rsidR="00B96E5E" w:rsidRPr="00B96E5E" w:rsidRDefault="00B96E5E" w:rsidP="00B96E5E">
            <w:pPr>
              <w:pStyle w:val="CDITable-RowLeft"/>
            </w:pPr>
            <w:r w:rsidRPr="00B96E5E">
              <w:t>Nuvaxovid approved as primary dose for individuals ≥ 18 years by TGA</w:t>
            </w:r>
          </w:p>
        </w:tc>
      </w:tr>
      <w:tr w:rsidR="00B96E5E" w:rsidRPr="00B96E5E" w14:paraId="086DA0BB"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0EE7D36C"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699F8" w14:textId="77777777" w:rsidR="00B96E5E" w:rsidRPr="00B96E5E" w:rsidRDefault="00B96E5E" w:rsidP="00B96E5E">
            <w:pPr>
              <w:pStyle w:val="CDITable-RowLeft"/>
            </w:pPr>
            <w:r w:rsidRPr="00B96E5E">
              <w:t>Comirnaty approved as booster dose for individuals 16–17 years by TGA</w:t>
            </w:r>
          </w:p>
        </w:tc>
      </w:tr>
      <w:tr w:rsidR="00B96E5E" w:rsidRPr="00B96E5E" w14:paraId="260FEF66"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70BBCD1E"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B8F806" w14:textId="77777777" w:rsidR="00B96E5E" w:rsidRPr="00B96E5E" w:rsidRDefault="00B96E5E" w:rsidP="00B96E5E">
            <w:pPr>
              <w:pStyle w:val="CDITable-RowLeft"/>
            </w:pPr>
            <w:r w:rsidRPr="00B96E5E">
              <w:t>COVID–19 vaccination commences for children 5–11 years</w:t>
            </w:r>
          </w:p>
        </w:tc>
      </w:tr>
      <w:tr w:rsidR="00B96E5E" w:rsidRPr="00B96E5E" w14:paraId="30A784DA" w14:textId="77777777" w:rsidTr="00B96E5E">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5FE137" w14:textId="77777777" w:rsidR="00B96E5E" w:rsidRPr="00B96E5E" w:rsidRDefault="00B96E5E" w:rsidP="00B96E5E">
            <w:pPr>
              <w:pStyle w:val="CDITable-RowLeft"/>
              <w:rPr>
                <w:b/>
                <w:bCs/>
              </w:rPr>
            </w:pPr>
            <w:r w:rsidRPr="00B96E5E">
              <w:rPr>
                <w:b/>
                <w:bCs/>
              </w:rPr>
              <w:t xml:space="preserve">February </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FC78F" w14:textId="77777777" w:rsidR="00B96E5E" w:rsidRPr="00B96E5E" w:rsidRDefault="00B96E5E" w:rsidP="00B96E5E">
            <w:pPr>
              <w:pStyle w:val="CDITable-RowLeft"/>
            </w:pPr>
            <w:r w:rsidRPr="00B96E5E">
              <w:t>ATAGI recommends booster dose for individuals aged 16–17 years</w:t>
            </w:r>
          </w:p>
        </w:tc>
      </w:tr>
      <w:tr w:rsidR="00B96E5E" w:rsidRPr="00B96E5E" w14:paraId="432CA3D5"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25A0791C"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2FFD1" w14:textId="77777777" w:rsidR="00B96E5E" w:rsidRPr="00B96E5E" w:rsidRDefault="00B96E5E" w:rsidP="00B96E5E">
            <w:pPr>
              <w:pStyle w:val="CDITable-RowLeft"/>
            </w:pPr>
            <w:r w:rsidRPr="00B96E5E">
              <w:t>Spikevax approved as primary dose for individuals ≥ 6 years by TGA</w:t>
            </w:r>
          </w:p>
        </w:tc>
      </w:tr>
      <w:tr w:rsidR="00B96E5E" w:rsidRPr="00B96E5E" w14:paraId="6152E13E"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2295F0FB"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A9569" w14:textId="77777777" w:rsidR="00B96E5E" w:rsidRPr="00B96E5E" w:rsidRDefault="00B96E5E" w:rsidP="00B96E5E">
            <w:pPr>
              <w:pStyle w:val="CDITable-RowLeft"/>
            </w:pPr>
            <w:r w:rsidRPr="00B96E5E">
              <w:t>Vaxzevria approved as booster dose for individuals ≥ 18 years by TGA</w:t>
            </w:r>
          </w:p>
        </w:tc>
      </w:tr>
      <w:tr w:rsidR="00B96E5E" w:rsidRPr="00B96E5E" w14:paraId="2FDACAC6" w14:textId="77777777" w:rsidTr="00B96E5E">
        <w:trPr>
          <w:trHeight w:val="60"/>
        </w:trPr>
        <w:tc>
          <w:tcPr>
            <w:tcW w:w="141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97EA5B" w14:textId="77777777" w:rsidR="00B96E5E" w:rsidRPr="00B96E5E" w:rsidRDefault="00B96E5E" w:rsidP="00B96E5E">
            <w:pPr>
              <w:pStyle w:val="CDITable-RowLeft"/>
              <w:rPr>
                <w:b/>
                <w:bCs/>
              </w:rPr>
            </w:pPr>
            <w:r w:rsidRPr="00B96E5E">
              <w:rPr>
                <w:b/>
                <w:bCs/>
              </w:rPr>
              <w:t xml:space="preserve">March </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066EF0" w14:textId="77777777" w:rsidR="00B96E5E" w:rsidRPr="00B96E5E" w:rsidRDefault="00B96E5E" w:rsidP="00B96E5E">
            <w:pPr>
              <w:pStyle w:val="CDITable-RowLeft"/>
            </w:pPr>
            <w:r w:rsidRPr="00B96E5E">
              <w:t>ATAGI recommends a second booster dose for specific population groups ≥ 18 years</w:t>
            </w:r>
          </w:p>
        </w:tc>
      </w:tr>
      <w:tr w:rsidR="00B96E5E" w:rsidRPr="00B96E5E" w14:paraId="349D40F3" w14:textId="77777777" w:rsidTr="00B96E5E">
        <w:trPr>
          <w:trHeight w:val="60"/>
        </w:trPr>
        <w:tc>
          <w:tcPr>
            <w:tcW w:w="141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A1E2BF" w14:textId="77777777" w:rsidR="00B96E5E" w:rsidRPr="00B96E5E" w:rsidRDefault="00B96E5E" w:rsidP="00B96E5E">
            <w:pPr>
              <w:pStyle w:val="CDITable-RowLeft"/>
              <w:rPr>
                <w:b/>
                <w:bCs/>
              </w:rPr>
            </w:pPr>
            <w:r w:rsidRPr="00B96E5E">
              <w:rPr>
                <w:b/>
                <w:bCs/>
              </w:rPr>
              <w:t>April</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4AAE8" w14:textId="77777777" w:rsidR="00B96E5E" w:rsidRPr="00B96E5E" w:rsidRDefault="00B96E5E" w:rsidP="00B96E5E">
            <w:pPr>
              <w:pStyle w:val="CDITable-RowLeft"/>
            </w:pPr>
            <w:r w:rsidRPr="00B96E5E">
              <w:t>Comirnaty approved as booster dose for individuals 12–15 years by TGA</w:t>
            </w:r>
          </w:p>
        </w:tc>
      </w:tr>
      <w:tr w:rsidR="00B96E5E" w:rsidRPr="00B96E5E" w14:paraId="21E2FFDB" w14:textId="77777777" w:rsidTr="00B96E5E">
        <w:trPr>
          <w:trHeight w:val="60"/>
        </w:trPr>
        <w:tc>
          <w:tcPr>
            <w:tcW w:w="141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FD18CBD" w14:textId="77777777" w:rsidR="00B96E5E" w:rsidRPr="00B96E5E" w:rsidRDefault="00B96E5E" w:rsidP="00B96E5E">
            <w:pPr>
              <w:pStyle w:val="CDITable-RowLeft"/>
              <w:rPr>
                <w:b/>
                <w:bCs/>
              </w:rPr>
            </w:pPr>
            <w:r w:rsidRPr="00B96E5E">
              <w:rPr>
                <w:b/>
                <w:bCs/>
              </w:rPr>
              <w:t>May</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0D5B2" w14:textId="77777777" w:rsidR="00B96E5E" w:rsidRPr="00B96E5E" w:rsidRDefault="00B96E5E" w:rsidP="00B96E5E">
            <w:pPr>
              <w:pStyle w:val="CDITable-RowLeft"/>
            </w:pPr>
            <w:r w:rsidRPr="00B96E5E">
              <w:t xml:space="preserve">ATAGI expands population groups recommended to receive a second booster dose </w:t>
            </w:r>
          </w:p>
        </w:tc>
      </w:tr>
      <w:tr w:rsidR="00B96E5E" w:rsidRPr="00B96E5E" w14:paraId="4FAD5B05" w14:textId="77777777" w:rsidTr="00B96E5E">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7E4782" w14:textId="77777777" w:rsidR="00B96E5E" w:rsidRPr="00B96E5E" w:rsidRDefault="00B96E5E" w:rsidP="00B96E5E">
            <w:pPr>
              <w:pStyle w:val="CDITable-RowLeft"/>
              <w:rPr>
                <w:b/>
                <w:bCs/>
              </w:rPr>
            </w:pPr>
            <w:r w:rsidRPr="00B96E5E">
              <w:rPr>
                <w:b/>
                <w:bCs/>
              </w:rPr>
              <w:t>June</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9FCA0" w14:textId="77777777" w:rsidR="00B96E5E" w:rsidRPr="00B96E5E" w:rsidRDefault="00B96E5E" w:rsidP="00B96E5E">
            <w:pPr>
              <w:pStyle w:val="CDITable-RowLeft"/>
            </w:pPr>
            <w:r w:rsidRPr="00B96E5E">
              <w:t>Nuvaxovid approved as booster dose for individuals ≥ 18 years by TGA</w:t>
            </w:r>
          </w:p>
        </w:tc>
      </w:tr>
      <w:tr w:rsidR="00B96E5E" w:rsidRPr="00B96E5E" w14:paraId="2A71660B"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4889A0F0"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FF406" w14:textId="77777777" w:rsidR="00B96E5E" w:rsidRPr="00B96E5E" w:rsidRDefault="00B96E5E" w:rsidP="00B96E5E">
            <w:pPr>
              <w:pStyle w:val="CDITable-RowLeft"/>
            </w:pPr>
            <w:r w:rsidRPr="00B96E5E">
              <w:t>ATAGI recommends booster dose for individuals aged 12–15 years in high–risk groups</w:t>
            </w:r>
          </w:p>
        </w:tc>
      </w:tr>
      <w:tr w:rsidR="00B96E5E" w:rsidRPr="00B96E5E" w14:paraId="45B38D2C" w14:textId="77777777" w:rsidTr="00B96E5E">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6481FF" w14:textId="77777777" w:rsidR="00B96E5E" w:rsidRPr="00B96E5E" w:rsidRDefault="00B96E5E" w:rsidP="00B96E5E">
            <w:pPr>
              <w:pStyle w:val="CDITable-RowLeft"/>
              <w:rPr>
                <w:b/>
                <w:bCs/>
              </w:rPr>
            </w:pPr>
            <w:r w:rsidRPr="00B96E5E">
              <w:rPr>
                <w:b/>
                <w:bCs/>
              </w:rPr>
              <w:t>July</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DBF0D9" w14:textId="77777777" w:rsidR="00B96E5E" w:rsidRPr="00B96E5E" w:rsidRDefault="00B96E5E" w:rsidP="00B96E5E">
            <w:pPr>
              <w:pStyle w:val="CDITable-RowLeft"/>
            </w:pPr>
            <w:r w:rsidRPr="00B96E5E">
              <w:t>Nuvaxovid approved as booster dose for individuals ≥ 12 years by TGA</w:t>
            </w:r>
          </w:p>
        </w:tc>
      </w:tr>
      <w:tr w:rsidR="00B96E5E" w:rsidRPr="00B96E5E" w14:paraId="5FF320E7"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143BB0BF"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8481B" w14:textId="77777777" w:rsidR="00B96E5E" w:rsidRPr="00B96E5E" w:rsidRDefault="00B96E5E" w:rsidP="00B96E5E">
            <w:pPr>
              <w:pStyle w:val="CDITable-RowLeft"/>
            </w:pPr>
            <w:r w:rsidRPr="00B96E5E">
              <w:t>Spikevax approved as primary dose for individuals ≥ 6 months by TGA</w:t>
            </w:r>
          </w:p>
        </w:tc>
      </w:tr>
      <w:tr w:rsidR="00B96E5E" w:rsidRPr="00B96E5E" w14:paraId="7004B3F3"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0D4229BE"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8201C" w14:textId="77777777" w:rsidR="00B96E5E" w:rsidRPr="00B96E5E" w:rsidRDefault="00B96E5E" w:rsidP="00B96E5E">
            <w:pPr>
              <w:pStyle w:val="CDITable-RowLeft"/>
            </w:pPr>
            <w:r w:rsidRPr="00B96E5E">
              <w:t>ATAGI recommends a second booster dose for individuals ≥ 50 years; individuals 30–49 years can also receive a second booster dose</w:t>
            </w:r>
          </w:p>
        </w:tc>
      </w:tr>
      <w:tr w:rsidR="00B96E5E" w:rsidRPr="00B96E5E" w14:paraId="74B92539" w14:textId="77777777" w:rsidTr="00B96E5E">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F78730D" w14:textId="77777777" w:rsidR="00B96E5E" w:rsidRPr="00B96E5E" w:rsidRDefault="00B96E5E" w:rsidP="00B96E5E">
            <w:pPr>
              <w:pStyle w:val="CDITable-RowLeft"/>
              <w:rPr>
                <w:b/>
                <w:bCs/>
              </w:rPr>
            </w:pPr>
            <w:r w:rsidRPr="00B96E5E">
              <w:rPr>
                <w:b/>
                <w:bCs/>
              </w:rPr>
              <w:t>August</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E2AAA4" w14:textId="77777777" w:rsidR="00B96E5E" w:rsidRPr="00B96E5E" w:rsidRDefault="00B96E5E" w:rsidP="00B96E5E">
            <w:pPr>
              <w:pStyle w:val="CDITable-RowLeft"/>
            </w:pPr>
            <w:r w:rsidRPr="00B96E5E">
              <w:t>Nuvaxovid approved as primary dose for individuals 12–17 years by TGA</w:t>
            </w:r>
          </w:p>
        </w:tc>
      </w:tr>
      <w:tr w:rsidR="00B96E5E" w:rsidRPr="00B96E5E" w14:paraId="2382E4EF"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7DD5FF21" w14:textId="77777777" w:rsidR="00B96E5E" w:rsidRPr="00B96E5E" w:rsidRDefault="00B96E5E" w:rsidP="00B96E5E">
            <w:pPr>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985E8" w14:textId="77777777" w:rsidR="00B96E5E" w:rsidRPr="00B96E5E" w:rsidRDefault="00B96E5E" w:rsidP="00B96E5E">
            <w:pPr>
              <w:pStyle w:val="CDITable-RowLeft"/>
            </w:pPr>
            <w:r w:rsidRPr="00B96E5E">
              <w:t>Spikevax bivalent (Original/Omicron BA.1) approved as booster dose for individuals ≥ 18 years by TGA</w:t>
            </w:r>
          </w:p>
        </w:tc>
      </w:tr>
      <w:tr w:rsidR="00B96E5E" w:rsidRPr="00B96E5E" w14:paraId="1C8E83B5" w14:textId="77777777" w:rsidTr="00B96E5E">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955B85" w14:textId="77777777" w:rsidR="00B96E5E" w:rsidRPr="00B96E5E" w:rsidRDefault="00B96E5E" w:rsidP="00B96E5E">
            <w:pPr>
              <w:pStyle w:val="CDITable-RowLeft"/>
              <w:rPr>
                <w:b/>
                <w:bCs/>
              </w:rPr>
            </w:pPr>
            <w:r w:rsidRPr="00B96E5E">
              <w:rPr>
                <w:b/>
                <w:bCs/>
              </w:rPr>
              <w:t>September</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4EE15" w14:textId="77777777" w:rsidR="00B96E5E" w:rsidRPr="00B96E5E" w:rsidRDefault="00B96E5E" w:rsidP="00B96E5E">
            <w:pPr>
              <w:pStyle w:val="CDITable-RowLeft"/>
            </w:pPr>
            <w:r w:rsidRPr="00B96E5E">
              <w:t>Comirnaty approved as booster dose for individuals 5–11 years by TGA</w:t>
            </w:r>
          </w:p>
        </w:tc>
      </w:tr>
      <w:tr w:rsidR="00B96E5E" w:rsidRPr="00B96E5E" w14:paraId="1546CD79"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225F75B2"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32F752" w14:textId="77777777" w:rsidR="00B96E5E" w:rsidRPr="00B96E5E" w:rsidRDefault="00B96E5E" w:rsidP="00B96E5E">
            <w:pPr>
              <w:pStyle w:val="CDITable-RowLeft"/>
            </w:pPr>
            <w:r w:rsidRPr="00B96E5E">
              <w:t>Comirnaty approved as primary dose for individuals ≥ 6 months by TGA</w:t>
            </w:r>
          </w:p>
        </w:tc>
      </w:tr>
      <w:tr w:rsidR="00B96E5E" w:rsidRPr="00B96E5E" w14:paraId="35EC9E50" w14:textId="77777777" w:rsidTr="00B96E5E">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84555C6" w14:textId="77777777" w:rsidR="00B96E5E" w:rsidRPr="00B96E5E" w:rsidRDefault="00B96E5E" w:rsidP="00B96E5E">
            <w:pPr>
              <w:pStyle w:val="CDITable-RowLeft"/>
              <w:rPr>
                <w:b/>
                <w:bCs/>
              </w:rPr>
            </w:pPr>
            <w:r w:rsidRPr="00B96E5E">
              <w:rPr>
                <w:b/>
                <w:bCs/>
              </w:rPr>
              <w:t>October</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87D52" w14:textId="77777777" w:rsidR="00B96E5E" w:rsidRPr="00B96E5E" w:rsidRDefault="00B96E5E" w:rsidP="00B96E5E">
            <w:pPr>
              <w:pStyle w:val="CDITable-RowLeft"/>
            </w:pPr>
            <w:r w:rsidRPr="00B96E5E">
              <w:t>Spikevax approved as booster dose for individuals ≥ 12 years by TGA</w:t>
            </w:r>
          </w:p>
        </w:tc>
      </w:tr>
      <w:tr w:rsidR="00B96E5E" w:rsidRPr="00B96E5E" w14:paraId="1EFD1C7E"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51822FB7"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D525B" w14:textId="77777777" w:rsidR="00B96E5E" w:rsidRPr="00B96E5E" w:rsidRDefault="00B96E5E" w:rsidP="00B96E5E">
            <w:pPr>
              <w:pStyle w:val="CDITable-RowLeft"/>
            </w:pPr>
            <w:r w:rsidRPr="00B96E5E">
              <w:t>ATAGI recommends booster dose for individuals aged 5–11 years in high–risk groups</w:t>
            </w:r>
          </w:p>
        </w:tc>
      </w:tr>
      <w:tr w:rsidR="00B96E5E" w:rsidRPr="00B96E5E" w14:paraId="3D5BFB67" w14:textId="77777777" w:rsidTr="00B96E5E">
        <w:trPr>
          <w:trHeight w:val="60"/>
        </w:trPr>
        <w:tc>
          <w:tcPr>
            <w:tcW w:w="1417" w:type="dxa"/>
            <w:vMerge/>
            <w:tcBorders>
              <w:bottom w:val="single" w:sz="6" w:space="0" w:color="1E4496" w:themeColor="text2"/>
            </w:tcBorders>
            <w:shd w:val="clear" w:color="auto" w:fill="DCF4FC" w:themeFill="background2" w:themeFillTint="33"/>
          </w:tcPr>
          <w:p w14:paraId="6F3AC06C" w14:textId="77777777" w:rsidR="00B96E5E" w:rsidRPr="00B96E5E" w:rsidRDefault="00B96E5E" w:rsidP="00B96E5E">
            <w:pPr>
              <w:pStyle w:val="CDITable-RowLeft"/>
              <w:rPr>
                <w:b/>
                <w:bCs/>
              </w:rPr>
            </w:pP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F4E758" w14:textId="77777777" w:rsidR="00B96E5E" w:rsidRPr="00B96E5E" w:rsidRDefault="00B96E5E" w:rsidP="00B96E5E">
            <w:pPr>
              <w:pStyle w:val="CDITable-RowLeft"/>
            </w:pPr>
            <w:r w:rsidRPr="00B96E5E">
              <w:t>Comirnaty bivalent (Original/Omicron BA.1) approved as booster dose for individuals ≥ 18 years by TGA</w:t>
            </w:r>
          </w:p>
        </w:tc>
      </w:tr>
      <w:tr w:rsidR="00B96E5E" w:rsidRPr="00B96E5E" w14:paraId="7D134D7C" w14:textId="77777777" w:rsidTr="00B96E5E">
        <w:trPr>
          <w:trHeight w:val="60"/>
        </w:trPr>
        <w:tc>
          <w:tcPr>
            <w:tcW w:w="141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CC86F7E" w14:textId="77777777" w:rsidR="00B96E5E" w:rsidRPr="00B96E5E" w:rsidRDefault="00B96E5E" w:rsidP="00B96E5E">
            <w:pPr>
              <w:pStyle w:val="CDITable-RowLeft"/>
              <w:rPr>
                <w:b/>
                <w:bCs/>
              </w:rPr>
            </w:pPr>
            <w:r w:rsidRPr="00B96E5E">
              <w:rPr>
                <w:b/>
                <w:bCs/>
              </w:rPr>
              <w:t>November</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9FCC9" w14:textId="77777777" w:rsidR="00B96E5E" w:rsidRPr="00B96E5E" w:rsidRDefault="00B96E5E" w:rsidP="00B96E5E">
            <w:pPr>
              <w:pStyle w:val="CDITable-RowLeft"/>
            </w:pPr>
            <w:r w:rsidRPr="00B96E5E">
              <w:t>(Nil major changes)</w:t>
            </w:r>
          </w:p>
        </w:tc>
      </w:tr>
      <w:tr w:rsidR="00B96E5E" w:rsidRPr="00B96E5E" w14:paraId="558DF517" w14:textId="77777777" w:rsidTr="00B96E5E">
        <w:trPr>
          <w:trHeight w:val="60"/>
        </w:trPr>
        <w:tc>
          <w:tcPr>
            <w:tcW w:w="141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8907D2A" w14:textId="77777777" w:rsidR="00B96E5E" w:rsidRPr="00B96E5E" w:rsidRDefault="00B96E5E" w:rsidP="00B96E5E">
            <w:pPr>
              <w:pStyle w:val="CDITable-RowLeft"/>
              <w:rPr>
                <w:b/>
                <w:bCs/>
              </w:rPr>
            </w:pPr>
            <w:r w:rsidRPr="00B96E5E">
              <w:rPr>
                <w:b/>
                <w:bCs/>
              </w:rPr>
              <w:t>December</w:t>
            </w:r>
          </w:p>
        </w:tc>
        <w:tc>
          <w:tcPr>
            <w:tcW w:w="82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EAADF" w14:textId="77777777" w:rsidR="00B96E5E" w:rsidRPr="00B96E5E" w:rsidRDefault="00B96E5E" w:rsidP="00B96E5E">
            <w:pPr>
              <w:pStyle w:val="CDITable-RowLeft"/>
            </w:pPr>
            <w:r w:rsidRPr="00B96E5E">
              <w:t>(Nil major changes)</w:t>
            </w:r>
          </w:p>
        </w:tc>
      </w:tr>
    </w:tbl>
    <w:p w14:paraId="35C5B559" w14:textId="77777777" w:rsidR="00B96E5E" w:rsidRPr="00B96E5E" w:rsidRDefault="00B96E5E" w:rsidP="00B96E5E">
      <w:pPr>
        <w:pStyle w:val="CDITable-Title"/>
        <w:rPr>
          <w:lang w:val="en-GB"/>
        </w:rPr>
      </w:pPr>
      <w:bookmarkStart w:id="58" w:name="_Toc215578753"/>
      <w:r w:rsidRPr="00B96E5E">
        <w:rPr>
          <w:lang w:val="en-GB"/>
        </w:rPr>
        <w:lastRenderedPageBreak/>
        <w:t>Table A.2: Description of MedDRA preferred term (PT) to standardised MedDRA query (SMQ) mapping – overall process</w:t>
      </w:r>
      <w:bookmarkEnd w:id="58"/>
    </w:p>
    <w:tbl>
      <w:tblPr>
        <w:tblW w:w="0" w:type="auto"/>
        <w:tblLayout w:type="fixed"/>
        <w:tblCellMar>
          <w:left w:w="0" w:type="dxa"/>
          <w:right w:w="0" w:type="dxa"/>
        </w:tblCellMar>
        <w:tblLook w:val="0000" w:firstRow="0" w:lastRow="0" w:firstColumn="0" w:lastColumn="0" w:noHBand="0" w:noVBand="0"/>
        <w:tblCaption w:val="Table A.2: Description of MedDRA preferred term (PT) to standardised MedDRA query (SMQ) mapping – overall process"/>
        <w:tblDescription w:val="Table A.2 describes the procedure for determining the MedDRA term used in this article to describe a reported adverse event, when zero, one, or more than one standardised MedDRA queries (SMQ) were retrieved for the event."/>
      </w:tblPr>
      <w:tblGrid>
        <w:gridCol w:w="3685"/>
        <w:gridCol w:w="5953"/>
      </w:tblGrid>
      <w:tr w:rsidR="00B96E5E" w:rsidRPr="00B96E5E" w14:paraId="3437FE79" w14:textId="77777777" w:rsidTr="00B96E5E">
        <w:trPr>
          <w:trHeight w:val="60"/>
          <w:tblHeader/>
        </w:trPr>
        <w:tc>
          <w:tcPr>
            <w:tcW w:w="3685" w:type="dxa"/>
            <w:shd w:val="clear" w:color="auto" w:fill="1E4496" w:themeFill="text2"/>
            <w:tcMar>
              <w:top w:w="113" w:type="dxa"/>
              <w:left w:w="113" w:type="dxa"/>
              <w:bottom w:w="113" w:type="dxa"/>
              <w:right w:w="113" w:type="dxa"/>
            </w:tcMar>
            <w:vAlign w:val="bottom"/>
          </w:tcPr>
          <w:p w14:paraId="31434223" w14:textId="77777777" w:rsidR="00B96E5E" w:rsidRPr="00B96E5E" w:rsidRDefault="00B96E5E" w:rsidP="00B96E5E">
            <w:pPr>
              <w:pStyle w:val="CDITable-HeaderRowLeft"/>
            </w:pPr>
            <w:r w:rsidRPr="00B96E5E">
              <w:t>Number of SMQ mapped</w:t>
            </w:r>
          </w:p>
        </w:tc>
        <w:tc>
          <w:tcPr>
            <w:tcW w:w="5953" w:type="dxa"/>
            <w:shd w:val="clear" w:color="auto" w:fill="1E4496" w:themeFill="text2"/>
            <w:tcMar>
              <w:top w:w="113" w:type="dxa"/>
              <w:left w:w="113" w:type="dxa"/>
              <w:bottom w:w="113" w:type="dxa"/>
              <w:right w:w="113" w:type="dxa"/>
            </w:tcMar>
            <w:vAlign w:val="bottom"/>
          </w:tcPr>
          <w:p w14:paraId="7C4D1553" w14:textId="77777777" w:rsidR="00B96E5E" w:rsidRPr="00B96E5E" w:rsidRDefault="00B96E5E" w:rsidP="00B96E5E">
            <w:pPr>
              <w:pStyle w:val="CDITable-HeaderRowCentre"/>
            </w:pPr>
            <w:r w:rsidRPr="00B96E5E">
              <w:t>Term reported</w:t>
            </w:r>
          </w:p>
        </w:tc>
      </w:tr>
      <w:tr w:rsidR="00B96E5E" w:rsidRPr="00B96E5E" w14:paraId="69FD212B" w14:textId="77777777" w:rsidTr="00B96E5E">
        <w:trPr>
          <w:trHeight w:val="60"/>
        </w:trPr>
        <w:tc>
          <w:tcPr>
            <w:tcW w:w="3685" w:type="dxa"/>
            <w:tcBorders>
              <w:bottom w:val="single" w:sz="6" w:space="0" w:color="1E4496" w:themeColor="text2"/>
            </w:tcBorders>
            <w:tcMar>
              <w:top w:w="113" w:type="dxa"/>
              <w:left w:w="113" w:type="dxa"/>
              <w:bottom w:w="113" w:type="dxa"/>
              <w:right w:w="113" w:type="dxa"/>
            </w:tcMar>
            <w:vAlign w:val="center"/>
          </w:tcPr>
          <w:p w14:paraId="632A4265" w14:textId="77777777" w:rsidR="00B96E5E" w:rsidRPr="00B96E5E" w:rsidRDefault="00B96E5E" w:rsidP="00B96E5E">
            <w:pPr>
              <w:pStyle w:val="CDITable-RowCentre"/>
            </w:pPr>
            <w:r w:rsidRPr="00B96E5E">
              <w:t>0</w:t>
            </w:r>
          </w:p>
        </w:tc>
        <w:tc>
          <w:tcPr>
            <w:tcW w:w="5953" w:type="dxa"/>
            <w:tcBorders>
              <w:bottom w:val="single" w:sz="6" w:space="0" w:color="1E4496" w:themeColor="text2"/>
            </w:tcBorders>
            <w:tcMar>
              <w:top w:w="113" w:type="dxa"/>
              <w:left w:w="113" w:type="dxa"/>
              <w:bottom w:w="113" w:type="dxa"/>
              <w:right w:w="113" w:type="dxa"/>
            </w:tcMar>
            <w:vAlign w:val="center"/>
          </w:tcPr>
          <w:p w14:paraId="6741FFBF" w14:textId="77777777" w:rsidR="00B96E5E" w:rsidRPr="00B96E5E" w:rsidRDefault="00B96E5E" w:rsidP="00B96E5E">
            <w:pPr>
              <w:pStyle w:val="CDITable-RowCentre"/>
            </w:pPr>
            <w:r w:rsidRPr="00B96E5E">
              <w:t>PT</w:t>
            </w:r>
          </w:p>
        </w:tc>
      </w:tr>
      <w:tr w:rsidR="00B96E5E" w:rsidRPr="00B96E5E" w14:paraId="7BA6C61D" w14:textId="77777777" w:rsidTr="00B96E5E">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E6635" w14:textId="77777777" w:rsidR="00B96E5E" w:rsidRPr="00B96E5E" w:rsidRDefault="00B96E5E" w:rsidP="00B96E5E">
            <w:pPr>
              <w:pStyle w:val="CDITable-RowCentre"/>
            </w:pPr>
            <w:r w:rsidRPr="00B96E5E">
              <w:t>1</w:t>
            </w:r>
          </w:p>
        </w:tc>
        <w:tc>
          <w:tcPr>
            <w:tcW w:w="595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D3D533" w14:textId="77777777" w:rsidR="00B96E5E" w:rsidRPr="00B96E5E" w:rsidRDefault="00B96E5E" w:rsidP="00B96E5E">
            <w:pPr>
              <w:pStyle w:val="CDITable-RowCentre"/>
            </w:pPr>
            <w:r w:rsidRPr="00B96E5E">
              <w:t>SMQ</w:t>
            </w:r>
          </w:p>
        </w:tc>
      </w:tr>
      <w:tr w:rsidR="00B96E5E" w:rsidRPr="00B96E5E" w14:paraId="49F853F9" w14:textId="77777777" w:rsidTr="00B96E5E">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B3667" w14:textId="77777777" w:rsidR="00B96E5E" w:rsidRPr="00B96E5E" w:rsidRDefault="00B96E5E" w:rsidP="00B96E5E">
            <w:pPr>
              <w:pStyle w:val="CDITable-RowCentre"/>
            </w:pPr>
            <w:r w:rsidRPr="00B96E5E">
              <w:t>&gt; 1</w:t>
            </w:r>
          </w:p>
        </w:tc>
        <w:tc>
          <w:tcPr>
            <w:tcW w:w="595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32EE99" w14:textId="77777777" w:rsidR="00B96E5E" w:rsidRPr="00B96E5E" w:rsidRDefault="00B96E5E" w:rsidP="00B96E5E">
            <w:pPr>
              <w:pStyle w:val="CDITable-RowCentre"/>
            </w:pPr>
            <w:r w:rsidRPr="00B96E5E">
              <w:t>SMQ chosen by clinician, or PT if preferred SMQ could not be chosen</w:t>
            </w:r>
          </w:p>
        </w:tc>
      </w:tr>
    </w:tbl>
    <w:p w14:paraId="45A913C3" w14:textId="77777777" w:rsidR="00B96E5E" w:rsidRPr="00B96E5E" w:rsidRDefault="00B96E5E" w:rsidP="00FF12BF">
      <w:pPr>
        <w:pStyle w:val="CDITable-Title"/>
        <w:spacing w:before="480"/>
        <w:rPr>
          <w:lang w:val="en-GB"/>
        </w:rPr>
      </w:pPr>
      <w:bookmarkStart w:id="59" w:name="_Toc215578754"/>
      <w:r w:rsidRPr="00B96E5E">
        <w:rPr>
          <w:lang w:val="en-GB"/>
        </w:rPr>
        <w:t>Table A.3: MedDRA preferred terms (PTs) mapped to specific standardised MedDRA queries (SMQs)</w:t>
      </w:r>
      <w:r w:rsidRPr="00B96E5E">
        <w:rPr>
          <w:vertAlign w:val="superscript"/>
          <w:lang w:val="en-GB"/>
        </w:rPr>
        <w:t>a,8,10</w:t>
      </w:r>
      <w:bookmarkEnd w:id="59"/>
    </w:p>
    <w:tbl>
      <w:tblPr>
        <w:tblW w:w="0" w:type="auto"/>
        <w:tblLayout w:type="fixed"/>
        <w:tblCellMar>
          <w:left w:w="0" w:type="dxa"/>
          <w:right w:w="0" w:type="dxa"/>
        </w:tblCellMar>
        <w:tblLook w:val="0000" w:firstRow="0" w:lastRow="0" w:firstColumn="0" w:lastColumn="0" w:noHBand="0" w:noVBand="0"/>
        <w:tblCaption w:val="Table A.3: MedDRA preferred terms (PTs) mapped to specific standardised MedDRA queries (SMQs)"/>
        <w:tblDescription w:val="Table A.3 features two specific standardised MedDRA query (SMQ) terms, “gastrointestinal nonspecific symptoms and therapeutic procedures” and “medication errors”. It then lists the MedDRA preferred terms (PT) that are covered under each SMQ."/>
      </w:tblPr>
      <w:tblGrid>
        <w:gridCol w:w="1871"/>
        <w:gridCol w:w="7767"/>
      </w:tblGrid>
      <w:tr w:rsidR="00B96E5E" w:rsidRPr="00B96E5E" w14:paraId="493D34A6" w14:textId="77777777" w:rsidTr="00B96E5E">
        <w:trPr>
          <w:trHeight w:val="60"/>
          <w:tblHeader/>
        </w:trPr>
        <w:tc>
          <w:tcPr>
            <w:tcW w:w="1871" w:type="dxa"/>
            <w:shd w:val="clear" w:color="auto" w:fill="1E4496" w:themeFill="text2"/>
            <w:tcMar>
              <w:top w:w="113" w:type="dxa"/>
              <w:left w:w="113" w:type="dxa"/>
              <w:bottom w:w="113" w:type="dxa"/>
              <w:right w:w="113" w:type="dxa"/>
            </w:tcMar>
            <w:vAlign w:val="bottom"/>
          </w:tcPr>
          <w:p w14:paraId="7275712F" w14:textId="77777777" w:rsidR="00B96E5E" w:rsidRPr="00B96E5E" w:rsidRDefault="00B96E5E" w:rsidP="00B96E5E">
            <w:pPr>
              <w:pStyle w:val="CDITable-HeaderRowLeft"/>
            </w:pPr>
            <w:r w:rsidRPr="00B96E5E">
              <w:t>SMQ</w:t>
            </w:r>
          </w:p>
        </w:tc>
        <w:tc>
          <w:tcPr>
            <w:tcW w:w="7767" w:type="dxa"/>
            <w:shd w:val="clear" w:color="auto" w:fill="1E4496" w:themeFill="text2"/>
            <w:tcMar>
              <w:top w:w="113" w:type="dxa"/>
              <w:left w:w="113" w:type="dxa"/>
              <w:bottom w:w="113" w:type="dxa"/>
              <w:right w:w="113" w:type="dxa"/>
            </w:tcMar>
            <w:vAlign w:val="bottom"/>
          </w:tcPr>
          <w:p w14:paraId="1E840193" w14:textId="77777777" w:rsidR="00B96E5E" w:rsidRPr="00B96E5E" w:rsidRDefault="00B96E5E" w:rsidP="00B96E5E">
            <w:pPr>
              <w:pStyle w:val="CDITable-HeaderRowLeft"/>
            </w:pPr>
            <w:r w:rsidRPr="00B96E5E">
              <w:t>PTs mapped</w:t>
            </w:r>
          </w:p>
        </w:tc>
      </w:tr>
      <w:tr w:rsidR="00B96E5E" w:rsidRPr="00B96E5E" w14:paraId="2BF1C8DC" w14:textId="77777777" w:rsidTr="00B96E5E">
        <w:trPr>
          <w:trHeight w:val="60"/>
        </w:trPr>
        <w:tc>
          <w:tcPr>
            <w:tcW w:w="1871" w:type="dxa"/>
            <w:tcBorders>
              <w:bottom w:val="single" w:sz="6" w:space="0" w:color="1E4496" w:themeColor="text2"/>
            </w:tcBorders>
            <w:tcMar>
              <w:top w:w="113" w:type="dxa"/>
              <w:left w:w="113" w:type="dxa"/>
              <w:bottom w:w="113" w:type="dxa"/>
              <w:right w:w="113" w:type="dxa"/>
            </w:tcMar>
            <w:vAlign w:val="center"/>
          </w:tcPr>
          <w:p w14:paraId="4C19B2C0" w14:textId="77777777" w:rsidR="00B96E5E" w:rsidRPr="00B96E5E" w:rsidRDefault="00B96E5E" w:rsidP="00B96E5E">
            <w:pPr>
              <w:pStyle w:val="CDITable-RowLeft"/>
            </w:pPr>
            <w:r w:rsidRPr="00B96E5E">
              <w:t>Gastrointestinal nonspecific symptoms and therapeutic procedures</w:t>
            </w:r>
          </w:p>
        </w:tc>
        <w:tc>
          <w:tcPr>
            <w:tcW w:w="7767" w:type="dxa"/>
            <w:tcBorders>
              <w:bottom w:val="single" w:sz="6" w:space="0" w:color="1E4496" w:themeColor="text2"/>
            </w:tcBorders>
            <w:tcMar>
              <w:top w:w="113" w:type="dxa"/>
              <w:left w:w="113" w:type="dxa"/>
              <w:bottom w:w="113" w:type="dxa"/>
              <w:right w:w="113" w:type="dxa"/>
            </w:tcMar>
            <w:vAlign w:val="center"/>
          </w:tcPr>
          <w:p w14:paraId="10EB3F8D" w14:textId="77777777" w:rsidR="00B96E5E" w:rsidRPr="00B96E5E" w:rsidRDefault="00B96E5E" w:rsidP="00B96E5E">
            <w:pPr>
              <w:pStyle w:val="CDITable-RowLeft"/>
            </w:pPr>
            <w:r w:rsidRPr="00B96E5E">
              <w:t>Abdominal discomfort; Abdominal distension; Abdominal pain; Abdominal pain lower; Abdominal pain upper; Abdominal symptom; Abdominal tenderness; Abnormal faeces; Anorectal discomfort; Bowel movement irregularity; Change of bowel habit; Constipation; Defaecation disorder; Defaecation urgency; Diarrhoea; Discoloured vomit; Epigastric discomfort; Eructation; Faecal volume decreased; Faeces hard; Faeces soft; Flatulence; Frequent bowel movements; Gastrointestinal pain; Gastrointestinal sounds abnormal; Infrequent bowel movements; Nausea; Non-cardiac chest pain; Oesophageal discomfort; Oesophageal pain; Overflow diarrhoea; Vomiting</w:t>
            </w:r>
          </w:p>
        </w:tc>
      </w:tr>
      <w:tr w:rsidR="00B96E5E" w:rsidRPr="00B96E5E" w14:paraId="493668AE" w14:textId="77777777" w:rsidTr="00B96E5E">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36215" w14:textId="77777777" w:rsidR="00B96E5E" w:rsidRPr="00B96E5E" w:rsidRDefault="00B96E5E" w:rsidP="00B96E5E">
            <w:pPr>
              <w:pStyle w:val="CDITable-RowLeft"/>
            </w:pPr>
            <w:r w:rsidRPr="00B96E5E">
              <w:t>Medication errors</w:t>
            </w:r>
          </w:p>
        </w:tc>
        <w:tc>
          <w:tcPr>
            <w:tcW w:w="77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C6A860" w14:textId="77777777" w:rsidR="00B96E5E" w:rsidRPr="00B96E5E" w:rsidRDefault="00B96E5E" w:rsidP="00B96E5E">
            <w:pPr>
              <w:pStyle w:val="CDITable-RowLeft"/>
            </w:pPr>
            <w:r w:rsidRPr="00B96E5E">
              <w:t>Accidental exposure to product; Accidental overdose; Accidental underdose; Circumstance or information capable of leading to medication error; Contraindicated product administered; Device use error; Drug monitoring procedure incorrectly performed; Expired product administered; Exposure via eye contact; Extra dose administered; Inadequate aseptic technique in use of product; Inappropriate schedule of product administration; Incomplete course of vaccination; Incorrect dosage administered; Incorrect dose administered; Incorrect dose administered by device; Incorrect product administration duration; Incorrect product dosage form administered; Incorrect product formulation administered; Incorrect route of product administration; Intercepted product storage error; Labelled drug-drug interaction medication error; Medication error; Multiple use of single-use product; Product administered at inappropriate site; Product administered to patient of inappropriate age; Product administration error; Product dispensing error; Product preparation error; Product prescribing error; Product storage error; Vaccination error; Wrong patient received product; Wrong product administered; Wrong schedule; Wrong technique in product usage process</w:t>
            </w:r>
          </w:p>
        </w:tc>
      </w:tr>
    </w:tbl>
    <w:p w14:paraId="49BC9A31" w14:textId="68C32E46" w:rsidR="00FF12BF" w:rsidRDefault="00B96E5E" w:rsidP="00FF12BF">
      <w:pPr>
        <w:pStyle w:val="CDITable-FirstFootnote"/>
        <w:rPr>
          <w:lang w:val="en-GB"/>
        </w:rPr>
      </w:pPr>
      <w:r w:rsidRPr="00B96E5E">
        <w:rPr>
          <w:lang w:val="en-GB"/>
        </w:rPr>
        <w:t>a</w:t>
      </w:r>
      <w:r w:rsidRPr="00B96E5E">
        <w:rPr>
          <w:lang w:val="en-GB"/>
        </w:rPr>
        <w:tab/>
        <w:t>Table includes only those PTs found in the AEMS database, and not all possible MedDRA PTs that map to each MedDRA SMQ; mapping hierarchy in MedDRA version 26.1 used.</w:t>
      </w:r>
      <w:r w:rsidR="00FF12BF">
        <w:rPr>
          <w:lang w:val="en-GB"/>
        </w:rPr>
        <w:br w:type="page"/>
      </w:r>
    </w:p>
    <w:p w14:paraId="1ECFD484" w14:textId="77777777" w:rsidR="00B96E5E" w:rsidRPr="00B96E5E" w:rsidRDefault="00B96E5E" w:rsidP="00B96E5E">
      <w:pPr>
        <w:pStyle w:val="CDITable-Title"/>
        <w:rPr>
          <w:lang w:val="en-GB"/>
        </w:rPr>
      </w:pPr>
      <w:bookmarkStart w:id="60" w:name="_Toc215578755"/>
      <w:r w:rsidRPr="00B96E5E">
        <w:rPr>
          <w:lang w:val="en-GB"/>
        </w:rPr>
        <w:lastRenderedPageBreak/>
        <w:t>Table A.4: MedDRA terms (LLTs and PTs) included in specific AESI, as per Brighton Collaboration Case Definition Companion Guides</w:t>
      </w:r>
      <w:r w:rsidRPr="00B96E5E">
        <w:rPr>
          <w:vertAlign w:val="superscript"/>
          <w:lang w:val="en-GB"/>
        </w:rPr>
        <w:t>a,21,23</w:t>
      </w:r>
      <w:bookmarkEnd w:id="60"/>
    </w:p>
    <w:tbl>
      <w:tblPr>
        <w:tblW w:w="0" w:type="auto"/>
        <w:tblLayout w:type="fixed"/>
        <w:tblCellMar>
          <w:left w:w="0" w:type="dxa"/>
          <w:right w:w="0" w:type="dxa"/>
        </w:tblCellMar>
        <w:tblLook w:val="0000" w:firstRow="0" w:lastRow="0" w:firstColumn="0" w:lastColumn="0" w:noHBand="0" w:noVBand="0"/>
        <w:tblCaption w:val="Table A.4: MedDRA terms (LLTs and PTs) included in specific AESI, as per Brighton Collaboration Case Definition Companion Guides"/>
        <w:tblDescription w:val="Table A.4 features two specific adverse events of special interest as defined by the Brighton Collaboration, “myocarditis / pericarditis” and “thrombosis and thromboembolism”. It then lists the MedDRA preferred terms (PTs) and lower level terms (LLTs) that are included under each AESI term, as per guidance in the relevant Brighton Collaboration Companion Guides."/>
      </w:tblPr>
      <w:tblGrid>
        <w:gridCol w:w="1871"/>
        <w:gridCol w:w="7767"/>
      </w:tblGrid>
      <w:tr w:rsidR="00FF12BF" w:rsidRPr="00FF12BF" w14:paraId="0701C0EB" w14:textId="77777777" w:rsidTr="00FF12BF">
        <w:trPr>
          <w:trHeight w:val="60"/>
          <w:tblHeader/>
        </w:trPr>
        <w:tc>
          <w:tcPr>
            <w:tcW w:w="1871" w:type="dxa"/>
            <w:shd w:val="clear" w:color="auto" w:fill="1E4496" w:themeFill="text2"/>
            <w:tcMar>
              <w:top w:w="113" w:type="dxa"/>
              <w:left w:w="113" w:type="dxa"/>
              <w:bottom w:w="113" w:type="dxa"/>
              <w:right w:w="113" w:type="dxa"/>
            </w:tcMar>
            <w:vAlign w:val="bottom"/>
          </w:tcPr>
          <w:p w14:paraId="5A69367A" w14:textId="77777777" w:rsidR="00FF12BF" w:rsidRPr="00FF12BF" w:rsidRDefault="00FF12BF" w:rsidP="00FF12BF">
            <w:pPr>
              <w:pStyle w:val="CDITable-HeaderRowLeft"/>
              <w:rPr>
                <w:lang w:val="en-GB"/>
              </w:rPr>
            </w:pPr>
            <w:r w:rsidRPr="00FF12BF">
              <w:rPr>
                <w:lang w:val="en-GB"/>
              </w:rPr>
              <w:t>AESI</w:t>
            </w:r>
          </w:p>
        </w:tc>
        <w:tc>
          <w:tcPr>
            <w:tcW w:w="7767" w:type="dxa"/>
            <w:shd w:val="clear" w:color="auto" w:fill="1E4496" w:themeFill="text2"/>
            <w:tcMar>
              <w:top w:w="113" w:type="dxa"/>
              <w:left w:w="113" w:type="dxa"/>
              <w:bottom w:w="113" w:type="dxa"/>
              <w:right w:w="113" w:type="dxa"/>
            </w:tcMar>
            <w:vAlign w:val="bottom"/>
          </w:tcPr>
          <w:p w14:paraId="115BBA2B" w14:textId="77777777" w:rsidR="00FF12BF" w:rsidRPr="00FF12BF" w:rsidRDefault="00FF12BF" w:rsidP="00FF12BF">
            <w:pPr>
              <w:pStyle w:val="CDITable-HeaderRowLeft"/>
              <w:rPr>
                <w:lang w:val="en-GB"/>
              </w:rPr>
            </w:pPr>
            <w:r w:rsidRPr="00FF12BF">
              <w:rPr>
                <w:lang w:val="en-GB"/>
              </w:rPr>
              <w:t>Corresponding MedDRA terms</w:t>
            </w:r>
          </w:p>
        </w:tc>
      </w:tr>
      <w:tr w:rsidR="00FF12BF" w:rsidRPr="00FF12BF" w14:paraId="15E961A7" w14:textId="77777777" w:rsidTr="00FF12BF">
        <w:trPr>
          <w:trHeight w:val="60"/>
        </w:trPr>
        <w:tc>
          <w:tcPr>
            <w:tcW w:w="1871" w:type="dxa"/>
            <w:tcBorders>
              <w:bottom w:val="single" w:sz="6" w:space="0" w:color="1E4496" w:themeColor="text2"/>
            </w:tcBorders>
            <w:tcMar>
              <w:top w:w="113" w:type="dxa"/>
              <w:left w:w="113" w:type="dxa"/>
              <w:bottom w:w="113" w:type="dxa"/>
              <w:right w:w="113" w:type="dxa"/>
            </w:tcMar>
            <w:vAlign w:val="center"/>
          </w:tcPr>
          <w:p w14:paraId="69529ACF" w14:textId="77777777" w:rsidR="00FF12BF" w:rsidRPr="00FF12BF" w:rsidRDefault="00FF12BF" w:rsidP="00FF12BF">
            <w:pPr>
              <w:pStyle w:val="CDITable-RowLeft"/>
              <w:rPr>
                <w:lang w:val="en-GB"/>
              </w:rPr>
            </w:pPr>
            <w:r w:rsidRPr="00FF12BF">
              <w:rPr>
                <w:lang w:val="en-GB"/>
              </w:rPr>
              <w:t>Myocarditis / pericarditis</w:t>
            </w:r>
          </w:p>
        </w:tc>
        <w:tc>
          <w:tcPr>
            <w:tcW w:w="7767" w:type="dxa"/>
            <w:tcBorders>
              <w:bottom w:val="single" w:sz="6" w:space="0" w:color="1E4496" w:themeColor="text2"/>
            </w:tcBorders>
            <w:tcMar>
              <w:top w:w="113" w:type="dxa"/>
              <w:left w:w="113" w:type="dxa"/>
              <w:bottom w:w="113" w:type="dxa"/>
              <w:right w:w="113" w:type="dxa"/>
            </w:tcMar>
            <w:vAlign w:val="center"/>
          </w:tcPr>
          <w:p w14:paraId="2109F42F" w14:textId="77777777" w:rsidR="00FF12BF" w:rsidRPr="00FF12BF" w:rsidRDefault="00FF12BF" w:rsidP="00FF12BF">
            <w:pPr>
              <w:pStyle w:val="CDITable-RowLeft"/>
              <w:rPr>
                <w:lang w:val="en-GB"/>
              </w:rPr>
            </w:pPr>
            <w:r w:rsidRPr="00FF12BF">
              <w:rPr>
                <w:lang w:val="en-GB"/>
              </w:rPr>
              <w:t>Acute myocarditis; Acute myocarditis, unspecified; Acute pericarditis; Acute pericarditis, unspecified; Idiopathic myocarditis; Infectious myocarditis; Infectious pericarditis; Myocarditis; Myocarditis infectious; Myocarditis interstitial; Myocarditis NOS; Myocarditis septic; Myocarditis, unspecified; Myocarditis/pericarditis; Other acute myocarditis; Other acute pericarditis; Other and unspecified acute myocarditis; Pericardial disease; Pericardial disease NOS; Pericardial disorders; Pericarditis; Pericarditis infective; Pericarditis NOS; Septic myocarditis; Toxic myocarditis; Unspecified disease of pericardium</w:t>
            </w:r>
          </w:p>
        </w:tc>
      </w:tr>
      <w:tr w:rsidR="00FF12BF" w:rsidRPr="00FF12BF" w14:paraId="475D8DEC" w14:textId="77777777" w:rsidTr="00FF12BF">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40E73" w14:textId="77777777" w:rsidR="00FF12BF" w:rsidRPr="00FF12BF" w:rsidRDefault="00FF12BF" w:rsidP="00FF12BF">
            <w:pPr>
              <w:pStyle w:val="CDITable-RowLeft"/>
              <w:rPr>
                <w:lang w:val="en-GB"/>
              </w:rPr>
            </w:pPr>
            <w:r w:rsidRPr="00FF12BF">
              <w:rPr>
                <w:lang w:val="en-GB"/>
              </w:rPr>
              <w:t>Thrombosis and thromboembolism</w:t>
            </w:r>
          </w:p>
        </w:tc>
        <w:tc>
          <w:tcPr>
            <w:tcW w:w="77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B0FE4" w14:textId="77777777" w:rsidR="00FF12BF" w:rsidRPr="00FF12BF" w:rsidRDefault="00FF12BF" w:rsidP="00FF12BF">
            <w:pPr>
              <w:pStyle w:val="CDITable-RowLeft"/>
              <w:rPr>
                <w:lang w:val="en-GB"/>
              </w:rPr>
            </w:pPr>
            <w:r w:rsidRPr="00FF12BF">
              <w:rPr>
                <w:lang w:val="en-GB"/>
              </w:rPr>
              <w:t xml:space="preserve">Acute embolism &amp; thrombosis of deep veins of lower extremity; Arterial embolism and thrombosis; Budd-Chiari syndrome; Deep vein thrombosis; Embolism and thrombosis; Embolism and thrombosis of other specified veins; Embolism and thrombosis of renal vein; Embolism and thrombosis of unspecified site; Embolism and thrombosis of vena cava; Embolism and thrombosis of vena cava and other thoracic veins; Embolism venous; Hepatic vein obstruction; Hepatic venous outflow obstruction; Other venous embolism and thrombosis; Other venous embolism and thrombosis of renal vein; Other venous embolism and thrombosis of unspecified site; Portal vein thrombosis; </w:t>
            </w:r>
            <w:proofErr w:type="spellStart"/>
            <w:r w:rsidRPr="00FF12BF">
              <w:rPr>
                <w:lang w:val="en-GB"/>
              </w:rPr>
              <w:t>Pyelethrombosis</w:t>
            </w:r>
            <w:proofErr w:type="spellEnd"/>
            <w:r w:rsidRPr="00FF12BF">
              <w:rPr>
                <w:lang w:val="en-GB"/>
              </w:rPr>
              <w:t xml:space="preserve">; Renal vein embolism; Renal vein thrombosis; Syndrome Budd-Chiari; Thromboembolism NOS; </w:t>
            </w:r>
            <w:proofErr w:type="spellStart"/>
            <w:r w:rsidRPr="00FF12BF">
              <w:rPr>
                <w:lang w:val="en-GB"/>
              </w:rPr>
              <w:t>Thromboembolus</w:t>
            </w:r>
            <w:proofErr w:type="spellEnd"/>
            <w:r w:rsidRPr="00FF12BF">
              <w:rPr>
                <w:lang w:val="en-GB"/>
              </w:rPr>
              <w:t>; Vena cava thrombosis and embolism; Venous embolism; Venous embolism NOS; Venous embolism and thrombosis, other</w:t>
            </w:r>
          </w:p>
        </w:tc>
      </w:tr>
    </w:tbl>
    <w:p w14:paraId="32C76425" w14:textId="1BEE3ED8" w:rsidR="00FF12BF" w:rsidRDefault="00FF12BF" w:rsidP="00FF12BF">
      <w:pPr>
        <w:pStyle w:val="CDITable-FirstFootnote"/>
        <w:rPr>
          <w:lang w:val="en-GB"/>
        </w:rPr>
      </w:pPr>
      <w:r w:rsidRPr="00FF12BF">
        <w:rPr>
          <w:lang w:val="en-GB"/>
        </w:rPr>
        <w:t>a</w:t>
      </w:r>
      <w:r w:rsidRPr="00FF12BF">
        <w:rPr>
          <w:lang w:val="en-GB"/>
        </w:rPr>
        <w:tab/>
        <w:t>MedDRA version 24.1 used in the Thrombosis and Thromboembolism Companion Guide; MedDRA version not specified in the Myocarditis and Pericarditis Companion Guide.</w:t>
      </w:r>
      <w:r>
        <w:rPr>
          <w:lang w:val="en-GB"/>
        </w:rPr>
        <w:br w:type="page"/>
      </w:r>
    </w:p>
    <w:p w14:paraId="6BC0477E" w14:textId="77777777" w:rsidR="00FF12BF" w:rsidRPr="00FF12BF" w:rsidRDefault="00FF12BF" w:rsidP="00FF12BF">
      <w:pPr>
        <w:pStyle w:val="CDITable-Title"/>
        <w:spacing w:before="480"/>
        <w:rPr>
          <w:lang w:val="en-GB"/>
        </w:rPr>
      </w:pPr>
      <w:bookmarkStart w:id="61" w:name="_Toc215578756"/>
      <w:r w:rsidRPr="00FF12BF">
        <w:rPr>
          <w:lang w:val="en-GB"/>
        </w:rPr>
        <w:lastRenderedPageBreak/>
        <w:t>Table A.5: Abbreviations of vaccine types and other terms</w:t>
      </w:r>
      <w:bookmarkEnd w:id="61"/>
    </w:p>
    <w:tbl>
      <w:tblPr>
        <w:tblW w:w="0" w:type="auto"/>
        <w:tblLayout w:type="fixed"/>
        <w:tblCellMar>
          <w:left w:w="0" w:type="dxa"/>
          <w:right w:w="0" w:type="dxa"/>
        </w:tblCellMar>
        <w:tblLook w:val="0000" w:firstRow="0" w:lastRow="0" w:firstColumn="0" w:lastColumn="0" w:noHBand="0" w:noVBand="0"/>
        <w:tblCaption w:val="Table A.5: Abbreviations of vaccine types and other terms"/>
        <w:tblDescription w:val="Table A.5 provides a glossary of abbreviations used throughout this report."/>
      </w:tblPr>
      <w:tblGrid>
        <w:gridCol w:w="2551"/>
        <w:gridCol w:w="7087"/>
      </w:tblGrid>
      <w:tr w:rsidR="00FF12BF" w:rsidRPr="00FF12BF" w14:paraId="76C9D7DD" w14:textId="77777777" w:rsidTr="00FF12BF">
        <w:trPr>
          <w:trHeight w:val="60"/>
          <w:tblHeader/>
        </w:trPr>
        <w:tc>
          <w:tcPr>
            <w:tcW w:w="2551" w:type="dxa"/>
            <w:shd w:val="clear" w:color="auto" w:fill="1E4496" w:themeFill="text2"/>
            <w:tcMar>
              <w:top w:w="113" w:type="dxa"/>
              <w:left w:w="113" w:type="dxa"/>
              <w:bottom w:w="113" w:type="dxa"/>
              <w:right w:w="113" w:type="dxa"/>
            </w:tcMar>
            <w:vAlign w:val="bottom"/>
          </w:tcPr>
          <w:p w14:paraId="5733EAD3" w14:textId="77777777" w:rsidR="00FF12BF" w:rsidRPr="00FF12BF" w:rsidRDefault="00FF12BF" w:rsidP="00FF12BF">
            <w:pPr>
              <w:pStyle w:val="CDITable-HeaderRowLeft"/>
            </w:pPr>
            <w:r w:rsidRPr="00FF12BF">
              <w:t>Abbreviation</w:t>
            </w:r>
          </w:p>
        </w:tc>
        <w:tc>
          <w:tcPr>
            <w:tcW w:w="7087" w:type="dxa"/>
            <w:shd w:val="clear" w:color="auto" w:fill="1E4496" w:themeFill="text2"/>
            <w:tcMar>
              <w:top w:w="113" w:type="dxa"/>
              <w:left w:w="113" w:type="dxa"/>
              <w:bottom w:w="113" w:type="dxa"/>
              <w:right w:w="113" w:type="dxa"/>
            </w:tcMar>
            <w:vAlign w:val="bottom"/>
          </w:tcPr>
          <w:p w14:paraId="7DC4825B" w14:textId="77777777" w:rsidR="00FF12BF" w:rsidRPr="00FF12BF" w:rsidRDefault="00FF12BF" w:rsidP="00FF12BF">
            <w:pPr>
              <w:pStyle w:val="CDITable-HeaderRowLeft"/>
            </w:pPr>
            <w:r w:rsidRPr="00FF12BF">
              <w:t>In full</w:t>
            </w:r>
          </w:p>
        </w:tc>
      </w:tr>
      <w:tr w:rsidR="00FF12BF" w:rsidRPr="00FF12BF" w14:paraId="6006A112" w14:textId="77777777" w:rsidTr="00FF12BF">
        <w:trPr>
          <w:trHeight w:val="60"/>
        </w:trPr>
        <w:tc>
          <w:tcPr>
            <w:tcW w:w="2551" w:type="dxa"/>
            <w:tcBorders>
              <w:bottom w:val="single" w:sz="6" w:space="0" w:color="1E4496" w:themeColor="text2"/>
            </w:tcBorders>
            <w:tcMar>
              <w:top w:w="113" w:type="dxa"/>
              <w:left w:w="113" w:type="dxa"/>
              <w:bottom w:w="113" w:type="dxa"/>
              <w:right w:w="113" w:type="dxa"/>
            </w:tcMar>
            <w:vAlign w:val="center"/>
          </w:tcPr>
          <w:p w14:paraId="386B2E66" w14:textId="77777777" w:rsidR="00FF12BF" w:rsidRPr="00FF12BF" w:rsidRDefault="00FF12BF" w:rsidP="00FF12BF">
            <w:pPr>
              <w:pStyle w:val="CDITable-RowLeft"/>
            </w:pPr>
            <w:r w:rsidRPr="00FF12BF">
              <w:t>ABS</w:t>
            </w:r>
          </w:p>
        </w:tc>
        <w:tc>
          <w:tcPr>
            <w:tcW w:w="7087" w:type="dxa"/>
            <w:tcBorders>
              <w:bottom w:val="single" w:sz="6" w:space="0" w:color="1E4496" w:themeColor="text2"/>
            </w:tcBorders>
            <w:tcMar>
              <w:top w:w="113" w:type="dxa"/>
              <w:left w:w="113" w:type="dxa"/>
              <w:bottom w:w="113" w:type="dxa"/>
              <w:right w:w="113" w:type="dxa"/>
            </w:tcMar>
            <w:vAlign w:val="center"/>
          </w:tcPr>
          <w:p w14:paraId="02DFD54D" w14:textId="77777777" w:rsidR="00FF12BF" w:rsidRPr="00FF12BF" w:rsidRDefault="00FF12BF" w:rsidP="00FF12BF">
            <w:pPr>
              <w:pStyle w:val="CDITable-RowLeft"/>
            </w:pPr>
            <w:r w:rsidRPr="00FF12BF">
              <w:t>Australian Bureau of Statistics</w:t>
            </w:r>
          </w:p>
        </w:tc>
      </w:tr>
      <w:tr w:rsidR="00FF12BF" w:rsidRPr="00FF12BF" w14:paraId="55C29B50"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5E0EEC" w14:textId="77777777" w:rsidR="00FF12BF" w:rsidRPr="00FF12BF" w:rsidRDefault="00FF12BF" w:rsidP="00FF12BF">
            <w:pPr>
              <w:pStyle w:val="CDITable-RowLeft"/>
            </w:pPr>
            <w:r w:rsidRPr="00FF12BF">
              <w:t>AEFI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F6D58" w14:textId="77777777" w:rsidR="00FF12BF" w:rsidRPr="00FF12BF" w:rsidRDefault="00FF12BF" w:rsidP="00FF12BF">
            <w:pPr>
              <w:pStyle w:val="CDITable-RowLeft"/>
            </w:pPr>
            <w:r w:rsidRPr="00FF12BF">
              <w:t xml:space="preserve">adverse event following immunisation </w:t>
            </w:r>
          </w:p>
        </w:tc>
      </w:tr>
      <w:tr w:rsidR="00FF12BF" w:rsidRPr="00FF12BF" w14:paraId="2CF9CD5E"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D3DCE" w14:textId="77777777" w:rsidR="00FF12BF" w:rsidRPr="00FF12BF" w:rsidRDefault="00FF12BF" w:rsidP="00FF12BF">
            <w:pPr>
              <w:pStyle w:val="CDITable-RowLeft"/>
            </w:pPr>
            <w:r w:rsidRPr="00FF12BF">
              <w:t>AEMS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8D756" w14:textId="77777777" w:rsidR="00FF12BF" w:rsidRPr="00FF12BF" w:rsidRDefault="00FF12BF" w:rsidP="00FF12BF">
            <w:pPr>
              <w:pStyle w:val="CDITable-RowLeft"/>
            </w:pPr>
            <w:r w:rsidRPr="00FF12BF">
              <w:t xml:space="preserve">Adverse Event Management System </w:t>
            </w:r>
          </w:p>
        </w:tc>
      </w:tr>
      <w:tr w:rsidR="00FF12BF" w:rsidRPr="00FF12BF" w14:paraId="258D0F04"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861CC" w14:textId="77777777" w:rsidR="00FF12BF" w:rsidRPr="00FF12BF" w:rsidRDefault="00FF12BF" w:rsidP="00FF12BF">
            <w:pPr>
              <w:pStyle w:val="CDITable-RowLeft"/>
            </w:pPr>
            <w:r w:rsidRPr="00FF12BF">
              <w:t>AESI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C9000" w14:textId="77777777" w:rsidR="00FF12BF" w:rsidRPr="00FF12BF" w:rsidRDefault="00FF12BF" w:rsidP="00FF12BF">
            <w:pPr>
              <w:pStyle w:val="CDITable-RowLeft"/>
            </w:pPr>
            <w:r w:rsidRPr="00FF12BF">
              <w:t>adverse event of special interest</w:t>
            </w:r>
          </w:p>
        </w:tc>
      </w:tr>
      <w:tr w:rsidR="00FF12BF" w:rsidRPr="00FF12BF" w14:paraId="4E1BDC35"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85DD14" w14:textId="77777777" w:rsidR="00FF12BF" w:rsidRPr="00FF12BF" w:rsidRDefault="00FF12BF" w:rsidP="00FF12BF">
            <w:pPr>
              <w:pStyle w:val="CDITable-RowLeft"/>
            </w:pPr>
            <w:r w:rsidRPr="00FF12BF">
              <w:t>AIR</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F0CD3" w14:textId="77777777" w:rsidR="00FF12BF" w:rsidRPr="00FF12BF" w:rsidRDefault="00FF12BF" w:rsidP="00FF12BF">
            <w:pPr>
              <w:pStyle w:val="CDITable-RowLeft"/>
            </w:pPr>
            <w:r w:rsidRPr="00FF12BF">
              <w:t>Australian Immunisation Register</w:t>
            </w:r>
          </w:p>
        </w:tc>
      </w:tr>
      <w:tr w:rsidR="00FF12BF" w:rsidRPr="00FF12BF" w14:paraId="7A4916F1"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DBCA21" w14:textId="77777777" w:rsidR="00FF12BF" w:rsidRPr="00FF12BF" w:rsidRDefault="00FF12BF" w:rsidP="00FF12BF">
            <w:pPr>
              <w:pStyle w:val="CDITable-RowLeft"/>
            </w:pPr>
            <w:r w:rsidRPr="00FF12BF">
              <w:t>ARDS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6048B" w14:textId="77777777" w:rsidR="00FF12BF" w:rsidRPr="00FF12BF" w:rsidRDefault="00FF12BF" w:rsidP="00FF12BF">
            <w:pPr>
              <w:pStyle w:val="CDITable-RowLeft"/>
            </w:pPr>
            <w:r w:rsidRPr="00FF12BF">
              <w:t>acute respiratory distress syndrome</w:t>
            </w:r>
          </w:p>
        </w:tc>
      </w:tr>
      <w:tr w:rsidR="00FF12BF" w:rsidRPr="00FF12BF" w14:paraId="3C063834"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22292" w14:textId="77777777" w:rsidR="00FF12BF" w:rsidRPr="00FF12BF" w:rsidRDefault="00FF12BF" w:rsidP="00FF12BF">
            <w:pPr>
              <w:pStyle w:val="CDITable-RowLeft"/>
            </w:pPr>
            <w:r w:rsidRPr="00FF12BF">
              <w:t>ATAGI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5212B" w14:textId="77777777" w:rsidR="00FF12BF" w:rsidRPr="00FF12BF" w:rsidRDefault="00FF12BF" w:rsidP="00FF12BF">
            <w:pPr>
              <w:pStyle w:val="CDITable-RowLeft"/>
            </w:pPr>
            <w:r w:rsidRPr="00FF12BF">
              <w:t>Australian Technical Advisory Group on Immunisation</w:t>
            </w:r>
          </w:p>
        </w:tc>
      </w:tr>
      <w:tr w:rsidR="00FF12BF" w:rsidRPr="00FF12BF" w14:paraId="607AD9E7"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6E49A" w14:textId="77777777" w:rsidR="00FF12BF" w:rsidRPr="00FF12BF" w:rsidRDefault="00FF12BF" w:rsidP="00FF12BF">
            <w:pPr>
              <w:pStyle w:val="CDITable-RowLeft"/>
            </w:pPr>
            <w:r w:rsidRPr="00FF12BF">
              <w:t>CI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CCD3F" w14:textId="77777777" w:rsidR="00FF12BF" w:rsidRPr="00FF12BF" w:rsidRDefault="00FF12BF" w:rsidP="00FF12BF">
            <w:pPr>
              <w:pStyle w:val="CDITable-RowLeft"/>
            </w:pPr>
            <w:r w:rsidRPr="00FF12BF">
              <w:t>confidence interval</w:t>
            </w:r>
          </w:p>
        </w:tc>
      </w:tr>
      <w:tr w:rsidR="00FF12BF" w:rsidRPr="00FF12BF" w14:paraId="6A4D8424"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066209" w14:textId="77777777" w:rsidR="00FF12BF" w:rsidRPr="00FF12BF" w:rsidRDefault="00FF12BF" w:rsidP="00FF12BF">
            <w:pPr>
              <w:pStyle w:val="CDITable-RowLeft"/>
            </w:pPr>
            <w:r w:rsidRPr="00FF12BF">
              <w:t>DAEN</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BDB6B" w14:textId="77777777" w:rsidR="00FF12BF" w:rsidRPr="00FF12BF" w:rsidRDefault="00FF12BF" w:rsidP="00FF12BF">
            <w:pPr>
              <w:pStyle w:val="CDITable-RowLeft"/>
            </w:pPr>
            <w:r w:rsidRPr="00FF12BF">
              <w:t xml:space="preserve">Database of Adverse Event Notifications </w:t>
            </w:r>
          </w:p>
        </w:tc>
      </w:tr>
      <w:tr w:rsidR="00FF12BF" w:rsidRPr="00FF12BF" w14:paraId="56DDB609"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D344FA" w14:textId="77777777" w:rsidR="00FF12BF" w:rsidRPr="00FF12BF" w:rsidRDefault="00FF12BF" w:rsidP="00FF12BF">
            <w:pPr>
              <w:pStyle w:val="CDITable-RowLeft"/>
            </w:pPr>
            <w:r w:rsidRPr="00FF12BF">
              <w:t>ERP</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09F3E0" w14:textId="77777777" w:rsidR="00FF12BF" w:rsidRPr="00FF12BF" w:rsidRDefault="00FF12BF" w:rsidP="00FF12BF">
            <w:pPr>
              <w:pStyle w:val="CDITable-RowLeft"/>
            </w:pPr>
            <w:r w:rsidRPr="00FF12BF">
              <w:t>estimated residence population</w:t>
            </w:r>
          </w:p>
        </w:tc>
      </w:tr>
      <w:tr w:rsidR="00FF12BF" w:rsidRPr="00FF12BF" w14:paraId="5B45A904"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D530F" w14:textId="77777777" w:rsidR="00FF12BF" w:rsidRPr="00FF12BF" w:rsidRDefault="00FF12BF" w:rsidP="00FF12BF">
            <w:pPr>
              <w:pStyle w:val="CDITable-RowLeft"/>
            </w:pPr>
            <w:r w:rsidRPr="00FF12BF">
              <w:t>GBS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82D7B" w14:textId="77777777" w:rsidR="00FF12BF" w:rsidRPr="00FF12BF" w:rsidRDefault="00FF12BF" w:rsidP="00FF12BF">
            <w:pPr>
              <w:pStyle w:val="CDITable-RowLeft"/>
            </w:pPr>
            <w:r w:rsidRPr="00FF12BF">
              <w:t>Guillain-Barré syndrome</w:t>
            </w:r>
          </w:p>
        </w:tc>
      </w:tr>
      <w:tr w:rsidR="00FF12BF" w:rsidRPr="00FF12BF" w14:paraId="37FB677F"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1D66C" w14:textId="77777777" w:rsidR="00FF12BF" w:rsidRPr="00FF12BF" w:rsidRDefault="00FF12BF" w:rsidP="00FF12BF">
            <w:pPr>
              <w:pStyle w:val="CDITable-RowLeft"/>
            </w:pPr>
            <w:r w:rsidRPr="00FF12BF">
              <w:t>ICU</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BAA27" w14:textId="77777777" w:rsidR="00FF12BF" w:rsidRPr="00FF12BF" w:rsidRDefault="00FF12BF" w:rsidP="00FF12BF">
            <w:pPr>
              <w:pStyle w:val="CDITable-RowLeft"/>
            </w:pPr>
            <w:r w:rsidRPr="00FF12BF">
              <w:t>intensive care unit</w:t>
            </w:r>
          </w:p>
        </w:tc>
      </w:tr>
      <w:tr w:rsidR="00FF12BF" w:rsidRPr="00FF12BF" w14:paraId="6F95BDC6"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E37FF" w14:textId="77777777" w:rsidR="00FF12BF" w:rsidRPr="00FF12BF" w:rsidRDefault="00FF12BF" w:rsidP="00FF12BF">
            <w:pPr>
              <w:pStyle w:val="CDITable-RowLeft"/>
            </w:pPr>
            <w:r w:rsidRPr="00FF12BF">
              <w:t>ITP</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7708B5" w14:textId="77777777" w:rsidR="00FF12BF" w:rsidRPr="00FF12BF" w:rsidRDefault="00FF12BF" w:rsidP="00FF12BF">
            <w:pPr>
              <w:pStyle w:val="CDITable-RowLeft"/>
            </w:pPr>
            <w:r w:rsidRPr="00FF12BF">
              <w:t>immune thrombocytopenia</w:t>
            </w:r>
          </w:p>
        </w:tc>
      </w:tr>
      <w:tr w:rsidR="00FF12BF" w:rsidRPr="00FF12BF" w14:paraId="0423A2A7"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E53B5" w14:textId="77777777" w:rsidR="00FF12BF" w:rsidRPr="00FF12BF" w:rsidRDefault="00FF12BF" w:rsidP="00FF12BF">
            <w:pPr>
              <w:pStyle w:val="CDITable-RowLeft"/>
            </w:pPr>
            <w:r w:rsidRPr="00FF12BF">
              <w:t>LLT</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FE2D7A" w14:textId="77777777" w:rsidR="00FF12BF" w:rsidRPr="00FF12BF" w:rsidRDefault="00FF12BF" w:rsidP="00FF12BF">
            <w:pPr>
              <w:pStyle w:val="CDITable-RowLeft"/>
            </w:pPr>
            <w:proofErr w:type="gramStart"/>
            <w:r w:rsidRPr="00FF12BF">
              <w:t>lower level</w:t>
            </w:r>
            <w:proofErr w:type="gramEnd"/>
            <w:r w:rsidRPr="00FF12BF">
              <w:t xml:space="preserve"> term(s)</w:t>
            </w:r>
          </w:p>
        </w:tc>
      </w:tr>
      <w:tr w:rsidR="00FF12BF" w:rsidRPr="00FF12BF" w14:paraId="38879A0A"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3818F" w14:textId="77777777" w:rsidR="00FF12BF" w:rsidRPr="00FF12BF" w:rsidRDefault="00FF12BF" w:rsidP="00FF12BF">
            <w:pPr>
              <w:pStyle w:val="CDITable-RowLeft"/>
            </w:pPr>
            <w:r w:rsidRPr="00FF12BF">
              <w:t>MedDRA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E412F" w14:textId="77777777" w:rsidR="00FF12BF" w:rsidRPr="00FF12BF" w:rsidRDefault="00FF12BF" w:rsidP="00FF12BF">
            <w:pPr>
              <w:pStyle w:val="CDITable-RowLeft"/>
            </w:pPr>
            <w:r w:rsidRPr="00FF12BF">
              <w:t>Medical Dictionary for Regulatory Activities</w:t>
            </w:r>
          </w:p>
        </w:tc>
      </w:tr>
      <w:tr w:rsidR="00FF12BF" w:rsidRPr="00FF12BF" w14:paraId="6E72E059"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D561D" w14:textId="77777777" w:rsidR="00FF12BF" w:rsidRPr="00FF12BF" w:rsidRDefault="00FF12BF" w:rsidP="00FF12BF">
            <w:pPr>
              <w:pStyle w:val="CDITable-RowLeft"/>
            </w:pPr>
            <w:r w:rsidRPr="00FF12BF">
              <w:t xml:space="preserve">MIS-C </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D6043" w14:textId="77777777" w:rsidR="00FF12BF" w:rsidRPr="00FF12BF" w:rsidRDefault="00FF12BF" w:rsidP="00FF12BF">
            <w:pPr>
              <w:pStyle w:val="CDITable-RowLeft"/>
            </w:pPr>
            <w:r w:rsidRPr="00FF12BF">
              <w:t>multisystem inflammatory syndrome in children</w:t>
            </w:r>
          </w:p>
        </w:tc>
      </w:tr>
      <w:tr w:rsidR="00FF12BF" w:rsidRPr="00FF12BF" w14:paraId="47F81680"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5B9D5" w14:textId="77777777" w:rsidR="00FF12BF" w:rsidRPr="00FF12BF" w:rsidRDefault="00FF12BF" w:rsidP="00FF12BF">
            <w:pPr>
              <w:pStyle w:val="CDITable-RowLeft"/>
            </w:pPr>
            <w:r w:rsidRPr="00FF12BF">
              <w:t>mRNA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6F1D4" w14:textId="77777777" w:rsidR="00FF12BF" w:rsidRPr="00FF12BF" w:rsidRDefault="00FF12BF" w:rsidP="00FF12BF">
            <w:pPr>
              <w:pStyle w:val="CDITable-RowLeft"/>
            </w:pPr>
            <w:r w:rsidRPr="00FF12BF">
              <w:t>messenger ribonucleic acid</w:t>
            </w:r>
          </w:p>
        </w:tc>
      </w:tr>
      <w:tr w:rsidR="00FF12BF" w:rsidRPr="00FF12BF" w14:paraId="5DD4E516"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40717" w14:textId="77777777" w:rsidR="00FF12BF" w:rsidRPr="00FF12BF" w:rsidRDefault="00FF12BF" w:rsidP="00FF12BF">
            <w:pPr>
              <w:pStyle w:val="CDITable-RowLeft"/>
            </w:pPr>
            <w:r w:rsidRPr="00FF12BF">
              <w:t>NCIRS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0C7FC" w14:textId="77777777" w:rsidR="00FF12BF" w:rsidRPr="00FF12BF" w:rsidRDefault="00FF12BF" w:rsidP="00FF12BF">
            <w:pPr>
              <w:pStyle w:val="CDITable-RowLeft"/>
            </w:pPr>
            <w:r w:rsidRPr="00FF12BF">
              <w:t xml:space="preserve">National Centre for Immunisation Research and Surveillance </w:t>
            </w:r>
          </w:p>
        </w:tc>
      </w:tr>
      <w:tr w:rsidR="00FF12BF" w:rsidRPr="00FF12BF" w14:paraId="1D5E549D"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57554" w14:textId="77777777" w:rsidR="00FF12BF" w:rsidRPr="00FF12BF" w:rsidRDefault="00FF12BF" w:rsidP="00FF12BF">
            <w:pPr>
              <w:pStyle w:val="CDITable-RowLeft"/>
            </w:pPr>
            <w:r w:rsidRPr="00FF12BF">
              <w:t>PT</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52E66B" w14:textId="77777777" w:rsidR="00FF12BF" w:rsidRPr="00FF12BF" w:rsidRDefault="00FF12BF" w:rsidP="00FF12BF">
            <w:pPr>
              <w:pStyle w:val="CDITable-RowLeft"/>
            </w:pPr>
            <w:r w:rsidRPr="00FF12BF">
              <w:t>preferred term(s)</w:t>
            </w:r>
          </w:p>
        </w:tc>
      </w:tr>
      <w:tr w:rsidR="00FF12BF" w:rsidRPr="00FF12BF" w14:paraId="4A4C231E"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0D849" w14:textId="77777777" w:rsidR="00FF12BF" w:rsidRPr="00FF12BF" w:rsidRDefault="00FF12BF" w:rsidP="00FF12BF">
            <w:pPr>
              <w:pStyle w:val="CDITable-RowLeft"/>
            </w:pPr>
            <w:r w:rsidRPr="00FF12BF">
              <w:t>RANZCOG</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D64CC6" w14:textId="77777777" w:rsidR="00FF12BF" w:rsidRPr="00FF12BF" w:rsidRDefault="00FF12BF" w:rsidP="00FF12BF">
            <w:pPr>
              <w:pStyle w:val="CDITable-RowLeft"/>
            </w:pPr>
            <w:r w:rsidRPr="00FF12BF">
              <w:t>Royal Australian and New Zealand College of Obstetricians and Gynaecologists</w:t>
            </w:r>
          </w:p>
        </w:tc>
      </w:tr>
      <w:tr w:rsidR="00FF12BF" w:rsidRPr="00FF12BF" w14:paraId="10C8701A"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C11E9" w14:textId="77777777" w:rsidR="00FF12BF" w:rsidRPr="00FF12BF" w:rsidRDefault="00FF12BF" w:rsidP="00FF12BF">
            <w:pPr>
              <w:pStyle w:val="CDITable-RowLeft"/>
            </w:pPr>
            <w:r w:rsidRPr="00FF12BF">
              <w:t>SMQ</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7F395" w14:textId="77777777" w:rsidR="00FF12BF" w:rsidRPr="00FF12BF" w:rsidRDefault="00FF12BF" w:rsidP="00FF12BF">
            <w:pPr>
              <w:pStyle w:val="CDITable-RowLeft"/>
            </w:pPr>
            <w:r w:rsidRPr="00FF12BF">
              <w:t xml:space="preserve">standardised MedDRA query </w:t>
            </w:r>
          </w:p>
        </w:tc>
      </w:tr>
      <w:tr w:rsidR="00FF12BF" w:rsidRPr="00FF12BF" w14:paraId="7780E743"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1482B" w14:textId="77777777" w:rsidR="00FF12BF" w:rsidRPr="00FF12BF" w:rsidRDefault="00FF12BF" w:rsidP="00FF12BF">
            <w:pPr>
              <w:pStyle w:val="CDITable-RowLeft"/>
            </w:pPr>
            <w:r w:rsidRPr="00FF12BF">
              <w:t>TGA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BA98B4" w14:textId="77777777" w:rsidR="00FF12BF" w:rsidRPr="00FF12BF" w:rsidRDefault="00FF12BF" w:rsidP="00FF12BF">
            <w:pPr>
              <w:pStyle w:val="CDITable-RowLeft"/>
            </w:pPr>
            <w:r w:rsidRPr="00FF12BF">
              <w:t xml:space="preserve">Therapeutic Goods Administration </w:t>
            </w:r>
          </w:p>
        </w:tc>
      </w:tr>
      <w:tr w:rsidR="00FF12BF" w:rsidRPr="00FF12BF" w14:paraId="5308EA2A"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4E62F" w14:textId="77777777" w:rsidR="00FF12BF" w:rsidRPr="00FF12BF" w:rsidRDefault="00FF12BF" w:rsidP="00FF12BF">
            <w:pPr>
              <w:pStyle w:val="CDITable-RowLeft"/>
            </w:pPr>
            <w:r w:rsidRPr="00FF12BF">
              <w:t>TTS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F61D5" w14:textId="77777777" w:rsidR="00FF12BF" w:rsidRPr="00FF12BF" w:rsidRDefault="00FF12BF" w:rsidP="00FF12BF">
            <w:pPr>
              <w:pStyle w:val="CDITable-RowLeft"/>
            </w:pPr>
            <w:r w:rsidRPr="00FF12BF">
              <w:t>thrombosis with thrombocytopenia syndrome</w:t>
            </w:r>
          </w:p>
        </w:tc>
      </w:tr>
      <w:tr w:rsidR="00FF12BF" w:rsidRPr="00FF12BF" w14:paraId="508D759B"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C3988" w14:textId="77777777" w:rsidR="00FF12BF" w:rsidRPr="00FF12BF" w:rsidRDefault="00FF12BF" w:rsidP="00FF12BF">
            <w:pPr>
              <w:pStyle w:val="CDITable-RowLeft"/>
            </w:pPr>
            <w:r w:rsidRPr="00FF12BF">
              <w:t>VAERS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7DBF1" w14:textId="77777777" w:rsidR="00FF12BF" w:rsidRPr="00FF12BF" w:rsidRDefault="00FF12BF" w:rsidP="00FF12BF">
            <w:pPr>
              <w:pStyle w:val="CDITable-RowLeft"/>
            </w:pPr>
            <w:r w:rsidRPr="00FF12BF">
              <w:t>Vaccine Adverse Event Reporting System</w:t>
            </w:r>
          </w:p>
        </w:tc>
      </w:tr>
      <w:tr w:rsidR="00FF12BF" w:rsidRPr="00FF12BF" w14:paraId="0B94CE23"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598F8" w14:textId="77777777" w:rsidR="00FF12BF" w:rsidRPr="00FF12BF" w:rsidRDefault="00FF12BF" w:rsidP="00FF12BF">
            <w:pPr>
              <w:pStyle w:val="CDITable-RowLeft"/>
            </w:pPr>
            <w:r w:rsidRPr="00FF12BF">
              <w:t>VSIG</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A3DE1" w14:textId="77777777" w:rsidR="00FF12BF" w:rsidRPr="00FF12BF" w:rsidRDefault="00FF12BF" w:rsidP="00FF12BF">
            <w:pPr>
              <w:pStyle w:val="CDITable-RowLeft"/>
            </w:pPr>
            <w:r w:rsidRPr="00FF12BF">
              <w:t>Vaccine Safety Investigation Group</w:t>
            </w:r>
          </w:p>
        </w:tc>
      </w:tr>
      <w:tr w:rsidR="00FF12BF" w:rsidRPr="00FF12BF" w14:paraId="56A24569" w14:textId="77777777" w:rsidTr="00FF12BF">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4CFAE" w14:textId="77777777" w:rsidR="00FF12BF" w:rsidRPr="00FF12BF" w:rsidRDefault="00FF12BF" w:rsidP="00FF12BF">
            <w:pPr>
              <w:pStyle w:val="CDITable-RowLeft"/>
            </w:pPr>
            <w:r w:rsidRPr="00FF12BF">
              <w:t>WHO</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0448A" w14:textId="77777777" w:rsidR="00FF12BF" w:rsidRPr="00FF12BF" w:rsidRDefault="00FF12BF" w:rsidP="00FF12BF">
            <w:pPr>
              <w:pStyle w:val="CDITable-RowLeft"/>
            </w:pPr>
            <w:r w:rsidRPr="00FF12BF">
              <w:t>World Health Organization</w:t>
            </w:r>
          </w:p>
        </w:tc>
      </w:tr>
    </w:tbl>
    <w:p w14:paraId="02701344" w14:textId="77777777" w:rsidR="00FF12BF" w:rsidRPr="00FF12BF" w:rsidRDefault="00FF12BF" w:rsidP="00FF12BF">
      <w:pPr>
        <w:pStyle w:val="CDIFigure-Title"/>
        <w:rPr>
          <w:lang w:val="en-GB"/>
        </w:rPr>
      </w:pPr>
      <w:bookmarkStart w:id="62" w:name="_Toc215578727"/>
      <w:r w:rsidRPr="00FF12BF">
        <w:rPr>
          <w:lang w:val="en-GB"/>
        </w:rPr>
        <w:lastRenderedPageBreak/>
        <w:t>Figure A.1: AEFI reports and reporting rates per 100,000 COVID-19 vaccine doses administered in 2021-2022, by reporter type</w:t>
      </w:r>
      <w:bookmarkEnd w:id="62"/>
    </w:p>
    <w:p w14:paraId="209FCF61" w14:textId="77777777" w:rsidR="00FF12BF" w:rsidRPr="00FF12BF" w:rsidRDefault="00FF12BF" w:rsidP="00FF12BF">
      <w:pPr>
        <w:keepNext/>
        <w:rPr>
          <w:lang w:val="en-GB"/>
        </w:rPr>
      </w:pPr>
      <w:r w:rsidRPr="00FF12BF">
        <w:rPr>
          <w:lang w:val="en-GB"/>
        </w:rPr>
        <w:t>a. Count of COVID-19 AEFI reports</w:t>
      </w:r>
    </w:p>
    <w:p w14:paraId="7F82336B" w14:textId="336BCCC1" w:rsidR="00FF12BF" w:rsidRDefault="00FF12BF" w:rsidP="00FF12BF">
      <w:pPr>
        <w:pStyle w:val="CDIFigure-Placeholder"/>
      </w:pPr>
      <w:r>
        <w:rPr>
          <w:noProof/>
          <w14:ligatures w14:val="none"/>
        </w:rPr>
        <w:drawing>
          <wp:inline distT="0" distB="0" distL="0" distR="0" wp14:anchorId="499ADCC8" wp14:editId="53BA44C2">
            <wp:extent cx="6120765" cy="3780155"/>
            <wp:effectExtent l="0" t="0" r="0" b="0"/>
            <wp:docPr id="1082892673" name="Picture 5" descr="Figure A.1 includes two line graphs describing the Australian adverse event reporting rates for all brands of COVID-19 vaccines, each month from January 2021 to December 2022, by the categorisation of the person who reported the AEFI. Figure S1a shows counts of reports, whereas Figure S1b shows reporting rates per 100,000 doses administered. In both graphs, substantially more adverse event reports were received from State or Territory health departments than all other reporter types. Reporting activity (in both counts and rates) have decreased sharply among all reporter types since the fourth quarter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92673" name="Picture 5" descr="Figure A.1 includes two line graphs describing the Australian adverse event reporting rates for all brands of COVID-19 vaccines, each month from January 2021 to December 2022, by the categorisation of the person who reported the AEFI. Figure S1a shows counts of reports, whereas Figure S1b shows reporting rates per 100,000 doses administered. In both graphs, substantially more adverse event reports were received from State or Territory health departments than all other reporter types. Reporting activity (in both counts and rates) have decreased sharply among all reporter types since the fourth quarter of 2021."/>
                    <pic:cNvPicPr/>
                  </pic:nvPicPr>
                  <pic:blipFill>
                    <a:blip r:embed="rId82">
                      <a:extLst>
                        <a:ext uri="{28A0092B-C50C-407E-A947-70E740481C1C}">
                          <a14:useLocalDpi xmlns:a14="http://schemas.microsoft.com/office/drawing/2010/main" val="0"/>
                        </a:ext>
                      </a:extLst>
                    </a:blip>
                    <a:stretch>
                      <a:fillRect/>
                    </a:stretch>
                  </pic:blipFill>
                  <pic:spPr>
                    <a:xfrm>
                      <a:off x="0" y="0"/>
                      <a:ext cx="6120765" cy="3780155"/>
                    </a:xfrm>
                    <a:prstGeom prst="rect">
                      <a:avLst/>
                    </a:prstGeom>
                  </pic:spPr>
                </pic:pic>
              </a:graphicData>
            </a:graphic>
          </wp:inline>
        </w:drawing>
      </w:r>
    </w:p>
    <w:p w14:paraId="3658C9B9" w14:textId="77777777" w:rsidR="00FF12BF" w:rsidRPr="00FF12BF" w:rsidRDefault="00FF12BF" w:rsidP="00FF12BF">
      <w:pPr>
        <w:pStyle w:val="Normal-morespacebefore"/>
        <w:rPr>
          <w:lang w:val="en-GB"/>
        </w:rPr>
      </w:pPr>
      <w:r w:rsidRPr="00FF12BF">
        <w:rPr>
          <w:lang w:val="en-GB"/>
        </w:rPr>
        <w:t>b. AEFI reporting rates per 100,000 doses of COVID-19 vaccines administered</w:t>
      </w:r>
    </w:p>
    <w:p w14:paraId="32D9FE0A" w14:textId="1B1EAD40" w:rsidR="00B96E5E" w:rsidRPr="0058264F" w:rsidRDefault="00FF12BF" w:rsidP="00FF12BF">
      <w:pPr>
        <w:pStyle w:val="CDIFigure-Placeholder"/>
      </w:pPr>
      <w:r>
        <w:rPr>
          <w:noProof/>
          <w14:ligatures w14:val="none"/>
        </w:rPr>
        <w:drawing>
          <wp:inline distT="0" distB="0" distL="0" distR="0" wp14:anchorId="02E9223B" wp14:editId="3BFEC88F">
            <wp:extent cx="6120765" cy="3780155"/>
            <wp:effectExtent l="0" t="0" r="0" b="0"/>
            <wp:docPr id="1116053025" name="Picture 6" descr="Figure A.1 includes two line graphs describing the Australian adverse event reporting rates for all brands of COVID-19 vaccines, each month from January 2021 to December 2022, by the categorisation of the person who reported the AEFI. Figure S1a shows counts of reports, whereas Figure S1b shows reporting rates per 100,000 doses administered. In both graphs, substantially more adverse event reports were received from State or Territory health departments than all other reporter types. Reporting activity (in both counts and rates) have decreased sharply among all reporter types since the fourth quarter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53025" name="Picture 6" descr="Figure A.1 includes two line graphs describing the Australian adverse event reporting rates for all brands of COVID-19 vaccines, each month from January 2021 to December 2022, by the categorisation of the person who reported the AEFI. Figure S1a shows counts of reports, whereas Figure S1b shows reporting rates per 100,000 doses administered. In both graphs, substantially more adverse event reports were received from State or Territory health departments than all other reporter types. Reporting activity (in both counts and rates) have decreased sharply among all reporter types since the fourth quarter of 2021."/>
                    <pic:cNvPicPr/>
                  </pic:nvPicPr>
                  <pic:blipFill>
                    <a:blip r:embed="rId83">
                      <a:extLst>
                        <a:ext uri="{28A0092B-C50C-407E-A947-70E740481C1C}">
                          <a14:useLocalDpi xmlns:a14="http://schemas.microsoft.com/office/drawing/2010/main" val="0"/>
                        </a:ext>
                      </a:extLst>
                    </a:blip>
                    <a:stretch>
                      <a:fillRect/>
                    </a:stretch>
                  </pic:blipFill>
                  <pic:spPr>
                    <a:xfrm>
                      <a:off x="0" y="0"/>
                      <a:ext cx="6120765" cy="3780155"/>
                    </a:xfrm>
                    <a:prstGeom prst="rect">
                      <a:avLst/>
                    </a:prstGeom>
                  </pic:spPr>
                </pic:pic>
              </a:graphicData>
            </a:graphic>
          </wp:inline>
        </w:drawing>
      </w:r>
    </w:p>
    <w:sectPr w:rsidR="00B96E5E"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41488" w14:textId="77777777" w:rsidR="00CB5315" w:rsidRDefault="00CB5315" w:rsidP="00E54DBA">
      <w:r>
        <w:separator/>
      </w:r>
    </w:p>
    <w:p w14:paraId="7134714E" w14:textId="77777777" w:rsidR="00CB5315" w:rsidRDefault="00CB5315"/>
    <w:p w14:paraId="03EBBD9E" w14:textId="77777777" w:rsidR="00CB5315" w:rsidRDefault="00CB5315" w:rsidP="008714B0"/>
  </w:endnote>
  <w:endnote w:type="continuationSeparator" w:id="0">
    <w:p w14:paraId="7F17AA1D" w14:textId="77777777" w:rsidR="00CB5315" w:rsidRDefault="00CB5315" w:rsidP="00E54DBA">
      <w:r>
        <w:continuationSeparator/>
      </w:r>
    </w:p>
    <w:p w14:paraId="49E60F7F" w14:textId="77777777" w:rsidR="00CB5315" w:rsidRDefault="00CB5315"/>
    <w:p w14:paraId="19ED69CF" w14:textId="77777777" w:rsidR="00CB5315" w:rsidRDefault="00CB531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F361"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576CDCD2" wp14:editId="06604374">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7873B7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6CDCD2"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7873B7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602F" w14:textId="3F5003A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B5315">
        <w:t>2025</w:t>
      </w:r>
    </w:fldSimple>
    <w:r w:rsidR="009B78A9">
      <w:t>;</w:t>
    </w:r>
    <w:fldSimple w:instr=" DOCPROPERTY  Vol  \* MERGEFORMAT ">
      <w:r w:rsidR="00CB5315">
        <w:t>49</w:t>
      </w:r>
    </w:fldSimple>
    <w:r w:rsidR="00385655" w:rsidRPr="001D0612">
      <w:t xml:space="preserve"> </w:t>
    </w:r>
    <w:r w:rsidR="00385655" w:rsidRPr="00B85B74">
      <w:t>•</w:t>
    </w:r>
    <w:r w:rsidR="00385655">
      <w:t xml:space="preserve"> </w:t>
    </w:r>
    <w:fldSimple w:instr=" DOCPROPERTY  DOI  \* MERGEFORMAT ">
      <w:r w:rsidR="00F25CB3">
        <w:t>doi.org/10.33321/cdi.2025.49.044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F25CB3">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FEF5"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51F578A4" wp14:editId="512209EA">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54F6E86"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578A4"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54F6E86"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9CE35" w14:textId="77777777" w:rsidR="00CB5315" w:rsidRPr="00B91FB5" w:rsidRDefault="00CB5315" w:rsidP="00B91FB5">
      <w:pPr>
        <w:spacing w:line="240" w:lineRule="auto"/>
        <w:rPr>
          <w:sz w:val="18"/>
          <w:szCs w:val="18"/>
        </w:rPr>
      </w:pPr>
      <w:r w:rsidRPr="00B91FB5">
        <w:rPr>
          <w:sz w:val="18"/>
          <w:szCs w:val="18"/>
        </w:rPr>
        <w:separator/>
      </w:r>
    </w:p>
  </w:footnote>
  <w:footnote w:type="continuationSeparator" w:id="0">
    <w:p w14:paraId="345BC11C" w14:textId="77777777" w:rsidR="00CB5315" w:rsidRDefault="00CB5315" w:rsidP="00E54DBA">
      <w:r>
        <w:continuationSeparator/>
      </w:r>
    </w:p>
  </w:footnote>
  <w:footnote w:type="continuationNotice" w:id="1">
    <w:p w14:paraId="51A7DD16" w14:textId="77777777" w:rsidR="00CB5315" w:rsidRPr="00224EFF" w:rsidRDefault="00CB5315" w:rsidP="00224EFF"/>
  </w:footnote>
  <w:footnote w:id="2">
    <w:p w14:paraId="06FCAFDC" w14:textId="168555A5" w:rsidR="00F25CB3" w:rsidRDefault="00F25CB3" w:rsidP="00F25CB3">
      <w:pPr>
        <w:pStyle w:val="FootnoteText"/>
      </w:pPr>
      <w:r w:rsidRPr="00F25CB3">
        <w:footnoteRef/>
      </w:r>
      <w:r>
        <w:tab/>
        <w:t>Abbreviations used in this report are defined in Appendix A, Table A.5.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D4C4"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6F27C3C3" wp14:editId="638DF13F">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126BAD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27C3C3"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126BAD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2589"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9B64"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3608607B" wp14:editId="7A6A1005">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1932B9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8607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1932B9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07E060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665276875">
    <w:abstractNumId w:val="1"/>
    <w:lvlOverride w:ilvl="0">
      <w:startOverride w:val="1"/>
    </w:lvlOverride>
  </w:num>
  <w:num w:numId="11" w16cid:durableId="448403505">
    <w:abstractNumId w:val="1"/>
    <w:lvlOverride w:ilvl="0">
      <w:startOverride w:val="1"/>
    </w:lvlOverride>
  </w:num>
  <w:num w:numId="12" w16cid:durableId="15237354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1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4BE"/>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97F"/>
    <w:rsid w:val="000C6C55"/>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2B21"/>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2DC3"/>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2276"/>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195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33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5B9C"/>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4904"/>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40C8"/>
    <w:rsid w:val="00665BBE"/>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1536A"/>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114"/>
    <w:rsid w:val="0076543B"/>
    <w:rsid w:val="007677E6"/>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1FC6"/>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86D5E"/>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5C15"/>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CB2"/>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342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96E5E"/>
    <w:rsid w:val="00BA2598"/>
    <w:rsid w:val="00BA4697"/>
    <w:rsid w:val="00BA5893"/>
    <w:rsid w:val="00BB0C53"/>
    <w:rsid w:val="00BB3320"/>
    <w:rsid w:val="00BB5378"/>
    <w:rsid w:val="00BB589B"/>
    <w:rsid w:val="00BB6F53"/>
    <w:rsid w:val="00BC086C"/>
    <w:rsid w:val="00BC0BD3"/>
    <w:rsid w:val="00BC40D9"/>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6E70"/>
    <w:rsid w:val="00CA757A"/>
    <w:rsid w:val="00CB15E1"/>
    <w:rsid w:val="00CB3460"/>
    <w:rsid w:val="00CB3D46"/>
    <w:rsid w:val="00CB3D75"/>
    <w:rsid w:val="00CB531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0059"/>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93C42"/>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6A18"/>
    <w:rsid w:val="00DF78F3"/>
    <w:rsid w:val="00E005A9"/>
    <w:rsid w:val="00E03579"/>
    <w:rsid w:val="00E040CF"/>
    <w:rsid w:val="00E062E0"/>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5CB3"/>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396"/>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12B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5D547"/>
  <w15:docId w15:val="{A907372E-4DC7-42D4-8C3F-A55ABBE6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2BF"/>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F25CB3"/>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F25CB3"/>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FF12B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FF12B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DF6A1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DF6A18"/>
    <w:pPr>
      <w:spacing w:before="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g"/><Relationship Id="rId21" Type="http://schemas.openxmlformats.org/officeDocument/2006/relationships/footer" Target="footer1.xml"/><Relationship Id="rId42" Type="http://schemas.openxmlformats.org/officeDocument/2006/relationships/hyperlink" Target="https://brightoncollaboration.us/wp-content/uploads/2021/03/SPEAC_D2.5.2.1_Aseptic-Meningitis-Case-Definition-Companion-Guide_V1.0_format12069-1.pdf" TargetMode="External"/><Relationship Id="rId47" Type="http://schemas.openxmlformats.org/officeDocument/2006/relationships/hyperlink" Target="https://brightoncollaboration.us/wp-content/uploads/2022/05/SPEAC_D2.5.2.2_Myocarditis-companion-guide_codes-updated_BL_2022_May12.pdf" TargetMode="External"/><Relationship Id="rId63" Type="http://schemas.openxmlformats.org/officeDocument/2006/relationships/hyperlink" Target="https://www.aihw.gov.au/reports/australias-health/covid-19" TargetMode="External"/><Relationship Id="rId68" Type="http://schemas.openxmlformats.org/officeDocument/2006/relationships/hyperlink" Target="https://doi.org/10.15585/mmwr.mm7133a3" TargetMode="External"/><Relationship Id="rId84" Type="http://schemas.openxmlformats.org/officeDocument/2006/relationships/fontTable" Target="fontTable.xml"/><Relationship Id="rId16" Type="http://schemas.openxmlformats.org/officeDocument/2006/relationships/hyperlink" Target="https://www.cdc.gov.au/topics/communicable-diseases/cdi" TargetMode="External"/><Relationship Id="rId11" Type="http://schemas.openxmlformats.org/officeDocument/2006/relationships/hyperlink" Target="https://creativecommons.org/licenses/by-nc-nd/4.0/legalcode" TargetMode="External"/><Relationship Id="rId32" Type="http://schemas.openxmlformats.org/officeDocument/2006/relationships/hyperlink" Target="https://www.tga.gov.au/safety/reporting-problems/reporting-adverse-events" TargetMode="External"/><Relationship Id="rId37" Type="http://schemas.openxmlformats.org/officeDocument/2006/relationships/hyperlink" Target="https://admin.meddra.org/sites/default/files/guidance/file/SMQ_intguide_26_1_English.pdf" TargetMode="External"/><Relationship Id="rId53" Type="http://schemas.openxmlformats.org/officeDocument/2006/relationships/hyperlink" Target="https://www.servicesaustralia.gov.au/australian-immunisation-register" TargetMode="External"/><Relationship Id="rId58" Type="http://schemas.openxmlformats.org/officeDocument/2006/relationships/hyperlink" Target="https://www.tga.gov.au/safety/database-adverse-event-notifications-daen" TargetMode="External"/><Relationship Id="rId74" Type="http://schemas.openxmlformats.org/officeDocument/2006/relationships/hyperlink" Target="https://www.health.gov.au/sites/default/files/2024-08/atagi-clinical-guidance-on-covid-19-vaccine-administration-errors.pdf" TargetMode="External"/><Relationship Id="rId79" Type="http://schemas.openxmlformats.org/officeDocument/2006/relationships/hyperlink" Target="https://doi.org/10.3390/vaccines12090971" TargetMode="External"/><Relationship Id="rId5" Type="http://schemas.openxmlformats.org/officeDocument/2006/relationships/settings" Target="settings.xml"/><Relationship Id="rId19" Type="http://schemas.openxmlformats.org/officeDocument/2006/relationships/header" Target="header1.xml"/><Relationship Id="rId14" Type="http://schemas.openxmlformats.org/officeDocument/2006/relationships/hyperlink" Target="https://www.cdc.gov.au/topics/communicable-diseases/cdi/authors" TargetMode="External"/><Relationship Id="rId22" Type="http://schemas.openxmlformats.org/officeDocument/2006/relationships/footer" Target="footer2.xml"/><Relationship Id="rId27" Type="http://schemas.openxmlformats.org/officeDocument/2006/relationships/image" Target="media/image5.jpg"/><Relationship Id="rId30" Type="http://schemas.openxmlformats.org/officeDocument/2006/relationships/hyperlink" Target="https://ncirs.org.au/sites/default/files/2025-04/COVID-19_March%202025.pdf" TargetMode="External"/><Relationship Id="rId35" Type="http://schemas.openxmlformats.org/officeDocument/2006/relationships/hyperlink" Target="https://admin.meddra.org/sites/default/files/guidance/file/intguide_26_1_English.pdf" TargetMode="External"/><Relationship Id="rId43" Type="http://schemas.openxmlformats.org/officeDocument/2006/relationships/hyperlink" Target="https://brightoncollaboration.us/wp-content/uploads/2021/10/SPEAC_D2.5.2.1_Facial-Nerve-Palsy-Case-Definition-Companion-Guide_V1.0_format12067-1.pdf" TargetMode="External"/><Relationship Id="rId48" Type="http://schemas.openxmlformats.org/officeDocument/2006/relationships/hyperlink" Target="https://brightoncollaboration.us/wp-content/uploads/2021/03/SPEAC_D2.5.2.1-Thrombocytopenia-Case-Definition-Companion-Guide_V1.0_format12065-1.pdf" TargetMode="External"/><Relationship Id="rId56" Type="http://schemas.openxmlformats.org/officeDocument/2006/relationships/hyperlink" Target="https://www.abs.gov.au/statistics/people/population/national-state-and-territory-population/jun-2022" TargetMode="External"/><Relationship Id="rId64" Type="http://schemas.openxmlformats.org/officeDocument/2006/relationships/hyperlink" Target="https://www.health.gov.au/news/atagi-recommendations-on-covid-19-vaccine-use-in-children-aged-6-months-to" TargetMode="External"/><Relationship Id="rId69" Type="http://schemas.openxmlformats.org/officeDocument/2006/relationships/hyperlink" Target="https://doi.org/10.1542/peds.2022-057313" TargetMode="External"/><Relationship Id="rId77" Type="http://schemas.openxmlformats.org/officeDocument/2006/relationships/hyperlink" Target="https://www.abs.gov.au/statistics/health/causes-death/causes-death-australia/2022" TargetMode="External"/><Relationship Id="rId8" Type="http://schemas.openxmlformats.org/officeDocument/2006/relationships/endnotes" Target="endnotes.xml"/><Relationship Id="rId51" Type="http://schemas.openxmlformats.org/officeDocument/2006/relationships/hyperlink" Target="https://www.who.int/publications/i/item/9789241516990" TargetMode="External"/><Relationship Id="rId72" Type="http://schemas.openxmlformats.org/officeDocument/2006/relationships/hyperlink" Target="https://www.tga.gov.au/news/covid-19-vaccine-safety-reports/covid-19-vaccine-weekly-safety-report-10-02-2022" TargetMode="External"/><Relationship Id="rId80" Type="http://schemas.openxmlformats.org/officeDocument/2006/relationships/hyperlink" Target="https://doi.org/10.1016/j.vaccine.2015.07.035" TargetMode="Externa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3.jpg"/><Relationship Id="rId33" Type="http://schemas.openxmlformats.org/officeDocument/2006/relationships/hyperlink" Target="https://doi.org/10.33321/cdi.2024.48.2" TargetMode="External"/><Relationship Id="rId38" Type="http://schemas.openxmlformats.org/officeDocument/2006/relationships/hyperlink" Target="https://brightoncollaboration.us/wp-content/uploads/2022/11/Updated-COVID-19-AESI-list_Oct2022.pdf" TargetMode="External"/><Relationship Id="rId46" Type="http://schemas.openxmlformats.org/officeDocument/2006/relationships/hyperlink" Target="https://brightoncollaboration.us/wp-content/uploads/2021/03/SPEAC_D2.5.2.1-GBS-Case-Definition-Companion-Guide_V1.0_format12062-1.pdf" TargetMode="External"/><Relationship Id="rId59" Type="http://schemas.openxmlformats.org/officeDocument/2006/relationships/hyperlink" Target="https://www.tga.gov.au/resources/resource/reference-material/daen-medicines-information-consumers" TargetMode="External"/><Relationship Id="rId67" Type="http://schemas.openxmlformats.org/officeDocument/2006/relationships/hyperlink" Target="https://immunisationhandbook.health.gov.au/recommendations/vaccinated-pregnant-women-may-consider-a-further-dose-during-pregnancy" TargetMode="External"/><Relationship Id="rId20" Type="http://schemas.openxmlformats.org/officeDocument/2006/relationships/header" Target="header2.xml"/><Relationship Id="rId41" Type="http://schemas.openxmlformats.org/officeDocument/2006/relationships/hyperlink" Target="https://brightoncollaboration.org/wp-content/uploads/2023/06/SPEAC_D2.5.2.2_ARDS-Case-Definition-Companion-Guide-V1.0-17Oct2022-1.pdf" TargetMode="External"/><Relationship Id="rId54" Type="http://schemas.openxmlformats.org/officeDocument/2006/relationships/hyperlink" Target="https://www.health.gov.au/news/mandatory-reporting-of-national-immunisation-program-vaccines-to-the-australian-immunisation-register-began-on-1-july-2021" TargetMode="External"/><Relationship Id="rId62" Type="http://schemas.openxmlformats.org/officeDocument/2006/relationships/hyperlink" Target="https://www.tga.gov.au/news/covid-19-vaccine-safety-reports/covid-19-vaccine-weekly-safety-report-19-05-2022" TargetMode="External"/><Relationship Id="rId70" Type="http://schemas.openxmlformats.org/officeDocument/2006/relationships/hyperlink" Target="https://doi.org/10.1016/S2352-4642(23)00078-0" TargetMode="External"/><Relationship Id="rId75" Type="http://schemas.openxmlformats.org/officeDocument/2006/relationships/hyperlink" Target="https://www.health.wa.gov.au/~/media/Corp/Documents/Health-for/Immunisation/Western-Australia-Vaccine-Safety-Surveillance-Annual-Report-2022.pdf" TargetMode="External"/><Relationship Id="rId83"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header" Target="header3.xml"/><Relationship Id="rId28" Type="http://schemas.openxmlformats.org/officeDocument/2006/relationships/hyperlink" Target="mailto:yuanfei.huang@health.nsw.gov.au" TargetMode="External"/><Relationship Id="rId36" Type="http://schemas.openxmlformats.org/officeDocument/2006/relationships/hyperlink" Target="https://www.meddra.org/standardised-meddra-queries" TargetMode="External"/><Relationship Id="rId49" Type="http://schemas.openxmlformats.org/officeDocument/2006/relationships/hyperlink" Target="https://zenodo.org/records/7181081" TargetMode="External"/><Relationship Id="rId57" Type="http://schemas.openxmlformats.org/officeDocument/2006/relationships/hyperlink" Target="https://www.R-project.org/"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www.who.int/publications/m/item/9789290360834" TargetMode="External"/><Relationship Id="rId44" Type="http://schemas.openxmlformats.org/officeDocument/2006/relationships/hyperlink" Target="https://brightoncollaboration.us/wp-content/uploads/2021/03/SPEAC_D2.5.2.1_Encephalitis-Case-Definition-Companion-Guide_V1.0_format12064-1.pdf" TargetMode="External"/><Relationship Id="rId52" Type="http://schemas.openxmlformats.org/officeDocument/2006/relationships/hyperlink" Target="https://www.tga.gov.au/news/safety-alerts/third-australian-case-thrombosis-likely-linked-astrazeneca-chadox1-s-covid-19-vaccine" TargetMode="External"/><Relationship Id="rId60" Type="http://schemas.openxmlformats.org/officeDocument/2006/relationships/hyperlink" Target="https://doi.org/10.33321/cdi.2025.49.043" TargetMode="External"/><Relationship Id="rId65" Type="http://schemas.openxmlformats.org/officeDocument/2006/relationships/hyperlink" Target="https://ranzcog.edu.au/news/covid-19-vaccination-pregnant-breastfeeding/" TargetMode="External"/><Relationship Id="rId73" Type="http://schemas.openxmlformats.org/officeDocument/2006/relationships/hyperlink" Target="https://www.health.gov.au/sites/default/files/2024-11/covid-19-vaccines-in-australia-a3-poster.pdf" TargetMode="External"/><Relationship Id="rId78" Type="http://schemas.openxmlformats.org/officeDocument/2006/relationships/hyperlink" Target="https://www.health.gov.au/resources/publications/vaccine-safety-in-australia-ausvaxsafety-summary-report-2022" TargetMode="External"/><Relationship Id="rId81" Type="http://schemas.openxmlformats.org/officeDocument/2006/relationships/hyperlink" Target="https://doi.org/10.5694/mja2.50971"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hyperlink" Target="https://brightoncollaboration.us/wp-content/uploads/2021/03/SPEAC_D2.5.2.1_ADEM-Case-Definition-Companion-Guide_V1.0_format12063-1.pdf" TargetMode="External"/><Relationship Id="rId34" Type="http://schemas.openxmlformats.org/officeDocument/2006/relationships/hyperlink" Target="https://doi.org/10.5694/mja2.52381" TargetMode="External"/><Relationship Id="rId50" Type="http://schemas.openxmlformats.org/officeDocument/2006/relationships/hyperlink" Target="https://www.who.int/publications/i/item/9789241507769" TargetMode="External"/><Relationship Id="rId55" Type="http://schemas.openxmlformats.org/officeDocument/2006/relationships/hyperlink" Target="https://doi.org/10.33321/cdi.2025.49.023" TargetMode="External"/><Relationship Id="rId76" Type="http://schemas.openxmlformats.org/officeDocument/2006/relationships/hyperlink" Target="https://www.tga.gov.au/news/covid-19-vaccine-safety-reports/covid-19-vaccine-safety-report-29-06-2023" TargetMode="External"/><Relationship Id="rId7" Type="http://schemas.openxmlformats.org/officeDocument/2006/relationships/footnotes" Target="footnotes.xml"/><Relationship Id="rId71" Type="http://schemas.openxmlformats.org/officeDocument/2006/relationships/hyperlink" Target="https://www.who.int/news/item/30-08-2022-statement-covid-19-immunization-errors-children" TargetMode="External"/><Relationship Id="rId2" Type="http://schemas.openxmlformats.org/officeDocument/2006/relationships/customXml" Target="../customXml/item2.xml"/><Relationship Id="rId29" Type="http://schemas.openxmlformats.org/officeDocument/2006/relationships/hyperlink" Target="https://doi.org/10.33321/cdi.2023.47.42" TargetMode="External"/><Relationship Id="rId24" Type="http://schemas.openxmlformats.org/officeDocument/2006/relationships/footer" Target="footer3.xml"/><Relationship Id="rId40" Type="http://schemas.openxmlformats.org/officeDocument/2006/relationships/hyperlink" Target="https://brightoncollaboration.us/wp-content/uploads/2021/03/SPEAC_D2.5.2.1_Anaphylaxis-Case-Definition-Companion-Guide_V1.0-12070-1.pdf" TargetMode="External"/><Relationship Id="rId45" Type="http://schemas.openxmlformats.org/officeDocument/2006/relationships/hyperlink" Target="https://brightoncollaboration.us/wp-content/uploads/2021/03/SPEAC_D2.5.2.1_Generalised-Convulsion-Case-Definition-Companion-Guide-V1.0_format12068-1.pdf" TargetMode="External"/><Relationship Id="rId66" Type="http://schemas.openxmlformats.org/officeDocument/2006/relationships/hyperlink" Target="https://www.health.gov.au/sites/default/files/2024-01/covid-19-vaccination-shared-decision-making-guide-for-women-who-are-pregnant-breastfeeding-or-planning-pregnancy.pdf" TargetMode="External"/><Relationship Id="rId61" Type="http://schemas.openxmlformats.org/officeDocument/2006/relationships/hyperlink" Target="https://www.tga.gov.au/news/covid-19-vaccine-safety-reports/covid-19-vaccine-safety-report-23-09-2022" TargetMode="External"/><Relationship Id="rId82"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3</TotalTime>
  <Pages>54</Pages>
  <Words>16217</Words>
  <Characters>95723</Characters>
  <Application>Microsoft Office Word</Application>
  <DocSecurity>0</DocSecurity>
  <Lines>2479</Lines>
  <Paragraphs>1425</Paragraphs>
  <ScaleCrop>false</ScaleCrop>
  <HeadingPairs>
    <vt:vector size="2" baseType="variant">
      <vt:variant>
        <vt:lpstr>Title</vt:lpstr>
      </vt:variant>
      <vt:variant>
        <vt:i4>1</vt:i4>
      </vt:variant>
    </vt:vector>
  </HeadingPairs>
  <TitlesOfParts>
    <vt:vector size="1" baseType="lpstr">
      <vt:lpstr>Communicable Diseases Intelligence - Surveillance of adverse events following immunisation in Australia annual report, COVID-19 vaccines, 2022</vt:lpstr>
    </vt:vector>
  </TitlesOfParts>
  <Company>interim Australian Centre for Disease Control within the Department of Health, Disability and Ageing</Company>
  <LinksUpToDate>false</LinksUpToDate>
  <CharactersWithSpaces>110513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Surveillance of adverse events following immunisation in Australia annual report, COVID-19 vaccines, 2022</dc:title>
  <dc:subject>The Therapeutic Goods Administration monitors the safety of vaccines in Australia through collecting and reviewing spontaneous reports of adverse events following immunisation. This report describes the data collected through this spontaneous surveillance system in 2022 for all COVID-19 vaccines.</dc:subject>
  <dc:creator>Yuanfei Anny Huang; Claire Larter; Megan Hickie; Megan O’Moore; Belinda Jones; Lucy Deng; Sophie Russell; Elspeth Kay; Kristine Macartney; Nicholas Wood</dc:creator>
  <cp:keywords>AEFI; coronavirus disease 2019; COVID-19; adverse events; vaccines; surveillance; immunisation; vaccine</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2025-12-02T03:50:00Z</dcterms:created>
  <dcterms:modified xsi:type="dcterms:W3CDTF">2025-12-04T22:59:00Z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doi.org/10.33321/cdi.2025.49.044</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