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CE706" w14:textId="796F7D4D"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554225FA" wp14:editId="65B7D8CF">
            <wp:simplePos x="0" y="0"/>
            <wp:positionH relativeFrom="page">
              <wp:align>left</wp:align>
            </wp:positionH>
            <wp:positionV relativeFrom="page">
              <wp:align>top</wp:align>
            </wp:positionV>
            <wp:extent cx="7560000" cy="10692000"/>
            <wp:effectExtent l="0" t="0" r="3175" b="0"/>
            <wp:wrapNone/>
            <wp:docPr id="632511823" name="Picture 1" descr="Dark blue shape displaying the logo of Communicable Diseases Intelligence. White and light blue shapes feature a lockup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displaying the logos of the interim Australian Centre for Disease Control and the Department of Health, Disability and Ageing."/>
                    <pic:cNvPicPr/>
                  </pic:nvPicPr>
                  <pic:blipFill>
                    <a:blip r:embed="rId9"/>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0E54C3">
          <w:t>2025</w:t>
        </w:r>
      </w:fldSimple>
      <w:r w:rsidR="00D22CC8" w:rsidRPr="00B85B74">
        <w:t xml:space="preserve"> • Volume </w:t>
      </w:r>
      <w:fldSimple w:instr=" DOCPROPERTY  Vol  \* MERGEFORMAT ">
        <w:r w:rsidR="000E54C3">
          <w:t>49</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74581A">
          <w:t>17.12.2025</w:t>
        </w:r>
      </w:fldSimple>
      <w:r w:rsidR="00700338">
        <w:t xml:space="preserve"> </w:t>
      </w:r>
      <w:r w:rsidR="00700338" w:rsidRPr="00B85B74">
        <w:t xml:space="preserve">• </w:t>
      </w:r>
      <w:fldSimple w:instr=" DOCPROPERTY  DOI  \* MERGEFORMAT ">
        <w:r w:rsidR="0074581A">
          <w:t>doi.org/10.33321/cdi.2025.49.043</w:t>
        </w:r>
      </w:fldSimple>
    </w:p>
    <w:p w14:paraId="3DB7BA88" w14:textId="3D319416" w:rsidR="006B16A5" w:rsidRPr="0074581A" w:rsidRDefault="0074581A" w:rsidP="0074581A">
      <w:pPr>
        <w:pStyle w:val="Title"/>
      </w:pPr>
      <w:r w:rsidRPr="0074581A">
        <w:t>Surveillance of adverse events following immunisation in Australia annual report, 2022</w:t>
      </w:r>
    </w:p>
    <w:p w14:paraId="4C7BB5B8" w14:textId="656485BC" w:rsidR="00013B65" w:rsidRDefault="0074581A" w:rsidP="0074581A">
      <w:pPr>
        <w:pStyle w:val="Subtitle"/>
      </w:pPr>
      <w:r>
        <w:t>Yuanfei Anny Huang, Claire Larter, Megan Hickie, Megan O’Moore, Belinda Jones, Lucy Deng, Sophie Russell, Elspeth Kay, Kristine Macartney and Nicholas Wood</w:t>
      </w:r>
      <w:r w:rsidR="00013B65">
        <w:br w:type="page"/>
      </w:r>
    </w:p>
    <w:p w14:paraId="40F7242B"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0E54C3">
          <w:t>2025</w:t>
        </w:r>
      </w:fldSimple>
      <w:r w:rsidRPr="0089025E">
        <w:t xml:space="preserve"> Commonwealth of Australia as represented by the </w:t>
      </w:r>
      <w:r w:rsidR="007B537E">
        <w:t>Department of Health</w:t>
      </w:r>
      <w:r w:rsidR="0022524E">
        <w:t>, Disability</w:t>
      </w:r>
      <w:r w:rsidR="007B537E">
        <w:t xml:space="preserve"> and </w:t>
      </w:r>
      <w:r w:rsidR="0022524E">
        <w:t>Ageing</w:t>
      </w:r>
    </w:p>
    <w:p w14:paraId="643354AB" w14:textId="77777777" w:rsidR="00B52457" w:rsidRPr="0089025E" w:rsidRDefault="00B52457" w:rsidP="00087CC4">
      <w:pPr>
        <w:pStyle w:val="CDICopyright"/>
      </w:pPr>
      <w:r w:rsidRPr="0089025E">
        <w:t>ISSN: 2209-6051 Online</w:t>
      </w:r>
    </w:p>
    <w:p w14:paraId="2044162A" w14:textId="77777777" w:rsidR="00B52457" w:rsidRDefault="00B52457" w:rsidP="00087CC4">
      <w:pPr>
        <w:pStyle w:val="CDICopyright"/>
      </w:pPr>
      <w:r w:rsidRPr="0089025E">
        <w:t>This journal is indexed by Index Medicus and Medline.</w:t>
      </w:r>
    </w:p>
    <w:p w14:paraId="6F130E44" w14:textId="77777777" w:rsidR="00B52457" w:rsidRPr="007F2B27" w:rsidRDefault="00B52457" w:rsidP="00CC3648">
      <w:pPr>
        <w:pStyle w:val="CDICopyrightHeading"/>
      </w:pPr>
      <w:r w:rsidRPr="007F2B27">
        <w:t>Creative Commons Licence</w:t>
      </w:r>
    </w:p>
    <w:p w14:paraId="49172BB5"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18F492E7" w14:textId="77777777" w:rsidR="00B52457" w:rsidRPr="007F2B27" w:rsidRDefault="00B52457" w:rsidP="00CC3648">
      <w:pPr>
        <w:pStyle w:val="CDICopyrightHeading"/>
      </w:pPr>
      <w:r w:rsidRPr="007F2B27">
        <w:t>Restrictions</w:t>
      </w:r>
    </w:p>
    <w:p w14:paraId="79B45AB7"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17092488"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p>
    <w:p w14:paraId="54CB273C" w14:textId="77777777" w:rsidR="00B52457" w:rsidRPr="003C23C9" w:rsidRDefault="0022524E" w:rsidP="00E9313B">
      <w:pPr>
        <w:pStyle w:val="CDICopyrightBullets"/>
      </w:pPr>
      <w:r w:rsidRPr="0022524E">
        <w:t>any logos (including the interim Australian Centre for Disease Control and the Department of Health, Disability and Ageing’s logos) and trademarks</w:t>
      </w:r>
      <w:r w:rsidR="00B52457" w:rsidRPr="003C23C9">
        <w:t>;</w:t>
      </w:r>
    </w:p>
    <w:p w14:paraId="10ACFA9F" w14:textId="77777777" w:rsidR="00B52457" w:rsidRPr="00E9313B" w:rsidRDefault="00B52457" w:rsidP="00E9313B">
      <w:pPr>
        <w:pStyle w:val="CDICopyrightBullets"/>
      </w:pPr>
      <w:r w:rsidRPr="00E9313B">
        <w:t xml:space="preserve">any photographs and images; </w:t>
      </w:r>
    </w:p>
    <w:p w14:paraId="571766B9" w14:textId="77777777" w:rsidR="00B52457" w:rsidRPr="00E9313B" w:rsidRDefault="00B52457" w:rsidP="00E9313B">
      <w:pPr>
        <w:pStyle w:val="CDICopyrightBullets"/>
      </w:pPr>
      <w:r w:rsidRPr="00E9313B">
        <w:t>any signatures; and</w:t>
      </w:r>
    </w:p>
    <w:p w14:paraId="37CCB38E" w14:textId="77777777" w:rsidR="00B52457" w:rsidRPr="003C23C9" w:rsidRDefault="00B52457" w:rsidP="00E9313B">
      <w:pPr>
        <w:pStyle w:val="CDICopyrightBullets"/>
      </w:pPr>
      <w:r w:rsidRPr="00E9313B">
        <w:t>any</w:t>
      </w:r>
      <w:r w:rsidRPr="003C23C9">
        <w:t xml:space="preserve"> material belonging to third parties.</w:t>
      </w:r>
    </w:p>
    <w:p w14:paraId="43111B16" w14:textId="77777777" w:rsidR="00B52457" w:rsidRPr="00CC3648" w:rsidRDefault="00B52457" w:rsidP="00CC3648">
      <w:pPr>
        <w:pStyle w:val="CDICopyrightHeading"/>
      </w:pPr>
      <w:r w:rsidRPr="00CC3648">
        <w:t>Disclaimer</w:t>
      </w:r>
    </w:p>
    <w:p w14:paraId="0249064B"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 the interim Australian Centre for Disease Control or the Department of Health, Disability and Ageing</w:t>
      </w:r>
      <w:r w:rsidRPr="0089025E">
        <w:t>. Data may be subject to revision.</w:t>
      </w:r>
    </w:p>
    <w:p w14:paraId="468322EB" w14:textId="77777777" w:rsidR="00B52457" w:rsidRPr="007F2B27" w:rsidRDefault="00B52457" w:rsidP="00CC3648">
      <w:pPr>
        <w:pStyle w:val="CDICopyrightHeading"/>
      </w:pPr>
      <w:r w:rsidRPr="007F2B27">
        <w:t>Enquiries</w:t>
      </w:r>
    </w:p>
    <w:p w14:paraId="2FDF69A4"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28E48202" w14:textId="77777777" w:rsidR="00B52457" w:rsidRPr="00A65DFA" w:rsidRDefault="00B52457" w:rsidP="00B52457">
      <w:pPr>
        <w:pStyle w:val="CDIAbout"/>
      </w:pPr>
      <w:bookmarkStart w:id="1" w:name="_Toc190257376"/>
      <w:r>
        <w:t xml:space="preserve">About </w:t>
      </w:r>
      <w:bookmarkEnd w:id="1"/>
      <w:r w:rsidR="0022524E">
        <w:t>CDI</w:t>
      </w:r>
    </w:p>
    <w:p w14:paraId="615C60DD"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interim Australian Centre for Disease Control within the Department of Health, Disability and Ageing.</w:t>
      </w:r>
    </w:p>
    <w:p w14:paraId="2FFCEBD5" w14:textId="77777777" w:rsidR="009572C6" w:rsidRDefault="009572C6" w:rsidP="009572C6">
      <w:pPr>
        <w:pStyle w:val="CDIAbouttextLess"/>
      </w:pPr>
      <w:r w:rsidRPr="009572C6">
        <w:t>The journal aims to disseminate information on the epidemiology, surveillance, prevention and control of communicable diseases of relevance to Australia and the near region.</w:t>
      </w:r>
    </w:p>
    <w:p w14:paraId="14F01349" w14:textId="77777777" w:rsidR="00B52457" w:rsidRPr="00D8087F" w:rsidRDefault="00B52457" w:rsidP="00D8087F">
      <w:pPr>
        <w:pStyle w:val="CDIAbouttext"/>
      </w:pPr>
      <w:r w:rsidRPr="00D8087F">
        <w:rPr>
          <w:b/>
          <w:bCs/>
        </w:rPr>
        <w:t>Editor</w:t>
      </w:r>
      <w:r w:rsidRPr="00D8087F">
        <w:t xml:space="preserve">: Christina Bareja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5920A73E"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54BCD98D"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6BF2E2DE"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5FF64706" w14:textId="77777777" w:rsidR="00B52457" w:rsidRPr="00B87589" w:rsidRDefault="00B52457" w:rsidP="00B87589">
      <w:pPr>
        <w:pStyle w:val="CDIAbouttext"/>
        <w:rPr>
          <w:b/>
          <w:bCs/>
        </w:rPr>
      </w:pPr>
      <w:r w:rsidRPr="00B87589">
        <w:rPr>
          <w:b/>
          <w:bCs/>
        </w:rPr>
        <w:t>Contact us</w:t>
      </w:r>
    </w:p>
    <w:p w14:paraId="060F8C12" w14:textId="77777777" w:rsidR="00B52457" w:rsidRPr="00087CC4" w:rsidRDefault="00B52457" w:rsidP="00360B3A">
      <w:pPr>
        <w:pStyle w:val="CDIAbouttextLess"/>
      </w:pPr>
      <w:r w:rsidRPr="009572C6">
        <w:t>Communicable Diseases Intelligence</w:t>
      </w:r>
      <w:r w:rsidRPr="00087CC4">
        <w:t xml:space="preserve"> (CDI)</w:t>
      </w:r>
    </w:p>
    <w:p w14:paraId="1D7D4EAE" w14:textId="77777777" w:rsidR="00B52457" w:rsidRPr="00087CC4" w:rsidRDefault="009572C6" w:rsidP="00360B3A">
      <w:pPr>
        <w:pStyle w:val="CDIAbouttextLess"/>
      </w:pPr>
      <w:r>
        <w:t>interim Australian Centre for Disease Control, Department of Health, Disability and Ageing</w:t>
      </w:r>
    </w:p>
    <w:p w14:paraId="6B402F44" w14:textId="77777777" w:rsidR="00B52457" w:rsidRPr="0089025E" w:rsidRDefault="00B52457" w:rsidP="00360B3A">
      <w:pPr>
        <w:pStyle w:val="CDIAbouttextLess"/>
      </w:pPr>
      <w:r w:rsidRPr="00087CC4">
        <w:t>GPO Box 9848, CANBERRA</w:t>
      </w:r>
      <w:r w:rsidRPr="0089025E">
        <w:t xml:space="preserve"> ACT 2601</w:t>
      </w:r>
    </w:p>
    <w:p w14:paraId="18623D8A"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0BDF9819" w14:textId="77777777" w:rsidR="00B52457" w:rsidRPr="0089025E" w:rsidRDefault="00B52457" w:rsidP="00360B3A">
      <w:pPr>
        <w:pStyle w:val="CDIAbouttextLess"/>
      </w:pPr>
      <w:r w:rsidRPr="0089025E">
        <w:t xml:space="preserve">Email: </w:t>
      </w:r>
      <w:hyperlink r:id="rId17" w:history="1">
        <w:r w:rsidRPr="000C6EB5">
          <w:rPr>
            <w:rStyle w:val="Hyperlink"/>
          </w:rPr>
          <w:t>cdi.editor@health.gov.au</w:t>
        </w:r>
      </w:hyperlink>
    </w:p>
    <w:p w14:paraId="1BDABD11"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195530496"/>
      <w:bookmarkStart w:id="7" w:name="_Toc215477391"/>
      <w:r>
        <w:lastRenderedPageBreak/>
        <w:t>Contents</w:t>
      </w:r>
      <w:bookmarkEnd w:id="2"/>
      <w:bookmarkEnd w:id="3"/>
      <w:bookmarkEnd w:id="4"/>
      <w:bookmarkEnd w:id="5"/>
      <w:bookmarkEnd w:id="7"/>
    </w:p>
    <w:p w14:paraId="028595EE" w14:textId="07EA249C" w:rsidR="00531A1E" w:rsidRDefault="005A4E9D">
      <w:pPr>
        <w:pStyle w:val="TOC1"/>
        <w:rPr>
          <w:rFonts w:eastAsiaTheme="minorEastAsia" w:cstheme="minorBidi"/>
          <w:b w:val="0"/>
          <w:bCs w:val="0"/>
          <w:iCs w:val="0"/>
          <w:noProof/>
          <w:kern w:val="2"/>
          <w:sz w:val="24"/>
          <w:lang w:eastAsia="en-AU"/>
        </w:rPr>
      </w:pPr>
      <w:r>
        <w:fldChar w:fldCharType="begin"/>
      </w:r>
      <w:r>
        <w:instrText xml:space="preserve"> TOC \o "1-1" \h \z \t "Heading 2,2,Heading 2 - no space before,2,Heading 2 - less space before,2,Heading 2 - new page,2" </w:instrText>
      </w:r>
      <w:r>
        <w:fldChar w:fldCharType="separate"/>
      </w:r>
      <w:hyperlink w:anchor="_Toc215477394" w:history="1">
        <w:r w:rsidR="00531A1E" w:rsidRPr="002C373B">
          <w:rPr>
            <w:rStyle w:val="Hyperlink"/>
            <w:noProof/>
          </w:rPr>
          <w:t>Abstract</w:t>
        </w:r>
        <w:r w:rsidR="00531A1E">
          <w:rPr>
            <w:noProof/>
            <w:webHidden/>
          </w:rPr>
          <w:tab/>
        </w:r>
        <w:r w:rsidR="00531A1E">
          <w:rPr>
            <w:noProof/>
            <w:webHidden/>
          </w:rPr>
          <w:fldChar w:fldCharType="begin"/>
        </w:r>
        <w:r w:rsidR="00531A1E">
          <w:rPr>
            <w:noProof/>
            <w:webHidden/>
          </w:rPr>
          <w:instrText xml:space="preserve"> PAGEREF _Toc215477394 \h </w:instrText>
        </w:r>
        <w:r w:rsidR="00531A1E">
          <w:rPr>
            <w:noProof/>
            <w:webHidden/>
          </w:rPr>
        </w:r>
        <w:r w:rsidR="00531A1E">
          <w:rPr>
            <w:noProof/>
            <w:webHidden/>
          </w:rPr>
          <w:fldChar w:fldCharType="separate"/>
        </w:r>
        <w:r w:rsidR="006963D9">
          <w:rPr>
            <w:noProof/>
            <w:webHidden/>
          </w:rPr>
          <w:t>6</w:t>
        </w:r>
        <w:r w:rsidR="00531A1E">
          <w:rPr>
            <w:noProof/>
            <w:webHidden/>
          </w:rPr>
          <w:fldChar w:fldCharType="end"/>
        </w:r>
      </w:hyperlink>
    </w:p>
    <w:p w14:paraId="59D580A9" w14:textId="4062390E" w:rsidR="00531A1E" w:rsidRDefault="00531A1E">
      <w:pPr>
        <w:pStyle w:val="TOC1"/>
        <w:rPr>
          <w:rFonts w:eastAsiaTheme="minorEastAsia" w:cstheme="minorBidi"/>
          <w:b w:val="0"/>
          <w:bCs w:val="0"/>
          <w:iCs w:val="0"/>
          <w:noProof/>
          <w:kern w:val="2"/>
          <w:sz w:val="24"/>
          <w:lang w:eastAsia="en-AU"/>
        </w:rPr>
      </w:pPr>
      <w:hyperlink w:anchor="_Toc215477395" w:history="1">
        <w:r w:rsidRPr="002C373B">
          <w:rPr>
            <w:rStyle w:val="Hyperlink"/>
            <w:noProof/>
          </w:rPr>
          <w:t>Introduction</w:t>
        </w:r>
        <w:r>
          <w:rPr>
            <w:noProof/>
            <w:webHidden/>
          </w:rPr>
          <w:tab/>
        </w:r>
        <w:r>
          <w:rPr>
            <w:noProof/>
            <w:webHidden/>
          </w:rPr>
          <w:fldChar w:fldCharType="begin"/>
        </w:r>
        <w:r>
          <w:rPr>
            <w:noProof/>
            <w:webHidden/>
          </w:rPr>
          <w:instrText xml:space="preserve"> PAGEREF _Toc215477395 \h </w:instrText>
        </w:r>
        <w:r>
          <w:rPr>
            <w:noProof/>
            <w:webHidden/>
          </w:rPr>
        </w:r>
        <w:r>
          <w:rPr>
            <w:noProof/>
            <w:webHidden/>
          </w:rPr>
          <w:fldChar w:fldCharType="separate"/>
        </w:r>
        <w:r w:rsidR="006963D9">
          <w:rPr>
            <w:noProof/>
            <w:webHidden/>
          </w:rPr>
          <w:t>7</w:t>
        </w:r>
        <w:r>
          <w:rPr>
            <w:noProof/>
            <w:webHidden/>
          </w:rPr>
          <w:fldChar w:fldCharType="end"/>
        </w:r>
      </w:hyperlink>
    </w:p>
    <w:p w14:paraId="6EB5ABE2" w14:textId="4147CF0D" w:rsidR="00531A1E" w:rsidRDefault="00531A1E">
      <w:pPr>
        <w:pStyle w:val="TOC1"/>
        <w:rPr>
          <w:rFonts w:eastAsiaTheme="minorEastAsia" w:cstheme="minorBidi"/>
          <w:b w:val="0"/>
          <w:bCs w:val="0"/>
          <w:iCs w:val="0"/>
          <w:noProof/>
          <w:kern w:val="2"/>
          <w:sz w:val="24"/>
          <w:lang w:eastAsia="en-AU"/>
        </w:rPr>
      </w:pPr>
      <w:hyperlink w:anchor="_Toc215477396" w:history="1">
        <w:r w:rsidRPr="002C373B">
          <w:rPr>
            <w:rStyle w:val="Hyperlink"/>
            <w:noProof/>
            <w:lang w:val="en-GB"/>
          </w:rPr>
          <w:t>Methods</w:t>
        </w:r>
        <w:r>
          <w:rPr>
            <w:noProof/>
            <w:webHidden/>
          </w:rPr>
          <w:tab/>
        </w:r>
        <w:r>
          <w:rPr>
            <w:noProof/>
            <w:webHidden/>
          </w:rPr>
          <w:fldChar w:fldCharType="begin"/>
        </w:r>
        <w:r>
          <w:rPr>
            <w:noProof/>
            <w:webHidden/>
          </w:rPr>
          <w:instrText xml:space="preserve"> PAGEREF _Toc215477396 \h </w:instrText>
        </w:r>
        <w:r>
          <w:rPr>
            <w:noProof/>
            <w:webHidden/>
          </w:rPr>
        </w:r>
        <w:r>
          <w:rPr>
            <w:noProof/>
            <w:webHidden/>
          </w:rPr>
          <w:fldChar w:fldCharType="separate"/>
        </w:r>
        <w:r w:rsidR="006963D9">
          <w:rPr>
            <w:noProof/>
            <w:webHidden/>
          </w:rPr>
          <w:t>9</w:t>
        </w:r>
        <w:r>
          <w:rPr>
            <w:noProof/>
            <w:webHidden/>
          </w:rPr>
          <w:fldChar w:fldCharType="end"/>
        </w:r>
      </w:hyperlink>
    </w:p>
    <w:p w14:paraId="4A9001CD" w14:textId="598E9702" w:rsidR="00531A1E" w:rsidRDefault="00531A1E">
      <w:pPr>
        <w:pStyle w:val="TOC2"/>
        <w:tabs>
          <w:tab w:val="right" w:leader="dot" w:pos="9629"/>
        </w:tabs>
        <w:rPr>
          <w:rFonts w:eastAsiaTheme="minorEastAsia" w:cstheme="minorBidi"/>
          <w:bCs w:val="0"/>
          <w:noProof/>
          <w:kern w:val="2"/>
          <w:sz w:val="24"/>
          <w:szCs w:val="24"/>
          <w:lang w:eastAsia="en-AU"/>
        </w:rPr>
      </w:pPr>
      <w:hyperlink w:anchor="_Toc215477397" w:history="1">
        <w:r w:rsidRPr="002C373B">
          <w:rPr>
            <w:rStyle w:val="Hyperlink"/>
            <w:noProof/>
            <w:lang w:val="en-GB"/>
          </w:rPr>
          <w:t>AEFI data</w:t>
        </w:r>
        <w:r>
          <w:rPr>
            <w:noProof/>
            <w:webHidden/>
          </w:rPr>
          <w:tab/>
        </w:r>
        <w:r>
          <w:rPr>
            <w:noProof/>
            <w:webHidden/>
          </w:rPr>
          <w:fldChar w:fldCharType="begin"/>
        </w:r>
        <w:r>
          <w:rPr>
            <w:noProof/>
            <w:webHidden/>
          </w:rPr>
          <w:instrText xml:space="preserve"> PAGEREF _Toc215477397 \h </w:instrText>
        </w:r>
        <w:r>
          <w:rPr>
            <w:noProof/>
            <w:webHidden/>
          </w:rPr>
        </w:r>
        <w:r>
          <w:rPr>
            <w:noProof/>
            <w:webHidden/>
          </w:rPr>
          <w:fldChar w:fldCharType="separate"/>
        </w:r>
        <w:r w:rsidR="006963D9">
          <w:rPr>
            <w:noProof/>
            <w:webHidden/>
          </w:rPr>
          <w:t>9</w:t>
        </w:r>
        <w:r>
          <w:rPr>
            <w:noProof/>
            <w:webHidden/>
          </w:rPr>
          <w:fldChar w:fldCharType="end"/>
        </w:r>
      </w:hyperlink>
    </w:p>
    <w:p w14:paraId="11A1E354" w14:textId="22532578" w:rsidR="00531A1E" w:rsidRDefault="00531A1E">
      <w:pPr>
        <w:pStyle w:val="TOC2"/>
        <w:tabs>
          <w:tab w:val="right" w:leader="dot" w:pos="9629"/>
        </w:tabs>
        <w:rPr>
          <w:rFonts w:eastAsiaTheme="minorEastAsia" w:cstheme="minorBidi"/>
          <w:bCs w:val="0"/>
          <w:noProof/>
          <w:kern w:val="2"/>
          <w:sz w:val="24"/>
          <w:szCs w:val="24"/>
          <w:lang w:eastAsia="en-AU"/>
        </w:rPr>
      </w:pPr>
      <w:hyperlink w:anchor="_Toc215477398" w:history="1">
        <w:r w:rsidRPr="002C373B">
          <w:rPr>
            <w:rStyle w:val="Hyperlink"/>
            <w:noProof/>
            <w:lang w:val="en-GB"/>
          </w:rPr>
          <w:t>Serious and non-serious AEFI</w:t>
        </w:r>
        <w:r>
          <w:rPr>
            <w:noProof/>
            <w:webHidden/>
          </w:rPr>
          <w:tab/>
        </w:r>
        <w:r>
          <w:rPr>
            <w:noProof/>
            <w:webHidden/>
          </w:rPr>
          <w:fldChar w:fldCharType="begin"/>
        </w:r>
        <w:r>
          <w:rPr>
            <w:noProof/>
            <w:webHidden/>
          </w:rPr>
          <w:instrText xml:space="preserve"> PAGEREF _Toc215477398 \h </w:instrText>
        </w:r>
        <w:r>
          <w:rPr>
            <w:noProof/>
            <w:webHidden/>
          </w:rPr>
        </w:r>
        <w:r>
          <w:rPr>
            <w:noProof/>
            <w:webHidden/>
          </w:rPr>
          <w:fldChar w:fldCharType="separate"/>
        </w:r>
        <w:r w:rsidR="006963D9">
          <w:rPr>
            <w:noProof/>
            <w:webHidden/>
          </w:rPr>
          <w:t>10</w:t>
        </w:r>
        <w:r>
          <w:rPr>
            <w:noProof/>
            <w:webHidden/>
          </w:rPr>
          <w:fldChar w:fldCharType="end"/>
        </w:r>
      </w:hyperlink>
    </w:p>
    <w:p w14:paraId="0A9AB66E" w14:textId="782EF183" w:rsidR="00531A1E" w:rsidRDefault="00531A1E">
      <w:pPr>
        <w:pStyle w:val="TOC2"/>
        <w:tabs>
          <w:tab w:val="right" w:leader="dot" w:pos="9629"/>
        </w:tabs>
        <w:rPr>
          <w:rFonts w:eastAsiaTheme="minorEastAsia" w:cstheme="minorBidi"/>
          <w:bCs w:val="0"/>
          <w:noProof/>
          <w:kern w:val="2"/>
          <w:sz w:val="24"/>
          <w:szCs w:val="24"/>
          <w:lang w:eastAsia="en-AU"/>
        </w:rPr>
      </w:pPr>
      <w:hyperlink w:anchor="_Toc215477399" w:history="1">
        <w:r w:rsidRPr="002C373B">
          <w:rPr>
            <w:rStyle w:val="Hyperlink"/>
            <w:noProof/>
            <w:lang w:val="en-GB"/>
          </w:rPr>
          <w:t>Data analysis</w:t>
        </w:r>
        <w:r>
          <w:rPr>
            <w:noProof/>
            <w:webHidden/>
          </w:rPr>
          <w:tab/>
        </w:r>
        <w:r>
          <w:rPr>
            <w:noProof/>
            <w:webHidden/>
          </w:rPr>
          <w:fldChar w:fldCharType="begin"/>
        </w:r>
        <w:r>
          <w:rPr>
            <w:noProof/>
            <w:webHidden/>
          </w:rPr>
          <w:instrText xml:space="preserve"> PAGEREF _Toc215477399 \h </w:instrText>
        </w:r>
        <w:r>
          <w:rPr>
            <w:noProof/>
            <w:webHidden/>
          </w:rPr>
        </w:r>
        <w:r>
          <w:rPr>
            <w:noProof/>
            <w:webHidden/>
          </w:rPr>
          <w:fldChar w:fldCharType="separate"/>
        </w:r>
        <w:r w:rsidR="006963D9">
          <w:rPr>
            <w:noProof/>
            <w:webHidden/>
          </w:rPr>
          <w:t>11</w:t>
        </w:r>
        <w:r>
          <w:rPr>
            <w:noProof/>
            <w:webHidden/>
          </w:rPr>
          <w:fldChar w:fldCharType="end"/>
        </w:r>
      </w:hyperlink>
    </w:p>
    <w:p w14:paraId="6C55542E" w14:textId="21077B41" w:rsidR="00531A1E" w:rsidRDefault="00531A1E">
      <w:pPr>
        <w:pStyle w:val="TOC2"/>
        <w:tabs>
          <w:tab w:val="right" w:leader="dot" w:pos="9629"/>
        </w:tabs>
        <w:rPr>
          <w:rFonts w:eastAsiaTheme="minorEastAsia" w:cstheme="minorBidi"/>
          <w:bCs w:val="0"/>
          <w:noProof/>
          <w:kern w:val="2"/>
          <w:sz w:val="24"/>
          <w:szCs w:val="24"/>
          <w:lang w:eastAsia="en-AU"/>
        </w:rPr>
      </w:pPr>
      <w:hyperlink w:anchor="_Toc215477400" w:history="1">
        <w:r w:rsidRPr="002C373B">
          <w:rPr>
            <w:rStyle w:val="Hyperlink"/>
            <w:noProof/>
            <w:lang w:val="en-GB"/>
          </w:rPr>
          <w:t>Notes on interpretation</w:t>
        </w:r>
        <w:r>
          <w:rPr>
            <w:noProof/>
            <w:webHidden/>
          </w:rPr>
          <w:tab/>
        </w:r>
        <w:r>
          <w:rPr>
            <w:noProof/>
            <w:webHidden/>
          </w:rPr>
          <w:fldChar w:fldCharType="begin"/>
        </w:r>
        <w:r>
          <w:rPr>
            <w:noProof/>
            <w:webHidden/>
          </w:rPr>
          <w:instrText xml:space="preserve"> PAGEREF _Toc215477400 \h </w:instrText>
        </w:r>
        <w:r>
          <w:rPr>
            <w:noProof/>
            <w:webHidden/>
          </w:rPr>
        </w:r>
        <w:r>
          <w:rPr>
            <w:noProof/>
            <w:webHidden/>
          </w:rPr>
          <w:fldChar w:fldCharType="separate"/>
        </w:r>
        <w:r w:rsidR="006963D9">
          <w:rPr>
            <w:noProof/>
            <w:webHidden/>
          </w:rPr>
          <w:t>11</w:t>
        </w:r>
        <w:r>
          <w:rPr>
            <w:noProof/>
            <w:webHidden/>
          </w:rPr>
          <w:fldChar w:fldCharType="end"/>
        </w:r>
      </w:hyperlink>
    </w:p>
    <w:p w14:paraId="208B47B9" w14:textId="04355B4B" w:rsidR="00531A1E" w:rsidRDefault="00531A1E">
      <w:pPr>
        <w:pStyle w:val="TOC1"/>
        <w:rPr>
          <w:rFonts w:eastAsiaTheme="minorEastAsia" w:cstheme="minorBidi"/>
          <w:b w:val="0"/>
          <w:bCs w:val="0"/>
          <w:iCs w:val="0"/>
          <w:noProof/>
          <w:kern w:val="2"/>
          <w:sz w:val="24"/>
          <w:lang w:eastAsia="en-AU"/>
        </w:rPr>
      </w:pPr>
      <w:hyperlink w:anchor="_Toc215477401" w:history="1">
        <w:r w:rsidRPr="002C373B">
          <w:rPr>
            <w:rStyle w:val="Hyperlink"/>
            <w:noProof/>
          </w:rPr>
          <w:t>Results</w:t>
        </w:r>
        <w:r>
          <w:rPr>
            <w:noProof/>
            <w:webHidden/>
          </w:rPr>
          <w:tab/>
        </w:r>
        <w:r>
          <w:rPr>
            <w:noProof/>
            <w:webHidden/>
          </w:rPr>
          <w:fldChar w:fldCharType="begin"/>
        </w:r>
        <w:r>
          <w:rPr>
            <w:noProof/>
            <w:webHidden/>
          </w:rPr>
          <w:instrText xml:space="preserve"> PAGEREF _Toc215477401 \h </w:instrText>
        </w:r>
        <w:r>
          <w:rPr>
            <w:noProof/>
            <w:webHidden/>
          </w:rPr>
        </w:r>
        <w:r>
          <w:rPr>
            <w:noProof/>
            <w:webHidden/>
          </w:rPr>
          <w:fldChar w:fldCharType="separate"/>
        </w:r>
        <w:r w:rsidR="006963D9">
          <w:rPr>
            <w:noProof/>
            <w:webHidden/>
          </w:rPr>
          <w:t>12</w:t>
        </w:r>
        <w:r>
          <w:rPr>
            <w:noProof/>
            <w:webHidden/>
          </w:rPr>
          <w:fldChar w:fldCharType="end"/>
        </w:r>
      </w:hyperlink>
    </w:p>
    <w:p w14:paraId="1A4B43F9" w14:textId="186B83EC" w:rsidR="00531A1E" w:rsidRDefault="00531A1E">
      <w:pPr>
        <w:pStyle w:val="TOC2"/>
        <w:tabs>
          <w:tab w:val="right" w:leader="dot" w:pos="9629"/>
        </w:tabs>
        <w:rPr>
          <w:rFonts w:eastAsiaTheme="minorEastAsia" w:cstheme="minorBidi"/>
          <w:bCs w:val="0"/>
          <w:noProof/>
          <w:kern w:val="2"/>
          <w:sz w:val="24"/>
          <w:szCs w:val="24"/>
          <w:lang w:eastAsia="en-AU"/>
        </w:rPr>
      </w:pPr>
      <w:hyperlink w:anchor="_Toc215477402" w:history="1">
        <w:r w:rsidRPr="002C373B">
          <w:rPr>
            <w:rStyle w:val="Hyperlink"/>
            <w:noProof/>
            <w:lang w:val="en-GB"/>
          </w:rPr>
          <w:t>Reporting rates</w:t>
        </w:r>
        <w:r>
          <w:rPr>
            <w:noProof/>
            <w:webHidden/>
          </w:rPr>
          <w:tab/>
        </w:r>
        <w:r>
          <w:rPr>
            <w:noProof/>
            <w:webHidden/>
          </w:rPr>
          <w:fldChar w:fldCharType="begin"/>
        </w:r>
        <w:r>
          <w:rPr>
            <w:noProof/>
            <w:webHidden/>
          </w:rPr>
          <w:instrText xml:space="preserve"> PAGEREF _Toc215477402 \h </w:instrText>
        </w:r>
        <w:r>
          <w:rPr>
            <w:noProof/>
            <w:webHidden/>
          </w:rPr>
        </w:r>
        <w:r>
          <w:rPr>
            <w:noProof/>
            <w:webHidden/>
          </w:rPr>
          <w:fldChar w:fldCharType="separate"/>
        </w:r>
        <w:r w:rsidR="006963D9">
          <w:rPr>
            <w:noProof/>
            <w:webHidden/>
          </w:rPr>
          <w:t>12</w:t>
        </w:r>
        <w:r>
          <w:rPr>
            <w:noProof/>
            <w:webHidden/>
          </w:rPr>
          <w:fldChar w:fldCharType="end"/>
        </w:r>
      </w:hyperlink>
    </w:p>
    <w:p w14:paraId="547B7109" w14:textId="6B50E1D3" w:rsidR="00531A1E" w:rsidRDefault="00531A1E">
      <w:pPr>
        <w:pStyle w:val="TOC2"/>
        <w:tabs>
          <w:tab w:val="right" w:leader="dot" w:pos="9629"/>
        </w:tabs>
        <w:rPr>
          <w:rFonts w:eastAsiaTheme="minorEastAsia" w:cstheme="minorBidi"/>
          <w:bCs w:val="0"/>
          <w:noProof/>
          <w:kern w:val="2"/>
          <w:sz w:val="24"/>
          <w:szCs w:val="24"/>
          <w:lang w:eastAsia="en-AU"/>
        </w:rPr>
      </w:pPr>
      <w:hyperlink w:anchor="_Toc215477403" w:history="1">
        <w:r w:rsidRPr="002C373B">
          <w:rPr>
            <w:rStyle w:val="Hyperlink"/>
            <w:noProof/>
            <w:lang w:val="en-GB"/>
          </w:rPr>
          <w:t>Vaccines</w:t>
        </w:r>
        <w:r>
          <w:rPr>
            <w:noProof/>
            <w:webHidden/>
          </w:rPr>
          <w:tab/>
        </w:r>
        <w:r>
          <w:rPr>
            <w:noProof/>
            <w:webHidden/>
          </w:rPr>
          <w:fldChar w:fldCharType="begin"/>
        </w:r>
        <w:r>
          <w:rPr>
            <w:noProof/>
            <w:webHidden/>
          </w:rPr>
          <w:instrText xml:space="preserve"> PAGEREF _Toc215477403 \h </w:instrText>
        </w:r>
        <w:r>
          <w:rPr>
            <w:noProof/>
            <w:webHidden/>
          </w:rPr>
        </w:r>
        <w:r>
          <w:rPr>
            <w:noProof/>
            <w:webHidden/>
          </w:rPr>
          <w:fldChar w:fldCharType="separate"/>
        </w:r>
        <w:r w:rsidR="006963D9">
          <w:rPr>
            <w:noProof/>
            <w:webHidden/>
          </w:rPr>
          <w:t>19</w:t>
        </w:r>
        <w:r>
          <w:rPr>
            <w:noProof/>
            <w:webHidden/>
          </w:rPr>
          <w:fldChar w:fldCharType="end"/>
        </w:r>
      </w:hyperlink>
    </w:p>
    <w:p w14:paraId="1EAC4E59" w14:textId="6EF68F03" w:rsidR="00531A1E" w:rsidRDefault="00531A1E">
      <w:pPr>
        <w:pStyle w:val="TOC2"/>
        <w:tabs>
          <w:tab w:val="right" w:leader="dot" w:pos="9629"/>
        </w:tabs>
        <w:rPr>
          <w:rFonts w:eastAsiaTheme="minorEastAsia" w:cstheme="minorBidi"/>
          <w:bCs w:val="0"/>
          <w:noProof/>
          <w:kern w:val="2"/>
          <w:sz w:val="24"/>
          <w:szCs w:val="24"/>
          <w:lang w:eastAsia="en-AU"/>
        </w:rPr>
      </w:pPr>
      <w:hyperlink w:anchor="_Toc215477404" w:history="1">
        <w:r w:rsidRPr="002C373B">
          <w:rPr>
            <w:rStyle w:val="Hyperlink"/>
            <w:noProof/>
            <w:lang w:val="en-GB"/>
          </w:rPr>
          <w:t>Adverse events</w:t>
        </w:r>
        <w:r>
          <w:rPr>
            <w:noProof/>
            <w:webHidden/>
          </w:rPr>
          <w:tab/>
        </w:r>
        <w:r>
          <w:rPr>
            <w:noProof/>
            <w:webHidden/>
          </w:rPr>
          <w:fldChar w:fldCharType="begin"/>
        </w:r>
        <w:r>
          <w:rPr>
            <w:noProof/>
            <w:webHidden/>
          </w:rPr>
          <w:instrText xml:space="preserve"> PAGEREF _Toc215477404 \h </w:instrText>
        </w:r>
        <w:r>
          <w:rPr>
            <w:noProof/>
            <w:webHidden/>
          </w:rPr>
        </w:r>
        <w:r>
          <w:rPr>
            <w:noProof/>
            <w:webHidden/>
          </w:rPr>
          <w:fldChar w:fldCharType="separate"/>
        </w:r>
        <w:r w:rsidR="006963D9">
          <w:rPr>
            <w:noProof/>
            <w:webHidden/>
          </w:rPr>
          <w:t>19</w:t>
        </w:r>
        <w:r>
          <w:rPr>
            <w:noProof/>
            <w:webHidden/>
          </w:rPr>
          <w:fldChar w:fldCharType="end"/>
        </w:r>
      </w:hyperlink>
    </w:p>
    <w:p w14:paraId="53466B45" w14:textId="464FFBC1" w:rsidR="00531A1E" w:rsidRDefault="00531A1E">
      <w:pPr>
        <w:pStyle w:val="TOC1"/>
        <w:rPr>
          <w:rFonts w:eastAsiaTheme="minorEastAsia" w:cstheme="minorBidi"/>
          <w:b w:val="0"/>
          <w:bCs w:val="0"/>
          <w:iCs w:val="0"/>
          <w:noProof/>
          <w:kern w:val="2"/>
          <w:sz w:val="24"/>
          <w:lang w:eastAsia="en-AU"/>
        </w:rPr>
      </w:pPr>
      <w:hyperlink w:anchor="_Toc215477405" w:history="1">
        <w:r w:rsidRPr="002C373B">
          <w:rPr>
            <w:rStyle w:val="Hyperlink"/>
            <w:noProof/>
          </w:rPr>
          <w:t>Discussion</w:t>
        </w:r>
        <w:r>
          <w:rPr>
            <w:noProof/>
            <w:webHidden/>
          </w:rPr>
          <w:tab/>
        </w:r>
        <w:r>
          <w:rPr>
            <w:noProof/>
            <w:webHidden/>
          </w:rPr>
          <w:fldChar w:fldCharType="begin"/>
        </w:r>
        <w:r>
          <w:rPr>
            <w:noProof/>
            <w:webHidden/>
          </w:rPr>
          <w:instrText xml:space="preserve"> PAGEREF _Toc215477405 \h </w:instrText>
        </w:r>
        <w:r>
          <w:rPr>
            <w:noProof/>
            <w:webHidden/>
          </w:rPr>
        </w:r>
        <w:r>
          <w:rPr>
            <w:noProof/>
            <w:webHidden/>
          </w:rPr>
          <w:fldChar w:fldCharType="separate"/>
        </w:r>
        <w:r w:rsidR="006963D9">
          <w:rPr>
            <w:noProof/>
            <w:webHidden/>
          </w:rPr>
          <w:t>31</w:t>
        </w:r>
        <w:r>
          <w:rPr>
            <w:noProof/>
            <w:webHidden/>
          </w:rPr>
          <w:fldChar w:fldCharType="end"/>
        </w:r>
      </w:hyperlink>
    </w:p>
    <w:p w14:paraId="4F8E2615" w14:textId="32D6A4E4" w:rsidR="00531A1E" w:rsidRDefault="00531A1E">
      <w:pPr>
        <w:pStyle w:val="TOC1"/>
        <w:rPr>
          <w:rFonts w:eastAsiaTheme="minorEastAsia" w:cstheme="minorBidi"/>
          <w:b w:val="0"/>
          <w:bCs w:val="0"/>
          <w:iCs w:val="0"/>
          <w:noProof/>
          <w:kern w:val="2"/>
          <w:sz w:val="24"/>
          <w:lang w:eastAsia="en-AU"/>
        </w:rPr>
      </w:pPr>
      <w:hyperlink w:anchor="_Toc215477406" w:history="1">
        <w:r w:rsidRPr="002C373B">
          <w:rPr>
            <w:rStyle w:val="Hyperlink"/>
            <w:noProof/>
          </w:rPr>
          <w:t>Conclusion</w:t>
        </w:r>
        <w:r>
          <w:rPr>
            <w:noProof/>
            <w:webHidden/>
          </w:rPr>
          <w:tab/>
        </w:r>
        <w:r>
          <w:rPr>
            <w:noProof/>
            <w:webHidden/>
          </w:rPr>
          <w:fldChar w:fldCharType="begin"/>
        </w:r>
        <w:r>
          <w:rPr>
            <w:noProof/>
            <w:webHidden/>
          </w:rPr>
          <w:instrText xml:space="preserve"> PAGEREF _Toc215477406 \h </w:instrText>
        </w:r>
        <w:r>
          <w:rPr>
            <w:noProof/>
            <w:webHidden/>
          </w:rPr>
        </w:r>
        <w:r>
          <w:rPr>
            <w:noProof/>
            <w:webHidden/>
          </w:rPr>
          <w:fldChar w:fldCharType="separate"/>
        </w:r>
        <w:r w:rsidR="006963D9">
          <w:rPr>
            <w:noProof/>
            <w:webHidden/>
          </w:rPr>
          <w:t>34</w:t>
        </w:r>
        <w:r>
          <w:rPr>
            <w:noProof/>
            <w:webHidden/>
          </w:rPr>
          <w:fldChar w:fldCharType="end"/>
        </w:r>
      </w:hyperlink>
    </w:p>
    <w:p w14:paraId="1B57E2AD" w14:textId="32511699" w:rsidR="00531A1E" w:rsidRDefault="00531A1E">
      <w:pPr>
        <w:pStyle w:val="TOC1"/>
        <w:rPr>
          <w:rFonts w:eastAsiaTheme="minorEastAsia" w:cstheme="minorBidi"/>
          <w:b w:val="0"/>
          <w:bCs w:val="0"/>
          <w:iCs w:val="0"/>
          <w:noProof/>
          <w:kern w:val="2"/>
          <w:sz w:val="24"/>
          <w:lang w:eastAsia="en-AU"/>
        </w:rPr>
      </w:pPr>
      <w:hyperlink w:anchor="_Toc215477407" w:history="1">
        <w:r w:rsidRPr="002C373B">
          <w:rPr>
            <w:rStyle w:val="Hyperlink"/>
            <w:noProof/>
          </w:rPr>
          <w:t>Acknowledgments</w:t>
        </w:r>
        <w:r>
          <w:rPr>
            <w:noProof/>
            <w:webHidden/>
          </w:rPr>
          <w:tab/>
        </w:r>
        <w:r>
          <w:rPr>
            <w:noProof/>
            <w:webHidden/>
          </w:rPr>
          <w:fldChar w:fldCharType="begin"/>
        </w:r>
        <w:r>
          <w:rPr>
            <w:noProof/>
            <w:webHidden/>
          </w:rPr>
          <w:instrText xml:space="preserve"> PAGEREF _Toc215477407 \h </w:instrText>
        </w:r>
        <w:r>
          <w:rPr>
            <w:noProof/>
            <w:webHidden/>
          </w:rPr>
        </w:r>
        <w:r>
          <w:rPr>
            <w:noProof/>
            <w:webHidden/>
          </w:rPr>
          <w:fldChar w:fldCharType="separate"/>
        </w:r>
        <w:r w:rsidR="006963D9">
          <w:rPr>
            <w:noProof/>
            <w:webHidden/>
          </w:rPr>
          <w:t>35</w:t>
        </w:r>
        <w:r>
          <w:rPr>
            <w:noProof/>
            <w:webHidden/>
          </w:rPr>
          <w:fldChar w:fldCharType="end"/>
        </w:r>
      </w:hyperlink>
    </w:p>
    <w:p w14:paraId="159FC1AB" w14:textId="0D66AABD" w:rsidR="00531A1E" w:rsidRDefault="00531A1E">
      <w:pPr>
        <w:pStyle w:val="TOC1"/>
        <w:rPr>
          <w:rFonts w:eastAsiaTheme="minorEastAsia" w:cstheme="minorBidi"/>
          <w:b w:val="0"/>
          <w:bCs w:val="0"/>
          <w:iCs w:val="0"/>
          <w:noProof/>
          <w:kern w:val="2"/>
          <w:sz w:val="24"/>
          <w:lang w:eastAsia="en-AU"/>
        </w:rPr>
      </w:pPr>
      <w:hyperlink w:anchor="_Toc215477408" w:history="1">
        <w:r w:rsidRPr="002C373B">
          <w:rPr>
            <w:rStyle w:val="Hyperlink"/>
            <w:noProof/>
          </w:rPr>
          <w:t>Author details</w:t>
        </w:r>
        <w:r>
          <w:rPr>
            <w:noProof/>
            <w:webHidden/>
          </w:rPr>
          <w:tab/>
        </w:r>
        <w:r>
          <w:rPr>
            <w:noProof/>
            <w:webHidden/>
          </w:rPr>
          <w:fldChar w:fldCharType="begin"/>
        </w:r>
        <w:r>
          <w:rPr>
            <w:noProof/>
            <w:webHidden/>
          </w:rPr>
          <w:instrText xml:space="preserve"> PAGEREF _Toc215477408 \h </w:instrText>
        </w:r>
        <w:r>
          <w:rPr>
            <w:noProof/>
            <w:webHidden/>
          </w:rPr>
        </w:r>
        <w:r>
          <w:rPr>
            <w:noProof/>
            <w:webHidden/>
          </w:rPr>
          <w:fldChar w:fldCharType="separate"/>
        </w:r>
        <w:r w:rsidR="006963D9">
          <w:rPr>
            <w:noProof/>
            <w:webHidden/>
          </w:rPr>
          <w:t>36</w:t>
        </w:r>
        <w:r>
          <w:rPr>
            <w:noProof/>
            <w:webHidden/>
          </w:rPr>
          <w:fldChar w:fldCharType="end"/>
        </w:r>
      </w:hyperlink>
    </w:p>
    <w:p w14:paraId="2CD58727" w14:textId="3A870F85" w:rsidR="00531A1E" w:rsidRDefault="00531A1E">
      <w:pPr>
        <w:pStyle w:val="TOC1"/>
        <w:rPr>
          <w:rFonts w:eastAsiaTheme="minorEastAsia" w:cstheme="minorBidi"/>
          <w:b w:val="0"/>
          <w:bCs w:val="0"/>
          <w:iCs w:val="0"/>
          <w:noProof/>
          <w:kern w:val="2"/>
          <w:sz w:val="24"/>
          <w:lang w:eastAsia="en-AU"/>
        </w:rPr>
      </w:pPr>
      <w:hyperlink w:anchor="_Toc215477409" w:history="1">
        <w:r w:rsidRPr="002C373B">
          <w:rPr>
            <w:rStyle w:val="Hyperlink"/>
            <w:noProof/>
          </w:rPr>
          <w:t>References</w:t>
        </w:r>
        <w:r>
          <w:rPr>
            <w:noProof/>
            <w:webHidden/>
          </w:rPr>
          <w:tab/>
        </w:r>
        <w:r>
          <w:rPr>
            <w:noProof/>
            <w:webHidden/>
          </w:rPr>
          <w:fldChar w:fldCharType="begin"/>
        </w:r>
        <w:r>
          <w:rPr>
            <w:noProof/>
            <w:webHidden/>
          </w:rPr>
          <w:instrText xml:space="preserve"> PAGEREF _Toc215477409 \h </w:instrText>
        </w:r>
        <w:r>
          <w:rPr>
            <w:noProof/>
            <w:webHidden/>
          </w:rPr>
        </w:r>
        <w:r>
          <w:rPr>
            <w:noProof/>
            <w:webHidden/>
          </w:rPr>
          <w:fldChar w:fldCharType="separate"/>
        </w:r>
        <w:r w:rsidR="006963D9">
          <w:rPr>
            <w:noProof/>
            <w:webHidden/>
          </w:rPr>
          <w:t>37</w:t>
        </w:r>
        <w:r>
          <w:rPr>
            <w:noProof/>
            <w:webHidden/>
          </w:rPr>
          <w:fldChar w:fldCharType="end"/>
        </w:r>
      </w:hyperlink>
    </w:p>
    <w:p w14:paraId="16AEA854" w14:textId="2F087C5C" w:rsidR="00531A1E" w:rsidRDefault="00531A1E">
      <w:pPr>
        <w:pStyle w:val="TOC1"/>
        <w:rPr>
          <w:rFonts w:eastAsiaTheme="minorEastAsia" w:cstheme="minorBidi"/>
          <w:b w:val="0"/>
          <w:bCs w:val="0"/>
          <w:iCs w:val="0"/>
          <w:noProof/>
          <w:kern w:val="2"/>
          <w:sz w:val="24"/>
          <w:lang w:eastAsia="en-AU"/>
        </w:rPr>
      </w:pPr>
      <w:hyperlink w:anchor="_Toc215477410" w:history="1">
        <w:r w:rsidRPr="002C373B">
          <w:rPr>
            <w:rStyle w:val="Hyperlink"/>
            <w:noProof/>
          </w:rPr>
          <w:t>Appendix A</w:t>
        </w:r>
        <w:r>
          <w:rPr>
            <w:noProof/>
            <w:webHidden/>
          </w:rPr>
          <w:tab/>
        </w:r>
        <w:r>
          <w:rPr>
            <w:noProof/>
            <w:webHidden/>
          </w:rPr>
          <w:fldChar w:fldCharType="begin"/>
        </w:r>
        <w:r>
          <w:rPr>
            <w:noProof/>
            <w:webHidden/>
          </w:rPr>
          <w:instrText xml:space="preserve"> PAGEREF _Toc215477410 \h </w:instrText>
        </w:r>
        <w:r>
          <w:rPr>
            <w:noProof/>
            <w:webHidden/>
          </w:rPr>
        </w:r>
        <w:r>
          <w:rPr>
            <w:noProof/>
            <w:webHidden/>
          </w:rPr>
          <w:fldChar w:fldCharType="separate"/>
        </w:r>
        <w:r w:rsidR="006963D9">
          <w:rPr>
            <w:noProof/>
            <w:webHidden/>
          </w:rPr>
          <w:t>40</w:t>
        </w:r>
        <w:r>
          <w:rPr>
            <w:noProof/>
            <w:webHidden/>
          </w:rPr>
          <w:fldChar w:fldCharType="end"/>
        </w:r>
      </w:hyperlink>
    </w:p>
    <w:p w14:paraId="387ED232" w14:textId="457C6B18" w:rsidR="00F216F0" w:rsidRPr="00F216F0" w:rsidRDefault="005A4E9D" w:rsidP="00F216F0">
      <w:r>
        <w:rPr>
          <w:rFonts w:eastAsiaTheme="minorHAnsi" w:cstheme="minorHAnsi"/>
          <w:szCs w:val="24"/>
          <w:lang w:eastAsia="en-US"/>
        </w:rPr>
        <w:fldChar w:fldCharType="end"/>
      </w:r>
    </w:p>
    <w:p w14:paraId="1F4C26FD" w14:textId="77777777" w:rsidR="00F216F0" w:rsidRDefault="00F216F0" w:rsidP="0071536A">
      <w:pPr>
        <w:pStyle w:val="Heading2-newpage"/>
      </w:pPr>
      <w:bookmarkStart w:id="8" w:name="_Toc195530497"/>
      <w:bookmarkStart w:id="9" w:name="_Toc195609227"/>
      <w:bookmarkStart w:id="10" w:name="_Toc195609226"/>
      <w:bookmarkStart w:id="11" w:name="_Toc215477392"/>
      <w:r>
        <w:lastRenderedPageBreak/>
        <w:t>List of figures</w:t>
      </w:r>
      <w:bookmarkEnd w:id="8"/>
      <w:bookmarkEnd w:id="9"/>
      <w:bookmarkEnd w:id="11"/>
    </w:p>
    <w:p w14:paraId="65F6AA03" w14:textId="1B0387D8" w:rsidR="008716A6" w:rsidRDefault="005A4E9D">
      <w:pPr>
        <w:pStyle w:val="TableofFigures"/>
        <w:tabs>
          <w:tab w:val="right" w:leader="dot" w:pos="9629"/>
        </w:tabs>
        <w:rPr>
          <w:noProof/>
          <w:kern w:val="2"/>
          <w:sz w:val="24"/>
          <w:szCs w:val="24"/>
        </w:rPr>
      </w:pPr>
      <w:r>
        <w:fldChar w:fldCharType="begin"/>
      </w:r>
      <w:r>
        <w:instrText xml:space="preserve"> TOC \h \z \t "CDI Figure - Title" \c </w:instrText>
      </w:r>
      <w:r>
        <w:fldChar w:fldCharType="separate"/>
      </w:r>
      <w:hyperlink w:anchor="_Toc215491332" w:history="1">
        <w:r w:rsidR="008716A6" w:rsidRPr="00C03A2D">
          <w:rPr>
            <w:rStyle w:val="Hyperlink"/>
            <w:noProof/>
            <w:lang w:val="en-GB"/>
          </w:rPr>
          <w:t>Figure 1: Adverse event following immunisation reports in the Adverse Event Management System</w:t>
        </w:r>
        <w:r w:rsidR="008716A6">
          <w:rPr>
            <w:rStyle w:val="Hyperlink"/>
            <w:noProof/>
            <w:lang w:val="en-GB"/>
          </w:rPr>
          <w:t> </w:t>
        </w:r>
        <w:r w:rsidR="008716A6" w:rsidRPr="00C03A2D">
          <w:rPr>
            <w:rStyle w:val="Hyperlink"/>
            <w:noProof/>
            <w:lang w:val="en-GB"/>
          </w:rPr>
          <w:t>database from 2000 to 2022 (excluding COVID-19 vaccines),</w:t>
        </w:r>
        <w:r w:rsidR="008716A6" w:rsidRPr="00C03A2D">
          <w:rPr>
            <w:rStyle w:val="Hyperlink"/>
            <w:noProof/>
            <w:vertAlign w:val="superscript"/>
            <w:lang w:val="en-GB"/>
          </w:rPr>
          <w:t>a,b</w:t>
        </w:r>
        <w:r w:rsidR="008716A6" w:rsidRPr="00C03A2D">
          <w:rPr>
            <w:rStyle w:val="Hyperlink"/>
            <w:noProof/>
            <w:lang w:val="en-GB"/>
          </w:rPr>
          <w:t xml:space="preserve"> by year</w:t>
        </w:r>
        <w:r w:rsidR="008716A6">
          <w:rPr>
            <w:noProof/>
            <w:webHidden/>
          </w:rPr>
          <w:tab/>
        </w:r>
        <w:r w:rsidR="008716A6">
          <w:rPr>
            <w:noProof/>
            <w:webHidden/>
          </w:rPr>
          <w:fldChar w:fldCharType="begin"/>
        </w:r>
        <w:r w:rsidR="008716A6">
          <w:rPr>
            <w:noProof/>
            <w:webHidden/>
          </w:rPr>
          <w:instrText xml:space="preserve"> PAGEREF _Toc215491332 \h </w:instrText>
        </w:r>
        <w:r w:rsidR="008716A6">
          <w:rPr>
            <w:noProof/>
            <w:webHidden/>
          </w:rPr>
        </w:r>
        <w:r w:rsidR="008716A6">
          <w:rPr>
            <w:noProof/>
            <w:webHidden/>
          </w:rPr>
          <w:fldChar w:fldCharType="separate"/>
        </w:r>
        <w:r w:rsidR="006963D9">
          <w:rPr>
            <w:noProof/>
            <w:webHidden/>
          </w:rPr>
          <w:t>18</w:t>
        </w:r>
        <w:r w:rsidR="008716A6">
          <w:rPr>
            <w:noProof/>
            <w:webHidden/>
          </w:rPr>
          <w:fldChar w:fldCharType="end"/>
        </w:r>
      </w:hyperlink>
    </w:p>
    <w:p w14:paraId="42E51F0A" w14:textId="381298B8" w:rsidR="008716A6" w:rsidRDefault="008716A6">
      <w:pPr>
        <w:pStyle w:val="TableofFigures"/>
        <w:tabs>
          <w:tab w:val="right" w:leader="dot" w:pos="9629"/>
        </w:tabs>
        <w:rPr>
          <w:noProof/>
          <w:kern w:val="2"/>
          <w:sz w:val="24"/>
          <w:szCs w:val="24"/>
        </w:rPr>
      </w:pPr>
      <w:hyperlink w:anchor="_Toc215491333" w:history="1">
        <w:r w:rsidRPr="00C03A2D">
          <w:rPr>
            <w:rStyle w:val="Hyperlink"/>
            <w:noProof/>
            <w:lang w:val="en-GB"/>
          </w:rPr>
          <w:t>Figure 2: Reporting rates of adverse events following immunisation per 100,000 population in the Adverse Event Management System database from 2000 to 2022 (excluding COVID-19 vaccines),</w:t>
        </w:r>
        <w:r w:rsidRPr="00C03A2D">
          <w:rPr>
            <w:rStyle w:val="Hyperlink"/>
            <w:noProof/>
            <w:vertAlign w:val="superscript"/>
            <w:lang w:val="en-GB"/>
          </w:rPr>
          <w:t xml:space="preserve">a,b </w:t>
        </w:r>
        <w:r w:rsidRPr="00C03A2D">
          <w:rPr>
            <w:rStyle w:val="Hyperlink"/>
            <w:noProof/>
            <w:lang w:val="en-GB"/>
          </w:rPr>
          <w:t>by year and age group</w:t>
        </w:r>
        <w:r>
          <w:rPr>
            <w:noProof/>
            <w:webHidden/>
          </w:rPr>
          <w:tab/>
        </w:r>
        <w:r>
          <w:rPr>
            <w:noProof/>
            <w:webHidden/>
          </w:rPr>
          <w:fldChar w:fldCharType="begin"/>
        </w:r>
        <w:r>
          <w:rPr>
            <w:noProof/>
            <w:webHidden/>
          </w:rPr>
          <w:instrText xml:space="preserve"> PAGEREF _Toc215491333 \h </w:instrText>
        </w:r>
        <w:r>
          <w:rPr>
            <w:noProof/>
            <w:webHidden/>
          </w:rPr>
        </w:r>
        <w:r>
          <w:rPr>
            <w:noProof/>
            <w:webHidden/>
          </w:rPr>
          <w:fldChar w:fldCharType="separate"/>
        </w:r>
        <w:r w:rsidR="006963D9">
          <w:rPr>
            <w:noProof/>
            <w:webHidden/>
          </w:rPr>
          <w:t>18</w:t>
        </w:r>
        <w:r>
          <w:rPr>
            <w:noProof/>
            <w:webHidden/>
          </w:rPr>
          <w:fldChar w:fldCharType="end"/>
        </w:r>
      </w:hyperlink>
    </w:p>
    <w:p w14:paraId="6AE49653" w14:textId="21F49C25" w:rsidR="008716A6" w:rsidRDefault="008716A6">
      <w:pPr>
        <w:pStyle w:val="TableofFigures"/>
        <w:tabs>
          <w:tab w:val="right" w:leader="dot" w:pos="9629"/>
        </w:tabs>
        <w:rPr>
          <w:noProof/>
          <w:kern w:val="2"/>
          <w:sz w:val="24"/>
          <w:szCs w:val="24"/>
        </w:rPr>
      </w:pPr>
      <w:hyperlink w:anchor="_Toc215491334" w:history="1">
        <w:r w:rsidRPr="00C03A2D">
          <w:rPr>
            <w:rStyle w:val="Hyperlink"/>
            <w:noProof/>
            <w:lang w:val="en-GB"/>
          </w:rPr>
          <w:t>Figure 3: Adverse event following immunisation reports for selected vaccines,</w:t>
        </w:r>
        <w:r w:rsidRPr="00C03A2D">
          <w:rPr>
            <w:rStyle w:val="Hyperlink"/>
            <w:noProof/>
            <w:vertAlign w:val="superscript"/>
            <w:lang w:val="en-GB"/>
          </w:rPr>
          <w:t>a,b</w:t>
        </w:r>
        <w:r w:rsidRPr="00C03A2D">
          <w:rPr>
            <w:rStyle w:val="Hyperlink"/>
            <w:noProof/>
            <w:lang w:val="en-GB"/>
          </w:rPr>
          <w:t xml:space="preserve"> for children aged &lt;</w:t>
        </w:r>
        <w:r>
          <w:rPr>
            <w:rStyle w:val="Hyperlink"/>
            <w:noProof/>
            <w:lang w:val="en-GB"/>
          </w:rPr>
          <w:t> </w:t>
        </w:r>
        <w:r w:rsidRPr="00C03A2D">
          <w:rPr>
            <w:rStyle w:val="Hyperlink"/>
            <w:noProof/>
            <w:lang w:val="en-GB"/>
          </w:rPr>
          <w:t>7 years in the Adverse Event Management System database from 2000 to 2022, by year and vaccine – vaccines with first National Immunisation Program (NIP)-funded primary dose administered at under 6 months of age, for (a) pneumococcal, dipththeria-tetanus-pertussis, Hib</w:t>
        </w:r>
        <w:r>
          <w:rPr>
            <w:rStyle w:val="Hyperlink"/>
            <w:noProof/>
            <w:lang w:val="en-GB"/>
          </w:rPr>
          <w:t> </w:t>
        </w:r>
        <w:r w:rsidRPr="00C03A2D">
          <w:rPr>
            <w:rStyle w:val="Hyperlink"/>
            <w:noProof/>
            <w:lang w:val="en-GB"/>
          </w:rPr>
          <w:t>and rotavirus vaccines and (b) meningococcal and measles-mumps-rubella/varicella vaccines</w:t>
        </w:r>
        <w:r>
          <w:rPr>
            <w:noProof/>
            <w:webHidden/>
          </w:rPr>
          <w:tab/>
        </w:r>
        <w:r>
          <w:rPr>
            <w:noProof/>
            <w:webHidden/>
          </w:rPr>
          <w:fldChar w:fldCharType="begin"/>
        </w:r>
        <w:r>
          <w:rPr>
            <w:noProof/>
            <w:webHidden/>
          </w:rPr>
          <w:instrText xml:space="preserve"> PAGEREF _Toc215491334 \h </w:instrText>
        </w:r>
        <w:r>
          <w:rPr>
            <w:noProof/>
            <w:webHidden/>
          </w:rPr>
        </w:r>
        <w:r>
          <w:rPr>
            <w:noProof/>
            <w:webHidden/>
          </w:rPr>
          <w:fldChar w:fldCharType="separate"/>
        </w:r>
        <w:r w:rsidR="006963D9">
          <w:rPr>
            <w:noProof/>
            <w:webHidden/>
          </w:rPr>
          <w:t>24</w:t>
        </w:r>
        <w:r>
          <w:rPr>
            <w:noProof/>
            <w:webHidden/>
          </w:rPr>
          <w:fldChar w:fldCharType="end"/>
        </w:r>
      </w:hyperlink>
    </w:p>
    <w:p w14:paraId="5E67EA3B" w14:textId="4C9AAFE2" w:rsidR="008716A6" w:rsidRDefault="008716A6">
      <w:pPr>
        <w:pStyle w:val="TableofFigures"/>
        <w:tabs>
          <w:tab w:val="right" w:leader="dot" w:pos="9629"/>
        </w:tabs>
        <w:rPr>
          <w:noProof/>
          <w:kern w:val="2"/>
          <w:sz w:val="24"/>
          <w:szCs w:val="24"/>
        </w:rPr>
      </w:pPr>
      <w:hyperlink w:anchor="_Toc215491335" w:history="1">
        <w:r w:rsidRPr="00C03A2D">
          <w:rPr>
            <w:rStyle w:val="Hyperlink"/>
            <w:noProof/>
            <w:lang w:val="en-GB"/>
          </w:rPr>
          <w:t>Figure 4: Adverse event following immunisation reports for selected vaccines,</w:t>
        </w:r>
        <w:r w:rsidRPr="00C03A2D">
          <w:rPr>
            <w:rStyle w:val="Hyperlink"/>
            <w:noProof/>
            <w:vertAlign w:val="superscript"/>
            <w:lang w:val="en-GB"/>
          </w:rPr>
          <w:t>a,b</w:t>
        </w:r>
        <w:r w:rsidRPr="00C03A2D">
          <w:rPr>
            <w:rStyle w:val="Hyperlink"/>
            <w:noProof/>
            <w:lang w:val="en-GB"/>
          </w:rPr>
          <w:t xml:space="preserve"> for children aged &lt;</w:t>
        </w:r>
        <w:r>
          <w:rPr>
            <w:rStyle w:val="Hyperlink"/>
            <w:noProof/>
            <w:lang w:val="en-GB"/>
          </w:rPr>
          <w:t> </w:t>
        </w:r>
        <w:r w:rsidRPr="00C03A2D">
          <w:rPr>
            <w:rStyle w:val="Hyperlink"/>
            <w:noProof/>
            <w:lang w:val="en-GB"/>
          </w:rPr>
          <w:t>7 years in the Adverse Event Management System database from 2000 to 2022, by year and vaccine, for (a) vaccines funded under National Immunisation Program (NIP) for specific population</w:t>
        </w:r>
        <w:r>
          <w:rPr>
            <w:rStyle w:val="Hyperlink"/>
            <w:noProof/>
            <w:lang w:val="en-GB"/>
          </w:rPr>
          <w:t> </w:t>
        </w:r>
        <w:r w:rsidRPr="00C03A2D">
          <w:rPr>
            <w:rStyle w:val="Hyperlink"/>
            <w:noProof/>
            <w:lang w:val="en-GB"/>
          </w:rPr>
          <w:t>subgroups only and (b) influenza vaccines</w:t>
        </w:r>
        <w:r>
          <w:rPr>
            <w:noProof/>
            <w:webHidden/>
          </w:rPr>
          <w:tab/>
        </w:r>
        <w:r>
          <w:rPr>
            <w:noProof/>
            <w:webHidden/>
          </w:rPr>
          <w:fldChar w:fldCharType="begin"/>
        </w:r>
        <w:r>
          <w:rPr>
            <w:noProof/>
            <w:webHidden/>
          </w:rPr>
          <w:instrText xml:space="preserve"> PAGEREF _Toc215491335 \h </w:instrText>
        </w:r>
        <w:r>
          <w:rPr>
            <w:noProof/>
            <w:webHidden/>
          </w:rPr>
        </w:r>
        <w:r>
          <w:rPr>
            <w:noProof/>
            <w:webHidden/>
          </w:rPr>
          <w:fldChar w:fldCharType="separate"/>
        </w:r>
        <w:r w:rsidR="006963D9">
          <w:rPr>
            <w:noProof/>
            <w:webHidden/>
          </w:rPr>
          <w:t>25</w:t>
        </w:r>
        <w:r>
          <w:rPr>
            <w:noProof/>
            <w:webHidden/>
          </w:rPr>
          <w:fldChar w:fldCharType="end"/>
        </w:r>
      </w:hyperlink>
    </w:p>
    <w:p w14:paraId="5391D1D8" w14:textId="567234C5" w:rsidR="008716A6" w:rsidRDefault="008716A6">
      <w:pPr>
        <w:pStyle w:val="TableofFigures"/>
        <w:tabs>
          <w:tab w:val="right" w:leader="dot" w:pos="9629"/>
        </w:tabs>
        <w:rPr>
          <w:noProof/>
          <w:kern w:val="2"/>
          <w:sz w:val="24"/>
          <w:szCs w:val="24"/>
        </w:rPr>
      </w:pPr>
      <w:hyperlink w:anchor="_Toc215491336" w:history="1">
        <w:r w:rsidRPr="00C03A2D">
          <w:rPr>
            <w:rStyle w:val="Hyperlink"/>
            <w:noProof/>
            <w:lang w:val="en-GB"/>
          </w:rPr>
          <w:t>Figure 5: Adverse event following immunisation reports for selected vaccines only,</w:t>
        </w:r>
        <w:r w:rsidRPr="00C03A2D">
          <w:rPr>
            <w:rStyle w:val="Hyperlink"/>
            <w:noProof/>
            <w:vertAlign w:val="superscript"/>
            <w:lang w:val="en-GB"/>
          </w:rPr>
          <w:t>a,b</w:t>
        </w:r>
        <w:r w:rsidRPr="00C03A2D">
          <w:rPr>
            <w:rStyle w:val="Hyperlink"/>
            <w:noProof/>
            <w:lang w:val="en-GB"/>
          </w:rPr>
          <w:t xml:space="preserve"> for people aged 7 to 17 years in the Adverse Event Management System database from 2000 to 2022, by</w:t>
        </w:r>
        <w:r w:rsidR="006963D9">
          <w:rPr>
            <w:rStyle w:val="Hyperlink"/>
            <w:noProof/>
            <w:lang w:val="en-GB"/>
          </w:rPr>
          <w:t> </w:t>
        </w:r>
        <w:r w:rsidRPr="00C03A2D">
          <w:rPr>
            <w:rStyle w:val="Hyperlink"/>
            <w:noProof/>
            <w:lang w:val="en-GB"/>
          </w:rPr>
          <w:t>year and vaccine</w:t>
        </w:r>
        <w:r>
          <w:rPr>
            <w:noProof/>
            <w:webHidden/>
          </w:rPr>
          <w:tab/>
        </w:r>
        <w:r>
          <w:rPr>
            <w:noProof/>
            <w:webHidden/>
          </w:rPr>
          <w:fldChar w:fldCharType="begin"/>
        </w:r>
        <w:r>
          <w:rPr>
            <w:noProof/>
            <w:webHidden/>
          </w:rPr>
          <w:instrText xml:space="preserve"> PAGEREF _Toc215491336 \h </w:instrText>
        </w:r>
        <w:r>
          <w:rPr>
            <w:noProof/>
            <w:webHidden/>
          </w:rPr>
        </w:r>
        <w:r>
          <w:rPr>
            <w:noProof/>
            <w:webHidden/>
          </w:rPr>
          <w:fldChar w:fldCharType="separate"/>
        </w:r>
        <w:r w:rsidR="006963D9">
          <w:rPr>
            <w:noProof/>
            <w:webHidden/>
          </w:rPr>
          <w:t>26</w:t>
        </w:r>
        <w:r>
          <w:rPr>
            <w:noProof/>
            <w:webHidden/>
          </w:rPr>
          <w:fldChar w:fldCharType="end"/>
        </w:r>
      </w:hyperlink>
    </w:p>
    <w:p w14:paraId="1C2C2157" w14:textId="41B4E6EA" w:rsidR="008716A6" w:rsidRDefault="008716A6">
      <w:pPr>
        <w:pStyle w:val="TableofFigures"/>
        <w:tabs>
          <w:tab w:val="right" w:leader="dot" w:pos="9629"/>
        </w:tabs>
        <w:rPr>
          <w:noProof/>
          <w:kern w:val="2"/>
          <w:sz w:val="24"/>
          <w:szCs w:val="24"/>
        </w:rPr>
      </w:pPr>
      <w:hyperlink w:anchor="_Toc215491337" w:history="1">
        <w:r w:rsidRPr="00C03A2D">
          <w:rPr>
            <w:rStyle w:val="Hyperlink"/>
            <w:noProof/>
            <w:lang w:val="en-GB"/>
          </w:rPr>
          <w:t>Figure 6: Adverse event following immunisation reports for selected vaccines only,</w:t>
        </w:r>
        <w:r w:rsidRPr="00C03A2D">
          <w:rPr>
            <w:rStyle w:val="Hyperlink"/>
            <w:noProof/>
            <w:vertAlign w:val="superscript"/>
            <w:lang w:val="en-GB"/>
          </w:rPr>
          <w:t>a,b</w:t>
        </w:r>
        <w:r w:rsidRPr="00C03A2D">
          <w:rPr>
            <w:rStyle w:val="Hyperlink"/>
            <w:noProof/>
            <w:lang w:val="en-GB"/>
          </w:rPr>
          <w:t xml:space="preserve"> for people aged 18 to 64 years in the Adverse Event Management System database from 2000 to 2022, by</w:t>
        </w:r>
        <w:r w:rsidR="006963D9">
          <w:rPr>
            <w:rStyle w:val="Hyperlink"/>
            <w:noProof/>
            <w:lang w:val="en-GB"/>
          </w:rPr>
          <w:t> </w:t>
        </w:r>
        <w:r w:rsidRPr="00C03A2D">
          <w:rPr>
            <w:rStyle w:val="Hyperlink"/>
            <w:noProof/>
            <w:lang w:val="en-GB"/>
          </w:rPr>
          <w:t>year and vaccine</w:t>
        </w:r>
        <w:r>
          <w:rPr>
            <w:noProof/>
            <w:webHidden/>
          </w:rPr>
          <w:tab/>
        </w:r>
        <w:r>
          <w:rPr>
            <w:noProof/>
            <w:webHidden/>
          </w:rPr>
          <w:fldChar w:fldCharType="begin"/>
        </w:r>
        <w:r>
          <w:rPr>
            <w:noProof/>
            <w:webHidden/>
          </w:rPr>
          <w:instrText xml:space="preserve"> PAGEREF _Toc215491337 \h </w:instrText>
        </w:r>
        <w:r>
          <w:rPr>
            <w:noProof/>
            <w:webHidden/>
          </w:rPr>
        </w:r>
        <w:r>
          <w:rPr>
            <w:noProof/>
            <w:webHidden/>
          </w:rPr>
          <w:fldChar w:fldCharType="separate"/>
        </w:r>
        <w:r w:rsidR="006963D9">
          <w:rPr>
            <w:noProof/>
            <w:webHidden/>
          </w:rPr>
          <w:t>27</w:t>
        </w:r>
        <w:r>
          <w:rPr>
            <w:noProof/>
            <w:webHidden/>
          </w:rPr>
          <w:fldChar w:fldCharType="end"/>
        </w:r>
      </w:hyperlink>
    </w:p>
    <w:p w14:paraId="6407C039" w14:textId="59ABD189" w:rsidR="008716A6" w:rsidRDefault="008716A6">
      <w:pPr>
        <w:pStyle w:val="TableofFigures"/>
        <w:tabs>
          <w:tab w:val="right" w:leader="dot" w:pos="9629"/>
        </w:tabs>
        <w:rPr>
          <w:noProof/>
          <w:kern w:val="2"/>
          <w:sz w:val="24"/>
          <w:szCs w:val="24"/>
        </w:rPr>
      </w:pPr>
      <w:hyperlink w:anchor="_Toc215491338" w:history="1">
        <w:r w:rsidRPr="00C03A2D">
          <w:rPr>
            <w:rStyle w:val="Hyperlink"/>
            <w:noProof/>
            <w:lang w:val="en-GB"/>
          </w:rPr>
          <w:t>Figure 7: Adverse event following immunisation reports, for selected vaccines only,</w:t>
        </w:r>
        <w:r w:rsidRPr="00C03A2D">
          <w:rPr>
            <w:rStyle w:val="Hyperlink"/>
            <w:noProof/>
            <w:vertAlign w:val="superscript"/>
            <w:lang w:val="en-GB"/>
          </w:rPr>
          <w:t>a,b</w:t>
        </w:r>
        <w:r w:rsidRPr="00C03A2D">
          <w:rPr>
            <w:rStyle w:val="Hyperlink"/>
            <w:noProof/>
            <w:lang w:val="en-GB"/>
          </w:rPr>
          <w:t xml:space="preserve"> for people aged ≥ 65 years in the Adverse Event Management System database from 2000 to 2022, by year</w:t>
        </w:r>
        <w:r>
          <w:rPr>
            <w:rStyle w:val="Hyperlink"/>
            <w:noProof/>
            <w:lang w:val="en-GB"/>
          </w:rPr>
          <w:t> </w:t>
        </w:r>
        <w:r w:rsidRPr="00C03A2D">
          <w:rPr>
            <w:rStyle w:val="Hyperlink"/>
            <w:noProof/>
            <w:lang w:val="en-GB"/>
          </w:rPr>
          <w:t>and vaccine</w:t>
        </w:r>
        <w:r>
          <w:rPr>
            <w:noProof/>
            <w:webHidden/>
          </w:rPr>
          <w:tab/>
        </w:r>
        <w:r>
          <w:rPr>
            <w:noProof/>
            <w:webHidden/>
          </w:rPr>
          <w:fldChar w:fldCharType="begin"/>
        </w:r>
        <w:r>
          <w:rPr>
            <w:noProof/>
            <w:webHidden/>
          </w:rPr>
          <w:instrText xml:space="preserve"> PAGEREF _Toc215491338 \h </w:instrText>
        </w:r>
        <w:r>
          <w:rPr>
            <w:noProof/>
            <w:webHidden/>
          </w:rPr>
        </w:r>
        <w:r>
          <w:rPr>
            <w:noProof/>
            <w:webHidden/>
          </w:rPr>
          <w:fldChar w:fldCharType="separate"/>
        </w:r>
        <w:r w:rsidR="006963D9">
          <w:rPr>
            <w:noProof/>
            <w:webHidden/>
          </w:rPr>
          <w:t>28</w:t>
        </w:r>
        <w:r>
          <w:rPr>
            <w:noProof/>
            <w:webHidden/>
          </w:rPr>
          <w:fldChar w:fldCharType="end"/>
        </w:r>
      </w:hyperlink>
    </w:p>
    <w:p w14:paraId="18663EB3" w14:textId="1A714D43" w:rsidR="008716A6" w:rsidRDefault="008716A6">
      <w:pPr>
        <w:pStyle w:val="TableofFigures"/>
        <w:tabs>
          <w:tab w:val="right" w:leader="dot" w:pos="9629"/>
        </w:tabs>
        <w:rPr>
          <w:noProof/>
          <w:kern w:val="2"/>
          <w:sz w:val="24"/>
          <w:szCs w:val="24"/>
        </w:rPr>
      </w:pPr>
      <w:hyperlink w:anchor="_Toc215491339" w:history="1">
        <w:r w:rsidRPr="00C03A2D">
          <w:rPr>
            <w:rStyle w:val="Hyperlink"/>
            <w:noProof/>
            <w:lang w:val="en-GB"/>
          </w:rPr>
          <w:t>Figure A.1: Reporting rates of adverse events following immunisation per 100,000 population in the</w:t>
        </w:r>
        <w:r>
          <w:rPr>
            <w:rStyle w:val="Hyperlink"/>
            <w:noProof/>
            <w:lang w:val="en-GB"/>
          </w:rPr>
          <w:t> </w:t>
        </w:r>
        <w:r w:rsidRPr="00C03A2D">
          <w:rPr>
            <w:rStyle w:val="Hyperlink"/>
            <w:noProof/>
            <w:lang w:val="en-GB"/>
          </w:rPr>
          <w:t>Adverse Event Management System database from 2000 to 2022 (excluding COVID-19 vaccines),</w:t>
        </w:r>
        <w:r w:rsidRPr="00C03A2D">
          <w:rPr>
            <w:rStyle w:val="Hyperlink"/>
            <w:noProof/>
            <w:vertAlign w:val="superscript"/>
            <w:lang w:val="en-GB"/>
          </w:rPr>
          <w:t>a</w:t>
        </w:r>
        <w:r w:rsidRPr="00C03A2D">
          <w:rPr>
            <w:rStyle w:val="Hyperlink"/>
            <w:noProof/>
            <w:lang w:val="en-GB"/>
          </w:rPr>
          <w:t xml:space="preserve"> by year and reporter type</w:t>
        </w:r>
        <w:r>
          <w:rPr>
            <w:noProof/>
            <w:webHidden/>
          </w:rPr>
          <w:tab/>
        </w:r>
        <w:r>
          <w:rPr>
            <w:noProof/>
            <w:webHidden/>
          </w:rPr>
          <w:fldChar w:fldCharType="begin"/>
        </w:r>
        <w:r>
          <w:rPr>
            <w:noProof/>
            <w:webHidden/>
          </w:rPr>
          <w:instrText xml:space="preserve"> PAGEREF _Toc215491339 \h </w:instrText>
        </w:r>
        <w:r>
          <w:rPr>
            <w:noProof/>
            <w:webHidden/>
          </w:rPr>
        </w:r>
        <w:r>
          <w:rPr>
            <w:noProof/>
            <w:webHidden/>
          </w:rPr>
          <w:fldChar w:fldCharType="separate"/>
        </w:r>
        <w:r w:rsidR="006963D9">
          <w:rPr>
            <w:noProof/>
            <w:webHidden/>
          </w:rPr>
          <w:t>48</w:t>
        </w:r>
        <w:r>
          <w:rPr>
            <w:noProof/>
            <w:webHidden/>
          </w:rPr>
          <w:fldChar w:fldCharType="end"/>
        </w:r>
      </w:hyperlink>
    </w:p>
    <w:p w14:paraId="26E36CC6" w14:textId="25801366" w:rsidR="00F216F0" w:rsidRDefault="005A4E9D" w:rsidP="00F216F0">
      <w:r>
        <w:fldChar w:fldCharType="end"/>
      </w:r>
    </w:p>
    <w:p w14:paraId="49CC5516" w14:textId="77777777" w:rsidR="00144F10" w:rsidRDefault="00FE3ED6" w:rsidP="0071536A">
      <w:pPr>
        <w:pStyle w:val="Heading2-newpage"/>
      </w:pPr>
      <w:bookmarkStart w:id="12" w:name="_Toc215477393"/>
      <w:r>
        <w:lastRenderedPageBreak/>
        <w:t xml:space="preserve">List of </w:t>
      </w:r>
      <w:r w:rsidR="00F216F0">
        <w:t>t</w:t>
      </w:r>
      <w:r w:rsidR="00144F10">
        <w:t>ables</w:t>
      </w:r>
      <w:bookmarkEnd w:id="6"/>
      <w:bookmarkEnd w:id="10"/>
      <w:bookmarkEnd w:id="12"/>
    </w:p>
    <w:p w14:paraId="22F85390" w14:textId="2EB2BCF1" w:rsidR="008716A6" w:rsidRDefault="00A709F0">
      <w:pPr>
        <w:pStyle w:val="TableofFigures"/>
        <w:tabs>
          <w:tab w:val="right" w:leader="dot" w:pos="9629"/>
        </w:tabs>
        <w:rPr>
          <w:noProof/>
          <w:kern w:val="2"/>
          <w:sz w:val="24"/>
          <w:szCs w:val="24"/>
        </w:rPr>
      </w:pPr>
      <w:r>
        <w:fldChar w:fldCharType="begin"/>
      </w:r>
      <w:r>
        <w:instrText xml:space="preserve"> TOC \h \z \t "CDI Table - Title" \c </w:instrText>
      </w:r>
      <w:r>
        <w:fldChar w:fldCharType="separate"/>
      </w:r>
      <w:hyperlink w:anchor="_Toc215491389" w:history="1">
        <w:r w:rsidR="008716A6" w:rsidRPr="00F13C79">
          <w:rPr>
            <w:rStyle w:val="Hyperlink"/>
            <w:noProof/>
            <w:lang w:val="en-GB"/>
          </w:rPr>
          <w:t>Table 1: Vaccines administered in 2022 listed as ‘suspect’ in reports of adverse events following immunisation (AEFI) in the Adverse Event Management System database (excluding COVID-19 vaccines), by age group</w:t>
        </w:r>
        <w:r w:rsidR="008716A6">
          <w:rPr>
            <w:noProof/>
            <w:webHidden/>
          </w:rPr>
          <w:tab/>
        </w:r>
        <w:r w:rsidR="008716A6">
          <w:rPr>
            <w:noProof/>
            <w:webHidden/>
          </w:rPr>
          <w:fldChar w:fldCharType="begin"/>
        </w:r>
        <w:r w:rsidR="008716A6">
          <w:rPr>
            <w:noProof/>
            <w:webHidden/>
          </w:rPr>
          <w:instrText xml:space="preserve"> PAGEREF _Toc215491389 \h </w:instrText>
        </w:r>
        <w:r w:rsidR="008716A6">
          <w:rPr>
            <w:noProof/>
            <w:webHidden/>
          </w:rPr>
        </w:r>
        <w:r w:rsidR="008716A6">
          <w:rPr>
            <w:noProof/>
            <w:webHidden/>
          </w:rPr>
          <w:fldChar w:fldCharType="separate"/>
        </w:r>
        <w:r w:rsidR="006963D9">
          <w:rPr>
            <w:noProof/>
            <w:webHidden/>
          </w:rPr>
          <w:t>13</w:t>
        </w:r>
        <w:r w:rsidR="008716A6">
          <w:rPr>
            <w:noProof/>
            <w:webHidden/>
          </w:rPr>
          <w:fldChar w:fldCharType="end"/>
        </w:r>
      </w:hyperlink>
    </w:p>
    <w:p w14:paraId="2BAA899D" w14:textId="24635CFC" w:rsidR="008716A6" w:rsidRDefault="008716A6">
      <w:pPr>
        <w:pStyle w:val="TableofFigures"/>
        <w:tabs>
          <w:tab w:val="right" w:leader="dot" w:pos="9629"/>
        </w:tabs>
        <w:rPr>
          <w:noProof/>
          <w:kern w:val="2"/>
          <w:sz w:val="24"/>
          <w:szCs w:val="24"/>
        </w:rPr>
      </w:pPr>
      <w:hyperlink w:anchor="_Toc215491390" w:history="1">
        <w:r w:rsidRPr="00F13C79">
          <w:rPr>
            <w:rStyle w:val="Hyperlink"/>
            <w:noProof/>
            <w:lang w:val="en-GB"/>
          </w:rPr>
          <w:t>Table 2: Adverse event following immunisation reports in the Adverse Event Management System</w:t>
        </w:r>
        <w:r>
          <w:rPr>
            <w:rStyle w:val="Hyperlink"/>
            <w:noProof/>
            <w:lang w:val="en-GB"/>
          </w:rPr>
          <w:t> </w:t>
        </w:r>
        <w:r w:rsidRPr="00F13C79">
          <w:rPr>
            <w:rStyle w:val="Hyperlink"/>
            <w:noProof/>
            <w:lang w:val="en-GB"/>
          </w:rPr>
          <w:t>database for vaccines administered in 2022 (excluding COVID-19 vaccines), by jurisdiction</w:t>
        </w:r>
        <w:r>
          <w:rPr>
            <w:rStyle w:val="Hyperlink"/>
            <w:noProof/>
            <w:lang w:val="en-GB"/>
          </w:rPr>
          <w:t> </w:t>
        </w:r>
        <w:r>
          <w:rPr>
            <w:noProof/>
            <w:webHidden/>
          </w:rPr>
          <w:tab/>
        </w:r>
        <w:r>
          <w:rPr>
            <w:noProof/>
            <w:webHidden/>
          </w:rPr>
          <w:fldChar w:fldCharType="begin"/>
        </w:r>
        <w:r>
          <w:rPr>
            <w:noProof/>
            <w:webHidden/>
          </w:rPr>
          <w:instrText xml:space="preserve"> PAGEREF _Toc215491390 \h </w:instrText>
        </w:r>
        <w:r>
          <w:rPr>
            <w:noProof/>
            <w:webHidden/>
          </w:rPr>
        </w:r>
        <w:r>
          <w:rPr>
            <w:noProof/>
            <w:webHidden/>
          </w:rPr>
          <w:fldChar w:fldCharType="separate"/>
        </w:r>
        <w:r w:rsidR="006963D9">
          <w:rPr>
            <w:noProof/>
            <w:webHidden/>
          </w:rPr>
          <w:t>17</w:t>
        </w:r>
        <w:r>
          <w:rPr>
            <w:noProof/>
            <w:webHidden/>
          </w:rPr>
          <w:fldChar w:fldCharType="end"/>
        </w:r>
      </w:hyperlink>
    </w:p>
    <w:p w14:paraId="486E1EC1" w14:textId="0CDF1921" w:rsidR="008716A6" w:rsidRDefault="008716A6">
      <w:pPr>
        <w:pStyle w:val="TableofFigures"/>
        <w:tabs>
          <w:tab w:val="right" w:leader="dot" w:pos="9629"/>
        </w:tabs>
        <w:rPr>
          <w:noProof/>
          <w:kern w:val="2"/>
          <w:sz w:val="24"/>
          <w:szCs w:val="24"/>
        </w:rPr>
      </w:pPr>
      <w:hyperlink w:anchor="_Toc215491391" w:history="1">
        <w:r w:rsidRPr="00F13C79">
          <w:rPr>
            <w:rStyle w:val="Hyperlink"/>
            <w:noProof/>
            <w:lang w:val="en-GB"/>
          </w:rPr>
          <w:t>Table 3: Vaccines administered in 2022 listed as ‘suspect’ in reports of adverse events following immunisation in the Adverse Event Management System (AEMS) database (excluding COVID-19 vaccines)</w:t>
        </w:r>
        <w:r>
          <w:rPr>
            <w:noProof/>
            <w:webHidden/>
          </w:rPr>
          <w:tab/>
        </w:r>
        <w:r>
          <w:rPr>
            <w:noProof/>
            <w:webHidden/>
          </w:rPr>
          <w:fldChar w:fldCharType="begin"/>
        </w:r>
        <w:r>
          <w:rPr>
            <w:noProof/>
            <w:webHidden/>
          </w:rPr>
          <w:instrText xml:space="preserve"> PAGEREF _Toc215491391 \h </w:instrText>
        </w:r>
        <w:r>
          <w:rPr>
            <w:noProof/>
            <w:webHidden/>
          </w:rPr>
        </w:r>
        <w:r>
          <w:rPr>
            <w:noProof/>
            <w:webHidden/>
          </w:rPr>
          <w:fldChar w:fldCharType="separate"/>
        </w:r>
        <w:r w:rsidR="006963D9">
          <w:rPr>
            <w:noProof/>
            <w:webHidden/>
          </w:rPr>
          <w:t>20</w:t>
        </w:r>
        <w:r>
          <w:rPr>
            <w:noProof/>
            <w:webHidden/>
          </w:rPr>
          <w:fldChar w:fldCharType="end"/>
        </w:r>
      </w:hyperlink>
    </w:p>
    <w:p w14:paraId="439EC055" w14:textId="064EFCC9" w:rsidR="008716A6" w:rsidRDefault="008716A6">
      <w:pPr>
        <w:pStyle w:val="TableofFigures"/>
        <w:tabs>
          <w:tab w:val="right" w:leader="dot" w:pos="9629"/>
        </w:tabs>
        <w:rPr>
          <w:noProof/>
          <w:kern w:val="2"/>
          <w:sz w:val="24"/>
          <w:szCs w:val="24"/>
        </w:rPr>
      </w:pPr>
      <w:hyperlink w:anchor="_Toc215491392" w:history="1">
        <w:r w:rsidRPr="00F13C79">
          <w:rPr>
            <w:rStyle w:val="Hyperlink"/>
            <w:noProof/>
            <w:lang w:val="en-GB"/>
          </w:rPr>
          <w:t>Table 4: The 30 most frequently reported adverse events classified by MedDRA Preferred Terms (PTs) or Standardised MedDRA queries (SMQs), in reports of adverse events following immunisation in the Adverse Event Management System database for vaccines administered in 2022 (excluding COVID-19 vaccines)</w:t>
        </w:r>
        <w:r>
          <w:rPr>
            <w:noProof/>
            <w:webHidden/>
          </w:rPr>
          <w:tab/>
        </w:r>
        <w:r>
          <w:rPr>
            <w:noProof/>
            <w:webHidden/>
          </w:rPr>
          <w:fldChar w:fldCharType="begin"/>
        </w:r>
        <w:r>
          <w:rPr>
            <w:noProof/>
            <w:webHidden/>
          </w:rPr>
          <w:instrText xml:space="preserve"> PAGEREF _Toc215491392 \h </w:instrText>
        </w:r>
        <w:r>
          <w:rPr>
            <w:noProof/>
            <w:webHidden/>
          </w:rPr>
        </w:r>
        <w:r>
          <w:rPr>
            <w:noProof/>
            <w:webHidden/>
          </w:rPr>
          <w:fldChar w:fldCharType="separate"/>
        </w:r>
        <w:r w:rsidR="006963D9">
          <w:rPr>
            <w:noProof/>
            <w:webHidden/>
          </w:rPr>
          <w:t>22</w:t>
        </w:r>
        <w:r>
          <w:rPr>
            <w:noProof/>
            <w:webHidden/>
          </w:rPr>
          <w:fldChar w:fldCharType="end"/>
        </w:r>
      </w:hyperlink>
    </w:p>
    <w:p w14:paraId="3C455E23" w14:textId="1E2071D8" w:rsidR="008716A6" w:rsidRDefault="008716A6">
      <w:pPr>
        <w:pStyle w:val="TableofFigures"/>
        <w:tabs>
          <w:tab w:val="right" w:leader="dot" w:pos="9629"/>
        </w:tabs>
        <w:rPr>
          <w:noProof/>
          <w:kern w:val="2"/>
          <w:sz w:val="24"/>
          <w:szCs w:val="24"/>
        </w:rPr>
      </w:pPr>
      <w:hyperlink w:anchor="_Toc215491393" w:history="1">
        <w:r w:rsidRPr="00F13C79">
          <w:rPr>
            <w:rStyle w:val="Hyperlink"/>
            <w:noProof/>
            <w:lang w:val="en-GB"/>
          </w:rPr>
          <w:t>Table A.1: Notable changes in national or jurisdictional immunisation policy, and in the National Immunisation Program (2005–2022), excluding COVID-19 vaccines</w:t>
        </w:r>
        <w:r w:rsidRPr="00F13C79">
          <w:rPr>
            <w:rStyle w:val="Hyperlink"/>
            <w:noProof/>
            <w:vertAlign w:val="superscript"/>
            <w:lang w:val="en-GB"/>
          </w:rPr>
          <w:t>18,25</w:t>
        </w:r>
        <w:r>
          <w:rPr>
            <w:noProof/>
            <w:webHidden/>
          </w:rPr>
          <w:tab/>
        </w:r>
        <w:r>
          <w:rPr>
            <w:noProof/>
            <w:webHidden/>
          </w:rPr>
          <w:fldChar w:fldCharType="begin"/>
        </w:r>
        <w:r>
          <w:rPr>
            <w:noProof/>
            <w:webHidden/>
          </w:rPr>
          <w:instrText xml:space="preserve"> PAGEREF _Toc215491393 \h </w:instrText>
        </w:r>
        <w:r>
          <w:rPr>
            <w:noProof/>
            <w:webHidden/>
          </w:rPr>
        </w:r>
        <w:r>
          <w:rPr>
            <w:noProof/>
            <w:webHidden/>
          </w:rPr>
          <w:fldChar w:fldCharType="separate"/>
        </w:r>
        <w:r w:rsidR="006963D9">
          <w:rPr>
            <w:noProof/>
            <w:webHidden/>
          </w:rPr>
          <w:t>40</w:t>
        </w:r>
        <w:r>
          <w:rPr>
            <w:noProof/>
            <w:webHidden/>
          </w:rPr>
          <w:fldChar w:fldCharType="end"/>
        </w:r>
      </w:hyperlink>
    </w:p>
    <w:p w14:paraId="4C3935B6" w14:textId="173521FB" w:rsidR="008716A6" w:rsidRDefault="008716A6">
      <w:pPr>
        <w:pStyle w:val="TableofFigures"/>
        <w:tabs>
          <w:tab w:val="right" w:leader="dot" w:pos="9629"/>
        </w:tabs>
        <w:rPr>
          <w:noProof/>
          <w:kern w:val="2"/>
          <w:sz w:val="24"/>
          <w:szCs w:val="24"/>
        </w:rPr>
      </w:pPr>
      <w:hyperlink w:anchor="_Toc215491394" w:history="1">
        <w:r w:rsidRPr="00F13C79">
          <w:rPr>
            <w:rStyle w:val="Hyperlink"/>
            <w:noProof/>
            <w:lang w:val="en-GB"/>
          </w:rPr>
          <w:t>Table A.2: Description of preferred term (PT) to standardised MedDRA query (SMQ) mapping</w:t>
        </w:r>
        <w:r>
          <w:rPr>
            <w:noProof/>
            <w:webHidden/>
          </w:rPr>
          <w:tab/>
        </w:r>
        <w:r>
          <w:rPr>
            <w:noProof/>
            <w:webHidden/>
          </w:rPr>
          <w:fldChar w:fldCharType="begin"/>
        </w:r>
        <w:r>
          <w:rPr>
            <w:noProof/>
            <w:webHidden/>
          </w:rPr>
          <w:instrText xml:space="preserve"> PAGEREF _Toc215491394 \h </w:instrText>
        </w:r>
        <w:r>
          <w:rPr>
            <w:noProof/>
            <w:webHidden/>
          </w:rPr>
        </w:r>
        <w:r>
          <w:rPr>
            <w:noProof/>
            <w:webHidden/>
          </w:rPr>
          <w:fldChar w:fldCharType="separate"/>
        </w:r>
        <w:r w:rsidR="006963D9">
          <w:rPr>
            <w:noProof/>
            <w:webHidden/>
          </w:rPr>
          <w:t>45</w:t>
        </w:r>
        <w:r>
          <w:rPr>
            <w:noProof/>
            <w:webHidden/>
          </w:rPr>
          <w:fldChar w:fldCharType="end"/>
        </w:r>
      </w:hyperlink>
    </w:p>
    <w:p w14:paraId="49CE6E85" w14:textId="0982EE7A" w:rsidR="008716A6" w:rsidRDefault="008716A6">
      <w:pPr>
        <w:pStyle w:val="TableofFigures"/>
        <w:tabs>
          <w:tab w:val="right" w:leader="dot" w:pos="9629"/>
        </w:tabs>
        <w:rPr>
          <w:noProof/>
          <w:kern w:val="2"/>
          <w:sz w:val="24"/>
          <w:szCs w:val="24"/>
        </w:rPr>
      </w:pPr>
      <w:hyperlink w:anchor="_Toc215491395" w:history="1">
        <w:r w:rsidRPr="00F13C79">
          <w:rPr>
            <w:rStyle w:val="Hyperlink"/>
            <w:noProof/>
            <w:lang w:val="en-GB"/>
          </w:rPr>
          <w:t>Table A.3: Preferred terms (PTs) mapped to specific standardised MedDRA queries (SMQs)</w:t>
        </w:r>
        <w:r w:rsidRPr="00F13C79">
          <w:rPr>
            <w:rStyle w:val="Hyperlink"/>
            <w:noProof/>
            <w:vertAlign w:val="superscript"/>
            <w:lang w:val="en-GB"/>
          </w:rPr>
          <w:t>a</w:t>
        </w:r>
        <w:r>
          <w:rPr>
            <w:noProof/>
            <w:webHidden/>
          </w:rPr>
          <w:tab/>
        </w:r>
        <w:r>
          <w:rPr>
            <w:noProof/>
            <w:webHidden/>
          </w:rPr>
          <w:fldChar w:fldCharType="begin"/>
        </w:r>
        <w:r>
          <w:rPr>
            <w:noProof/>
            <w:webHidden/>
          </w:rPr>
          <w:instrText xml:space="preserve"> PAGEREF _Toc215491395 \h </w:instrText>
        </w:r>
        <w:r>
          <w:rPr>
            <w:noProof/>
            <w:webHidden/>
          </w:rPr>
        </w:r>
        <w:r>
          <w:rPr>
            <w:noProof/>
            <w:webHidden/>
          </w:rPr>
          <w:fldChar w:fldCharType="separate"/>
        </w:r>
        <w:r w:rsidR="006963D9">
          <w:rPr>
            <w:noProof/>
            <w:webHidden/>
          </w:rPr>
          <w:t>45</w:t>
        </w:r>
        <w:r>
          <w:rPr>
            <w:noProof/>
            <w:webHidden/>
          </w:rPr>
          <w:fldChar w:fldCharType="end"/>
        </w:r>
      </w:hyperlink>
    </w:p>
    <w:p w14:paraId="0F72B145" w14:textId="44D7D243" w:rsidR="008716A6" w:rsidRDefault="008716A6">
      <w:pPr>
        <w:pStyle w:val="TableofFigures"/>
        <w:tabs>
          <w:tab w:val="right" w:leader="dot" w:pos="9629"/>
        </w:tabs>
        <w:rPr>
          <w:noProof/>
          <w:kern w:val="2"/>
          <w:sz w:val="24"/>
          <w:szCs w:val="24"/>
        </w:rPr>
      </w:pPr>
      <w:hyperlink w:anchor="_Toc215491396" w:history="1">
        <w:r w:rsidRPr="00F13C79">
          <w:rPr>
            <w:rStyle w:val="Hyperlink"/>
            <w:noProof/>
            <w:lang w:val="en-GB"/>
          </w:rPr>
          <w:t>Table A.4: Abbreviations of vaccine types and other terms</w:t>
        </w:r>
        <w:r>
          <w:rPr>
            <w:noProof/>
            <w:webHidden/>
          </w:rPr>
          <w:tab/>
        </w:r>
        <w:r>
          <w:rPr>
            <w:noProof/>
            <w:webHidden/>
          </w:rPr>
          <w:fldChar w:fldCharType="begin"/>
        </w:r>
        <w:r>
          <w:rPr>
            <w:noProof/>
            <w:webHidden/>
          </w:rPr>
          <w:instrText xml:space="preserve"> PAGEREF _Toc215491396 \h </w:instrText>
        </w:r>
        <w:r>
          <w:rPr>
            <w:noProof/>
            <w:webHidden/>
          </w:rPr>
        </w:r>
        <w:r>
          <w:rPr>
            <w:noProof/>
            <w:webHidden/>
          </w:rPr>
          <w:fldChar w:fldCharType="separate"/>
        </w:r>
        <w:r w:rsidR="006963D9">
          <w:rPr>
            <w:noProof/>
            <w:webHidden/>
          </w:rPr>
          <w:t>46</w:t>
        </w:r>
        <w:r>
          <w:rPr>
            <w:noProof/>
            <w:webHidden/>
          </w:rPr>
          <w:fldChar w:fldCharType="end"/>
        </w:r>
      </w:hyperlink>
    </w:p>
    <w:p w14:paraId="554313CE" w14:textId="3E076C73" w:rsidR="00425757" w:rsidRDefault="00A709F0" w:rsidP="00144F10">
      <w:r>
        <w:fldChar w:fldCharType="end"/>
      </w:r>
    </w:p>
    <w:p w14:paraId="1B685D41" w14:textId="77777777" w:rsidR="00F25C00" w:rsidRDefault="0098426C" w:rsidP="00A24E95">
      <w:pPr>
        <w:pStyle w:val="Heading1"/>
      </w:pPr>
      <w:bookmarkStart w:id="13" w:name="_Toc195530498"/>
      <w:bookmarkStart w:id="14" w:name="_Toc215477394"/>
      <w:r>
        <w:lastRenderedPageBreak/>
        <w:t>Abstract</w:t>
      </w:r>
      <w:bookmarkEnd w:id="13"/>
      <w:bookmarkEnd w:id="14"/>
    </w:p>
    <w:p w14:paraId="7DD0143F" w14:textId="77777777" w:rsidR="0074581A" w:rsidRPr="0074581A" w:rsidRDefault="0074581A" w:rsidP="0074581A">
      <w:pPr>
        <w:rPr>
          <w:lang w:val="en-GB"/>
        </w:rPr>
      </w:pPr>
      <w:r w:rsidRPr="0074581A">
        <w:rPr>
          <w:lang w:val="en-GB"/>
        </w:rPr>
        <w:t>This report summarises Australia’s spontaneous surveillance data for non-COVID-19 vaccine adverse events following immunisation (AEFI) for 2022, reported to the Therapeutic Goods Administration (TGA). National spontaneous (passive) surveillance data for coronavirus disease 2019 (COVID-19) vaccine AEFI reported to the TGA are analysed and discussed in a separate companion publication.</w:t>
      </w:r>
    </w:p>
    <w:p w14:paraId="32A5B4F1" w14:textId="77777777" w:rsidR="0074581A" w:rsidRPr="0074581A" w:rsidRDefault="0074581A" w:rsidP="0074581A">
      <w:pPr>
        <w:pStyle w:val="Normal-morespaceafter"/>
        <w:rPr>
          <w:lang w:val="en-GB"/>
        </w:rPr>
      </w:pPr>
      <w:r w:rsidRPr="0074581A">
        <w:rPr>
          <w:lang w:val="en-GB"/>
        </w:rPr>
        <w:t xml:space="preserve">There were 3,642 AEFI reports for non-COVID-19 vaccines administered in 2022, representing an annual AEFI reporting rate of 14.0 per 100,000 population, compared with 13.4 per 100,000 population in 2021. This very small increase in the AEFI reporting rate in 2022 could potentially be related to the combination of several factors: a gradual return to pre-pandemic AEFI reporting patterns; new vaccination programs in response to outbreaks of emergent vaccine preventable diseases (Japanese encephalitis and mpox); and a change in the reporting activities of pharmaceutical sponsors. AEFI reporting rates for individual vaccines in 2022 were </w:t>
      </w:r>
      <w:proofErr w:type="gramStart"/>
      <w:r w:rsidRPr="0074581A">
        <w:rPr>
          <w:lang w:val="en-GB"/>
        </w:rPr>
        <w:t>similar to</w:t>
      </w:r>
      <w:proofErr w:type="gramEnd"/>
      <w:r w:rsidRPr="0074581A">
        <w:rPr>
          <w:lang w:val="en-GB"/>
        </w:rPr>
        <w:t xml:space="preserve"> 2021. </w:t>
      </w:r>
    </w:p>
    <w:p w14:paraId="003C091E" w14:textId="5962F369" w:rsidR="00B73144" w:rsidRDefault="00B73144" w:rsidP="00E61A68">
      <w:pPr>
        <w:pStyle w:val="CDIBoxText"/>
        <w:rPr>
          <w:lang w:val="en-GB"/>
        </w:rPr>
      </w:pPr>
      <w:r w:rsidRPr="00E61A68">
        <w:t>Keywords</w:t>
      </w:r>
      <w:r w:rsidR="00BF1476">
        <w:t xml:space="preserve">: </w:t>
      </w:r>
      <w:r w:rsidR="0074581A" w:rsidRPr="0074581A">
        <w:rPr>
          <w:lang w:val="en-GB"/>
        </w:rPr>
        <w:t xml:space="preserve">AEFI; adverse events; vaccines; surveillance; immunisation; vaccine </w:t>
      </w:r>
    </w:p>
    <w:p w14:paraId="1A367414" w14:textId="77777777" w:rsidR="0037146D" w:rsidRDefault="00B73144" w:rsidP="00B73144">
      <w:pPr>
        <w:pStyle w:val="Heading1"/>
      </w:pPr>
      <w:bookmarkStart w:id="15" w:name="_Toc195530501"/>
      <w:bookmarkStart w:id="16" w:name="_Toc215477395"/>
      <w:r>
        <w:lastRenderedPageBreak/>
        <w:t>Introduction</w:t>
      </w:r>
      <w:bookmarkEnd w:id="15"/>
      <w:bookmarkEnd w:id="16"/>
    </w:p>
    <w:p w14:paraId="4F39A097" w14:textId="77777777" w:rsidR="0074581A" w:rsidRPr="0074581A" w:rsidRDefault="0074581A" w:rsidP="0074581A">
      <w:pPr>
        <w:rPr>
          <w:lang w:val="en-GB"/>
        </w:rPr>
      </w:pPr>
      <w:r w:rsidRPr="0074581A">
        <w:rPr>
          <w:lang w:val="en-GB"/>
        </w:rPr>
        <w:t xml:space="preserve">An adverse event following immunisation (AEFI) is defined as any untoward medical occurrence which follows </w:t>
      </w:r>
      <w:proofErr w:type="gramStart"/>
      <w:r w:rsidRPr="0074581A">
        <w:rPr>
          <w:lang w:val="en-GB"/>
        </w:rPr>
        <w:t>immunisation</w:t>
      </w:r>
      <w:proofErr w:type="gramEnd"/>
      <w:r w:rsidRPr="0074581A">
        <w:rPr>
          <w:lang w:val="en-GB"/>
        </w:rPr>
        <w:t xml:space="preserve"> and which does not necessarily have a causal relationship with the usage of the vaccine.</w:t>
      </w:r>
      <w:r w:rsidRPr="0074581A">
        <w:rPr>
          <w:vertAlign w:val="superscript"/>
          <w:lang w:val="en-GB"/>
        </w:rPr>
        <w:t>1</w:t>
      </w:r>
      <w:r w:rsidRPr="0074581A">
        <w:rPr>
          <w:lang w:val="en-GB"/>
        </w:rPr>
        <w:t xml:space="preserve"> The AEFI may be an unfavourable or unintended sign, abnormal laboratory finding, symptom or disease. AEFI can be caused by the vaccine(s) or can be a coincidental event. Events can be classified into the following categories:</w:t>
      </w:r>
    </w:p>
    <w:p w14:paraId="70D2A0FC" w14:textId="77777777" w:rsidR="0074581A" w:rsidRPr="0074581A" w:rsidRDefault="0074581A" w:rsidP="0074581A">
      <w:pPr>
        <w:pStyle w:val="CDINumberedList1L1"/>
        <w:ind w:left="754"/>
        <w:rPr>
          <w:lang w:val="en-GB"/>
        </w:rPr>
      </w:pPr>
      <w:r w:rsidRPr="0074581A">
        <w:rPr>
          <w:lang w:val="en-GB"/>
        </w:rPr>
        <w:t xml:space="preserve">vaccine product-related </w:t>
      </w:r>
      <w:proofErr w:type="gramStart"/>
      <w:r w:rsidRPr="0074581A">
        <w:rPr>
          <w:lang w:val="en-GB"/>
        </w:rPr>
        <w:t>reaction;</w:t>
      </w:r>
      <w:proofErr w:type="gramEnd"/>
      <w:r w:rsidRPr="0074581A">
        <w:rPr>
          <w:lang w:val="en-GB"/>
        </w:rPr>
        <w:t xml:space="preserve"> </w:t>
      </w:r>
    </w:p>
    <w:p w14:paraId="5B76E579" w14:textId="77777777" w:rsidR="0074581A" w:rsidRPr="0074581A" w:rsidRDefault="0074581A" w:rsidP="0074581A">
      <w:pPr>
        <w:pStyle w:val="CDINumberedList1L1"/>
        <w:ind w:left="754"/>
        <w:rPr>
          <w:lang w:val="en-GB"/>
        </w:rPr>
      </w:pPr>
      <w:r w:rsidRPr="0074581A">
        <w:rPr>
          <w:lang w:val="en-GB"/>
        </w:rPr>
        <w:t xml:space="preserve">vaccine quality defect-related </w:t>
      </w:r>
      <w:proofErr w:type="gramStart"/>
      <w:r w:rsidRPr="0074581A">
        <w:rPr>
          <w:lang w:val="en-GB"/>
        </w:rPr>
        <w:t>reaction;</w:t>
      </w:r>
      <w:proofErr w:type="gramEnd"/>
      <w:r w:rsidRPr="0074581A">
        <w:rPr>
          <w:lang w:val="en-GB"/>
        </w:rPr>
        <w:t xml:space="preserve"> </w:t>
      </w:r>
    </w:p>
    <w:p w14:paraId="7B4E2B98" w14:textId="77777777" w:rsidR="0074581A" w:rsidRPr="0074581A" w:rsidRDefault="0074581A" w:rsidP="0074581A">
      <w:pPr>
        <w:pStyle w:val="CDINumberedList1L1"/>
        <w:ind w:left="754"/>
        <w:rPr>
          <w:lang w:val="en-GB"/>
        </w:rPr>
      </w:pPr>
      <w:r w:rsidRPr="0074581A">
        <w:rPr>
          <w:lang w:val="en-GB"/>
        </w:rPr>
        <w:t xml:space="preserve">immunisation error-related </w:t>
      </w:r>
      <w:proofErr w:type="gramStart"/>
      <w:r w:rsidRPr="0074581A">
        <w:rPr>
          <w:lang w:val="en-GB"/>
        </w:rPr>
        <w:t>reaction;</w:t>
      </w:r>
      <w:proofErr w:type="gramEnd"/>
      <w:r w:rsidRPr="0074581A">
        <w:rPr>
          <w:lang w:val="en-GB"/>
        </w:rPr>
        <w:t xml:space="preserve"> </w:t>
      </w:r>
    </w:p>
    <w:p w14:paraId="00EB61DB" w14:textId="77777777" w:rsidR="0074581A" w:rsidRPr="0074581A" w:rsidRDefault="0074581A" w:rsidP="0074581A">
      <w:pPr>
        <w:pStyle w:val="CDINumberedList1L1"/>
        <w:ind w:left="754"/>
        <w:rPr>
          <w:lang w:val="en-GB"/>
        </w:rPr>
      </w:pPr>
      <w:r w:rsidRPr="0074581A">
        <w:rPr>
          <w:lang w:val="en-GB"/>
        </w:rPr>
        <w:t>immunisation anxiety-related reaction (also known as immunisation stress-related response); or</w:t>
      </w:r>
    </w:p>
    <w:p w14:paraId="6115B6F1" w14:textId="77777777" w:rsidR="0074581A" w:rsidRPr="0074581A" w:rsidRDefault="0074581A" w:rsidP="0074581A">
      <w:pPr>
        <w:pStyle w:val="CDINumberedList1L1"/>
        <w:ind w:left="754"/>
        <w:rPr>
          <w:lang w:val="en-GB"/>
        </w:rPr>
      </w:pPr>
      <w:r w:rsidRPr="0074581A">
        <w:rPr>
          <w:lang w:val="en-GB"/>
        </w:rPr>
        <w:t xml:space="preserve">coincidental event. </w:t>
      </w:r>
    </w:p>
    <w:p w14:paraId="19183816" w14:textId="77777777" w:rsidR="0074581A" w:rsidRPr="0074581A" w:rsidRDefault="0074581A" w:rsidP="0074581A">
      <w:pPr>
        <w:rPr>
          <w:lang w:val="en-GB"/>
        </w:rPr>
      </w:pPr>
      <w:r w:rsidRPr="0074581A">
        <w:rPr>
          <w:lang w:val="en-GB"/>
        </w:rPr>
        <w:t xml:space="preserve">Ongoing post-marketing AEFI surveillance through a national spontaneous (passive) surveillance system is important in detecting AEFI that may not have been identified in pre-registration vaccine trials. </w:t>
      </w:r>
    </w:p>
    <w:p w14:paraId="512C5E96" w14:textId="77777777" w:rsidR="0074581A" w:rsidRPr="0074581A" w:rsidRDefault="0074581A" w:rsidP="0074581A">
      <w:pPr>
        <w:rPr>
          <w:lang w:val="en-GB"/>
        </w:rPr>
      </w:pPr>
      <w:r w:rsidRPr="0074581A">
        <w:rPr>
          <w:lang w:val="en-GB"/>
        </w:rPr>
        <w:t>Anyone can report AEFI to the Therapeutic Goods Administration (TGA); the main categories of reporters are state and territory health departments, health professionals, vaccine companies, and consumers (members of the public).</w:t>
      </w:r>
      <w:r w:rsidRPr="0074581A">
        <w:rPr>
          <w:vertAlign w:val="superscript"/>
          <w:lang w:val="en-GB"/>
        </w:rPr>
        <w:t>2</w:t>
      </w:r>
      <w:r w:rsidRPr="0074581A">
        <w:rPr>
          <w:lang w:val="en-GB"/>
        </w:rPr>
        <w:t xml:space="preserve"> All reported AEFI are entered into the Australian Adverse Event Management System (AEMS) database. Where the initial report contains insufficient information, the TGA may contact the reporter or relevant state or territory health department to elicit further information. The TGA continually analyses AEFI data to detect new potential safety issues, or changes to known safety issues, that may require regulatory or other action. The TGA may also review select serious adverse events, using internationally consistent methods, to identify whether there may be a link between a vaccine and the adverse event involved.</w:t>
      </w:r>
      <w:r w:rsidRPr="0074581A">
        <w:rPr>
          <w:vertAlign w:val="superscript"/>
          <w:lang w:val="en-GB"/>
        </w:rPr>
        <w:t>3</w:t>
      </w:r>
      <w:r w:rsidRPr="0074581A">
        <w:rPr>
          <w:lang w:val="en-GB"/>
        </w:rPr>
        <w:t xml:space="preserve"> </w:t>
      </w:r>
    </w:p>
    <w:p w14:paraId="2E357BFB" w14:textId="77777777" w:rsidR="0074581A" w:rsidRPr="0074581A" w:rsidRDefault="0074581A" w:rsidP="0074581A">
      <w:pPr>
        <w:rPr>
          <w:lang w:val="en-GB"/>
        </w:rPr>
      </w:pPr>
      <w:r w:rsidRPr="0074581A">
        <w:rPr>
          <w:lang w:val="en-GB"/>
        </w:rPr>
        <w:t>Reports summarising Australian national spontaneous AEFI surveillance data have been published regularly since 2003.</w:t>
      </w:r>
      <w:r w:rsidRPr="0074581A">
        <w:rPr>
          <w:vertAlign w:val="superscript"/>
          <w:lang w:val="en-GB"/>
        </w:rPr>
        <w:t>4,5</w:t>
      </w:r>
      <w:r w:rsidRPr="0074581A">
        <w:rPr>
          <w:lang w:val="en-GB"/>
        </w:rPr>
        <w:t xml:space="preserve"> Trends in reported AEFI are influenced by many factors, including changes to the National Immunisation Program (NIP), vaccine introduction and availability, media coverage, awareness campaigns, and efforts to facilitate reporting, such as safety alerts on the TGA website and social media channels, as well as programs targeted at increasing health professional reporting. Changes to the NIP since 2005 are summarised in Appendix A, Table A.1, and the impacts of these NIP changes on reported AEFI trends are described in previous annual AEFI reports.</w:t>
      </w:r>
    </w:p>
    <w:p w14:paraId="54E21DB4" w14:textId="77777777" w:rsidR="0074581A" w:rsidRPr="0074581A" w:rsidRDefault="0074581A" w:rsidP="0074581A">
      <w:pPr>
        <w:rPr>
          <w:lang w:val="en-GB"/>
        </w:rPr>
      </w:pPr>
      <w:r w:rsidRPr="0074581A">
        <w:rPr>
          <w:lang w:val="en-GB"/>
        </w:rPr>
        <w:t>There were no changes to the NIP in 2022 to highlight. However, in response to the Japanese encephalitis outbreak across mainland Australia, various states and territories rolled out targeted Japanese encephalitis vaccination programs.</w:t>
      </w:r>
      <w:r w:rsidRPr="0074581A">
        <w:rPr>
          <w:vertAlign w:val="superscript"/>
          <w:lang w:val="en-GB"/>
        </w:rPr>
        <w:t>6,7</w:t>
      </w:r>
      <w:r w:rsidRPr="0074581A">
        <w:rPr>
          <w:lang w:val="en-GB"/>
        </w:rPr>
        <w:t xml:space="preserve"> Additionally, the mpox outbreak resulted in the MVA-BN smallpox/mpox vaccine being made available in Australia through Section 18A of the </w:t>
      </w:r>
      <w:r w:rsidRPr="0074581A">
        <w:rPr>
          <w:i/>
          <w:iCs/>
          <w:lang w:val="en-GB"/>
        </w:rPr>
        <w:t>Therapeutic Goods Act 1989</w:t>
      </w:r>
      <w:r w:rsidRPr="0074581A">
        <w:rPr>
          <w:lang w:val="en-GB"/>
        </w:rPr>
        <w:t>, a special emergency pathway that ensures a vaccine is urgently available to deal with critical threats to public health.</w:t>
      </w:r>
      <w:r w:rsidRPr="0074581A">
        <w:rPr>
          <w:vertAlign w:val="superscript"/>
          <w:lang w:val="en-GB"/>
        </w:rPr>
        <w:t>7,8</w:t>
      </w:r>
      <w:r w:rsidRPr="0074581A">
        <w:rPr>
          <w:lang w:val="en-GB"/>
        </w:rPr>
        <w:t xml:space="preserve"> Despite the unavailability of some components of the usual pharmacovigilance processes through the Section 18A access pathway, such as specific legislated requirements of pharmaceutical sponsors, spontaneous AEFI reporting to the TGA was encouraged for the MVA-BN vaccine and reports were entered into the AEMS database.</w:t>
      </w:r>
    </w:p>
    <w:p w14:paraId="360FF53D" w14:textId="6FE658EA" w:rsidR="00AC46DC" w:rsidRPr="00AC46DC" w:rsidRDefault="0074581A" w:rsidP="00AC46DC">
      <w:r w:rsidRPr="0074581A">
        <w:rPr>
          <w:lang w:val="en-GB"/>
        </w:rPr>
        <w:lastRenderedPageBreak/>
        <w:t xml:space="preserve">This report summarises national spontaneous (passive) surveillance data for non-COVID-19 vaccine AEFI reported to the TGA. The report focuses on AEFI reported for vaccines administered in 2022. </w:t>
      </w:r>
    </w:p>
    <w:p w14:paraId="1D40026E" w14:textId="77777777" w:rsidR="00A24E95" w:rsidRDefault="00B73144" w:rsidP="00B73144">
      <w:pPr>
        <w:pStyle w:val="Heading1"/>
        <w:rPr>
          <w:lang w:val="en-GB"/>
        </w:rPr>
      </w:pPr>
      <w:bookmarkStart w:id="17" w:name="_Toc195530502"/>
      <w:bookmarkStart w:id="18" w:name="_Toc215477396"/>
      <w:r>
        <w:rPr>
          <w:lang w:val="en-GB"/>
        </w:rPr>
        <w:lastRenderedPageBreak/>
        <w:t>Methods</w:t>
      </w:r>
      <w:bookmarkEnd w:id="17"/>
      <w:bookmarkEnd w:id="18"/>
    </w:p>
    <w:p w14:paraId="504F9A21" w14:textId="15501BC9" w:rsidR="0074581A" w:rsidRPr="0074581A" w:rsidRDefault="0074581A" w:rsidP="0074581A">
      <w:pPr>
        <w:pStyle w:val="Heading2-lessspacebefore"/>
        <w:rPr>
          <w:lang w:val="en-GB"/>
        </w:rPr>
      </w:pPr>
      <w:bookmarkStart w:id="19" w:name="_Toc215477397"/>
      <w:r w:rsidRPr="0074581A">
        <w:rPr>
          <w:lang w:val="en-GB"/>
        </w:rPr>
        <w:t>AEFI data</w:t>
      </w:r>
      <w:bookmarkEnd w:id="19"/>
    </w:p>
    <w:p w14:paraId="18D8D3B6" w14:textId="77777777" w:rsidR="0074581A" w:rsidRPr="0074581A" w:rsidRDefault="0074581A" w:rsidP="0074581A">
      <w:pPr>
        <w:rPr>
          <w:lang w:val="en-GB"/>
        </w:rPr>
      </w:pPr>
      <w:r w:rsidRPr="0074581A">
        <w:rPr>
          <w:lang w:val="en-GB"/>
        </w:rPr>
        <w:t>De-identified data on all AEFI for vaccines administered up to 28 February 2023 reported to the TGA and stored in the AEMS database were extracted and provided to the National Centre for Immunisation Research and Surveillance (NCIRS) on 12 October 2023. Please refer to previous reports for a detailed description of the surveillance system.</w:t>
      </w:r>
      <w:r w:rsidRPr="0074581A">
        <w:rPr>
          <w:vertAlign w:val="superscript"/>
          <w:lang w:val="en-GB"/>
        </w:rPr>
        <w:t>4,9</w:t>
      </w:r>
      <w:r w:rsidRPr="0074581A">
        <w:rPr>
          <w:lang w:val="en-GB"/>
        </w:rPr>
        <w:t xml:space="preserve"> </w:t>
      </w:r>
    </w:p>
    <w:p w14:paraId="513E99EC" w14:textId="77777777" w:rsidR="0074581A" w:rsidRPr="0074581A" w:rsidRDefault="0074581A" w:rsidP="0074581A">
      <w:pPr>
        <w:pStyle w:val="Heading3"/>
        <w:rPr>
          <w:lang w:val="en-GB"/>
        </w:rPr>
      </w:pPr>
      <w:r w:rsidRPr="0074581A">
        <w:rPr>
          <w:lang w:val="en-GB"/>
        </w:rPr>
        <w:t>AEFI report data management</w:t>
      </w:r>
    </w:p>
    <w:p w14:paraId="69A3E466" w14:textId="77777777" w:rsidR="0074581A" w:rsidRPr="0074581A" w:rsidRDefault="0074581A" w:rsidP="0074581A">
      <w:pPr>
        <w:rPr>
          <w:lang w:val="en-GB"/>
        </w:rPr>
      </w:pPr>
      <w:r w:rsidRPr="0074581A">
        <w:rPr>
          <w:lang w:val="en-GB"/>
        </w:rPr>
        <w:t>Only accepted AEFI reports were included in this analysis, meaning that the report must contain sufficient information pertaining to four key elements: a reporter; a patient; one or more suspected vaccines; and one or more reaction terms.</w:t>
      </w:r>
      <w:r w:rsidRPr="0074581A">
        <w:rPr>
          <w:vertAlign w:val="superscript"/>
          <w:lang w:val="en-GB"/>
        </w:rPr>
        <w:t>10</w:t>
      </w:r>
      <w:r w:rsidRPr="0074581A">
        <w:rPr>
          <w:lang w:val="en-GB"/>
        </w:rPr>
        <w:t xml:space="preserve"> Reports accepted by the TGA are assigned a default decision type of ‘causality possible’ due to the event being reported to occur after the vaccine was given.</w:t>
      </w:r>
    </w:p>
    <w:p w14:paraId="4F7E0BF3" w14:textId="77777777" w:rsidR="0074581A" w:rsidRPr="0074581A" w:rsidRDefault="0074581A" w:rsidP="0074581A">
      <w:pPr>
        <w:rPr>
          <w:lang w:val="en-GB"/>
        </w:rPr>
      </w:pPr>
      <w:r w:rsidRPr="0074581A">
        <w:rPr>
          <w:lang w:val="en-GB"/>
        </w:rPr>
        <w:t>AEFI reports were defined by unique identifiers assigned by the TGA. In this analysis, each AEFI report was assigned a date based on:</w:t>
      </w:r>
    </w:p>
    <w:p w14:paraId="319D3C86" w14:textId="77777777" w:rsidR="0074581A" w:rsidRPr="0074581A" w:rsidRDefault="0074581A" w:rsidP="0074581A">
      <w:pPr>
        <w:pStyle w:val="CDINumberedList1L1"/>
        <w:numPr>
          <w:ilvl w:val="0"/>
          <w:numId w:val="10"/>
        </w:numPr>
        <w:ind w:left="754" w:hanging="397"/>
        <w:rPr>
          <w:lang w:val="en-GB"/>
        </w:rPr>
      </w:pPr>
      <w:r w:rsidRPr="0074581A">
        <w:rPr>
          <w:lang w:val="en-GB"/>
        </w:rPr>
        <w:t xml:space="preserve">the earliest vaccination date associated with the report; or, where a vaccination date was missing: </w:t>
      </w:r>
    </w:p>
    <w:p w14:paraId="7827B2F3" w14:textId="77777777" w:rsidR="0074581A" w:rsidRPr="0074581A" w:rsidRDefault="0074581A" w:rsidP="0074581A">
      <w:pPr>
        <w:pStyle w:val="CDINumberedList1L1"/>
        <w:ind w:left="754"/>
        <w:rPr>
          <w:lang w:val="en-GB"/>
        </w:rPr>
      </w:pPr>
      <w:r w:rsidRPr="0074581A">
        <w:rPr>
          <w:lang w:val="en-GB"/>
        </w:rPr>
        <w:t xml:space="preserve">the earliest symptom onset date was used; or, where dates for both vaccination and symptom onset were missing: </w:t>
      </w:r>
    </w:p>
    <w:p w14:paraId="2608FF0D" w14:textId="77777777" w:rsidR="0074581A" w:rsidRPr="0074581A" w:rsidRDefault="0074581A" w:rsidP="0074581A">
      <w:pPr>
        <w:pStyle w:val="CDINumberedList1L1"/>
        <w:ind w:left="754"/>
        <w:rPr>
          <w:lang w:val="en-GB"/>
        </w:rPr>
      </w:pPr>
      <w:proofErr w:type="spellStart"/>
      <w:r w:rsidRPr="0074581A">
        <w:rPr>
          <w:lang w:val="en-GB"/>
        </w:rPr>
        <w:t>the</w:t>
      </w:r>
      <w:proofErr w:type="spellEnd"/>
      <w:r w:rsidRPr="0074581A">
        <w:rPr>
          <w:lang w:val="en-GB"/>
        </w:rPr>
        <w:t xml:space="preserve"> received date (the date when the reporter of the case first received the minimum valid information as described above from the primary source). </w:t>
      </w:r>
    </w:p>
    <w:p w14:paraId="422D696B" w14:textId="77777777" w:rsidR="0074581A" w:rsidRPr="0074581A" w:rsidRDefault="0074581A" w:rsidP="0074581A">
      <w:pPr>
        <w:rPr>
          <w:lang w:val="en-GB"/>
        </w:rPr>
      </w:pPr>
      <w:r w:rsidRPr="0074581A">
        <w:rPr>
          <w:lang w:val="en-GB"/>
        </w:rPr>
        <w:t>Reports with a 2022 date of vaccination, symptom onset or received date, based on the hierarchy above, were included in the 2022-specific sections of this analysis.</w:t>
      </w:r>
    </w:p>
    <w:p w14:paraId="63320396" w14:textId="77777777" w:rsidR="0074581A" w:rsidRPr="0074581A" w:rsidRDefault="0074581A" w:rsidP="0074581A">
      <w:pPr>
        <w:rPr>
          <w:lang w:val="en-GB"/>
        </w:rPr>
      </w:pPr>
      <w:r w:rsidRPr="0074581A">
        <w:rPr>
          <w:lang w:val="en-GB"/>
        </w:rPr>
        <w:t xml:space="preserve">Where the date of birth was available, it was used to calculate age at time of vaccination, symptom onset, or received date; where date of birth was missing, the age at symptom onset provided to the TGA by the reporter was used. Reports were grouped by age into &lt; 7 years, 7–17 years, 18–64 years, and ≥ 65 years age groups, in alignment with reports from previous years. </w:t>
      </w:r>
    </w:p>
    <w:p w14:paraId="10C089E8" w14:textId="77777777" w:rsidR="0074581A" w:rsidRPr="0074581A" w:rsidRDefault="0074581A" w:rsidP="0074581A">
      <w:pPr>
        <w:pStyle w:val="Heading3"/>
        <w:rPr>
          <w:lang w:val="en-GB"/>
        </w:rPr>
      </w:pPr>
      <w:r w:rsidRPr="0074581A">
        <w:rPr>
          <w:lang w:val="en-GB"/>
        </w:rPr>
        <w:t>Vaccine data</w:t>
      </w:r>
    </w:p>
    <w:p w14:paraId="457738C9" w14:textId="77777777" w:rsidR="0074581A" w:rsidRPr="0074581A" w:rsidRDefault="0074581A" w:rsidP="0074581A">
      <w:pPr>
        <w:rPr>
          <w:lang w:val="en-GB"/>
        </w:rPr>
      </w:pPr>
      <w:r w:rsidRPr="0074581A">
        <w:rPr>
          <w:lang w:val="en-GB"/>
        </w:rPr>
        <w:t>Vaccines were identified by trade name (standardised term in the TGA reference dataset); where the trade name was not specified, the generic name (active ingredients associated with a trade name) and reported product name (product name used by the reporter) were used. Individual vaccines were grouped by antigen (or combination of antigens) and, for seasonal influenza and specific other vaccines, by type (for influenza, standard-formulation vs high-dose or adjuvanted; for Japanese encephalitis and zoster, live vs recombinant or inactivated). More than one vaccine with a ‘suspect’ role can be included in a report, without implying that all vaccines were necessarily co-administered on the same occasion. Reports that included both non-COVID-19 and COVID-19 vaccines as ‘suspect’ were included in the companion COVID-19 vaccine AEFI report and were excluded from this analysis.</w:t>
      </w:r>
      <w:r w:rsidRPr="0074581A">
        <w:rPr>
          <w:vertAlign w:val="superscript"/>
          <w:lang w:val="en-GB"/>
        </w:rPr>
        <w:t>11</w:t>
      </w:r>
    </w:p>
    <w:p w14:paraId="09CA5702" w14:textId="77777777" w:rsidR="0074581A" w:rsidRPr="0074581A" w:rsidRDefault="0074581A" w:rsidP="0074581A">
      <w:pPr>
        <w:pStyle w:val="Heading3"/>
        <w:rPr>
          <w:lang w:val="en-GB"/>
        </w:rPr>
      </w:pPr>
      <w:r w:rsidRPr="0074581A">
        <w:rPr>
          <w:lang w:val="en-GB"/>
        </w:rPr>
        <w:lastRenderedPageBreak/>
        <w:t>Adverse event data</w:t>
      </w:r>
    </w:p>
    <w:p w14:paraId="32788EFD" w14:textId="77777777" w:rsidR="0074581A" w:rsidRPr="0074581A" w:rsidRDefault="0074581A" w:rsidP="0074581A">
      <w:pPr>
        <w:rPr>
          <w:lang w:val="en-GB"/>
        </w:rPr>
      </w:pPr>
      <w:r w:rsidRPr="0074581A">
        <w:rPr>
          <w:lang w:val="en-GB"/>
        </w:rPr>
        <w:t xml:space="preserve">AEFI reports included reaction terms that were symptoms, signs, and/or diagnoses; these were coded by TGA staff from the reporter’s description into </w:t>
      </w:r>
      <w:proofErr w:type="gramStart"/>
      <w:r w:rsidRPr="0074581A">
        <w:rPr>
          <w:lang w:val="en-GB"/>
        </w:rPr>
        <w:t>lower level</w:t>
      </w:r>
      <w:proofErr w:type="gramEnd"/>
      <w:r w:rsidRPr="0074581A">
        <w:rPr>
          <w:lang w:val="en-GB"/>
        </w:rPr>
        <w:t xml:space="preserve"> terms (LLT), which were then mapped to associated preferred terms (PT) using the Medical Dictionary for Regulatory Activities (MedDRA</w:t>
      </w:r>
      <w:r w:rsidRPr="0074581A">
        <w:rPr>
          <w:vertAlign w:val="superscript"/>
          <w:lang w:val="en-GB"/>
        </w:rPr>
        <w:t>®</w:t>
      </w:r>
      <w:r w:rsidRPr="0074581A">
        <w:rPr>
          <w:lang w:val="en-GB"/>
        </w:rPr>
        <w:t>).</w:t>
      </w:r>
      <w:r w:rsidRPr="0074581A">
        <w:rPr>
          <w:vertAlign w:val="superscript"/>
          <w:lang w:val="en-GB"/>
        </w:rPr>
        <w:t>10,12</w:t>
      </w:r>
      <w:r w:rsidRPr="0074581A">
        <w:rPr>
          <w:lang w:val="en-GB"/>
        </w:rPr>
        <w:t xml:space="preserve"> </w:t>
      </w:r>
    </w:p>
    <w:p w14:paraId="561260A4" w14:textId="77777777" w:rsidR="0074581A" w:rsidRPr="0074581A" w:rsidRDefault="0074581A" w:rsidP="0074581A">
      <w:pPr>
        <w:rPr>
          <w:lang w:val="en-GB"/>
        </w:rPr>
      </w:pPr>
      <w:r w:rsidRPr="0074581A">
        <w:rPr>
          <w:lang w:val="en-GB"/>
        </w:rPr>
        <w:t>Standardised MedDRA queries (SMQ) are sets of MedDRA terms that have been grouped after extensive testing, analysis, and expert discussion to facilitate pharmacovigilance investigation.</w:t>
      </w:r>
      <w:r w:rsidRPr="0074581A">
        <w:rPr>
          <w:vertAlign w:val="superscript"/>
          <w:lang w:val="en-GB"/>
        </w:rPr>
        <w:t>13</w:t>
      </w:r>
      <w:r w:rsidRPr="0074581A">
        <w:rPr>
          <w:lang w:val="en-GB"/>
        </w:rPr>
        <w:t xml:space="preserve"> For this analysis, the MedDRA Browser SMQ Analysis tool, running MedDRA version 26.1, was used to group related PT to SMQ to reduce the number of unique PT under analysis while providing meaningful results.</w:t>
      </w:r>
      <w:r w:rsidRPr="0074581A">
        <w:rPr>
          <w:vertAlign w:val="superscript"/>
          <w:lang w:val="en-GB"/>
        </w:rPr>
        <w:t>14</w:t>
      </w:r>
      <w:r w:rsidRPr="0074581A">
        <w:rPr>
          <w:lang w:val="en-GB"/>
        </w:rPr>
        <w:t xml:space="preserve"> A narrow search was performed to increase the specificity of the PT to SMQ mapping. As an individual PT may map to zero, one, or more than one SMQ, the term selected (PT or SMQ) was determined as described in Appendix A, Table A.2. Following the decision process, a one-to-one PT–SMQ mapping was performed to ensure that each PT was counted only once and that there was no overlap between different SMQ in the included terms.</w:t>
      </w:r>
    </w:p>
    <w:p w14:paraId="1A126087" w14:textId="77777777" w:rsidR="0074581A" w:rsidRPr="0074581A" w:rsidRDefault="0074581A" w:rsidP="00953BC9">
      <w:pPr>
        <w:pStyle w:val="Heading2"/>
        <w:rPr>
          <w:lang w:val="en-GB"/>
        </w:rPr>
      </w:pPr>
      <w:bookmarkStart w:id="20" w:name="_Toc215477398"/>
      <w:r w:rsidRPr="0074581A">
        <w:rPr>
          <w:lang w:val="en-GB"/>
        </w:rPr>
        <w:t>Serious and non-serious AEFI</w:t>
      </w:r>
      <w:bookmarkEnd w:id="20"/>
    </w:p>
    <w:p w14:paraId="4E0DD290" w14:textId="77777777" w:rsidR="0074581A" w:rsidRPr="0074581A" w:rsidRDefault="0074581A" w:rsidP="0074581A">
      <w:pPr>
        <w:rPr>
          <w:lang w:val="en-GB"/>
        </w:rPr>
      </w:pPr>
      <w:r w:rsidRPr="0074581A">
        <w:rPr>
          <w:lang w:val="en-GB"/>
        </w:rPr>
        <w:t>AEFI reports were coded as ‘</w:t>
      </w:r>
      <w:proofErr w:type="spellStart"/>
      <w:r w:rsidRPr="0074581A">
        <w:rPr>
          <w:lang w:val="en-GB"/>
        </w:rPr>
        <w:t>serious’</w:t>
      </w:r>
      <w:proofErr w:type="spellEnd"/>
      <w:r w:rsidRPr="0074581A">
        <w:rPr>
          <w:lang w:val="en-GB"/>
        </w:rPr>
        <w:t xml:space="preserve"> or ‘non-</w:t>
      </w:r>
      <w:proofErr w:type="spellStart"/>
      <w:r w:rsidRPr="0074581A">
        <w:rPr>
          <w:lang w:val="en-GB"/>
        </w:rPr>
        <w:t>serious’</w:t>
      </w:r>
      <w:proofErr w:type="spellEnd"/>
      <w:r w:rsidRPr="0074581A">
        <w:rPr>
          <w:lang w:val="en-GB"/>
        </w:rPr>
        <w:t xml:space="preserve"> based on criteria used by the World Health Organization (WHO), where an adverse event report is defined as ‘</w:t>
      </w:r>
      <w:proofErr w:type="spellStart"/>
      <w:r w:rsidRPr="0074581A">
        <w:rPr>
          <w:lang w:val="en-GB"/>
        </w:rPr>
        <w:t>serious’</w:t>
      </w:r>
      <w:proofErr w:type="spellEnd"/>
      <w:r w:rsidRPr="0074581A">
        <w:rPr>
          <w:lang w:val="en-GB"/>
        </w:rPr>
        <w:t xml:space="preserve"> if it involves one or more of the following outcomes: </w:t>
      </w:r>
    </w:p>
    <w:p w14:paraId="0353CF02" w14:textId="77777777" w:rsidR="0074581A" w:rsidRPr="0074581A" w:rsidRDefault="0074581A" w:rsidP="00953BC9">
      <w:pPr>
        <w:pStyle w:val="CDIBullets"/>
        <w:rPr>
          <w:lang w:val="en-GB"/>
        </w:rPr>
      </w:pPr>
      <w:r w:rsidRPr="0074581A">
        <w:rPr>
          <w:lang w:val="en-GB"/>
        </w:rPr>
        <w:t>fatal or life-threatening condition(s</w:t>
      </w:r>
      <w:proofErr w:type="gramStart"/>
      <w:r w:rsidRPr="0074581A">
        <w:rPr>
          <w:lang w:val="en-GB"/>
        </w:rPr>
        <w:t>);</w:t>
      </w:r>
      <w:proofErr w:type="gramEnd"/>
    </w:p>
    <w:p w14:paraId="41393A65" w14:textId="77777777" w:rsidR="0074581A" w:rsidRPr="0074581A" w:rsidRDefault="0074581A" w:rsidP="00953BC9">
      <w:pPr>
        <w:pStyle w:val="CDIBullets"/>
        <w:rPr>
          <w:lang w:val="en-GB"/>
        </w:rPr>
      </w:pPr>
      <w:r w:rsidRPr="0074581A">
        <w:rPr>
          <w:lang w:val="en-GB"/>
        </w:rPr>
        <w:t xml:space="preserve">new or prolonged </w:t>
      </w:r>
      <w:proofErr w:type="gramStart"/>
      <w:r w:rsidRPr="0074581A">
        <w:rPr>
          <w:lang w:val="en-GB"/>
        </w:rPr>
        <w:t>hospitalisation;</w:t>
      </w:r>
      <w:proofErr w:type="gramEnd"/>
    </w:p>
    <w:p w14:paraId="4B821726" w14:textId="77777777" w:rsidR="0074581A" w:rsidRPr="0074581A" w:rsidRDefault="0074581A" w:rsidP="00953BC9">
      <w:pPr>
        <w:pStyle w:val="CDIBullets"/>
        <w:rPr>
          <w:lang w:val="en-GB"/>
        </w:rPr>
      </w:pPr>
      <w:r w:rsidRPr="0074581A">
        <w:rPr>
          <w:lang w:val="en-GB"/>
        </w:rPr>
        <w:t xml:space="preserve">persistent or significant </w:t>
      </w:r>
      <w:proofErr w:type="gramStart"/>
      <w:r w:rsidRPr="0074581A">
        <w:rPr>
          <w:lang w:val="en-GB"/>
        </w:rPr>
        <w:t>disability;</w:t>
      </w:r>
      <w:proofErr w:type="gramEnd"/>
      <w:r w:rsidRPr="0074581A">
        <w:rPr>
          <w:lang w:val="en-GB"/>
        </w:rPr>
        <w:t xml:space="preserve"> </w:t>
      </w:r>
    </w:p>
    <w:p w14:paraId="58BEF135" w14:textId="77777777" w:rsidR="0074581A" w:rsidRPr="0074581A" w:rsidRDefault="0074581A" w:rsidP="00953BC9">
      <w:pPr>
        <w:pStyle w:val="CDIBullets"/>
        <w:rPr>
          <w:lang w:val="en-GB"/>
        </w:rPr>
      </w:pPr>
      <w:r w:rsidRPr="0074581A">
        <w:rPr>
          <w:lang w:val="en-GB"/>
        </w:rPr>
        <w:t xml:space="preserve">congenital anomaly or birth defect; or </w:t>
      </w:r>
    </w:p>
    <w:p w14:paraId="30386761" w14:textId="77777777" w:rsidR="0074581A" w:rsidRPr="0074581A" w:rsidRDefault="0074581A" w:rsidP="00953BC9">
      <w:pPr>
        <w:pStyle w:val="CDIBullets"/>
        <w:rPr>
          <w:lang w:val="en-GB"/>
        </w:rPr>
      </w:pPr>
      <w:r w:rsidRPr="0074581A">
        <w:rPr>
          <w:lang w:val="en-GB"/>
        </w:rPr>
        <w:t>any medical event that requires an intervention to prevent the above outcomes.</w:t>
      </w:r>
      <w:r w:rsidRPr="0074581A">
        <w:rPr>
          <w:vertAlign w:val="superscript"/>
          <w:lang w:val="en-GB"/>
        </w:rPr>
        <w:t>3</w:t>
      </w:r>
    </w:p>
    <w:p w14:paraId="7EE2C801" w14:textId="77777777" w:rsidR="0074581A" w:rsidRPr="0074581A" w:rsidRDefault="0074581A" w:rsidP="0074581A">
      <w:pPr>
        <w:rPr>
          <w:lang w:val="en-GB"/>
        </w:rPr>
      </w:pPr>
      <w:r w:rsidRPr="0074581A">
        <w:rPr>
          <w:lang w:val="en-GB"/>
        </w:rPr>
        <w:t>For AEFI reports submitted by sponsors (pharmaceutical companies), the seriousness classification was applied by sponsors to ensure they meet legislated requirements. For other AEFI reports submitted to the TGA, the seriousness classification either reflected the view of the reporter or may have been applied by the TGA following review.</w:t>
      </w:r>
    </w:p>
    <w:p w14:paraId="5D1FD169" w14:textId="77777777" w:rsidR="0074581A" w:rsidRPr="0074581A" w:rsidRDefault="0074581A" w:rsidP="0074581A">
      <w:pPr>
        <w:rPr>
          <w:lang w:val="en-GB"/>
        </w:rPr>
      </w:pPr>
      <w:r w:rsidRPr="0074581A">
        <w:rPr>
          <w:lang w:val="en-GB"/>
        </w:rPr>
        <w:t>All AEFI reports where a fatal outcome is reported, or where the individual was admitted to an intensive care unit (ICU; including paediatric intensive care), are reviewed by the TGA. This review is designed to assess whether the medical condition(s) that caused the ICU admission and/or death is causally related to the vaccine and whether it represents an emerging safety concern. The TGA reviews each of these reports and considers the strength of the evidence for a link between vaccination and the condition that caused the death, using a standardised process based on the WHO causality assessment guidelines.</w:t>
      </w:r>
      <w:r w:rsidRPr="0074581A">
        <w:rPr>
          <w:vertAlign w:val="superscript"/>
          <w:lang w:val="en-GB"/>
        </w:rPr>
        <w:t>15</w:t>
      </w:r>
      <w:r w:rsidRPr="0074581A">
        <w:rPr>
          <w:lang w:val="en-GB"/>
        </w:rPr>
        <w:t xml:space="preserve"> When the cause for the events that resulted in ICU admission and/or death is not medically obvious, not stated, or cannot be determined from the initial report, the TGA may request further information from the reporter, which may include the results of investigations relating to the ICU admission and/or death, past medical history, post-mortem examination findings, the death certificate, and/or results of a Coronial Office investigation. </w:t>
      </w:r>
    </w:p>
    <w:p w14:paraId="28B19D83" w14:textId="77777777" w:rsidR="0074581A" w:rsidRPr="0074581A" w:rsidRDefault="0074581A" w:rsidP="00953BC9">
      <w:pPr>
        <w:pStyle w:val="Heading2"/>
        <w:rPr>
          <w:lang w:val="en-GB"/>
        </w:rPr>
      </w:pPr>
      <w:bookmarkStart w:id="21" w:name="_Toc215477399"/>
      <w:r w:rsidRPr="0074581A">
        <w:rPr>
          <w:lang w:val="en-GB"/>
        </w:rPr>
        <w:lastRenderedPageBreak/>
        <w:t>Data analysis</w:t>
      </w:r>
      <w:bookmarkEnd w:id="21"/>
    </w:p>
    <w:p w14:paraId="40F46170" w14:textId="77777777" w:rsidR="0074581A" w:rsidRPr="0074581A" w:rsidRDefault="0074581A" w:rsidP="0074581A">
      <w:pPr>
        <w:rPr>
          <w:lang w:val="en-GB"/>
        </w:rPr>
      </w:pPr>
      <w:r w:rsidRPr="0074581A">
        <w:rPr>
          <w:lang w:val="en-GB"/>
        </w:rPr>
        <w:t>Average annual population-based AEFI reporting rates were calculated for each state and territory, and by age group, using June 2022 population estimates obtained from the Australian Bureau of Statistics (ABS).</w:t>
      </w:r>
      <w:r w:rsidRPr="0074581A">
        <w:rPr>
          <w:vertAlign w:val="superscript"/>
          <w:lang w:val="en-GB"/>
        </w:rPr>
        <w:t>16</w:t>
      </w:r>
      <w:r w:rsidRPr="0074581A">
        <w:rPr>
          <w:lang w:val="en-GB"/>
        </w:rPr>
        <w:t xml:space="preserve"> Comparisons with previous years were made using ABS mid-year estimated resident population (ERP) data for each year from 2000 to 2021.</w:t>
      </w:r>
    </w:p>
    <w:p w14:paraId="7A4ADE06" w14:textId="77777777" w:rsidR="0074581A" w:rsidRPr="0074581A" w:rsidRDefault="0074581A" w:rsidP="0074581A">
      <w:pPr>
        <w:rPr>
          <w:lang w:val="en-GB"/>
        </w:rPr>
      </w:pPr>
      <w:r w:rsidRPr="0074581A">
        <w:rPr>
          <w:lang w:val="en-GB"/>
        </w:rPr>
        <w:t>AEFI reporting rates per 100,000 administered doses were estimated for the year 2022. The number of doses administered for each vaccine in 2022 was obtained on 2 April 2023 from the Australian Immunisation Register (AIR), a national population-based register.</w:t>
      </w:r>
      <w:r w:rsidRPr="0074581A">
        <w:rPr>
          <w:vertAlign w:val="superscript"/>
          <w:lang w:val="en-GB"/>
        </w:rPr>
        <w:t>17</w:t>
      </w:r>
      <w:r w:rsidRPr="0074581A">
        <w:rPr>
          <w:lang w:val="en-GB"/>
        </w:rPr>
        <w:t xml:space="preserve"> Vaccination providers were required by law to enter into the AIR every dose of NIP and influenza vaccines administered, as well as Japanese encephalitis vaccines from 21 December 2022, and were strongly encouraged to provide information on other vaccines given.</w:t>
      </w:r>
      <w:r w:rsidRPr="0074581A">
        <w:rPr>
          <w:vertAlign w:val="superscript"/>
          <w:lang w:val="en-GB"/>
        </w:rPr>
        <w:t>18</w:t>
      </w:r>
      <w:r w:rsidRPr="0074581A">
        <w:rPr>
          <w:lang w:val="en-GB"/>
        </w:rPr>
        <w:t xml:space="preserve"> Vaccine doses could also be entered into the AIR retrospectively, including those administered overseas.</w:t>
      </w:r>
      <w:r w:rsidRPr="0074581A">
        <w:rPr>
          <w:vertAlign w:val="superscript"/>
          <w:lang w:val="en-GB"/>
        </w:rPr>
        <w:t>19</w:t>
      </w:r>
      <w:r w:rsidRPr="0074581A">
        <w:rPr>
          <w:lang w:val="en-GB"/>
        </w:rPr>
        <w:t xml:space="preserve"> </w:t>
      </w:r>
    </w:p>
    <w:p w14:paraId="2534924E" w14:textId="77777777" w:rsidR="0074581A" w:rsidRPr="0074581A" w:rsidRDefault="0074581A" w:rsidP="0074581A">
      <w:pPr>
        <w:rPr>
          <w:vertAlign w:val="superscript"/>
          <w:lang w:val="en-GB"/>
        </w:rPr>
      </w:pPr>
      <w:r w:rsidRPr="0074581A">
        <w:rPr>
          <w:lang w:val="en-GB"/>
        </w:rPr>
        <w:t>All data cleaning and analyses were performed using R version 4.3.1.</w:t>
      </w:r>
      <w:r w:rsidRPr="0074581A">
        <w:rPr>
          <w:vertAlign w:val="superscript"/>
          <w:lang w:val="en-GB"/>
        </w:rPr>
        <w:t>20</w:t>
      </w:r>
      <w:r w:rsidRPr="0074581A">
        <w:rPr>
          <w:lang w:val="en-GB"/>
        </w:rPr>
        <w:t xml:space="preserve"> Confidence intervals presented are 95% exact binomial confidence intervals for proportions (95% CI). AEFI reports following COVID-19 vaccination are analysed and presented in a separate report.</w:t>
      </w:r>
      <w:r w:rsidRPr="0074581A">
        <w:rPr>
          <w:vertAlign w:val="superscript"/>
          <w:lang w:val="en-GB"/>
        </w:rPr>
        <w:t>11</w:t>
      </w:r>
    </w:p>
    <w:p w14:paraId="6CDD7334" w14:textId="6EDC6A66" w:rsidR="0074581A" w:rsidRPr="0074581A" w:rsidRDefault="0074581A" w:rsidP="00953BC9">
      <w:pPr>
        <w:pStyle w:val="Heading2"/>
        <w:rPr>
          <w:lang w:val="en-GB"/>
        </w:rPr>
      </w:pPr>
      <w:bookmarkStart w:id="22" w:name="_Toc215477400"/>
      <w:r w:rsidRPr="0074581A">
        <w:rPr>
          <w:lang w:val="en-GB"/>
        </w:rPr>
        <w:t>Notes on interpretation</w:t>
      </w:r>
      <w:bookmarkEnd w:id="22"/>
    </w:p>
    <w:p w14:paraId="06998CED" w14:textId="77777777" w:rsidR="0074581A" w:rsidRPr="0074581A" w:rsidRDefault="0074581A" w:rsidP="0074581A">
      <w:pPr>
        <w:rPr>
          <w:lang w:val="en-GB"/>
        </w:rPr>
      </w:pPr>
      <w:r w:rsidRPr="0074581A">
        <w:rPr>
          <w:lang w:val="en-GB"/>
        </w:rPr>
        <w:t xml:space="preserve">The data reported here are provisional, particularly for the fourth quarter of 2022, due to reporting delays and the late onset of some reported AEFI. In addition, AEFI may have been reported in 2022 for vaccines administered in previous years. Therefore, statistics published in this report relating to AEFI reports from years prior to 2022, including accompanying figures, may not match those in previous reports. </w:t>
      </w:r>
    </w:p>
    <w:p w14:paraId="3BA9F6C6" w14:textId="54021495" w:rsidR="00BE73E6" w:rsidRPr="00BE73E6" w:rsidRDefault="0074581A" w:rsidP="00BE73E6">
      <w:pPr>
        <w:rPr>
          <w:lang w:val="en-GB"/>
        </w:rPr>
      </w:pPr>
      <w:r w:rsidRPr="0074581A">
        <w:rPr>
          <w:lang w:val="en-GB"/>
        </w:rPr>
        <w:t xml:space="preserve">As this report analysed data from the AEMS database, the numbers published in this report may be different to the numbers found in the </w:t>
      </w:r>
      <w:r w:rsidRPr="0074581A">
        <w:rPr>
          <w:i/>
          <w:iCs/>
          <w:lang w:val="en-GB"/>
        </w:rPr>
        <w:t>Database of Adverse Event Notifications (DAEN) – medicines</w:t>
      </w:r>
      <w:r w:rsidRPr="0074581A">
        <w:rPr>
          <w:lang w:val="en-GB"/>
        </w:rPr>
        <w:t>, a public online database maintained by the TGA that contains reports of adverse events for medicines and vaccines.</w:t>
      </w:r>
      <w:r w:rsidRPr="0074581A">
        <w:rPr>
          <w:vertAlign w:val="superscript"/>
          <w:lang w:val="en-GB"/>
        </w:rPr>
        <w:t>21</w:t>
      </w:r>
      <w:r w:rsidRPr="0074581A">
        <w:rPr>
          <w:lang w:val="en-GB"/>
        </w:rPr>
        <w:t xml:space="preserve"> Differences in case numbers between the DAEN—medicines and AEMS can be due to rejected reports, for example those with insufficient information, which remain in the Adverse Event Management System (AEMS) and are updated and added to the DAEN—medicines as and when sufficient information is provided.</w:t>
      </w:r>
      <w:r w:rsidRPr="0074581A">
        <w:rPr>
          <w:vertAlign w:val="superscript"/>
          <w:lang w:val="en-GB"/>
        </w:rPr>
        <w:t>22</w:t>
      </w:r>
      <w:r w:rsidRPr="0074581A">
        <w:rPr>
          <w:lang w:val="en-GB"/>
        </w:rPr>
        <w:t xml:space="preserve"> There is also a 14-day time lag between cases being entered in AEMS and then added to the DAEN—medicines. As the data for this analysis were extracted from AEMS in October 2023, there may be discrepancies with the DAEN—medicines, which would reflect any new information made available to the TGA after October 2023.</w:t>
      </w:r>
    </w:p>
    <w:p w14:paraId="026CE858" w14:textId="77777777" w:rsidR="008A0736" w:rsidRDefault="000073ED" w:rsidP="005A4E9D">
      <w:pPr>
        <w:pStyle w:val="Heading1"/>
      </w:pPr>
      <w:bookmarkStart w:id="23" w:name="_Toc195530503"/>
      <w:bookmarkStart w:id="24" w:name="_Toc215477401"/>
      <w:r>
        <w:lastRenderedPageBreak/>
        <w:t>Results</w:t>
      </w:r>
      <w:bookmarkEnd w:id="23"/>
      <w:bookmarkEnd w:id="24"/>
    </w:p>
    <w:p w14:paraId="2A7E3780" w14:textId="77777777" w:rsidR="00953BC9" w:rsidRPr="00953BC9" w:rsidRDefault="00953BC9" w:rsidP="00953BC9">
      <w:pPr>
        <w:rPr>
          <w:lang w:val="en-GB"/>
        </w:rPr>
      </w:pPr>
      <w:r w:rsidRPr="00953BC9">
        <w:rPr>
          <w:lang w:val="en-GB"/>
        </w:rPr>
        <w:t xml:space="preserve">In the AEMS database, there were 3,642 non-COVID-19 vaccine AEFI reports where the date of vaccination (or onset of adverse event or report received date, if the date of vaccination was not reported) was between 1 January and 31 December 2022. </w:t>
      </w:r>
    </w:p>
    <w:p w14:paraId="4723FE52" w14:textId="77777777" w:rsidR="00953BC9" w:rsidRPr="00953BC9" w:rsidRDefault="00953BC9" w:rsidP="00953BC9">
      <w:pPr>
        <w:rPr>
          <w:lang w:val="en-GB"/>
        </w:rPr>
      </w:pPr>
      <w:r w:rsidRPr="00953BC9">
        <w:rPr>
          <w:lang w:val="en-GB"/>
        </w:rPr>
        <w:t>Of the 3,245 reports (89.1% of total) with information on sex provided, 1,675 (51.6%) were for females and 1,570 (48.4%) were for males. Of the 1,920 reports (52.7% of total) with Indigenous status provided, 125 AEFI reports (6.5%) were for people who identified as Aboriginal and/or Torres Strait Islander. Of the 3,155 reports (86.6% of total) with age or date of birth provided, 1,491 (47.3%) were for children aged &lt; 7 years and 1,664 (52.7%) were for people aged ≥ 7 years.</w:t>
      </w:r>
    </w:p>
    <w:p w14:paraId="4AE05AF1" w14:textId="77777777" w:rsidR="00953BC9" w:rsidRPr="00953BC9" w:rsidRDefault="00953BC9" w:rsidP="00953BC9">
      <w:pPr>
        <w:rPr>
          <w:lang w:val="en-GB"/>
        </w:rPr>
      </w:pPr>
      <w:r w:rsidRPr="00953BC9">
        <w:rPr>
          <w:lang w:val="en-GB"/>
        </w:rPr>
        <w:t>Most AEFI reports (2,629; 72.2%) were sent by a state or territory health department (termed ‘regional pharmacovigilance centre’ in AEMS; Appendix A, Figure A.1); 9.5% of reports (345/3,642) were direct submissions by health professionals or other organisations (including regulatory authorities) to the TGA. Consumers submitted 5.4% (195) of AEFI reports (195/3,642), and 13.0% of reports (473/3,642) were sent by pharmaceutical companies. The proportion of pharmaceutical company reports increased from 2021, when this group accounted for 1.9% of all non-COVID-19 AEFI reports. However, the pharmaceutical company AEFI reporting rate of 1.8 per 100,000 total population was still within the range observed over the previous decade. In 2022, most of the pharmaceutical company reports (366/473; 77.4%) were from one company relaying consumer comments pertaining to experiences of AEFI from social media sites, with all reports classified as serious by the sender. Pharmaceutical companies were the only reporter type submitting AEFI reports where the source was cited to be social media. Please note that it is possible for one case to be the subject of more than one AEFI report, where the reports have been submitted independently by multiple sources and there is insufficient information provided to confirm duplication.</w:t>
      </w:r>
    </w:p>
    <w:p w14:paraId="1C0DB083" w14:textId="77777777" w:rsidR="00953BC9" w:rsidRPr="00953BC9" w:rsidRDefault="00953BC9" w:rsidP="00953BC9">
      <w:pPr>
        <w:rPr>
          <w:lang w:val="en-GB"/>
        </w:rPr>
      </w:pPr>
      <w:r w:rsidRPr="00953BC9">
        <w:rPr>
          <w:lang w:val="en-GB"/>
        </w:rPr>
        <w:t>Excluded from this analysis were 121 AEFI reports where non-COVID-19 vaccines were listed together with COVID-19 vaccines, which are included in the companion 2022 COVID-19 vaccine AEFI report.</w:t>
      </w:r>
      <w:r w:rsidRPr="00953BC9">
        <w:rPr>
          <w:vertAlign w:val="superscript"/>
          <w:lang w:val="en-GB"/>
        </w:rPr>
        <w:t>11</w:t>
      </w:r>
      <w:r w:rsidRPr="00953BC9">
        <w:rPr>
          <w:lang w:val="en-GB"/>
        </w:rPr>
        <w:t xml:space="preserve"> </w:t>
      </w:r>
    </w:p>
    <w:p w14:paraId="543946B7" w14:textId="77777777" w:rsidR="00953BC9" w:rsidRPr="00953BC9" w:rsidRDefault="00953BC9" w:rsidP="00953BC9">
      <w:pPr>
        <w:pStyle w:val="Heading2"/>
        <w:rPr>
          <w:lang w:val="en-GB"/>
        </w:rPr>
      </w:pPr>
      <w:bookmarkStart w:id="25" w:name="_Toc215477402"/>
      <w:r w:rsidRPr="00953BC9">
        <w:rPr>
          <w:lang w:val="en-GB"/>
        </w:rPr>
        <w:t>Reporting rates</w:t>
      </w:r>
      <w:bookmarkEnd w:id="25"/>
    </w:p>
    <w:p w14:paraId="345AAC01" w14:textId="77777777" w:rsidR="00953BC9" w:rsidRPr="00953BC9" w:rsidRDefault="00953BC9" w:rsidP="00953BC9">
      <w:pPr>
        <w:pStyle w:val="Heading3-lessspacebefore"/>
        <w:rPr>
          <w:lang w:val="en-GB"/>
        </w:rPr>
      </w:pPr>
      <w:r w:rsidRPr="00953BC9">
        <w:rPr>
          <w:lang w:val="en-GB"/>
        </w:rPr>
        <w:t>Dose-based reporting rates</w:t>
      </w:r>
    </w:p>
    <w:p w14:paraId="491A313D" w14:textId="6F176096" w:rsidR="00953BC9" w:rsidRDefault="00953BC9" w:rsidP="00953BC9">
      <w:pPr>
        <w:rPr>
          <w:lang w:val="en-GB"/>
        </w:rPr>
      </w:pPr>
      <w:r w:rsidRPr="00953BC9">
        <w:rPr>
          <w:lang w:val="en-GB"/>
        </w:rPr>
        <w:t>The overall non-COVID-19 vaccine AEFI reporting rate for 2022 was 18.8 [95% CI: 18.2–19.5] per 100,000 doses of non-COVID-19 vaccines administered and recorded in the AIR (Table 1).</w:t>
      </w:r>
      <w:r>
        <w:rPr>
          <w:lang w:val="en-GB"/>
        </w:rPr>
        <w:br w:type="page"/>
      </w:r>
    </w:p>
    <w:p w14:paraId="3062905B" w14:textId="77777777" w:rsidR="00953BC9" w:rsidRPr="00953BC9" w:rsidRDefault="00953BC9" w:rsidP="00953BC9">
      <w:pPr>
        <w:pStyle w:val="CDITable-Title"/>
        <w:rPr>
          <w:lang w:val="en-GB"/>
        </w:rPr>
      </w:pPr>
      <w:bookmarkStart w:id="26" w:name="_Toc215491389"/>
      <w:r w:rsidRPr="00953BC9">
        <w:rPr>
          <w:lang w:val="en-GB"/>
        </w:rPr>
        <w:lastRenderedPageBreak/>
        <w:t>Table 1: Vaccines administered in 2022 listed as ‘suspect’ in reports of adverse events following immunisation (AEFI) in the Adverse Event Management System database (excluding COVID-19 vaccines), by age group</w:t>
      </w:r>
      <w:bookmarkEnd w:id="26"/>
    </w:p>
    <w:tbl>
      <w:tblPr>
        <w:tblW w:w="0" w:type="auto"/>
        <w:tblLayout w:type="fixed"/>
        <w:tblCellMar>
          <w:left w:w="0" w:type="dxa"/>
          <w:right w:w="0" w:type="dxa"/>
        </w:tblCellMar>
        <w:tblLook w:val="0000" w:firstRow="0" w:lastRow="0" w:firstColumn="0" w:lastColumn="0" w:noHBand="0" w:noVBand="0"/>
        <w:tblCaption w:val="Table 1: Vaccines administered in 2022 listed as ‘suspect’ in reports of adverse events following immunisation (AEFI) in the Adverse Event Management System database (excluding COVID-19 vaccines), by age group"/>
        <w:tblDescription w:val="Table 1 shows four age groups corresponding roughly to groups of NIP schedule points: &lt; 7 years, 7-17 years, 18-64 years and ≥ 65 years. Within each age group, vaccines are listed in descending order according to the number of corresponding adverse event reports, alongside data on the number of vaccine doses administered, allowing the adverse event reporting rate per 100,000 doses of each vaccine to be calculated."/>
      </w:tblPr>
      <w:tblGrid>
        <w:gridCol w:w="1247"/>
        <w:gridCol w:w="3629"/>
        <w:gridCol w:w="1247"/>
        <w:gridCol w:w="1417"/>
        <w:gridCol w:w="2098"/>
      </w:tblGrid>
      <w:tr w:rsidR="00953BC9" w:rsidRPr="00953BC9" w14:paraId="0C57FC68" w14:textId="77777777" w:rsidTr="006873F1">
        <w:trPr>
          <w:trHeight w:val="60"/>
          <w:tblHeader/>
        </w:trPr>
        <w:tc>
          <w:tcPr>
            <w:tcW w:w="1247" w:type="dxa"/>
            <w:shd w:val="clear" w:color="auto" w:fill="1E4496" w:themeFill="text2"/>
            <w:tcMar>
              <w:top w:w="108" w:type="dxa"/>
              <w:left w:w="113" w:type="dxa"/>
              <w:bottom w:w="108" w:type="dxa"/>
              <w:right w:w="113" w:type="dxa"/>
            </w:tcMar>
            <w:vAlign w:val="bottom"/>
          </w:tcPr>
          <w:p w14:paraId="3E5EF448" w14:textId="77777777" w:rsidR="00953BC9" w:rsidRPr="00953BC9" w:rsidRDefault="00953BC9" w:rsidP="00953BC9">
            <w:pPr>
              <w:pStyle w:val="CDITable-HeaderRowLeft"/>
            </w:pPr>
            <w:r w:rsidRPr="00953BC9">
              <w:t xml:space="preserve">Age </w:t>
            </w:r>
            <w:proofErr w:type="spellStart"/>
            <w:r w:rsidRPr="00953BC9">
              <w:t>group</w:t>
            </w:r>
            <w:r w:rsidRPr="00953BC9">
              <w:rPr>
                <w:vertAlign w:val="superscript"/>
              </w:rPr>
              <w:t>a</w:t>
            </w:r>
            <w:proofErr w:type="spellEnd"/>
          </w:p>
        </w:tc>
        <w:tc>
          <w:tcPr>
            <w:tcW w:w="3629" w:type="dxa"/>
            <w:shd w:val="clear" w:color="auto" w:fill="1E4496" w:themeFill="text2"/>
            <w:tcMar>
              <w:top w:w="108" w:type="dxa"/>
              <w:left w:w="113" w:type="dxa"/>
              <w:bottom w:w="108" w:type="dxa"/>
              <w:right w:w="113" w:type="dxa"/>
            </w:tcMar>
            <w:vAlign w:val="bottom"/>
          </w:tcPr>
          <w:p w14:paraId="5BCE4DFD" w14:textId="77777777" w:rsidR="00953BC9" w:rsidRPr="00953BC9" w:rsidRDefault="00953BC9" w:rsidP="00953BC9">
            <w:pPr>
              <w:pStyle w:val="CDITable-HeaderRowLeft"/>
            </w:pPr>
            <w:proofErr w:type="spellStart"/>
            <w:r w:rsidRPr="00953BC9">
              <w:t>Vaccine</w:t>
            </w:r>
            <w:r w:rsidRPr="00953BC9">
              <w:rPr>
                <w:vertAlign w:val="superscript"/>
              </w:rPr>
              <w:t>b</w:t>
            </w:r>
            <w:proofErr w:type="spellEnd"/>
          </w:p>
        </w:tc>
        <w:tc>
          <w:tcPr>
            <w:tcW w:w="1247" w:type="dxa"/>
            <w:shd w:val="clear" w:color="auto" w:fill="1E4496" w:themeFill="text2"/>
            <w:tcMar>
              <w:top w:w="108" w:type="dxa"/>
              <w:left w:w="113" w:type="dxa"/>
              <w:bottom w:w="108" w:type="dxa"/>
              <w:right w:w="113" w:type="dxa"/>
            </w:tcMar>
            <w:vAlign w:val="bottom"/>
          </w:tcPr>
          <w:p w14:paraId="1492C8F7" w14:textId="77777777" w:rsidR="00953BC9" w:rsidRPr="00953BC9" w:rsidRDefault="00953BC9" w:rsidP="00953BC9">
            <w:pPr>
              <w:pStyle w:val="CDITable-HeaderRowCentre"/>
            </w:pPr>
            <w:r w:rsidRPr="00953BC9">
              <w:t>AEFI reports (n)</w:t>
            </w:r>
            <w:r w:rsidRPr="00953BC9">
              <w:rPr>
                <w:vertAlign w:val="superscript"/>
              </w:rPr>
              <w:t>c</w:t>
            </w:r>
          </w:p>
        </w:tc>
        <w:tc>
          <w:tcPr>
            <w:tcW w:w="1417" w:type="dxa"/>
            <w:shd w:val="clear" w:color="auto" w:fill="1E4496" w:themeFill="text2"/>
            <w:tcMar>
              <w:top w:w="108" w:type="dxa"/>
              <w:left w:w="113" w:type="dxa"/>
              <w:bottom w:w="108" w:type="dxa"/>
              <w:right w:w="113" w:type="dxa"/>
            </w:tcMar>
            <w:vAlign w:val="bottom"/>
          </w:tcPr>
          <w:p w14:paraId="5E346E57" w14:textId="77777777" w:rsidR="00953BC9" w:rsidRPr="00953BC9" w:rsidRDefault="00953BC9" w:rsidP="00953BC9">
            <w:pPr>
              <w:pStyle w:val="CDITable-HeaderRowCentre"/>
            </w:pPr>
            <w:r w:rsidRPr="00953BC9">
              <w:t xml:space="preserve">Vaccine </w:t>
            </w:r>
            <w:proofErr w:type="spellStart"/>
            <w:r w:rsidRPr="00953BC9">
              <w:t>doses</w:t>
            </w:r>
            <w:r w:rsidRPr="00953BC9">
              <w:rPr>
                <w:vertAlign w:val="superscript"/>
              </w:rPr>
              <w:t>d</w:t>
            </w:r>
            <w:proofErr w:type="spellEnd"/>
          </w:p>
        </w:tc>
        <w:tc>
          <w:tcPr>
            <w:tcW w:w="2098" w:type="dxa"/>
            <w:shd w:val="clear" w:color="auto" w:fill="1E4496" w:themeFill="text2"/>
            <w:tcMar>
              <w:top w:w="108" w:type="dxa"/>
              <w:left w:w="113" w:type="dxa"/>
              <w:bottom w:w="108" w:type="dxa"/>
              <w:right w:w="113" w:type="dxa"/>
            </w:tcMar>
            <w:vAlign w:val="bottom"/>
          </w:tcPr>
          <w:p w14:paraId="1C79EBCE" w14:textId="4F5C364E" w:rsidR="00953BC9" w:rsidRPr="00953BC9" w:rsidRDefault="00953BC9" w:rsidP="00953BC9">
            <w:pPr>
              <w:pStyle w:val="CDITable-HeaderRowCentre"/>
            </w:pPr>
            <w:r w:rsidRPr="00953BC9">
              <w:t>Reporting rate per</w:t>
            </w:r>
            <w:r>
              <w:t> </w:t>
            </w:r>
            <w:r w:rsidRPr="00953BC9">
              <w:t xml:space="preserve">100,000 doses (95% </w:t>
            </w:r>
            <w:proofErr w:type="gramStart"/>
            <w:r w:rsidRPr="00953BC9">
              <w:t>CI)</w:t>
            </w:r>
            <w:r w:rsidRPr="00953BC9">
              <w:rPr>
                <w:vertAlign w:val="superscript"/>
              </w:rPr>
              <w:t>e</w:t>
            </w:r>
            <w:proofErr w:type="gramEnd"/>
          </w:p>
        </w:tc>
      </w:tr>
      <w:tr w:rsidR="00953BC9" w:rsidRPr="00953BC9" w14:paraId="1B09AFEC" w14:textId="77777777" w:rsidTr="00AC04A4">
        <w:trPr>
          <w:trHeight w:val="60"/>
        </w:trPr>
        <w:tc>
          <w:tcPr>
            <w:tcW w:w="1247" w:type="dxa"/>
            <w:vMerge w:val="restart"/>
            <w:tcBorders>
              <w:bottom w:val="single" w:sz="6" w:space="0" w:color="1E4496" w:themeColor="text2"/>
            </w:tcBorders>
            <w:tcMar>
              <w:top w:w="108" w:type="dxa"/>
              <w:left w:w="113" w:type="dxa"/>
              <w:bottom w:w="108" w:type="dxa"/>
              <w:right w:w="113" w:type="dxa"/>
            </w:tcMar>
            <w:vAlign w:val="center"/>
          </w:tcPr>
          <w:p w14:paraId="267AC899" w14:textId="77777777" w:rsidR="00953BC9" w:rsidRPr="00953BC9" w:rsidRDefault="00953BC9" w:rsidP="00953BC9">
            <w:pPr>
              <w:pStyle w:val="CDITable-RowLeft"/>
            </w:pPr>
            <w:r w:rsidRPr="00953BC9">
              <w:t>&lt; 7 years</w:t>
            </w:r>
          </w:p>
        </w:tc>
        <w:tc>
          <w:tcPr>
            <w:tcW w:w="3629" w:type="dxa"/>
            <w:tcBorders>
              <w:bottom w:val="single" w:sz="6" w:space="0" w:color="1E4496" w:themeColor="text2"/>
            </w:tcBorders>
            <w:tcMar>
              <w:top w:w="108" w:type="dxa"/>
              <w:left w:w="113" w:type="dxa"/>
              <w:bottom w:w="108" w:type="dxa"/>
              <w:right w:w="113" w:type="dxa"/>
            </w:tcMar>
            <w:vAlign w:val="center"/>
          </w:tcPr>
          <w:p w14:paraId="4F6E4C81" w14:textId="77777777" w:rsidR="00953BC9" w:rsidRPr="00953BC9" w:rsidRDefault="00953BC9" w:rsidP="00953BC9">
            <w:pPr>
              <w:pStyle w:val="CDITable-RowLeft"/>
            </w:pPr>
            <w:r w:rsidRPr="00953BC9">
              <w:t>13vPCV</w:t>
            </w:r>
          </w:p>
        </w:tc>
        <w:tc>
          <w:tcPr>
            <w:tcW w:w="1247" w:type="dxa"/>
            <w:tcBorders>
              <w:bottom w:val="single" w:sz="6" w:space="0" w:color="1E4496" w:themeColor="text2"/>
            </w:tcBorders>
            <w:tcMar>
              <w:top w:w="108" w:type="dxa"/>
              <w:left w:w="113" w:type="dxa"/>
              <w:bottom w:w="108" w:type="dxa"/>
              <w:right w:w="113" w:type="dxa"/>
            </w:tcMar>
            <w:vAlign w:val="center"/>
          </w:tcPr>
          <w:p w14:paraId="5579D02C" w14:textId="77777777" w:rsidR="00953BC9" w:rsidRPr="00953BC9" w:rsidRDefault="00953BC9" w:rsidP="00953BC9">
            <w:pPr>
              <w:pStyle w:val="CDITable-RowCentre"/>
            </w:pPr>
            <w:r w:rsidRPr="00953BC9">
              <w:t>397</w:t>
            </w:r>
          </w:p>
        </w:tc>
        <w:tc>
          <w:tcPr>
            <w:tcW w:w="1417" w:type="dxa"/>
            <w:tcBorders>
              <w:bottom w:val="single" w:sz="6" w:space="0" w:color="1E4496" w:themeColor="text2"/>
            </w:tcBorders>
            <w:tcMar>
              <w:top w:w="108" w:type="dxa"/>
              <w:left w:w="113" w:type="dxa"/>
              <w:bottom w:w="108" w:type="dxa"/>
              <w:right w:w="113" w:type="dxa"/>
            </w:tcMar>
            <w:vAlign w:val="center"/>
          </w:tcPr>
          <w:p w14:paraId="3D34039F" w14:textId="77777777" w:rsidR="00953BC9" w:rsidRPr="00953BC9" w:rsidRDefault="00953BC9" w:rsidP="00953BC9">
            <w:pPr>
              <w:pStyle w:val="CDITable-RowCentre"/>
            </w:pPr>
            <w:r w:rsidRPr="00953BC9">
              <w:t>851,421</w:t>
            </w:r>
          </w:p>
        </w:tc>
        <w:tc>
          <w:tcPr>
            <w:tcW w:w="2098" w:type="dxa"/>
            <w:tcBorders>
              <w:bottom w:val="single" w:sz="6" w:space="0" w:color="1E4496" w:themeColor="text2"/>
            </w:tcBorders>
            <w:tcMar>
              <w:top w:w="108" w:type="dxa"/>
              <w:left w:w="113" w:type="dxa"/>
              <w:bottom w:w="108" w:type="dxa"/>
              <w:right w:w="113" w:type="dxa"/>
            </w:tcMar>
            <w:vAlign w:val="center"/>
          </w:tcPr>
          <w:p w14:paraId="0F7BCA39" w14:textId="77777777" w:rsidR="00953BC9" w:rsidRPr="00953BC9" w:rsidRDefault="00953BC9" w:rsidP="00953BC9">
            <w:pPr>
              <w:pStyle w:val="CDITable-RowCentre"/>
            </w:pPr>
            <w:r w:rsidRPr="00953BC9">
              <w:t>46.6 (42.2–51.4)</w:t>
            </w:r>
          </w:p>
        </w:tc>
      </w:tr>
      <w:tr w:rsidR="00953BC9" w:rsidRPr="00953BC9" w14:paraId="455A7D45" w14:textId="77777777" w:rsidTr="00AC04A4">
        <w:trPr>
          <w:trHeight w:val="60"/>
        </w:trPr>
        <w:tc>
          <w:tcPr>
            <w:tcW w:w="1247" w:type="dxa"/>
            <w:vMerge/>
            <w:tcBorders>
              <w:top w:val="single" w:sz="6" w:space="0" w:color="1E4496" w:themeColor="text2"/>
              <w:bottom w:val="single" w:sz="6" w:space="0" w:color="1E4496" w:themeColor="text2"/>
            </w:tcBorders>
            <w:tcMar>
              <w:top w:w="108" w:type="dxa"/>
              <w:bottom w:w="108" w:type="dxa"/>
            </w:tcMar>
          </w:tcPr>
          <w:p w14:paraId="5DAEA196" w14:textId="77777777" w:rsidR="00953BC9" w:rsidRPr="00953BC9" w:rsidRDefault="00953BC9" w:rsidP="00953BC9">
            <w:pPr>
              <w:pStyle w:val="CDITable-RowLeft"/>
            </w:pPr>
          </w:p>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F79E1D2" w14:textId="77777777" w:rsidR="00953BC9" w:rsidRPr="00953BC9" w:rsidRDefault="00953BC9" w:rsidP="00953BC9">
            <w:pPr>
              <w:pStyle w:val="CDITable-RowLeft"/>
            </w:pPr>
            <w:r w:rsidRPr="00953BC9">
              <w:t>DTPa-HepB-IPV-Hib</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1D8DF19" w14:textId="77777777" w:rsidR="00953BC9" w:rsidRPr="00953BC9" w:rsidRDefault="00953BC9" w:rsidP="00953BC9">
            <w:pPr>
              <w:pStyle w:val="CDITable-RowCentre"/>
            </w:pPr>
            <w:r w:rsidRPr="00953BC9">
              <w:t>360</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7F3A990" w14:textId="77777777" w:rsidR="00953BC9" w:rsidRPr="00953BC9" w:rsidRDefault="00953BC9" w:rsidP="00953BC9">
            <w:pPr>
              <w:pStyle w:val="CDITable-RowCentre"/>
            </w:pPr>
            <w:r w:rsidRPr="00953BC9">
              <w:t>835,432</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9BCA6DF" w14:textId="77777777" w:rsidR="00953BC9" w:rsidRPr="00953BC9" w:rsidRDefault="00953BC9" w:rsidP="00953BC9">
            <w:pPr>
              <w:pStyle w:val="CDITable-RowCentre"/>
            </w:pPr>
            <w:r w:rsidRPr="00953BC9">
              <w:t>43.1 (38.8–47.8)</w:t>
            </w:r>
          </w:p>
        </w:tc>
      </w:tr>
      <w:tr w:rsidR="00953BC9" w:rsidRPr="00953BC9" w14:paraId="14E93300" w14:textId="77777777" w:rsidTr="006873F1">
        <w:trPr>
          <w:trHeight w:val="60"/>
        </w:trPr>
        <w:tc>
          <w:tcPr>
            <w:tcW w:w="1247" w:type="dxa"/>
            <w:vMerge/>
            <w:tcBorders>
              <w:top w:val="single" w:sz="6" w:space="0" w:color="1E4496" w:themeColor="text2"/>
              <w:bottom w:val="single" w:sz="6" w:space="0" w:color="1E4496" w:themeColor="text2"/>
            </w:tcBorders>
            <w:tcMar>
              <w:top w:w="108" w:type="dxa"/>
              <w:bottom w:w="108" w:type="dxa"/>
            </w:tcMar>
          </w:tcPr>
          <w:p w14:paraId="3B84AC1D" w14:textId="77777777" w:rsidR="00953BC9" w:rsidRPr="00953BC9" w:rsidRDefault="00953BC9" w:rsidP="00953BC9">
            <w:pPr>
              <w:pStyle w:val="CDITable-RowLeft"/>
            </w:pPr>
          </w:p>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BCBAB86" w14:textId="77777777" w:rsidR="00953BC9" w:rsidRPr="00953BC9" w:rsidRDefault="00953BC9" w:rsidP="00953BC9">
            <w:pPr>
              <w:pStyle w:val="CDITable-RowLeft"/>
            </w:pPr>
            <w:r w:rsidRPr="00953BC9">
              <w:t>DTPa-IPV</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F802F75" w14:textId="77777777" w:rsidR="00953BC9" w:rsidRPr="00953BC9" w:rsidRDefault="00953BC9" w:rsidP="00953BC9">
            <w:pPr>
              <w:pStyle w:val="CDITable-RowCentre"/>
            </w:pPr>
            <w:r w:rsidRPr="00953BC9">
              <w:t>287</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3A99E67" w14:textId="77777777" w:rsidR="00953BC9" w:rsidRPr="00953BC9" w:rsidRDefault="00953BC9" w:rsidP="00953BC9">
            <w:pPr>
              <w:pStyle w:val="CDITable-RowCentre"/>
            </w:pPr>
            <w:r w:rsidRPr="00953BC9">
              <w:t>290,382</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D2EBBD8" w14:textId="77777777" w:rsidR="00953BC9" w:rsidRPr="00953BC9" w:rsidRDefault="00953BC9" w:rsidP="00953BC9">
            <w:pPr>
              <w:pStyle w:val="CDITable-RowCentre"/>
            </w:pPr>
            <w:r w:rsidRPr="00953BC9">
              <w:t>98.8 (87.7–111.0)</w:t>
            </w:r>
          </w:p>
        </w:tc>
      </w:tr>
      <w:tr w:rsidR="00953BC9" w:rsidRPr="00953BC9" w14:paraId="07383E0E" w14:textId="77777777" w:rsidTr="006873F1">
        <w:trPr>
          <w:trHeight w:val="60"/>
        </w:trPr>
        <w:tc>
          <w:tcPr>
            <w:tcW w:w="1247" w:type="dxa"/>
            <w:vMerge/>
            <w:tcBorders>
              <w:top w:val="single" w:sz="6" w:space="0" w:color="1E4496" w:themeColor="text2"/>
              <w:bottom w:val="single" w:sz="6" w:space="0" w:color="1E4496" w:themeColor="text2"/>
            </w:tcBorders>
            <w:tcMar>
              <w:top w:w="108" w:type="dxa"/>
              <w:bottom w:w="108" w:type="dxa"/>
            </w:tcMar>
          </w:tcPr>
          <w:p w14:paraId="51563F32" w14:textId="77777777" w:rsidR="00953BC9" w:rsidRPr="00953BC9" w:rsidRDefault="00953BC9" w:rsidP="00953BC9">
            <w:pPr>
              <w:pStyle w:val="CDITable-RowLeft"/>
            </w:pPr>
          </w:p>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4C343D7" w14:textId="77777777" w:rsidR="00953BC9" w:rsidRPr="00953BC9" w:rsidRDefault="00953BC9" w:rsidP="00953BC9">
            <w:pPr>
              <w:pStyle w:val="CDITable-RowLeft"/>
            </w:pPr>
            <w:r w:rsidRPr="00953BC9">
              <w:t>Influenza (seasonal—standard formulation)</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20E97C7" w14:textId="77777777" w:rsidR="00953BC9" w:rsidRPr="00953BC9" w:rsidRDefault="00953BC9" w:rsidP="00953BC9">
            <w:pPr>
              <w:pStyle w:val="CDITable-RowCentre"/>
            </w:pPr>
            <w:r w:rsidRPr="00953BC9">
              <w:t>250</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4E16CC3" w14:textId="77777777" w:rsidR="00953BC9" w:rsidRPr="00953BC9" w:rsidRDefault="00953BC9" w:rsidP="00953BC9">
            <w:pPr>
              <w:pStyle w:val="CDITable-RowCentre"/>
            </w:pPr>
            <w:r w:rsidRPr="00953BC9">
              <w:t>716,743</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716228C" w14:textId="77777777" w:rsidR="00953BC9" w:rsidRPr="00953BC9" w:rsidRDefault="00953BC9" w:rsidP="00953BC9">
            <w:pPr>
              <w:pStyle w:val="CDITable-RowCentre"/>
            </w:pPr>
            <w:r w:rsidRPr="00953BC9">
              <w:t>34.9 (30.7–39.5)</w:t>
            </w:r>
          </w:p>
        </w:tc>
      </w:tr>
      <w:tr w:rsidR="00953BC9" w:rsidRPr="00953BC9" w14:paraId="3254F648" w14:textId="77777777" w:rsidTr="006873F1">
        <w:trPr>
          <w:trHeight w:val="60"/>
        </w:trPr>
        <w:tc>
          <w:tcPr>
            <w:tcW w:w="1247" w:type="dxa"/>
            <w:vMerge/>
            <w:tcBorders>
              <w:top w:val="single" w:sz="6" w:space="0" w:color="1E4496" w:themeColor="text2"/>
              <w:bottom w:val="single" w:sz="6" w:space="0" w:color="1E4496" w:themeColor="text2"/>
            </w:tcBorders>
            <w:tcMar>
              <w:top w:w="108" w:type="dxa"/>
              <w:bottom w:w="108" w:type="dxa"/>
            </w:tcMar>
          </w:tcPr>
          <w:p w14:paraId="13B1442E" w14:textId="77777777" w:rsidR="00953BC9" w:rsidRPr="00953BC9" w:rsidRDefault="00953BC9" w:rsidP="00953BC9">
            <w:pPr>
              <w:pStyle w:val="CDITable-RowLeft"/>
            </w:pPr>
          </w:p>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29148D1" w14:textId="77777777" w:rsidR="00953BC9" w:rsidRPr="00953BC9" w:rsidRDefault="00953BC9" w:rsidP="00953BC9">
            <w:pPr>
              <w:pStyle w:val="CDITable-RowLeft"/>
            </w:pPr>
            <w:r w:rsidRPr="00953BC9">
              <w:t>Rotavirus</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AA344ED" w14:textId="77777777" w:rsidR="00953BC9" w:rsidRPr="00953BC9" w:rsidRDefault="00953BC9" w:rsidP="00953BC9">
            <w:pPr>
              <w:pStyle w:val="CDITable-RowCentre"/>
            </w:pPr>
            <w:r w:rsidRPr="00953BC9">
              <w:t>246</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498317C" w14:textId="77777777" w:rsidR="00953BC9" w:rsidRPr="00953BC9" w:rsidRDefault="00953BC9" w:rsidP="00953BC9">
            <w:pPr>
              <w:pStyle w:val="CDITable-RowCentre"/>
            </w:pPr>
            <w:r w:rsidRPr="00953BC9">
              <w:t>525,062</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DAF1F6A" w14:textId="77777777" w:rsidR="00953BC9" w:rsidRPr="00953BC9" w:rsidRDefault="00953BC9" w:rsidP="00953BC9">
            <w:pPr>
              <w:pStyle w:val="CDITable-RowCentre"/>
            </w:pPr>
            <w:r w:rsidRPr="00953BC9">
              <w:t>46.9 (41.2–53.1)</w:t>
            </w:r>
          </w:p>
        </w:tc>
      </w:tr>
      <w:tr w:rsidR="00953BC9" w:rsidRPr="00953BC9" w14:paraId="761BBE84" w14:textId="77777777" w:rsidTr="006873F1">
        <w:trPr>
          <w:trHeight w:val="60"/>
        </w:trPr>
        <w:tc>
          <w:tcPr>
            <w:tcW w:w="1247" w:type="dxa"/>
            <w:vMerge/>
            <w:tcBorders>
              <w:top w:val="single" w:sz="6" w:space="0" w:color="1E4496" w:themeColor="text2"/>
              <w:bottom w:val="single" w:sz="6" w:space="0" w:color="1E4496" w:themeColor="text2"/>
            </w:tcBorders>
            <w:tcMar>
              <w:top w:w="108" w:type="dxa"/>
              <w:bottom w:w="108" w:type="dxa"/>
            </w:tcMar>
          </w:tcPr>
          <w:p w14:paraId="0078FAA8" w14:textId="77777777" w:rsidR="00953BC9" w:rsidRPr="00953BC9" w:rsidRDefault="00953BC9" w:rsidP="00953BC9">
            <w:pPr>
              <w:pStyle w:val="CDITable-RowLeft"/>
            </w:pPr>
          </w:p>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C34B1FC" w14:textId="77777777" w:rsidR="00953BC9" w:rsidRPr="00953BC9" w:rsidRDefault="00953BC9" w:rsidP="00953BC9">
            <w:pPr>
              <w:pStyle w:val="CDITable-RowLeft"/>
            </w:pPr>
            <w:r w:rsidRPr="00953BC9">
              <w:t>DTPa</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C9CD7CE" w14:textId="77777777" w:rsidR="00953BC9" w:rsidRPr="00953BC9" w:rsidRDefault="00953BC9" w:rsidP="00953BC9">
            <w:pPr>
              <w:pStyle w:val="CDITable-RowCentre"/>
            </w:pPr>
            <w:r w:rsidRPr="00953BC9">
              <w:t>211</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80FD52D" w14:textId="77777777" w:rsidR="00953BC9" w:rsidRPr="00953BC9" w:rsidRDefault="00953BC9" w:rsidP="00953BC9">
            <w:pPr>
              <w:pStyle w:val="CDITable-RowCentre"/>
            </w:pPr>
            <w:r w:rsidRPr="00953BC9">
              <w:t>285,908</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271E2EF" w14:textId="77777777" w:rsidR="00953BC9" w:rsidRPr="00953BC9" w:rsidRDefault="00953BC9" w:rsidP="00953BC9">
            <w:pPr>
              <w:pStyle w:val="CDITable-RowCentre"/>
            </w:pPr>
            <w:r w:rsidRPr="00953BC9">
              <w:t>73.8 (64.2–84.5)</w:t>
            </w:r>
          </w:p>
        </w:tc>
      </w:tr>
      <w:tr w:rsidR="00953BC9" w:rsidRPr="00953BC9" w14:paraId="7BFFD02E" w14:textId="77777777" w:rsidTr="006873F1">
        <w:trPr>
          <w:trHeight w:val="60"/>
        </w:trPr>
        <w:tc>
          <w:tcPr>
            <w:tcW w:w="1247" w:type="dxa"/>
            <w:vMerge/>
            <w:tcBorders>
              <w:top w:val="single" w:sz="6" w:space="0" w:color="1E4496" w:themeColor="text2"/>
              <w:bottom w:val="single" w:sz="6" w:space="0" w:color="1E4496" w:themeColor="text2"/>
            </w:tcBorders>
            <w:tcMar>
              <w:top w:w="108" w:type="dxa"/>
              <w:bottom w:w="108" w:type="dxa"/>
            </w:tcMar>
          </w:tcPr>
          <w:p w14:paraId="2168CA09" w14:textId="77777777" w:rsidR="00953BC9" w:rsidRPr="00953BC9" w:rsidRDefault="00953BC9" w:rsidP="00953BC9">
            <w:pPr>
              <w:pStyle w:val="CDITable-RowLeft"/>
            </w:pPr>
          </w:p>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C1B8D51" w14:textId="77777777" w:rsidR="00953BC9" w:rsidRPr="00953BC9" w:rsidRDefault="00953BC9" w:rsidP="00953BC9">
            <w:pPr>
              <w:pStyle w:val="CDITable-RowLeft"/>
            </w:pPr>
            <w:r w:rsidRPr="00953BC9">
              <w:t>MMR</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809324B" w14:textId="77777777" w:rsidR="00953BC9" w:rsidRPr="00953BC9" w:rsidRDefault="00953BC9" w:rsidP="00953BC9">
            <w:pPr>
              <w:pStyle w:val="CDITable-RowCentre"/>
            </w:pPr>
            <w:r w:rsidRPr="00953BC9">
              <w:t>204</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3DB473A" w14:textId="77777777" w:rsidR="00953BC9" w:rsidRPr="00953BC9" w:rsidRDefault="00953BC9" w:rsidP="00953BC9">
            <w:pPr>
              <w:pStyle w:val="CDITable-RowCentre"/>
            </w:pPr>
            <w:r w:rsidRPr="00953BC9">
              <w:t>304,708</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E48700F" w14:textId="77777777" w:rsidR="00953BC9" w:rsidRPr="00953BC9" w:rsidRDefault="00953BC9" w:rsidP="00953BC9">
            <w:pPr>
              <w:pStyle w:val="CDITable-RowCentre"/>
            </w:pPr>
            <w:r w:rsidRPr="00953BC9">
              <w:t>66.9 (58.1–76.8)</w:t>
            </w:r>
          </w:p>
        </w:tc>
      </w:tr>
      <w:tr w:rsidR="00953BC9" w:rsidRPr="00953BC9" w14:paraId="6F828D6B" w14:textId="77777777" w:rsidTr="006873F1">
        <w:trPr>
          <w:trHeight w:val="60"/>
        </w:trPr>
        <w:tc>
          <w:tcPr>
            <w:tcW w:w="1247" w:type="dxa"/>
            <w:vMerge/>
            <w:tcBorders>
              <w:top w:val="single" w:sz="6" w:space="0" w:color="1E4496" w:themeColor="text2"/>
              <w:bottom w:val="single" w:sz="6" w:space="0" w:color="1E4496" w:themeColor="text2"/>
            </w:tcBorders>
            <w:tcMar>
              <w:top w:w="108" w:type="dxa"/>
              <w:bottom w:w="108" w:type="dxa"/>
            </w:tcMar>
          </w:tcPr>
          <w:p w14:paraId="1FE261A9" w14:textId="77777777" w:rsidR="00953BC9" w:rsidRPr="00953BC9" w:rsidRDefault="00953BC9" w:rsidP="00953BC9">
            <w:pPr>
              <w:pStyle w:val="CDITable-RowLeft"/>
            </w:pPr>
          </w:p>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AC94811" w14:textId="77777777" w:rsidR="00953BC9" w:rsidRPr="00953BC9" w:rsidRDefault="00953BC9" w:rsidP="00953BC9">
            <w:pPr>
              <w:pStyle w:val="CDITable-RowLeft"/>
            </w:pPr>
            <w:r w:rsidRPr="00953BC9">
              <w:t>MMRV</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6DE8C71" w14:textId="77777777" w:rsidR="00953BC9" w:rsidRPr="00953BC9" w:rsidRDefault="00953BC9" w:rsidP="00953BC9">
            <w:pPr>
              <w:pStyle w:val="CDITable-RowCentre"/>
            </w:pPr>
            <w:r w:rsidRPr="00953BC9">
              <w:t>204</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2BEA3D7" w14:textId="77777777" w:rsidR="00953BC9" w:rsidRPr="00953BC9" w:rsidRDefault="00953BC9" w:rsidP="00953BC9">
            <w:pPr>
              <w:pStyle w:val="CDITable-RowCentre"/>
            </w:pPr>
            <w:r w:rsidRPr="00953BC9">
              <w:t>286,478</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6A05250" w14:textId="77777777" w:rsidR="00953BC9" w:rsidRPr="00953BC9" w:rsidRDefault="00953BC9" w:rsidP="00953BC9">
            <w:pPr>
              <w:pStyle w:val="CDITable-RowCentre"/>
            </w:pPr>
            <w:r w:rsidRPr="00953BC9">
              <w:t>71.2 (61.8–81.7)</w:t>
            </w:r>
          </w:p>
        </w:tc>
      </w:tr>
      <w:tr w:rsidR="00953BC9" w:rsidRPr="00953BC9" w14:paraId="6DCE4595" w14:textId="77777777" w:rsidTr="006873F1">
        <w:trPr>
          <w:trHeight w:val="60"/>
        </w:trPr>
        <w:tc>
          <w:tcPr>
            <w:tcW w:w="1247" w:type="dxa"/>
            <w:vMerge/>
            <w:tcBorders>
              <w:top w:val="single" w:sz="6" w:space="0" w:color="1E4496" w:themeColor="text2"/>
              <w:bottom w:val="single" w:sz="6" w:space="0" w:color="1E4496" w:themeColor="text2"/>
            </w:tcBorders>
            <w:tcMar>
              <w:top w:w="108" w:type="dxa"/>
              <w:bottom w:w="108" w:type="dxa"/>
            </w:tcMar>
          </w:tcPr>
          <w:p w14:paraId="7E783136" w14:textId="77777777" w:rsidR="00953BC9" w:rsidRPr="00953BC9" w:rsidRDefault="00953BC9" w:rsidP="00953BC9">
            <w:pPr>
              <w:pStyle w:val="CDITable-RowLeft"/>
            </w:pPr>
          </w:p>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404E1D2" w14:textId="77777777" w:rsidR="00953BC9" w:rsidRPr="00953BC9" w:rsidRDefault="00953BC9" w:rsidP="00953BC9">
            <w:pPr>
              <w:pStyle w:val="CDITable-RowLeft"/>
            </w:pPr>
            <w:r w:rsidRPr="00953BC9">
              <w:t>Hib</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A582336" w14:textId="77777777" w:rsidR="00953BC9" w:rsidRPr="00953BC9" w:rsidRDefault="00953BC9" w:rsidP="00953BC9">
            <w:pPr>
              <w:pStyle w:val="CDITable-RowCentre"/>
            </w:pPr>
            <w:r w:rsidRPr="00953BC9">
              <w:t>198</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24B9401" w14:textId="77777777" w:rsidR="00953BC9" w:rsidRPr="00953BC9" w:rsidRDefault="00953BC9" w:rsidP="00953BC9">
            <w:pPr>
              <w:pStyle w:val="CDITable-RowCentre"/>
            </w:pPr>
            <w:r w:rsidRPr="00953BC9">
              <w:t>286,710</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879A57B" w14:textId="77777777" w:rsidR="00953BC9" w:rsidRPr="00953BC9" w:rsidRDefault="00953BC9" w:rsidP="00953BC9">
            <w:pPr>
              <w:pStyle w:val="CDITable-RowCentre"/>
            </w:pPr>
            <w:r w:rsidRPr="00953BC9">
              <w:t>69.1 (59.8–79.4)</w:t>
            </w:r>
          </w:p>
        </w:tc>
      </w:tr>
      <w:tr w:rsidR="00953BC9" w:rsidRPr="00953BC9" w14:paraId="0CFF3692" w14:textId="77777777" w:rsidTr="006873F1">
        <w:trPr>
          <w:trHeight w:val="60"/>
        </w:trPr>
        <w:tc>
          <w:tcPr>
            <w:tcW w:w="1247" w:type="dxa"/>
            <w:vMerge/>
            <w:tcBorders>
              <w:top w:val="single" w:sz="6" w:space="0" w:color="1E4496" w:themeColor="text2"/>
              <w:bottom w:val="single" w:sz="6" w:space="0" w:color="1E4496" w:themeColor="text2"/>
            </w:tcBorders>
            <w:tcMar>
              <w:top w:w="108" w:type="dxa"/>
              <w:bottom w:w="108" w:type="dxa"/>
            </w:tcMar>
          </w:tcPr>
          <w:p w14:paraId="1D506688" w14:textId="77777777" w:rsidR="00953BC9" w:rsidRPr="00953BC9" w:rsidRDefault="00953BC9" w:rsidP="00953BC9">
            <w:pPr>
              <w:pStyle w:val="CDITable-RowLeft"/>
            </w:pPr>
          </w:p>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07A3D8F" w14:textId="77777777" w:rsidR="00953BC9" w:rsidRPr="00953BC9" w:rsidRDefault="00953BC9" w:rsidP="00953BC9">
            <w:pPr>
              <w:pStyle w:val="CDITable-RowLeft"/>
            </w:pPr>
            <w:r w:rsidRPr="00953BC9">
              <w:t>MenB</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C985BBB" w14:textId="77777777" w:rsidR="00953BC9" w:rsidRPr="00953BC9" w:rsidRDefault="00953BC9" w:rsidP="00953BC9">
            <w:pPr>
              <w:pStyle w:val="CDITable-RowCentre"/>
            </w:pPr>
            <w:r w:rsidRPr="00953BC9">
              <w:t>178</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C040B65" w14:textId="77777777" w:rsidR="00953BC9" w:rsidRPr="00953BC9" w:rsidRDefault="00953BC9" w:rsidP="00953BC9">
            <w:pPr>
              <w:pStyle w:val="CDITable-RowCentre"/>
            </w:pPr>
            <w:r w:rsidRPr="00953BC9">
              <w:t>302,152</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2360234" w14:textId="77777777" w:rsidR="00953BC9" w:rsidRPr="00953BC9" w:rsidRDefault="00953BC9" w:rsidP="00953BC9">
            <w:pPr>
              <w:pStyle w:val="CDITable-RowCentre"/>
            </w:pPr>
            <w:r w:rsidRPr="00953BC9">
              <w:t>58.9 (50.6–68.2)</w:t>
            </w:r>
          </w:p>
        </w:tc>
      </w:tr>
      <w:tr w:rsidR="00953BC9" w:rsidRPr="00953BC9" w14:paraId="756FE5B7" w14:textId="77777777" w:rsidTr="006873F1">
        <w:trPr>
          <w:trHeight w:val="60"/>
        </w:trPr>
        <w:tc>
          <w:tcPr>
            <w:tcW w:w="1247" w:type="dxa"/>
            <w:vMerge/>
            <w:tcBorders>
              <w:top w:val="single" w:sz="6" w:space="0" w:color="1E4496" w:themeColor="text2"/>
              <w:bottom w:val="single" w:sz="6" w:space="0" w:color="1E4496" w:themeColor="text2"/>
            </w:tcBorders>
            <w:tcMar>
              <w:top w:w="108" w:type="dxa"/>
              <w:bottom w:w="108" w:type="dxa"/>
            </w:tcMar>
          </w:tcPr>
          <w:p w14:paraId="35DD42ED" w14:textId="77777777" w:rsidR="00953BC9" w:rsidRPr="00953BC9" w:rsidRDefault="00953BC9" w:rsidP="00953BC9">
            <w:pPr>
              <w:pStyle w:val="CDITable-RowLeft"/>
            </w:pPr>
          </w:p>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45D474E" w14:textId="77777777" w:rsidR="00953BC9" w:rsidRPr="00953BC9" w:rsidRDefault="00953BC9" w:rsidP="00953BC9">
            <w:pPr>
              <w:pStyle w:val="CDITable-RowLeft"/>
            </w:pPr>
            <w:r w:rsidRPr="00953BC9">
              <w:t>MenACWY</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9854093" w14:textId="77777777" w:rsidR="00953BC9" w:rsidRPr="00953BC9" w:rsidRDefault="00953BC9" w:rsidP="00953BC9">
            <w:pPr>
              <w:pStyle w:val="CDITable-RowCentre"/>
            </w:pPr>
            <w:r w:rsidRPr="00953BC9">
              <w:t>163</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80AF495" w14:textId="77777777" w:rsidR="00953BC9" w:rsidRPr="00953BC9" w:rsidRDefault="00953BC9" w:rsidP="00953BC9">
            <w:pPr>
              <w:pStyle w:val="CDITable-RowCentre"/>
            </w:pPr>
            <w:r w:rsidRPr="00953BC9">
              <w:t>317,584</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755E646" w14:textId="77777777" w:rsidR="00953BC9" w:rsidRPr="00953BC9" w:rsidRDefault="00953BC9" w:rsidP="00953BC9">
            <w:pPr>
              <w:pStyle w:val="CDITable-RowCentre"/>
            </w:pPr>
            <w:r w:rsidRPr="00953BC9">
              <w:t>51.3 (43.7–59.8)</w:t>
            </w:r>
          </w:p>
        </w:tc>
      </w:tr>
      <w:tr w:rsidR="00953BC9" w:rsidRPr="00953BC9" w14:paraId="095DFCEA" w14:textId="77777777" w:rsidTr="006873F1">
        <w:trPr>
          <w:trHeight w:val="60"/>
        </w:trPr>
        <w:tc>
          <w:tcPr>
            <w:tcW w:w="1247" w:type="dxa"/>
            <w:vMerge/>
            <w:tcBorders>
              <w:top w:val="single" w:sz="6" w:space="0" w:color="1E4496" w:themeColor="text2"/>
              <w:bottom w:val="single" w:sz="6" w:space="0" w:color="1E4496" w:themeColor="text2"/>
            </w:tcBorders>
            <w:tcMar>
              <w:top w:w="108" w:type="dxa"/>
              <w:bottom w:w="108" w:type="dxa"/>
            </w:tcMar>
          </w:tcPr>
          <w:p w14:paraId="60CC98F6" w14:textId="77777777" w:rsidR="00953BC9" w:rsidRPr="00953BC9" w:rsidRDefault="00953BC9" w:rsidP="00953BC9">
            <w:pPr>
              <w:pStyle w:val="CDITable-RowLeft"/>
            </w:pPr>
          </w:p>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414FC65" w14:textId="77777777" w:rsidR="00953BC9" w:rsidRPr="00953BC9" w:rsidRDefault="00953BC9" w:rsidP="00953BC9">
            <w:pPr>
              <w:pStyle w:val="CDITable-RowLeft"/>
            </w:pPr>
            <w:r w:rsidRPr="00953BC9">
              <w:t>Hepatitis B</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4237F2A" w14:textId="77777777" w:rsidR="00953BC9" w:rsidRPr="00953BC9" w:rsidRDefault="00953BC9" w:rsidP="00953BC9">
            <w:pPr>
              <w:pStyle w:val="CDITable-RowCentre"/>
            </w:pPr>
            <w:r w:rsidRPr="00953BC9">
              <w:t>17</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0D24B3E" w14:textId="77777777" w:rsidR="00953BC9" w:rsidRPr="00953BC9" w:rsidRDefault="00953BC9" w:rsidP="00953BC9">
            <w:pPr>
              <w:pStyle w:val="CDITable-RowCentre"/>
            </w:pPr>
            <w:r w:rsidRPr="00953BC9">
              <w:t>83,860</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E9D7352" w14:textId="77777777" w:rsidR="00953BC9" w:rsidRPr="00953BC9" w:rsidRDefault="00953BC9" w:rsidP="00953BC9">
            <w:pPr>
              <w:pStyle w:val="CDITable-RowCentre"/>
            </w:pPr>
            <w:r w:rsidRPr="00953BC9">
              <w:t>20.3 (11.8–32.5)</w:t>
            </w:r>
          </w:p>
        </w:tc>
      </w:tr>
      <w:tr w:rsidR="00953BC9" w:rsidRPr="00953BC9" w14:paraId="695A37DB" w14:textId="77777777" w:rsidTr="006873F1">
        <w:trPr>
          <w:trHeight w:val="60"/>
        </w:trPr>
        <w:tc>
          <w:tcPr>
            <w:tcW w:w="1247" w:type="dxa"/>
            <w:vMerge/>
            <w:tcBorders>
              <w:top w:val="single" w:sz="6" w:space="0" w:color="1E4496" w:themeColor="text2"/>
              <w:bottom w:val="single" w:sz="6" w:space="0" w:color="1E4496" w:themeColor="text2"/>
            </w:tcBorders>
            <w:tcMar>
              <w:top w:w="108" w:type="dxa"/>
              <w:bottom w:w="108" w:type="dxa"/>
            </w:tcMar>
          </w:tcPr>
          <w:p w14:paraId="75BC549A" w14:textId="77777777" w:rsidR="00953BC9" w:rsidRPr="00953BC9" w:rsidRDefault="00953BC9" w:rsidP="00953BC9">
            <w:pPr>
              <w:pStyle w:val="CDITable-RowLeft"/>
            </w:pPr>
          </w:p>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5068F9B" w14:textId="77777777" w:rsidR="00953BC9" w:rsidRPr="00953BC9" w:rsidRDefault="00953BC9" w:rsidP="00953BC9">
            <w:pPr>
              <w:pStyle w:val="CDITable-RowLeft"/>
            </w:pPr>
            <w:r w:rsidRPr="00953BC9">
              <w:t>Hepatitis A</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7C00A4B" w14:textId="77777777" w:rsidR="00953BC9" w:rsidRPr="00953BC9" w:rsidRDefault="00953BC9" w:rsidP="00953BC9">
            <w:pPr>
              <w:pStyle w:val="CDITable-RowCentre"/>
            </w:pPr>
            <w:r w:rsidRPr="00953BC9">
              <w:t>16</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D57C90C" w14:textId="77777777" w:rsidR="00953BC9" w:rsidRPr="00953BC9" w:rsidRDefault="00953BC9" w:rsidP="00953BC9">
            <w:pPr>
              <w:pStyle w:val="CDITable-RowCentre"/>
            </w:pPr>
            <w:r w:rsidRPr="00953BC9">
              <w:t>30,684</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BC8971E" w14:textId="77777777" w:rsidR="00953BC9" w:rsidRPr="00953BC9" w:rsidRDefault="00953BC9" w:rsidP="00953BC9">
            <w:pPr>
              <w:pStyle w:val="CDITable-RowCentre"/>
            </w:pPr>
            <w:r w:rsidRPr="00953BC9">
              <w:t>52.1 (29.8–84.7)</w:t>
            </w:r>
          </w:p>
        </w:tc>
      </w:tr>
      <w:tr w:rsidR="00953BC9" w:rsidRPr="00953BC9" w14:paraId="2E51EE33" w14:textId="77777777" w:rsidTr="006873F1">
        <w:trPr>
          <w:trHeight w:val="60"/>
        </w:trPr>
        <w:tc>
          <w:tcPr>
            <w:tcW w:w="1247" w:type="dxa"/>
            <w:vMerge/>
            <w:tcBorders>
              <w:top w:val="single" w:sz="6" w:space="0" w:color="1E4496" w:themeColor="text2"/>
              <w:bottom w:val="single" w:sz="6" w:space="0" w:color="1E4496" w:themeColor="text2"/>
            </w:tcBorders>
            <w:tcMar>
              <w:top w:w="108" w:type="dxa"/>
              <w:bottom w:w="108" w:type="dxa"/>
            </w:tcMar>
          </w:tcPr>
          <w:p w14:paraId="451DC438" w14:textId="77777777" w:rsidR="00953BC9" w:rsidRPr="00953BC9" w:rsidRDefault="00953BC9" w:rsidP="00953BC9">
            <w:pPr>
              <w:pStyle w:val="CDITable-RowLeft"/>
            </w:pPr>
          </w:p>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1FD7542" w14:textId="77777777" w:rsidR="00953BC9" w:rsidRPr="00953BC9" w:rsidRDefault="00953BC9" w:rsidP="00953BC9">
            <w:pPr>
              <w:pStyle w:val="CDITable-RowLeft"/>
            </w:pPr>
            <w:r w:rsidRPr="00953BC9">
              <w:t>23vPPV</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3882172" w14:textId="77777777" w:rsidR="00953BC9" w:rsidRPr="00953BC9" w:rsidRDefault="00953BC9" w:rsidP="00953BC9">
            <w:pPr>
              <w:pStyle w:val="CDITable-RowCentre"/>
            </w:pPr>
            <w:r w:rsidRPr="00953BC9">
              <w:t>14</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877DC4B" w14:textId="77777777" w:rsidR="00953BC9" w:rsidRPr="00953BC9" w:rsidRDefault="00953BC9" w:rsidP="00953BC9">
            <w:pPr>
              <w:pStyle w:val="CDITable-RowCentre"/>
            </w:pPr>
            <w:r w:rsidRPr="00953BC9">
              <w:t>9,598</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94B06D5" w14:textId="77777777" w:rsidR="00953BC9" w:rsidRPr="00953BC9" w:rsidRDefault="00953BC9" w:rsidP="00953BC9">
            <w:pPr>
              <w:pStyle w:val="CDITable-RowCentre"/>
            </w:pPr>
            <w:r w:rsidRPr="00953BC9">
              <w:t>145.9 (79.8–244.6)</w:t>
            </w:r>
          </w:p>
        </w:tc>
      </w:tr>
      <w:tr w:rsidR="00953BC9" w:rsidRPr="00953BC9" w14:paraId="0D1AFE72" w14:textId="77777777" w:rsidTr="006873F1">
        <w:trPr>
          <w:trHeight w:val="60"/>
        </w:trPr>
        <w:tc>
          <w:tcPr>
            <w:tcW w:w="1247" w:type="dxa"/>
            <w:vMerge/>
            <w:tcBorders>
              <w:top w:val="single" w:sz="6" w:space="0" w:color="1E4496" w:themeColor="text2"/>
              <w:bottom w:val="single" w:sz="6" w:space="0" w:color="1E4496" w:themeColor="text2"/>
            </w:tcBorders>
            <w:tcMar>
              <w:top w:w="108" w:type="dxa"/>
              <w:bottom w:w="108" w:type="dxa"/>
            </w:tcMar>
          </w:tcPr>
          <w:p w14:paraId="182BE5AF" w14:textId="77777777" w:rsidR="00953BC9" w:rsidRPr="00953BC9" w:rsidRDefault="00953BC9" w:rsidP="00953BC9">
            <w:pPr>
              <w:pStyle w:val="CDITable-RowLeft"/>
            </w:pPr>
          </w:p>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717252B" w14:textId="77777777" w:rsidR="00953BC9" w:rsidRPr="00953BC9" w:rsidRDefault="00953BC9" w:rsidP="00953BC9">
            <w:pPr>
              <w:pStyle w:val="CDITable-RowLeft"/>
            </w:pPr>
            <w:r w:rsidRPr="00953BC9">
              <w:t>Tuberculosis</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DF9BE1B" w14:textId="77777777" w:rsidR="00953BC9" w:rsidRPr="00953BC9" w:rsidRDefault="00953BC9" w:rsidP="00953BC9">
            <w:pPr>
              <w:pStyle w:val="CDITable-RowCentre"/>
            </w:pPr>
            <w:r w:rsidRPr="00953BC9">
              <w:t>11</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0FF09B1" w14:textId="77777777" w:rsidR="00953BC9" w:rsidRPr="00953BC9" w:rsidRDefault="00953BC9" w:rsidP="00953BC9">
            <w:pPr>
              <w:pStyle w:val="CDITable-RowCentre"/>
            </w:pPr>
            <w:r w:rsidRPr="00953BC9">
              <w:t>9,738</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323BD1F" w14:textId="77777777" w:rsidR="00953BC9" w:rsidRPr="00953BC9" w:rsidRDefault="00953BC9" w:rsidP="00953BC9">
            <w:pPr>
              <w:pStyle w:val="CDITable-RowCentre"/>
            </w:pPr>
            <w:r w:rsidRPr="00953BC9">
              <w:t>113.0 (56.4–202.0)</w:t>
            </w:r>
          </w:p>
        </w:tc>
      </w:tr>
      <w:tr w:rsidR="00953BC9" w:rsidRPr="00953BC9" w14:paraId="615709EE" w14:textId="77777777" w:rsidTr="006873F1">
        <w:trPr>
          <w:trHeight w:val="60"/>
        </w:trPr>
        <w:tc>
          <w:tcPr>
            <w:tcW w:w="1247" w:type="dxa"/>
            <w:vMerge/>
            <w:tcBorders>
              <w:top w:val="single" w:sz="6" w:space="0" w:color="1E4496" w:themeColor="text2"/>
              <w:bottom w:val="single" w:sz="6" w:space="0" w:color="1E4496" w:themeColor="text2"/>
            </w:tcBorders>
            <w:tcMar>
              <w:top w:w="108" w:type="dxa"/>
              <w:bottom w:w="108" w:type="dxa"/>
            </w:tcMar>
          </w:tcPr>
          <w:p w14:paraId="5FA00706" w14:textId="77777777" w:rsidR="00953BC9" w:rsidRPr="00953BC9" w:rsidRDefault="00953BC9" w:rsidP="00953BC9">
            <w:pPr>
              <w:pStyle w:val="CDITable-RowLeft"/>
            </w:pPr>
          </w:p>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93A5713" w14:textId="77777777" w:rsidR="00953BC9" w:rsidRPr="00953BC9" w:rsidRDefault="00953BC9" w:rsidP="00953BC9">
            <w:pPr>
              <w:pStyle w:val="CDITable-RowLeft"/>
            </w:pPr>
            <w:r w:rsidRPr="00953BC9">
              <w:t>Varicella</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E2B3FA7" w14:textId="77777777" w:rsidR="00953BC9" w:rsidRPr="00953BC9" w:rsidRDefault="00953BC9" w:rsidP="00953BC9">
            <w:pPr>
              <w:pStyle w:val="CDITable-RowCentre"/>
            </w:pPr>
            <w:r w:rsidRPr="00953BC9">
              <w:t>10</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C35DC03" w14:textId="77777777" w:rsidR="00953BC9" w:rsidRPr="00953BC9" w:rsidRDefault="00953BC9" w:rsidP="00953BC9">
            <w:pPr>
              <w:pStyle w:val="CDITable-RowCentre"/>
            </w:pPr>
            <w:r w:rsidRPr="00953BC9">
              <w:t>11,841</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94619C3" w14:textId="77777777" w:rsidR="00953BC9" w:rsidRPr="00953BC9" w:rsidRDefault="00953BC9" w:rsidP="00953BC9">
            <w:pPr>
              <w:pStyle w:val="CDITable-RowCentre"/>
            </w:pPr>
            <w:r w:rsidRPr="00953BC9">
              <w:t>84.5 (40.5–155.3)</w:t>
            </w:r>
          </w:p>
        </w:tc>
      </w:tr>
      <w:tr w:rsidR="00953BC9" w:rsidRPr="00953BC9" w14:paraId="63CB4AFE" w14:textId="77777777" w:rsidTr="006873F1">
        <w:trPr>
          <w:trHeight w:val="60"/>
        </w:trPr>
        <w:tc>
          <w:tcPr>
            <w:tcW w:w="1247" w:type="dxa"/>
            <w:vMerge/>
            <w:tcBorders>
              <w:top w:val="single" w:sz="6" w:space="0" w:color="1E4496" w:themeColor="text2"/>
              <w:bottom w:val="single" w:sz="6" w:space="0" w:color="1E4496" w:themeColor="text2"/>
            </w:tcBorders>
            <w:tcMar>
              <w:top w:w="108" w:type="dxa"/>
              <w:bottom w:w="108" w:type="dxa"/>
            </w:tcMar>
          </w:tcPr>
          <w:p w14:paraId="6324E339" w14:textId="77777777" w:rsidR="00953BC9" w:rsidRPr="00953BC9" w:rsidRDefault="00953BC9"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92DF3E7" w14:textId="77777777" w:rsidR="00953BC9" w:rsidRPr="00953BC9" w:rsidRDefault="00953BC9" w:rsidP="00953BC9">
            <w:pPr>
              <w:pStyle w:val="CDITable-RowLeft"/>
            </w:pPr>
            <w:r w:rsidRPr="00953BC9">
              <w:t>Influenza (seasonal—high-dose or adjuvanted)</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2F29181" w14:textId="77777777" w:rsidR="00953BC9" w:rsidRPr="00953BC9" w:rsidRDefault="00953BC9" w:rsidP="00953BC9">
            <w:pPr>
              <w:pStyle w:val="CDITable-RowCentre"/>
            </w:pPr>
            <w:r w:rsidRPr="00953BC9">
              <w:t>6</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EC4B842" w14:textId="77777777" w:rsidR="00953BC9" w:rsidRPr="00953BC9" w:rsidRDefault="00953BC9" w:rsidP="00953BC9">
            <w:pPr>
              <w:pStyle w:val="CDITable-RowCentre"/>
            </w:pPr>
            <w:r w:rsidRPr="00953BC9">
              <w:t>407</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BDDB73B" w14:textId="77777777" w:rsidR="00953BC9" w:rsidRPr="00AC04A4" w:rsidRDefault="00953BC9" w:rsidP="00953BC9">
            <w:pPr>
              <w:pStyle w:val="CDITable-RowCentre"/>
              <w:rPr>
                <w:spacing w:val="-4"/>
              </w:rPr>
            </w:pPr>
            <w:r w:rsidRPr="00AC04A4">
              <w:rPr>
                <w:spacing w:val="-4"/>
              </w:rPr>
              <w:t>1,474.2 (542.9–3,181.0)</w:t>
            </w:r>
          </w:p>
        </w:tc>
      </w:tr>
      <w:tr w:rsidR="00953BC9" w:rsidRPr="00953BC9" w14:paraId="663CFA68" w14:textId="77777777" w:rsidTr="006873F1">
        <w:trPr>
          <w:trHeight w:val="60"/>
        </w:trPr>
        <w:tc>
          <w:tcPr>
            <w:tcW w:w="1247" w:type="dxa"/>
            <w:vMerge/>
            <w:tcBorders>
              <w:top w:val="single" w:sz="6" w:space="0" w:color="1E4496" w:themeColor="text2"/>
              <w:bottom w:val="single" w:sz="6" w:space="0" w:color="1E4496" w:themeColor="text2"/>
            </w:tcBorders>
            <w:tcMar>
              <w:top w:w="108" w:type="dxa"/>
              <w:bottom w:w="108" w:type="dxa"/>
            </w:tcMar>
          </w:tcPr>
          <w:p w14:paraId="0908D615" w14:textId="77777777" w:rsidR="00953BC9" w:rsidRPr="00953BC9" w:rsidRDefault="00953BC9"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3099502" w14:textId="77777777" w:rsidR="00953BC9" w:rsidRPr="00953BC9" w:rsidRDefault="00953BC9" w:rsidP="00953BC9">
            <w:pPr>
              <w:pStyle w:val="CDITable-RowLeft"/>
            </w:pPr>
            <w:r w:rsidRPr="00953BC9">
              <w:t>Typhoid-hepatitis A</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1A63C1B" w14:textId="77777777" w:rsidR="00953BC9" w:rsidRPr="00953BC9" w:rsidRDefault="00953BC9" w:rsidP="00953BC9">
            <w:pPr>
              <w:pStyle w:val="CDITable-RowCentre"/>
            </w:pPr>
            <w:r w:rsidRPr="00953BC9">
              <w:t>5</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15C8B23" w14:textId="77777777" w:rsidR="00953BC9" w:rsidRPr="00953BC9" w:rsidRDefault="00953BC9" w:rsidP="00953BC9">
            <w:pPr>
              <w:pStyle w:val="CDITable-RowCentre"/>
            </w:pPr>
            <w:r w:rsidRPr="00953BC9">
              <w:t>941</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6528173" w14:textId="77777777" w:rsidR="00953BC9" w:rsidRPr="00953BC9" w:rsidRDefault="00953BC9" w:rsidP="00953BC9">
            <w:pPr>
              <w:pStyle w:val="CDITable-RowCentre"/>
            </w:pPr>
            <w:r w:rsidRPr="00953BC9">
              <w:t>531.3 (172.7–1,235.6)</w:t>
            </w:r>
          </w:p>
        </w:tc>
      </w:tr>
      <w:tr w:rsidR="00953BC9" w:rsidRPr="00953BC9" w14:paraId="232465DA" w14:textId="77777777" w:rsidTr="006873F1">
        <w:trPr>
          <w:trHeight w:val="60"/>
        </w:trPr>
        <w:tc>
          <w:tcPr>
            <w:tcW w:w="1247" w:type="dxa"/>
            <w:vMerge/>
            <w:tcBorders>
              <w:top w:val="single" w:sz="6" w:space="0" w:color="1E4496" w:themeColor="text2"/>
              <w:bottom w:val="single" w:sz="6" w:space="0" w:color="1E4496" w:themeColor="text2"/>
            </w:tcBorders>
            <w:tcMar>
              <w:top w:w="108" w:type="dxa"/>
              <w:bottom w:w="108" w:type="dxa"/>
            </w:tcMar>
          </w:tcPr>
          <w:p w14:paraId="4C5F5B9F" w14:textId="77777777" w:rsidR="00953BC9" w:rsidRPr="00953BC9" w:rsidRDefault="00953BC9"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14AB590" w14:textId="77777777" w:rsidR="00953BC9" w:rsidRPr="00953BC9" w:rsidRDefault="00953BC9" w:rsidP="00953BC9">
            <w:pPr>
              <w:pStyle w:val="CDITable-RowLeft"/>
            </w:pPr>
            <w:r w:rsidRPr="00953BC9">
              <w:t>Typhoid</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A23FDC7" w14:textId="77777777" w:rsidR="00953BC9" w:rsidRPr="00953BC9" w:rsidRDefault="00953BC9" w:rsidP="00953BC9">
            <w:pPr>
              <w:pStyle w:val="CDITable-RowCentre"/>
            </w:pPr>
            <w:r w:rsidRPr="00953BC9">
              <w:t>3</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1CB7211" w14:textId="77777777" w:rsidR="00953BC9" w:rsidRPr="00953BC9" w:rsidRDefault="00953BC9" w:rsidP="00953BC9">
            <w:pPr>
              <w:pStyle w:val="CDITable-RowCentre"/>
            </w:pPr>
            <w:r w:rsidRPr="00953BC9">
              <w:t>14,261</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4E3D30D" w14:textId="77777777" w:rsidR="00953BC9" w:rsidRPr="00953BC9" w:rsidRDefault="00953BC9" w:rsidP="00953BC9">
            <w:pPr>
              <w:pStyle w:val="CDITable-RowCentre"/>
            </w:pPr>
            <w:r w:rsidRPr="00953BC9">
              <w:t>21.0 (4.3–61.5)</w:t>
            </w:r>
          </w:p>
        </w:tc>
      </w:tr>
      <w:tr w:rsidR="00953BC9" w:rsidRPr="00953BC9" w14:paraId="0641F51F" w14:textId="77777777" w:rsidTr="006873F1">
        <w:trPr>
          <w:trHeight w:val="60"/>
        </w:trPr>
        <w:tc>
          <w:tcPr>
            <w:tcW w:w="1247" w:type="dxa"/>
            <w:vMerge/>
            <w:tcBorders>
              <w:top w:val="single" w:sz="6" w:space="0" w:color="1E4496" w:themeColor="text2"/>
              <w:bottom w:val="single" w:sz="6" w:space="0" w:color="1E4496" w:themeColor="text2"/>
            </w:tcBorders>
            <w:tcMar>
              <w:top w:w="108" w:type="dxa"/>
              <w:bottom w:w="108" w:type="dxa"/>
            </w:tcMar>
          </w:tcPr>
          <w:p w14:paraId="466424A7" w14:textId="77777777" w:rsidR="00953BC9" w:rsidRPr="00953BC9" w:rsidRDefault="00953BC9"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ADEE6F3" w14:textId="77777777" w:rsidR="00953BC9" w:rsidRPr="00953BC9" w:rsidRDefault="00953BC9" w:rsidP="00953BC9">
            <w:pPr>
              <w:pStyle w:val="CDITable-RowLeft"/>
            </w:pPr>
            <w:r w:rsidRPr="00953BC9">
              <w:t>Japanese encephalitis (live)</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44EA84F" w14:textId="77777777" w:rsidR="00953BC9" w:rsidRPr="00953BC9" w:rsidRDefault="00953BC9" w:rsidP="00953BC9">
            <w:pPr>
              <w:pStyle w:val="CDITable-RowCentre"/>
            </w:pPr>
            <w:r w:rsidRPr="00953BC9">
              <w:t>1</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89BA2BB" w14:textId="77777777" w:rsidR="00953BC9" w:rsidRPr="00953BC9" w:rsidRDefault="00953BC9" w:rsidP="00953BC9">
            <w:pPr>
              <w:pStyle w:val="CDITable-RowCentre"/>
            </w:pPr>
            <w:r w:rsidRPr="00953BC9">
              <w:t>3,398</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5BEDD71" w14:textId="77777777" w:rsidR="00953BC9" w:rsidRPr="00953BC9" w:rsidRDefault="00953BC9" w:rsidP="00953BC9">
            <w:pPr>
              <w:pStyle w:val="CDITable-RowCentre"/>
            </w:pPr>
            <w:r w:rsidRPr="00953BC9">
              <w:t>29.4 (0.7–163.9)</w:t>
            </w:r>
          </w:p>
        </w:tc>
      </w:tr>
      <w:tr w:rsidR="00953BC9" w:rsidRPr="00953BC9" w14:paraId="5323CC59" w14:textId="77777777" w:rsidTr="006873F1">
        <w:trPr>
          <w:trHeight w:val="60"/>
        </w:trPr>
        <w:tc>
          <w:tcPr>
            <w:tcW w:w="1247" w:type="dxa"/>
            <w:vMerge/>
            <w:tcBorders>
              <w:top w:val="single" w:sz="6" w:space="0" w:color="1E4496" w:themeColor="text2"/>
              <w:bottom w:val="single" w:sz="6" w:space="0" w:color="1E4496" w:themeColor="text2"/>
            </w:tcBorders>
            <w:tcMar>
              <w:top w:w="108" w:type="dxa"/>
              <w:bottom w:w="108" w:type="dxa"/>
            </w:tcMar>
          </w:tcPr>
          <w:p w14:paraId="2B655B2A" w14:textId="77777777" w:rsidR="00953BC9" w:rsidRPr="00953BC9" w:rsidRDefault="00953BC9"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A6716DF" w14:textId="77777777" w:rsidR="00953BC9" w:rsidRPr="00953BC9" w:rsidRDefault="00953BC9" w:rsidP="00953BC9">
            <w:pPr>
              <w:pStyle w:val="CDITable-RowLeft"/>
            </w:pPr>
            <w:r w:rsidRPr="00953BC9">
              <w:t>Yellow fever</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FE56732" w14:textId="77777777" w:rsidR="00953BC9" w:rsidRPr="00953BC9" w:rsidRDefault="00953BC9" w:rsidP="00953BC9">
            <w:pPr>
              <w:pStyle w:val="CDITable-RowCentre"/>
            </w:pPr>
            <w:r w:rsidRPr="00953BC9">
              <w:t>1</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EB49824" w14:textId="77777777" w:rsidR="00953BC9" w:rsidRPr="00953BC9" w:rsidRDefault="00953BC9" w:rsidP="00953BC9">
            <w:pPr>
              <w:pStyle w:val="CDITable-RowCentre"/>
            </w:pPr>
            <w:r w:rsidRPr="00953BC9">
              <w:t>1,644</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13D9903" w14:textId="77777777" w:rsidR="00953BC9" w:rsidRPr="00953BC9" w:rsidRDefault="00953BC9" w:rsidP="00953BC9">
            <w:pPr>
              <w:pStyle w:val="CDITable-RowCentre"/>
            </w:pPr>
            <w:r w:rsidRPr="00953BC9">
              <w:t>60.8 (1.5–338.4)</w:t>
            </w:r>
          </w:p>
        </w:tc>
      </w:tr>
      <w:tr w:rsidR="00953BC9" w:rsidRPr="00953BC9" w14:paraId="03334C02" w14:textId="77777777" w:rsidTr="006873F1">
        <w:trPr>
          <w:trHeight w:val="60"/>
        </w:trPr>
        <w:tc>
          <w:tcPr>
            <w:tcW w:w="1247" w:type="dxa"/>
            <w:vMerge/>
            <w:tcBorders>
              <w:top w:val="single" w:sz="6" w:space="0" w:color="1E4496" w:themeColor="text2"/>
              <w:bottom w:val="single" w:sz="6" w:space="0" w:color="1E4496" w:themeColor="text2"/>
            </w:tcBorders>
            <w:tcMar>
              <w:top w:w="108" w:type="dxa"/>
              <w:bottom w:w="108" w:type="dxa"/>
            </w:tcMar>
          </w:tcPr>
          <w:p w14:paraId="1F635E62" w14:textId="77777777" w:rsidR="00953BC9" w:rsidRPr="00953BC9" w:rsidRDefault="00953BC9" w:rsidP="00953BC9"/>
        </w:tc>
        <w:tc>
          <w:tcPr>
            <w:tcW w:w="3629" w:type="dxa"/>
            <w:tcBorders>
              <w:top w:val="single" w:sz="6" w:space="0" w:color="1E4496" w:themeColor="text2"/>
              <w:bottom w:val="single" w:sz="6" w:space="0" w:color="1E4496" w:themeColor="text2"/>
            </w:tcBorders>
            <w:shd w:val="clear" w:color="auto" w:fill="DCF4FC" w:themeFill="background2" w:themeFillTint="33"/>
            <w:tcMar>
              <w:top w:w="108" w:type="dxa"/>
              <w:left w:w="113" w:type="dxa"/>
              <w:bottom w:w="108" w:type="dxa"/>
              <w:right w:w="113" w:type="dxa"/>
            </w:tcMar>
            <w:vAlign w:val="center"/>
          </w:tcPr>
          <w:p w14:paraId="4228863B" w14:textId="77777777" w:rsidR="00953BC9" w:rsidRPr="00953BC9" w:rsidRDefault="00953BC9" w:rsidP="006873F1">
            <w:pPr>
              <w:pStyle w:val="CDITable-TotalRowLeft"/>
            </w:pPr>
            <w:r w:rsidRPr="00953BC9">
              <w:t>All non-COVID-19 vaccines</w:t>
            </w:r>
          </w:p>
        </w:tc>
        <w:tc>
          <w:tcPr>
            <w:tcW w:w="1247" w:type="dxa"/>
            <w:tcBorders>
              <w:top w:val="single" w:sz="6" w:space="0" w:color="1E4496" w:themeColor="text2"/>
              <w:bottom w:val="single" w:sz="6" w:space="0" w:color="1E4496" w:themeColor="text2"/>
            </w:tcBorders>
            <w:shd w:val="clear" w:color="auto" w:fill="DCF4FC" w:themeFill="background2" w:themeFillTint="33"/>
            <w:tcMar>
              <w:top w:w="108" w:type="dxa"/>
              <w:left w:w="113" w:type="dxa"/>
              <w:bottom w:w="108" w:type="dxa"/>
              <w:right w:w="113" w:type="dxa"/>
            </w:tcMar>
            <w:vAlign w:val="center"/>
          </w:tcPr>
          <w:p w14:paraId="27B25ADB" w14:textId="77777777" w:rsidR="00953BC9" w:rsidRPr="00953BC9" w:rsidRDefault="00953BC9" w:rsidP="006873F1">
            <w:pPr>
              <w:pStyle w:val="CDITable-TotalRowCentre"/>
            </w:pPr>
            <w:r w:rsidRPr="00953BC9">
              <w:t>1,491</w:t>
            </w:r>
          </w:p>
        </w:tc>
        <w:tc>
          <w:tcPr>
            <w:tcW w:w="1417" w:type="dxa"/>
            <w:tcBorders>
              <w:top w:val="single" w:sz="6" w:space="0" w:color="1E4496" w:themeColor="text2"/>
              <w:bottom w:val="single" w:sz="6" w:space="0" w:color="1E4496" w:themeColor="text2"/>
            </w:tcBorders>
            <w:shd w:val="clear" w:color="auto" w:fill="DCF4FC" w:themeFill="background2" w:themeFillTint="33"/>
            <w:tcMar>
              <w:top w:w="108" w:type="dxa"/>
              <w:left w:w="113" w:type="dxa"/>
              <w:bottom w:w="108" w:type="dxa"/>
              <w:right w:w="113" w:type="dxa"/>
            </w:tcMar>
            <w:vAlign w:val="center"/>
          </w:tcPr>
          <w:p w14:paraId="005439BC" w14:textId="77777777" w:rsidR="00953BC9" w:rsidRPr="00953BC9" w:rsidRDefault="00953BC9" w:rsidP="006873F1">
            <w:pPr>
              <w:pStyle w:val="CDITable-TotalRowCentre"/>
            </w:pPr>
            <w:r w:rsidRPr="00953BC9">
              <w:t>5,170,395</w:t>
            </w:r>
          </w:p>
        </w:tc>
        <w:tc>
          <w:tcPr>
            <w:tcW w:w="2098" w:type="dxa"/>
            <w:tcBorders>
              <w:top w:val="single" w:sz="6" w:space="0" w:color="1E4496" w:themeColor="text2"/>
              <w:bottom w:val="single" w:sz="6" w:space="0" w:color="1E4496" w:themeColor="text2"/>
            </w:tcBorders>
            <w:shd w:val="clear" w:color="auto" w:fill="DCF4FC" w:themeFill="background2" w:themeFillTint="33"/>
            <w:tcMar>
              <w:top w:w="108" w:type="dxa"/>
              <w:left w:w="113" w:type="dxa"/>
              <w:bottom w:w="108" w:type="dxa"/>
              <w:right w:w="113" w:type="dxa"/>
            </w:tcMar>
            <w:vAlign w:val="center"/>
          </w:tcPr>
          <w:p w14:paraId="3A37A149" w14:textId="77777777" w:rsidR="00953BC9" w:rsidRPr="00953BC9" w:rsidRDefault="00953BC9" w:rsidP="006873F1">
            <w:pPr>
              <w:pStyle w:val="CDITable-TotalRowCentre"/>
            </w:pPr>
            <w:r w:rsidRPr="00953BC9">
              <w:t>28.8 (27.4–30.3)</w:t>
            </w:r>
          </w:p>
        </w:tc>
      </w:tr>
      <w:tr w:rsidR="00953BC9" w:rsidRPr="00953BC9" w14:paraId="071F0FFD" w14:textId="77777777" w:rsidTr="006873F1">
        <w:trPr>
          <w:trHeight w:val="60"/>
        </w:trPr>
        <w:tc>
          <w:tcPr>
            <w:tcW w:w="1247" w:type="dxa"/>
            <w:vMerge w:val="restart"/>
            <w:tcBorders>
              <w:top w:val="single" w:sz="6" w:space="0" w:color="1E4496" w:themeColor="text2"/>
            </w:tcBorders>
            <w:tcMar>
              <w:top w:w="108" w:type="dxa"/>
              <w:left w:w="113" w:type="dxa"/>
              <w:bottom w:w="108" w:type="dxa"/>
              <w:right w:w="113" w:type="dxa"/>
            </w:tcMar>
            <w:vAlign w:val="center"/>
          </w:tcPr>
          <w:p w14:paraId="61F7AC76" w14:textId="77777777" w:rsidR="00953BC9" w:rsidRPr="00953BC9" w:rsidRDefault="00953BC9" w:rsidP="00953BC9">
            <w:pPr>
              <w:pStyle w:val="CDITable-RowLeft"/>
            </w:pPr>
            <w:r w:rsidRPr="00953BC9">
              <w:t>7–17 years</w:t>
            </w:r>
          </w:p>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5A00C80" w14:textId="77777777" w:rsidR="00953BC9" w:rsidRPr="00953BC9" w:rsidRDefault="00953BC9" w:rsidP="00953BC9">
            <w:pPr>
              <w:pStyle w:val="CDITable-RowLeft"/>
            </w:pPr>
            <w:r w:rsidRPr="00953BC9">
              <w:t>HPV</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80C6EFB" w14:textId="77777777" w:rsidR="00953BC9" w:rsidRPr="00953BC9" w:rsidRDefault="00953BC9" w:rsidP="00953BC9">
            <w:pPr>
              <w:pStyle w:val="CDITable-RowCentre"/>
            </w:pPr>
            <w:r w:rsidRPr="00953BC9">
              <w:t>157</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00A5CFD" w14:textId="77777777" w:rsidR="00953BC9" w:rsidRPr="00953BC9" w:rsidRDefault="00953BC9" w:rsidP="00953BC9">
            <w:pPr>
              <w:pStyle w:val="CDITable-RowCentre"/>
            </w:pPr>
            <w:r w:rsidRPr="00953BC9">
              <w:t>562,446</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89E2C88" w14:textId="77777777" w:rsidR="00953BC9" w:rsidRPr="00953BC9" w:rsidRDefault="00953BC9" w:rsidP="00953BC9">
            <w:pPr>
              <w:pStyle w:val="CDITable-RowCentre"/>
            </w:pPr>
            <w:r w:rsidRPr="00953BC9">
              <w:t>27.9 (23.7–32.6)</w:t>
            </w:r>
          </w:p>
        </w:tc>
      </w:tr>
      <w:tr w:rsidR="00953BC9" w:rsidRPr="00953BC9" w14:paraId="34044C77" w14:textId="77777777" w:rsidTr="006873F1">
        <w:trPr>
          <w:trHeight w:val="60"/>
        </w:trPr>
        <w:tc>
          <w:tcPr>
            <w:tcW w:w="1247" w:type="dxa"/>
            <w:vMerge/>
            <w:tcMar>
              <w:top w:w="108" w:type="dxa"/>
              <w:bottom w:w="108" w:type="dxa"/>
            </w:tcMar>
          </w:tcPr>
          <w:p w14:paraId="4DB50153" w14:textId="77777777" w:rsidR="00953BC9" w:rsidRPr="00953BC9" w:rsidRDefault="00953BC9"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400B1A2" w14:textId="77777777" w:rsidR="00953BC9" w:rsidRPr="00953BC9" w:rsidRDefault="00953BC9" w:rsidP="00953BC9">
            <w:pPr>
              <w:pStyle w:val="CDITable-RowLeft"/>
            </w:pPr>
            <w:r w:rsidRPr="00953BC9">
              <w:t>Influenza (seasonal—standard formulation)</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9AB5D95" w14:textId="77777777" w:rsidR="00953BC9" w:rsidRPr="00953BC9" w:rsidRDefault="00953BC9" w:rsidP="00953BC9">
            <w:pPr>
              <w:pStyle w:val="CDITable-RowCentre"/>
            </w:pPr>
            <w:r w:rsidRPr="00953BC9">
              <w:t>91</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E31ECC7" w14:textId="77777777" w:rsidR="00953BC9" w:rsidRPr="00953BC9" w:rsidRDefault="00953BC9" w:rsidP="00953BC9">
            <w:pPr>
              <w:pStyle w:val="CDITable-RowCentre"/>
            </w:pPr>
            <w:r w:rsidRPr="00953BC9">
              <w:t>838,104</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C556B5B" w14:textId="77777777" w:rsidR="00953BC9" w:rsidRPr="00953BC9" w:rsidRDefault="00953BC9" w:rsidP="00953BC9">
            <w:pPr>
              <w:pStyle w:val="CDITable-RowCentre"/>
            </w:pPr>
            <w:r w:rsidRPr="00953BC9">
              <w:t>10.9 (8.7–13.3)</w:t>
            </w:r>
          </w:p>
        </w:tc>
      </w:tr>
      <w:tr w:rsidR="00953BC9" w:rsidRPr="00953BC9" w14:paraId="46B641E4" w14:textId="77777777" w:rsidTr="006873F1">
        <w:trPr>
          <w:trHeight w:val="60"/>
        </w:trPr>
        <w:tc>
          <w:tcPr>
            <w:tcW w:w="1247" w:type="dxa"/>
            <w:vMerge/>
            <w:tcMar>
              <w:top w:w="108" w:type="dxa"/>
              <w:bottom w:w="108" w:type="dxa"/>
            </w:tcMar>
          </w:tcPr>
          <w:p w14:paraId="23F632DF" w14:textId="77777777" w:rsidR="00953BC9" w:rsidRPr="00953BC9" w:rsidRDefault="00953BC9"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70A4CFC" w14:textId="77777777" w:rsidR="00953BC9" w:rsidRPr="00953BC9" w:rsidRDefault="00953BC9" w:rsidP="00953BC9">
            <w:pPr>
              <w:pStyle w:val="CDITable-RowLeft"/>
            </w:pPr>
            <w:r w:rsidRPr="00953BC9">
              <w:t>dTpa</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1382D53" w14:textId="77777777" w:rsidR="00953BC9" w:rsidRPr="00953BC9" w:rsidRDefault="00953BC9" w:rsidP="00953BC9">
            <w:pPr>
              <w:pStyle w:val="CDITable-RowCentre"/>
            </w:pPr>
            <w:r w:rsidRPr="00953BC9">
              <w:t>81</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32F9176" w14:textId="77777777" w:rsidR="00953BC9" w:rsidRPr="00953BC9" w:rsidRDefault="00953BC9" w:rsidP="00953BC9">
            <w:pPr>
              <w:pStyle w:val="CDITable-RowCentre"/>
            </w:pPr>
            <w:r w:rsidRPr="00953BC9">
              <w:t>285,645</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2EC1A35" w14:textId="77777777" w:rsidR="00953BC9" w:rsidRPr="00953BC9" w:rsidRDefault="00953BC9" w:rsidP="00953BC9">
            <w:pPr>
              <w:pStyle w:val="CDITable-RowCentre"/>
            </w:pPr>
            <w:r w:rsidRPr="00953BC9">
              <w:t>28.4 (22.5–35.2)</w:t>
            </w:r>
          </w:p>
        </w:tc>
      </w:tr>
      <w:tr w:rsidR="00953BC9" w:rsidRPr="00953BC9" w14:paraId="1A8CC5C1" w14:textId="77777777" w:rsidTr="006873F1">
        <w:trPr>
          <w:trHeight w:val="60"/>
        </w:trPr>
        <w:tc>
          <w:tcPr>
            <w:tcW w:w="1247" w:type="dxa"/>
            <w:vMerge/>
            <w:tcMar>
              <w:top w:w="108" w:type="dxa"/>
              <w:bottom w:w="108" w:type="dxa"/>
            </w:tcMar>
          </w:tcPr>
          <w:p w14:paraId="590AA21E" w14:textId="77777777" w:rsidR="00953BC9" w:rsidRPr="00953BC9" w:rsidRDefault="00953BC9"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7FA2E05" w14:textId="77777777" w:rsidR="00953BC9" w:rsidRPr="00953BC9" w:rsidRDefault="00953BC9" w:rsidP="00953BC9">
            <w:pPr>
              <w:pStyle w:val="CDITable-RowLeft"/>
            </w:pPr>
            <w:r w:rsidRPr="00953BC9">
              <w:t>MenACWY</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3C4367B" w14:textId="77777777" w:rsidR="00953BC9" w:rsidRPr="00953BC9" w:rsidRDefault="00953BC9" w:rsidP="00953BC9">
            <w:pPr>
              <w:pStyle w:val="CDITable-RowCentre"/>
            </w:pPr>
            <w:r w:rsidRPr="00953BC9">
              <w:t>54</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96ADD28" w14:textId="77777777" w:rsidR="00953BC9" w:rsidRPr="00953BC9" w:rsidRDefault="00953BC9" w:rsidP="00953BC9">
            <w:pPr>
              <w:pStyle w:val="CDITable-RowCentre"/>
            </w:pPr>
            <w:r w:rsidRPr="00953BC9">
              <w:t>244,114</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3B32484" w14:textId="77777777" w:rsidR="00953BC9" w:rsidRPr="00953BC9" w:rsidRDefault="00953BC9" w:rsidP="00953BC9">
            <w:pPr>
              <w:pStyle w:val="CDITable-RowCentre"/>
            </w:pPr>
            <w:r w:rsidRPr="00953BC9">
              <w:t>22.1 (16.6–28.9)</w:t>
            </w:r>
          </w:p>
        </w:tc>
      </w:tr>
      <w:tr w:rsidR="00953BC9" w:rsidRPr="00953BC9" w14:paraId="360099F8" w14:textId="77777777" w:rsidTr="006873F1">
        <w:trPr>
          <w:trHeight w:val="60"/>
        </w:trPr>
        <w:tc>
          <w:tcPr>
            <w:tcW w:w="1247" w:type="dxa"/>
            <w:vMerge/>
            <w:tcMar>
              <w:top w:w="108" w:type="dxa"/>
              <w:bottom w:w="108" w:type="dxa"/>
            </w:tcMar>
          </w:tcPr>
          <w:p w14:paraId="258B42E0" w14:textId="77777777" w:rsidR="00953BC9" w:rsidRPr="00953BC9" w:rsidRDefault="00953BC9"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A9142F8" w14:textId="77777777" w:rsidR="00953BC9" w:rsidRPr="00953BC9" w:rsidRDefault="00953BC9" w:rsidP="00953BC9">
            <w:pPr>
              <w:pStyle w:val="CDITable-RowLeft"/>
            </w:pPr>
            <w:r w:rsidRPr="00953BC9">
              <w:t>MenB</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1C31BC1" w14:textId="77777777" w:rsidR="00953BC9" w:rsidRPr="00953BC9" w:rsidRDefault="00953BC9" w:rsidP="00953BC9">
            <w:pPr>
              <w:pStyle w:val="CDITable-RowCentre"/>
            </w:pPr>
            <w:r w:rsidRPr="00953BC9">
              <w:t>34</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50C9807" w14:textId="77777777" w:rsidR="00953BC9" w:rsidRPr="00953BC9" w:rsidRDefault="00953BC9" w:rsidP="00953BC9">
            <w:pPr>
              <w:pStyle w:val="CDITable-RowCentre"/>
            </w:pPr>
            <w:r w:rsidRPr="00953BC9">
              <w:t>37,187</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F310103" w14:textId="77777777" w:rsidR="00953BC9" w:rsidRPr="00953BC9" w:rsidRDefault="00953BC9" w:rsidP="00953BC9">
            <w:pPr>
              <w:pStyle w:val="CDITable-RowCentre"/>
            </w:pPr>
            <w:r w:rsidRPr="00953BC9">
              <w:t>91.4 (63.3–127.7)</w:t>
            </w:r>
          </w:p>
        </w:tc>
      </w:tr>
      <w:tr w:rsidR="00953BC9" w:rsidRPr="00953BC9" w14:paraId="04571FAB" w14:textId="77777777" w:rsidTr="006873F1">
        <w:trPr>
          <w:trHeight w:val="60"/>
        </w:trPr>
        <w:tc>
          <w:tcPr>
            <w:tcW w:w="1247" w:type="dxa"/>
            <w:vMerge/>
            <w:tcMar>
              <w:top w:w="108" w:type="dxa"/>
              <w:bottom w:w="108" w:type="dxa"/>
            </w:tcMar>
          </w:tcPr>
          <w:p w14:paraId="501F9CAE" w14:textId="77777777" w:rsidR="00953BC9" w:rsidRPr="00953BC9" w:rsidRDefault="00953BC9"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7CA9407" w14:textId="77777777" w:rsidR="00953BC9" w:rsidRPr="00953BC9" w:rsidRDefault="00953BC9" w:rsidP="00953BC9">
            <w:pPr>
              <w:pStyle w:val="CDITable-RowLeft"/>
            </w:pPr>
            <w:r w:rsidRPr="00953BC9">
              <w:t>Hepatitis B</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19DC20F" w14:textId="77777777" w:rsidR="00953BC9" w:rsidRPr="00953BC9" w:rsidRDefault="00953BC9" w:rsidP="00953BC9">
            <w:pPr>
              <w:pStyle w:val="CDITable-RowCentre"/>
            </w:pPr>
            <w:r w:rsidRPr="00953BC9">
              <w:t>8</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C2A9A67" w14:textId="77777777" w:rsidR="00953BC9" w:rsidRPr="00953BC9" w:rsidRDefault="00953BC9" w:rsidP="00953BC9">
            <w:pPr>
              <w:pStyle w:val="CDITable-RowCentre"/>
            </w:pPr>
            <w:r w:rsidRPr="00953BC9">
              <w:t>14,807</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9726346" w14:textId="77777777" w:rsidR="00953BC9" w:rsidRPr="00953BC9" w:rsidRDefault="00953BC9" w:rsidP="00953BC9">
            <w:pPr>
              <w:pStyle w:val="CDITable-RowCentre"/>
            </w:pPr>
            <w:r w:rsidRPr="00953BC9">
              <w:t>54.0 (23.3–106.4)</w:t>
            </w:r>
          </w:p>
        </w:tc>
      </w:tr>
      <w:tr w:rsidR="00953BC9" w:rsidRPr="00953BC9" w14:paraId="24D25536" w14:textId="77777777" w:rsidTr="006873F1">
        <w:trPr>
          <w:trHeight w:val="60"/>
        </w:trPr>
        <w:tc>
          <w:tcPr>
            <w:tcW w:w="1247" w:type="dxa"/>
            <w:vMerge/>
            <w:tcMar>
              <w:top w:w="108" w:type="dxa"/>
              <w:bottom w:w="108" w:type="dxa"/>
            </w:tcMar>
          </w:tcPr>
          <w:p w14:paraId="1D668F2E" w14:textId="77777777" w:rsidR="00953BC9" w:rsidRPr="00953BC9" w:rsidRDefault="00953BC9"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28FAA10" w14:textId="77777777" w:rsidR="00953BC9" w:rsidRPr="00953BC9" w:rsidRDefault="00953BC9" w:rsidP="00953BC9">
            <w:pPr>
              <w:pStyle w:val="CDITable-RowLeft"/>
            </w:pPr>
            <w:r w:rsidRPr="00953BC9">
              <w:t>23vPPV</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C7BCCD3" w14:textId="77777777" w:rsidR="00953BC9" w:rsidRPr="00953BC9" w:rsidRDefault="00953BC9" w:rsidP="00953BC9">
            <w:pPr>
              <w:pStyle w:val="CDITable-RowCentre"/>
            </w:pPr>
            <w:r w:rsidRPr="00953BC9">
              <w:t>7</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46DB085" w14:textId="77777777" w:rsidR="00953BC9" w:rsidRPr="00953BC9" w:rsidRDefault="00953BC9" w:rsidP="00953BC9">
            <w:pPr>
              <w:pStyle w:val="CDITable-RowCentre"/>
            </w:pPr>
            <w:r w:rsidRPr="00953BC9">
              <w:t>1,672</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F199E14" w14:textId="77777777" w:rsidR="00953BC9" w:rsidRPr="00953BC9" w:rsidRDefault="00953BC9" w:rsidP="00953BC9">
            <w:pPr>
              <w:pStyle w:val="CDITable-RowCentre"/>
            </w:pPr>
            <w:r w:rsidRPr="00953BC9">
              <w:t>418.7 (168.5–860.7)</w:t>
            </w:r>
          </w:p>
        </w:tc>
      </w:tr>
      <w:tr w:rsidR="00953BC9" w:rsidRPr="00953BC9" w14:paraId="39918F73" w14:textId="77777777" w:rsidTr="006873F1">
        <w:trPr>
          <w:trHeight w:val="60"/>
        </w:trPr>
        <w:tc>
          <w:tcPr>
            <w:tcW w:w="1247" w:type="dxa"/>
            <w:vMerge/>
            <w:tcMar>
              <w:top w:w="108" w:type="dxa"/>
              <w:bottom w:w="108" w:type="dxa"/>
            </w:tcMar>
          </w:tcPr>
          <w:p w14:paraId="341BBA55" w14:textId="77777777" w:rsidR="00953BC9" w:rsidRPr="00953BC9" w:rsidRDefault="00953BC9"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6C80DD2" w14:textId="77777777" w:rsidR="00953BC9" w:rsidRPr="00953BC9" w:rsidRDefault="00953BC9" w:rsidP="00953BC9">
            <w:pPr>
              <w:pStyle w:val="CDITable-RowLeft"/>
            </w:pPr>
            <w:r w:rsidRPr="00953BC9">
              <w:t>Hepatitis A</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3C6FAF1" w14:textId="77777777" w:rsidR="00953BC9" w:rsidRPr="00953BC9" w:rsidRDefault="00953BC9" w:rsidP="00953BC9">
            <w:pPr>
              <w:pStyle w:val="CDITable-RowCentre"/>
            </w:pPr>
            <w:r w:rsidRPr="00953BC9">
              <w:t>7</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395DE98" w14:textId="77777777" w:rsidR="00953BC9" w:rsidRPr="00953BC9" w:rsidRDefault="00953BC9" w:rsidP="00953BC9">
            <w:pPr>
              <w:pStyle w:val="CDITable-RowCentre"/>
            </w:pPr>
            <w:r w:rsidRPr="00953BC9">
              <w:t>17,158</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7894E68" w14:textId="77777777" w:rsidR="00953BC9" w:rsidRPr="00953BC9" w:rsidRDefault="00953BC9" w:rsidP="00953BC9">
            <w:pPr>
              <w:pStyle w:val="CDITable-RowCentre"/>
            </w:pPr>
            <w:r w:rsidRPr="00953BC9">
              <w:t>40.8 (16.4–84.0)</w:t>
            </w:r>
          </w:p>
        </w:tc>
      </w:tr>
      <w:tr w:rsidR="00953BC9" w:rsidRPr="00953BC9" w14:paraId="7FA0D52C" w14:textId="77777777" w:rsidTr="006873F1">
        <w:trPr>
          <w:trHeight w:val="60"/>
        </w:trPr>
        <w:tc>
          <w:tcPr>
            <w:tcW w:w="1247" w:type="dxa"/>
            <w:vMerge/>
            <w:tcMar>
              <w:top w:w="108" w:type="dxa"/>
              <w:bottom w:w="108" w:type="dxa"/>
            </w:tcMar>
          </w:tcPr>
          <w:p w14:paraId="2038F3F0" w14:textId="77777777" w:rsidR="00953BC9" w:rsidRPr="00953BC9" w:rsidRDefault="00953BC9"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3F30AC4" w14:textId="77777777" w:rsidR="00953BC9" w:rsidRPr="00953BC9" w:rsidRDefault="00953BC9" w:rsidP="00953BC9">
            <w:pPr>
              <w:pStyle w:val="CDITable-RowLeft"/>
            </w:pPr>
            <w:r w:rsidRPr="00953BC9">
              <w:t>Influenza (seasonal—high-dose or adjuvanted)</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DF0CD1B" w14:textId="77777777" w:rsidR="00953BC9" w:rsidRPr="00953BC9" w:rsidRDefault="00953BC9" w:rsidP="00953BC9">
            <w:pPr>
              <w:pStyle w:val="CDITable-RowCentre"/>
            </w:pPr>
            <w:r w:rsidRPr="00953BC9">
              <w:t>4</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9F95EB8" w14:textId="77777777" w:rsidR="00953BC9" w:rsidRPr="00953BC9" w:rsidRDefault="00953BC9" w:rsidP="00953BC9">
            <w:pPr>
              <w:pStyle w:val="CDITable-RowCentre"/>
            </w:pPr>
            <w:r w:rsidRPr="00953BC9">
              <w:t>2,836</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EB3B7D8" w14:textId="77777777" w:rsidR="00953BC9" w:rsidRPr="00953BC9" w:rsidRDefault="00953BC9" w:rsidP="00953BC9">
            <w:pPr>
              <w:pStyle w:val="CDITable-RowCentre"/>
            </w:pPr>
            <w:r w:rsidRPr="00953BC9">
              <w:t>141.0 (38.4–360.7)</w:t>
            </w:r>
          </w:p>
        </w:tc>
      </w:tr>
      <w:tr w:rsidR="00953BC9" w:rsidRPr="00953BC9" w14:paraId="6FEA1B0C" w14:textId="77777777" w:rsidTr="006873F1">
        <w:trPr>
          <w:trHeight w:val="60"/>
        </w:trPr>
        <w:tc>
          <w:tcPr>
            <w:tcW w:w="1247" w:type="dxa"/>
            <w:vMerge/>
            <w:tcMar>
              <w:top w:w="108" w:type="dxa"/>
              <w:bottom w:w="108" w:type="dxa"/>
            </w:tcMar>
          </w:tcPr>
          <w:p w14:paraId="581EF4FD" w14:textId="77777777" w:rsidR="00953BC9" w:rsidRPr="00953BC9" w:rsidRDefault="00953BC9"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6A97F6D" w14:textId="77777777" w:rsidR="00953BC9" w:rsidRPr="00953BC9" w:rsidRDefault="00953BC9" w:rsidP="00953BC9">
            <w:pPr>
              <w:pStyle w:val="CDITable-RowLeft"/>
            </w:pPr>
            <w:r w:rsidRPr="00953BC9">
              <w:t>Typhoid-hepatitis A</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F8A598F" w14:textId="77777777" w:rsidR="00953BC9" w:rsidRPr="00953BC9" w:rsidRDefault="00953BC9" w:rsidP="00953BC9">
            <w:pPr>
              <w:pStyle w:val="CDITable-RowCentre"/>
            </w:pPr>
            <w:r w:rsidRPr="00953BC9">
              <w:t>4</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99A7813" w14:textId="77777777" w:rsidR="00953BC9" w:rsidRPr="00953BC9" w:rsidRDefault="00953BC9" w:rsidP="00953BC9">
            <w:pPr>
              <w:pStyle w:val="CDITable-RowCentre"/>
            </w:pPr>
            <w:r w:rsidRPr="00953BC9">
              <w:t>4,002</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5FD426C" w14:textId="77777777" w:rsidR="00953BC9" w:rsidRPr="00953BC9" w:rsidRDefault="00953BC9" w:rsidP="00953BC9">
            <w:pPr>
              <w:pStyle w:val="CDITable-RowCentre"/>
            </w:pPr>
            <w:r w:rsidRPr="00953BC9">
              <w:t>100.0 (27.2–255.7)</w:t>
            </w:r>
          </w:p>
        </w:tc>
      </w:tr>
      <w:tr w:rsidR="00953BC9" w:rsidRPr="00953BC9" w14:paraId="0CF50B98" w14:textId="77777777" w:rsidTr="006873F1">
        <w:trPr>
          <w:trHeight w:val="60"/>
        </w:trPr>
        <w:tc>
          <w:tcPr>
            <w:tcW w:w="1247" w:type="dxa"/>
            <w:vMerge/>
            <w:tcMar>
              <w:top w:w="108" w:type="dxa"/>
              <w:bottom w:w="108" w:type="dxa"/>
            </w:tcMar>
          </w:tcPr>
          <w:p w14:paraId="031C9832" w14:textId="77777777" w:rsidR="00953BC9" w:rsidRPr="00953BC9" w:rsidRDefault="00953BC9"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B075AF3" w14:textId="77777777" w:rsidR="00953BC9" w:rsidRPr="00953BC9" w:rsidRDefault="00953BC9" w:rsidP="00953BC9">
            <w:pPr>
              <w:pStyle w:val="CDITable-RowLeft"/>
            </w:pPr>
            <w:r w:rsidRPr="00953BC9">
              <w:t>MMRV</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4392399" w14:textId="77777777" w:rsidR="00953BC9" w:rsidRPr="00953BC9" w:rsidRDefault="00953BC9" w:rsidP="00953BC9">
            <w:pPr>
              <w:pStyle w:val="CDITable-RowCentre"/>
            </w:pPr>
            <w:r w:rsidRPr="00953BC9">
              <w:t>3</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F179725" w14:textId="77777777" w:rsidR="00953BC9" w:rsidRPr="00953BC9" w:rsidRDefault="00953BC9" w:rsidP="00953BC9">
            <w:pPr>
              <w:pStyle w:val="CDITable-RowCentre"/>
            </w:pPr>
            <w:r w:rsidRPr="00953BC9">
              <w:t>4,276</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70E5C3B" w14:textId="77777777" w:rsidR="00953BC9" w:rsidRPr="00953BC9" w:rsidRDefault="00953BC9" w:rsidP="00953BC9">
            <w:pPr>
              <w:pStyle w:val="CDITable-RowCentre"/>
            </w:pPr>
            <w:r w:rsidRPr="00953BC9">
              <w:t>70.2 (14.5–204.9)</w:t>
            </w:r>
          </w:p>
        </w:tc>
      </w:tr>
      <w:tr w:rsidR="00953BC9" w:rsidRPr="00953BC9" w14:paraId="1DCB7F81" w14:textId="77777777" w:rsidTr="006873F1">
        <w:trPr>
          <w:trHeight w:val="60"/>
        </w:trPr>
        <w:tc>
          <w:tcPr>
            <w:tcW w:w="1247" w:type="dxa"/>
            <w:vMerge/>
            <w:tcBorders>
              <w:bottom w:val="single" w:sz="6" w:space="0" w:color="1E4496" w:themeColor="text2"/>
            </w:tcBorders>
            <w:tcMar>
              <w:top w:w="108" w:type="dxa"/>
              <w:bottom w:w="108" w:type="dxa"/>
            </w:tcMar>
          </w:tcPr>
          <w:p w14:paraId="2FCA76A0" w14:textId="77777777" w:rsidR="00953BC9" w:rsidRPr="00953BC9" w:rsidRDefault="00953BC9"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53598A4" w14:textId="77777777" w:rsidR="00953BC9" w:rsidRPr="00953BC9" w:rsidRDefault="00953BC9" w:rsidP="00953BC9">
            <w:pPr>
              <w:pStyle w:val="CDITable-RowLeft"/>
            </w:pPr>
            <w:r w:rsidRPr="00953BC9">
              <w:t>Varicella</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42D8E1D" w14:textId="77777777" w:rsidR="00953BC9" w:rsidRPr="00953BC9" w:rsidRDefault="00953BC9" w:rsidP="00953BC9">
            <w:pPr>
              <w:pStyle w:val="CDITable-RowCentre"/>
            </w:pPr>
            <w:r w:rsidRPr="00953BC9">
              <w:t>3</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2B1D3C4" w14:textId="77777777" w:rsidR="00953BC9" w:rsidRPr="00953BC9" w:rsidRDefault="00953BC9" w:rsidP="00953BC9">
            <w:pPr>
              <w:pStyle w:val="CDITable-RowCentre"/>
            </w:pPr>
            <w:r w:rsidRPr="00953BC9">
              <w:t>9,011</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B15C8F7" w14:textId="77777777" w:rsidR="00953BC9" w:rsidRPr="00953BC9" w:rsidRDefault="00953BC9" w:rsidP="00953BC9">
            <w:pPr>
              <w:pStyle w:val="CDITable-RowCentre"/>
            </w:pPr>
            <w:r w:rsidRPr="00953BC9">
              <w:t>33.3 (6.9–97.3)</w:t>
            </w:r>
          </w:p>
        </w:tc>
      </w:tr>
      <w:tr w:rsidR="00AC04A4" w:rsidRPr="00953BC9" w14:paraId="3C82E6FE" w14:textId="77777777" w:rsidTr="006873F1">
        <w:trPr>
          <w:trHeight w:val="60"/>
        </w:trPr>
        <w:tc>
          <w:tcPr>
            <w:tcW w:w="1247" w:type="dxa"/>
            <w:vMerge w:val="restart"/>
            <w:tcBorders>
              <w:top w:val="single" w:sz="6" w:space="0" w:color="1E4496" w:themeColor="text2"/>
            </w:tcBorders>
            <w:tcMar>
              <w:top w:w="108" w:type="dxa"/>
              <w:left w:w="113" w:type="dxa"/>
              <w:bottom w:w="108" w:type="dxa"/>
              <w:right w:w="113" w:type="dxa"/>
            </w:tcMar>
            <w:vAlign w:val="center"/>
          </w:tcPr>
          <w:p w14:paraId="22E72E30" w14:textId="7398C7E7" w:rsidR="00AC04A4" w:rsidRPr="00953BC9" w:rsidRDefault="00AC04A4" w:rsidP="00953BC9">
            <w:pPr>
              <w:pStyle w:val="CDITable-RowLeft"/>
            </w:pPr>
            <w:r w:rsidRPr="00953BC9">
              <w:t>18–64 years</w:t>
            </w:r>
          </w:p>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9E3B55E" w14:textId="77777777" w:rsidR="00AC04A4" w:rsidRPr="00953BC9" w:rsidRDefault="00AC04A4" w:rsidP="00953BC9">
            <w:pPr>
              <w:pStyle w:val="CDITable-RowLeft"/>
            </w:pPr>
            <w:r w:rsidRPr="00953BC9">
              <w:t>MMR</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FB18707" w14:textId="77777777" w:rsidR="00AC04A4" w:rsidRPr="00953BC9" w:rsidRDefault="00AC04A4" w:rsidP="00953BC9">
            <w:pPr>
              <w:pStyle w:val="CDITable-RowCentre"/>
            </w:pPr>
            <w:r w:rsidRPr="00953BC9">
              <w:t>2</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895F401" w14:textId="77777777" w:rsidR="00AC04A4" w:rsidRPr="00953BC9" w:rsidRDefault="00AC04A4" w:rsidP="00953BC9">
            <w:pPr>
              <w:pStyle w:val="CDITable-RowCentre"/>
            </w:pPr>
            <w:r w:rsidRPr="00953BC9">
              <w:t>8,882</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BBEA9BF" w14:textId="77777777" w:rsidR="00AC04A4" w:rsidRPr="00953BC9" w:rsidRDefault="00AC04A4" w:rsidP="00953BC9">
            <w:pPr>
              <w:pStyle w:val="CDITable-RowCentre"/>
            </w:pPr>
            <w:r w:rsidRPr="00953BC9">
              <w:t>22.5 (2.7–81.3)</w:t>
            </w:r>
          </w:p>
        </w:tc>
      </w:tr>
      <w:tr w:rsidR="00AC04A4" w:rsidRPr="00953BC9" w14:paraId="55C7ADFB" w14:textId="77777777" w:rsidTr="006873F1">
        <w:trPr>
          <w:trHeight w:val="60"/>
        </w:trPr>
        <w:tc>
          <w:tcPr>
            <w:tcW w:w="1247" w:type="dxa"/>
            <w:vMerge/>
            <w:tcMar>
              <w:top w:w="108" w:type="dxa"/>
              <w:bottom w:w="108" w:type="dxa"/>
            </w:tcMar>
          </w:tcPr>
          <w:p w14:paraId="04E4799D" w14:textId="7040736B" w:rsidR="00AC04A4" w:rsidRPr="00953BC9" w:rsidRDefault="00AC04A4" w:rsidP="00953BC9">
            <w:pPr>
              <w:pStyle w:val="CDITable-RowLeft"/>
            </w:pPr>
          </w:p>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C1A3F9F" w14:textId="77777777" w:rsidR="00AC04A4" w:rsidRPr="00953BC9" w:rsidRDefault="00AC04A4" w:rsidP="00953BC9">
            <w:pPr>
              <w:pStyle w:val="CDITable-RowLeft"/>
            </w:pPr>
            <w:r w:rsidRPr="00953BC9">
              <w:t>Typhoid</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6078A75" w14:textId="77777777" w:rsidR="00AC04A4" w:rsidRPr="00953BC9" w:rsidRDefault="00AC04A4" w:rsidP="00953BC9">
            <w:pPr>
              <w:pStyle w:val="CDITable-RowCentre"/>
            </w:pPr>
            <w:r w:rsidRPr="00953BC9">
              <w:t>2</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A57803A" w14:textId="77777777" w:rsidR="00AC04A4" w:rsidRPr="00953BC9" w:rsidRDefault="00AC04A4" w:rsidP="00953BC9">
            <w:pPr>
              <w:pStyle w:val="CDITable-RowCentre"/>
            </w:pPr>
            <w:r w:rsidRPr="00953BC9">
              <w:t>21,625</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9DEDCC1" w14:textId="77777777" w:rsidR="00AC04A4" w:rsidRPr="00953BC9" w:rsidRDefault="00AC04A4" w:rsidP="00953BC9">
            <w:pPr>
              <w:pStyle w:val="CDITable-RowCentre"/>
            </w:pPr>
            <w:r w:rsidRPr="00953BC9">
              <w:t>9.2 (1.1–33.4)</w:t>
            </w:r>
          </w:p>
        </w:tc>
      </w:tr>
      <w:tr w:rsidR="00AC04A4" w:rsidRPr="00953BC9" w14:paraId="3567A0A1" w14:textId="77777777" w:rsidTr="006873F1">
        <w:trPr>
          <w:trHeight w:val="60"/>
        </w:trPr>
        <w:tc>
          <w:tcPr>
            <w:tcW w:w="1247" w:type="dxa"/>
            <w:vMerge/>
            <w:tcMar>
              <w:top w:w="108" w:type="dxa"/>
              <w:bottom w:w="108" w:type="dxa"/>
            </w:tcMar>
          </w:tcPr>
          <w:p w14:paraId="686A562A" w14:textId="61230E76" w:rsidR="00AC04A4" w:rsidRPr="00953BC9" w:rsidRDefault="00AC04A4" w:rsidP="00953BC9">
            <w:pPr>
              <w:pStyle w:val="CDITable-RowLeft"/>
            </w:pPr>
          </w:p>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2787D3F" w14:textId="77777777" w:rsidR="00AC04A4" w:rsidRPr="00953BC9" w:rsidRDefault="00AC04A4" w:rsidP="00953BC9">
            <w:pPr>
              <w:pStyle w:val="CDITable-RowLeft"/>
            </w:pPr>
            <w:r w:rsidRPr="00953BC9">
              <w:t>13vPCV</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369BA9E" w14:textId="77777777" w:rsidR="00AC04A4" w:rsidRPr="00953BC9" w:rsidRDefault="00AC04A4" w:rsidP="00953BC9">
            <w:pPr>
              <w:pStyle w:val="CDITable-RowCentre"/>
            </w:pPr>
            <w:r w:rsidRPr="00953BC9">
              <w:t>1</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A292C58" w14:textId="77777777" w:rsidR="00AC04A4" w:rsidRPr="00953BC9" w:rsidRDefault="00AC04A4" w:rsidP="00953BC9">
            <w:pPr>
              <w:pStyle w:val="CDITable-RowCentre"/>
            </w:pPr>
            <w:r w:rsidRPr="00953BC9">
              <w:t>1,511</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8970A01" w14:textId="77777777" w:rsidR="00AC04A4" w:rsidRPr="00953BC9" w:rsidRDefault="00AC04A4" w:rsidP="00953BC9">
            <w:pPr>
              <w:pStyle w:val="CDITable-RowCentre"/>
            </w:pPr>
            <w:r w:rsidRPr="00953BC9">
              <w:t>66.2 (1.7–368.2)</w:t>
            </w:r>
          </w:p>
        </w:tc>
      </w:tr>
      <w:tr w:rsidR="00AC04A4" w:rsidRPr="00953BC9" w14:paraId="330C5C15" w14:textId="77777777" w:rsidTr="006873F1">
        <w:trPr>
          <w:trHeight w:val="60"/>
        </w:trPr>
        <w:tc>
          <w:tcPr>
            <w:tcW w:w="1247" w:type="dxa"/>
            <w:vMerge/>
            <w:tcMar>
              <w:top w:w="108" w:type="dxa"/>
              <w:bottom w:w="108" w:type="dxa"/>
            </w:tcMar>
          </w:tcPr>
          <w:p w14:paraId="638A1947" w14:textId="65198BCE" w:rsidR="00AC04A4" w:rsidRPr="00953BC9" w:rsidRDefault="00AC04A4" w:rsidP="00953BC9">
            <w:pPr>
              <w:pStyle w:val="CDITable-RowLeft"/>
            </w:pPr>
          </w:p>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3F89C00" w14:textId="77777777" w:rsidR="00AC04A4" w:rsidRPr="00953BC9" w:rsidRDefault="00AC04A4" w:rsidP="00953BC9">
            <w:pPr>
              <w:pStyle w:val="CDITable-RowLeft"/>
            </w:pPr>
            <w:r w:rsidRPr="00953BC9">
              <w:t>Japanese encephalitis (live)</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385725C" w14:textId="77777777" w:rsidR="00AC04A4" w:rsidRPr="00953BC9" w:rsidRDefault="00AC04A4" w:rsidP="00953BC9">
            <w:pPr>
              <w:pStyle w:val="CDITable-RowCentre"/>
            </w:pPr>
            <w:r w:rsidRPr="00953BC9">
              <w:t>1</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180FC67" w14:textId="77777777" w:rsidR="00AC04A4" w:rsidRPr="00953BC9" w:rsidRDefault="00AC04A4" w:rsidP="00953BC9">
            <w:pPr>
              <w:pStyle w:val="CDITable-RowCentre"/>
            </w:pPr>
            <w:r w:rsidRPr="00953BC9">
              <w:t>5,190</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C5FD21C" w14:textId="77777777" w:rsidR="00AC04A4" w:rsidRPr="00953BC9" w:rsidRDefault="00AC04A4" w:rsidP="00953BC9">
            <w:pPr>
              <w:pStyle w:val="CDITable-RowCentre"/>
            </w:pPr>
            <w:r w:rsidRPr="00953BC9">
              <w:t>19.3 (0.5–107.3)</w:t>
            </w:r>
          </w:p>
        </w:tc>
      </w:tr>
      <w:tr w:rsidR="00AC04A4" w:rsidRPr="00953BC9" w14:paraId="39A24B75" w14:textId="77777777" w:rsidTr="006873F1">
        <w:trPr>
          <w:trHeight w:val="60"/>
        </w:trPr>
        <w:tc>
          <w:tcPr>
            <w:tcW w:w="1247" w:type="dxa"/>
            <w:vMerge/>
            <w:tcMar>
              <w:top w:w="108" w:type="dxa"/>
              <w:bottom w:w="108" w:type="dxa"/>
            </w:tcMar>
          </w:tcPr>
          <w:p w14:paraId="7C355848" w14:textId="0C1DF09A" w:rsidR="00AC04A4" w:rsidRPr="00953BC9" w:rsidRDefault="00AC04A4" w:rsidP="00953BC9">
            <w:pPr>
              <w:pStyle w:val="CDITable-RowLeft"/>
            </w:pPr>
          </w:p>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588CD60" w14:textId="77777777" w:rsidR="00AC04A4" w:rsidRPr="00953BC9" w:rsidRDefault="00AC04A4" w:rsidP="00953BC9">
            <w:pPr>
              <w:pStyle w:val="CDITable-RowLeft"/>
            </w:pPr>
            <w:r w:rsidRPr="00953BC9">
              <w:t>DT</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C3BA23C" w14:textId="77777777" w:rsidR="00AC04A4" w:rsidRPr="00953BC9" w:rsidRDefault="00AC04A4" w:rsidP="00953BC9">
            <w:pPr>
              <w:pStyle w:val="CDITable-RowCentre"/>
            </w:pPr>
            <w:r w:rsidRPr="00953BC9">
              <w:t>1</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6CBA0C6" w14:textId="77777777" w:rsidR="00AC04A4" w:rsidRPr="00953BC9" w:rsidRDefault="00AC04A4" w:rsidP="00953BC9">
            <w:pPr>
              <w:pStyle w:val="CDITable-RowCentre"/>
            </w:pPr>
            <w:r w:rsidRPr="00953BC9">
              <w:t>6,365</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CE3C8FD" w14:textId="77777777" w:rsidR="00AC04A4" w:rsidRPr="00953BC9" w:rsidRDefault="00AC04A4" w:rsidP="00953BC9">
            <w:pPr>
              <w:pStyle w:val="CDITable-RowCentre"/>
            </w:pPr>
            <w:r w:rsidRPr="00953BC9">
              <w:t>15.7 (0.4–87.5)</w:t>
            </w:r>
          </w:p>
        </w:tc>
      </w:tr>
      <w:tr w:rsidR="00AC04A4" w:rsidRPr="00953BC9" w14:paraId="75527550" w14:textId="77777777" w:rsidTr="006873F1">
        <w:trPr>
          <w:trHeight w:val="60"/>
        </w:trPr>
        <w:tc>
          <w:tcPr>
            <w:tcW w:w="1247" w:type="dxa"/>
            <w:vMerge/>
            <w:tcMar>
              <w:top w:w="108" w:type="dxa"/>
              <w:bottom w:w="108" w:type="dxa"/>
            </w:tcMar>
          </w:tcPr>
          <w:p w14:paraId="22358E2A" w14:textId="53E1D3E6" w:rsidR="00AC04A4" w:rsidRPr="00953BC9" w:rsidRDefault="00AC04A4" w:rsidP="00953BC9">
            <w:pPr>
              <w:pStyle w:val="CDITable-RowLeft"/>
            </w:pPr>
          </w:p>
        </w:tc>
        <w:tc>
          <w:tcPr>
            <w:tcW w:w="3629" w:type="dxa"/>
            <w:tcBorders>
              <w:top w:val="single" w:sz="6" w:space="0" w:color="1E4496" w:themeColor="text2"/>
              <w:bottom w:val="single" w:sz="6" w:space="0" w:color="1E4496" w:themeColor="text2"/>
            </w:tcBorders>
            <w:shd w:val="clear" w:color="auto" w:fill="DCF4FC" w:themeFill="background2" w:themeFillTint="33"/>
            <w:tcMar>
              <w:top w:w="108" w:type="dxa"/>
              <w:left w:w="113" w:type="dxa"/>
              <w:bottom w:w="108" w:type="dxa"/>
              <w:right w:w="113" w:type="dxa"/>
            </w:tcMar>
            <w:vAlign w:val="center"/>
          </w:tcPr>
          <w:p w14:paraId="7B9B9FBF" w14:textId="77777777" w:rsidR="00AC04A4" w:rsidRPr="00953BC9" w:rsidRDefault="00AC04A4" w:rsidP="006873F1">
            <w:pPr>
              <w:pStyle w:val="CDITable-TotalRowLeft"/>
            </w:pPr>
            <w:r w:rsidRPr="00953BC9">
              <w:t>All non-COVID-19 vaccines</w:t>
            </w:r>
          </w:p>
        </w:tc>
        <w:tc>
          <w:tcPr>
            <w:tcW w:w="1247" w:type="dxa"/>
            <w:tcBorders>
              <w:top w:val="single" w:sz="6" w:space="0" w:color="1E4496" w:themeColor="text2"/>
              <w:bottom w:val="single" w:sz="6" w:space="0" w:color="1E4496" w:themeColor="text2"/>
            </w:tcBorders>
            <w:shd w:val="clear" w:color="auto" w:fill="DCF4FC" w:themeFill="background2" w:themeFillTint="33"/>
            <w:tcMar>
              <w:top w:w="108" w:type="dxa"/>
              <w:left w:w="113" w:type="dxa"/>
              <w:bottom w:w="108" w:type="dxa"/>
              <w:right w:w="113" w:type="dxa"/>
            </w:tcMar>
            <w:vAlign w:val="center"/>
          </w:tcPr>
          <w:p w14:paraId="1C4C4EF6" w14:textId="77777777" w:rsidR="00AC04A4" w:rsidRPr="00953BC9" w:rsidRDefault="00AC04A4" w:rsidP="006873F1">
            <w:pPr>
              <w:pStyle w:val="CDITable-TotalRowCentre"/>
            </w:pPr>
            <w:r w:rsidRPr="00953BC9">
              <w:t>381</w:t>
            </w:r>
          </w:p>
        </w:tc>
        <w:tc>
          <w:tcPr>
            <w:tcW w:w="1417" w:type="dxa"/>
            <w:tcBorders>
              <w:top w:val="single" w:sz="6" w:space="0" w:color="1E4496" w:themeColor="text2"/>
              <w:bottom w:val="single" w:sz="6" w:space="0" w:color="1E4496" w:themeColor="text2"/>
            </w:tcBorders>
            <w:shd w:val="clear" w:color="auto" w:fill="DCF4FC" w:themeFill="background2" w:themeFillTint="33"/>
            <w:tcMar>
              <w:top w:w="108" w:type="dxa"/>
              <w:left w:w="113" w:type="dxa"/>
              <w:bottom w:w="108" w:type="dxa"/>
              <w:right w:w="113" w:type="dxa"/>
            </w:tcMar>
            <w:vAlign w:val="center"/>
          </w:tcPr>
          <w:p w14:paraId="367DEE7D" w14:textId="77777777" w:rsidR="00AC04A4" w:rsidRPr="00953BC9" w:rsidRDefault="00AC04A4" w:rsidP="006873F1">
            <w:pPr>
              <w:pStyle w:val="CDITable-TotalRowCentre"/>
            </w:pPr>
            <w:r w:rsidRPr="00953BC9">
              <w:t>2,071,040</w:t>
            </w:r>
          </w:p>
        </w:tc>
        <w:tc>
          <w:tcPr>
            <w:tcW w:w="2098" w:type="dxa"/>
            <w:tcBorders>
              <w:top w:val="single" w:sz="6" w:space="0" w:color="1E4496" w:themeColor="text2"/>
              <w:bottom w:val="single" w:sz="6" w:space="0" w:color="1E4496" w:themeColor="text2"/>
            </w:tcBorders>
            <w:shd w:val="clear" w:color="auto" w:fill="DCF4FC" w:themeFill="background2" w:themeFillTint="33"/>
            <w:tcMar>
              <w:top w:w="108" w:type="dxa"/>
              <w:left w:w="113" w:type="dxa"/>
              <w:bottom w:w="108" w:type="dxa"/>
              <w:right w:w="113" w:type="dxa"/>
            </w:tcMar>
            <w:vAlign w:val="center"/>
          </w:tcPr>
          <w:p w14:paraId="1832F0F4" w14:textId="77777777" w:rsidR="00AC04A4" w:rsidRPr="00953BC9" w:rsidRDefault="00AC04A4" w:rsidP="006873F1">
            <w:pPr>
              <w:pStyle w:val="CDITable-TotalRowCentre"/>
            </w:pPr>
            <w:r w:rsidRPr="00953BC9">
              <w:t>18.4 (16.6–20.3)</w:t>
            </w:r>
          </w:p>
        </w:tc>
      </w:tr>
      <w:tr w:rsidR="00AC04A4" w:rsidRPr="00953BC9" w14:paraId="0AEF2A7B" w14:textId="77777777" w:rsidTr="006873F1">
        <w:trPr>
          <w:trHeight w:val="60"/>
        </w:trPr>
        <w:tc>
          <w:tcPr>
            <w:tcW w:w="1247" w:type="dxa"/>
            <w:vMerge/>
            <w:tcMar>
              <w:top w:w="108" w:type="dxa"/>
              <w:left w:w="113" w:type="dxa"/>
              <w:bottom w:w="108" w:type="dxa"/>
              <w:right w:w="113" w:type="dxa"/>
            </w:tcMar>
            <w:vAlign w:val="center"/>
          </w:tcPr>
          <w:p w14:paraId="776B727F" w14:textId="48352705" w:rsidR="00AC04A4" w:rsidRPr="00953BC9" w:rsidRDefault="00AC04A4" w:rsidP="00953BC9">
            <w:pPr>
              <w:pStyle w:val="CDITable-RowLeft"/>
            </w:pPr>
          </w:p>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0147CD4" w14:textId="77777777" w:rsidR="00AC04A4" w:rsidRPr="00953BC9" w:rsidRDefault="00AC04A4" w:rsidP="00953BC9">
            <w:pPr>
              <w:pStyle w:val="CDITable-RowLeft"/>
            </w:pPr>
            <w:r w:rsidRPr="00953BC9">
              <w:t>Influenza (seasonal—standard formulation)</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D05B33F" w14:textId="77777777" w:rsidR="00AC04A4" w:rsidRPr="00953BC9" w:rsidRDefault="00AC04A4" w:rsidP="00953BC9">
            <w:pPr>
              <w:pStyle w:val="CDITable-RowCentre"/>
            </w:pPr>
            <w:r w:rsidRPr="00953BC9">
              <w:t>373</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EBA56D2" w14:textId="77777777" w:rsidR="00AC04A4" w:rsidRPr="00953BC9" w:rsidRDefault="00AC04A4" w:rsidP="00953BC9">
            <w:pPr>
              <w:pStyle w:val="CDITable-RowCentre"/>
            </w:pPr>
            <w:r w:rsidRPr="00953BC9">
              <w:t>5,813,915</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DA19574" w14:textId="77777777" w:rsidR="00AC04A4" w:rsidRPr="00953BC9" w:rsidRDefault="00AC04A4" w:rsidP="00953BC9">
            <w:pPr>
              <w:pStyle w:val="CDITable-RowCentre"/>
            </w:pPr>
            <w:r w:rsidRPr="00953BC9">
              <w:t>6.4 (5.8–7.1)</w:t>
            </w:r>
          </w:p>
        </w:tc>
      </w:tr>
      <w:tr w:rsidR="00AC04A4" w:rsidRPr="00953BC9" w14:paraId="7E8424A6" w14:textId="77777777" w:rsidTr="006873F1">
        <w:trPr>
          <w:trHeight w:val="60"/>
        </w:trPr>
        <w:tc>
          <w:tcPr>
            <w:tcW w:w="1247" w:type="dxa"/>
            <w:vMerge/>
            <w:tcMar>
              <w:top w:w="108" w:type="dxa"/>
              <w:bottom w:w="108" w:type="dxa"/>
            </w:tcMar>
          </w:tcPr>
          <w:p w14:paraId="143D7206" w14:textId="77777777" w:rsidR="00AC04A4" w:rsidRPr="00953BC9" w:rsidRDefault="00AC04A4"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44C12A5" w14:textId="77777777" w:rsidR="00AC04A4" w:rsidRPr="00953BC9" w:rsidRDefault="00AC04A4" w:rsidP="00953BC9">
            <w:pPr>
              <w:pStyle w:val="CDITable-RowLeft"/>
            </w:pPr>
            <w:r w:rsidRPr="00953BC9">
              <w:t>MVA-BN</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573FBD7" w14:textId="77777777" w:rsidR="00AC04A4" w:rsidRPr="00953BC9" w:rsidRDefault="00AC04A4" w:rsidP="00953BC9">
            <w:pPr>
              <w:pStyle w:val="CDITable-RowCentre"/>
            </w:pPr>
            <w:r w:rsidRPr="00953BC9">
              <w:t>266</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D912DEB" w14:textId="77777777" w:rsidR="00AC04A4" w:rsidRPr="00953BC9" w:rsidRDefault="00AC04A4" w:rsidP="00953BC9">
            <w:pPr>
              <w:pStyle w:val="CDITable-RowCentre"/>
            </w:pPr>
            <w:r w:rsidRPr="00953BC9">
              <w:t>44,606</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59B3670" w14:textId="77777777" w:rsidR="00AC04A4" w:rsidRPr="00953BC9" w:rsidRDefault="00AC04A4" w:rsidP="00953BC9">
            <w:pPr>
              <w:pStyle w:val="CDITable-RowCentre"/>
            </w:pPr>
            <w:r w:rsidRPr="00953BC9">
              <w:t>596.3 (527.0–672.2)</w:t>
            </w:r>
          </w:p>
        </w:tc>
      </w:tr>
      <w:tr w:rsidR="00AC04A4" w:rsidRPr="00953BC9" w14:paraId="48687AB5" w14:textId="77777777" w:rsidTr="006873F1">
        <w:trPr>
          <w:trHeight w:val="60"/>
        </w:trPr>
        <w:tc>
          <w:tcPr>
            <w:tcW w:w="1247" w:type="dxa"/>
            <w:vMerge/>
            <w:tcMar>
              <w:top w:w="108" w:type="dxa"/>
              <w:bottom w:w="108" w:type="dxa"/>
            </w:tcMar>
          </w:tcPr>
          <w:p w14:paraId="2E7EFCD3" w14:textId="77777777" w:rsidR="00AC04A4" w:rsidRPr="00953BC9" w:rsidRDefault="00AC04A4"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8B602B1" w14:textId="77777777" w:rsidR="00AC04A4" w:rsidRPr="00953BC9" w:rsidRDefault="00AC04A4" w:rsidP="00953BC9">
            <w:pPr>
              <w:pStyle w:val="CDITable-RowLeft"/>
            </w:pPr>
            <w:r w:rsidRPr="00953BC9">
              <w:t>dTpa</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9922A8C" w14:textId="77777777" w:rsidR="00AC04A4" w:rsidRPr="00953BC9" w:rsidRDefault="00AC04A4" w:rsidP="00953BC9">
            <w:pPr>
              <w:pStyle w:val="CDITable-RowCentre"/>
            </w:pPr>
            <w:r w:rsidRPr="00953BC9">
              <w:t>65</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7772C6D" w14:textId="77777777" w:rsidR="00AC04A4" w:rsidRPr="00953BC9" w:rsidRDefault="00AC04A4" w:rsidP="00953BC9">
            <w:pPr>
              <w:pStyle w:val="CDITable-RowCentre"/>
            </w:pPr>
            <w:r w:rsidRPr="00953BC9">
              <w:t>697,722</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1F03D33" w14:textId="77777777" w:rsidR="00AC04A4" w:rsidRPr="00953BC9" w:rsidRDefault="00AC04A4" w:rsidP="00953BC9">
            <w:pPr>
              <w:pStyle w:val="CDITable-RowCentre"/>
            </w:pPr>
            <w:r w:rsidRPr="00953BC9">
              <w:t>9.3 (7.2–11.9)</w:t>
            </w:r>
          </w:p>
        </w:tc>
      </w:tr>
      <w:tr w:rsidR="00AC04A4" w:rsidRPr="00953BC9" w14:paraId="07211E77" w14:textId="77777777" w:rsidTr="006873F1">
        <w:trPr>
          <w:trHeight w:val="60"/>
        </w:trPr>
        <w:tc>
          <w:tcPr>
            <w:tcW w:w="1247" w:type="dxa"/>
            <w:vMerge/>
            <w:tcMar>
              <w:top w:w="108" w:type="dxa"/>
              <w:bottom w:w="108" w:type="dxa"/>
            </w:tcMar>
          </w:tcPr>
          <w:p w14:paraId="6B385FE5" w14:textId="77777777" w:rsidR="00AC04A4" w:rsidRPr="00953BC9" w:rsidRDefault="00AC04A4"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CC3D4D7" w14:textId="77777777" w:rsidR="00AC04A4" w:rsidRPr="00953BC9" w:rsidRDefault="00AC04A4" w:rsidP="00953BC9">
            <w:pPr>
              <w:pStyle w:val="CDITable-RowLeft"/>
            </w:pPr>
            <w:r w:rsidRPr="00953BC9">
              <w:t>Influenza (seasonal—high-dose or adjuvanted)</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FC937AA" w14:textId="77777777" w:rsidR="00AC04A4" w:rsidRPr="00953BC9" w:rsidRDefault="00AC04A4" w:rsidP="00953BC9">
            <w:pPr>
              <w:pStyle w:val="CDITable-RowCentre"/>
            </w:pPr>
            <w:r w:rsidRPr="00953BC9">
              <w:t>40</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5693C77" w14:textId="77777777" w:rsidR="00AC04A4" w:rsidRPr="00953BC9" w:rsidRDefault="00AC04A4" w:rsidP="00953BC9">
            <w:pPr>
              <w:pStyle w:val="CDITable-RowCentre"/>
            </w:pPr>
            <w:r w:rsidRPr="00953BC9">
              <w:t>60,812</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141748D" w14:textId="77777777" w:rsidR="00AC04A4" w:rsidRPr="00953BC9" w:rsidRDefault="00AC04A4" w:rsidP="00953BC9">
            <w:pPr>
              <w:pStyle w:val="CDITable-RowCentre"/>
            </w:pPr>
            <w:r w:rsidRPr="00953BC9">
              <w:t>65.8 (47–89.6)</w:t>
            </w:r>
          </w:p>
        </w:tc>
      </w:tr>
      <w:tr w:rsidR="00AC04A4" w:rsidRPr="00953BC9" w14:paraId="51F60FB9" w14:textId="77777777" w:rsidTr="006873F1">
        <w:trPr>
          <w:trHeight w:val="60"/>
        </w:trPr>
        <w:tc>
          <w:tcPr>
            <w:tcW w:w="1247" w:type="dxa"/>
            <w:vMerge/>
            <w:tcMar>
              <w:top w:w="108" w:type="dxa"/>
              <w:bottom w:w="108" w:type="dxa"/>
            </w:tcMar>
          </w:tcPr>
          <w:p w14:paraId="1C9A7B85" w14:textId="77777777" w:rsidR="00AC04A4" w:rsidRPr="00953BC9" w:rsidRDefault="00AC04A4"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D81714F" w14:textId="77777777" w:rsidR="00AC04A4" w:rsidRPr="00953BC9" w:rsidRDefault="00AC04A4" w:rsidP="00953BC9">
            <w:pPr>
              <w:pStyle w:val="CDITable-RowLeft"/>
            </w:pPr>
            <w:r w:rsidRPr="00953BC9">
              <w:t>Zoster (RZV)</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9E4D54B" w14:textId="77777777" w:rsidR="00AC04A4" w:rsidRPr="00953BC9" w:rsidRDefault="00AC04A4" w:rsidP="00953BC9">
            <w:pPr>
              <w:pStyle w:val="CDITable-RowCentre"/>
            </w:pPr>
            <w:r w:rsidRPr="00953BC9">
              <w:t>26</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AD75FCE" w14:textId="77777777" w:rsidR="00AC04A4" w:rsidRPr="00953BC9" w:rsidRDefault="00AC04A4" w:rsidP="00953BC9">
            <w:pPr>
              <w:pStyle w:val="CDITable-RowCentre"/>
            </w:pPr>
            <w:r w:rsidRPr="00953BC9">
              <w:t>38,254</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3835F91" w14:textId="77777777" w:rsidR="00AC04A4" w:rsidRPr="00953BC9" w:rsidRDefault="00AC04A4" w:rsidP="00953BC9">
            <w:pPr>
              <w:pStyle w:val="CDITable-RowCentre"/>
            </w:pPr>
            <w:r w:rsidRPr="00953BC9">
              <w:t>68.0 (44.4–99.6)</w:t>
            </w:r>
          </w:p>
        </w:tc>
      </w:tr>
      <w:tr w:rsidR="00AC04A4" w:rsidRPr="00953BC9" w14:paraId="071F6406" w14:textId="77777777" w:rsidTr="006873F1">
        <w:trPr>
          <w:trHeight w:val="60"/>
        </w:trPr>
        <w:tc>
          <w:tcPr>
            <w:tcW w:w="1247" w:type="dxa"/>
            <w:vMerge/>
            <w:tcMar>
              <w:top w:w="108" w:type="dxa"/>
              <w:bottom w:w="108" w:type="dxa"/>
            </w:tcMar>
          </w:tcPr>
          <w:p w14:paraId="67C60213" w14:textId="77777777" w:rsidR="00AC04A4" w:rsidRPr="00953BC9" w:rsidRDefault="00AC04A4"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24A72E3" w14:textId="77777777" w:rsidR="00AC04A4" w:rsidRPr="00953BC9" w:rsidRDefault="00AC04A4" w:rsidP="00953BC9">
            <w:pPr>
              <w:pStyle w:val="CDITable-RowLeft"/>
            </w:pPr>
            <w:r w:rsidRPr="00953BC9">
              <w:t>Hepatitis B</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D263C17" w14:textId="77777777" w:rsidR="00AC04A4" w:rsidRPr="00953BC9" w:rsidRDefault="00AC04A4" w:rsidP="00953BC9">
            <w:pPr>
              <w:pStyle w:val="CDITable-RowCentre"/>
            </w:pPr>
            <w:r w:rsidRPr="00953BC9">
              <w:t>21</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EDC1F16" w14:textId="77777777" w:rsidR="00AC04A4" w:rsidRPr="00953BC9" w:rsidRDefault="00AC04A4" w:rsidP="00953BC9">
            <w:pPr>
              <w:pStyle w:val="CDITable-RowCentre"/>
            </w:pPr>
            <w:r w:rsidRPr="00953BC9">
              <w:t>211,038</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DA17C04" w14:textId="77777777" w:rsidR="00AC04A4" w:rsidRPr="00953BC9" w:rsidRDefault="00AC04A4" w:rsidP="00953BC9">
            <w:pPr>
              <w:pStyle w:val="CDITable-RowCentre"/>
            </w:pPr>
            <w:r w:rsidRPr="00953BC9">
              <w:t>10 (6.2–15.2)</w:t>
            </w:r>
          </w:p>
        </w:tc>
      </w:tr>
      <w:tr w:rsidR="00AC04A4" w:rsidRPr="00953BC9" w14:paraId="59C92E59" w14:textId="77777777" w:rsidTr="006873F1">
        <w:trPr>
          <w:trHeight w:val="60"/>
        </w:trPr>
        <w:tc>
          <w:tcPr>
            <w:tcW w:w="1247" w:type="dxa"/>
            <w:vMerge/>
            <w:tcMar>
              <w:top w:w="108" w:type="dxa"/>
              <w:bottom w:w="108" w:type="dxa"/>
            </w:tcMar>
          </w:tcPr>
          <w:p w14:paraId="5A4CE0FE" w14:textId="77777777" w:rsidR="00AC04A4" w:rsidRPr="00953BC9" w:rsidRDefault="00AC04A4"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2604D8F" w14:textId="77777777" w:rsidR="00AC04A4" w:rsidRPr="00953BC9" w:rsidRDefault="00AC04A4" w:rsidP="00953BC9">
            <w:pPr>
              <w:pStyle w:val="CDITable-RowLeft"/>
            </w:pPr>
            <w:r w:rsidRPr="00953BC9">
              <w:t>Japanese encephalitis (live)</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38C4642" w14:textId="77777777" w:rsidR="00AC04A4" w:rsidRPr="00953BC9" w:rsidRDefault="00AC04A4" w:rsidP="00953BC9">
            <w:pPr>
              <w:pStyle w:val="CDITable-RowCentre"/>
            </w:pPr>
            <w:r w:rsidRPr="00953BC9">
              <w:t>17</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7702D9D" w14:textId="77777777" w:rsidR="00AC04A4" w:rsidRPr="00953BC9" w:rsidRDefault="00AC04A4" w:rsidP="00953BC9">
            <w:pPr>
              <w:pStyle w:val="CDITable-RowCentre"/>
            </w:pPr>
            <w:r w:rsidRPr="00953BC9">
              <w:t>46,132</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592BF7F" w14:textId="77777777" w:rsidR="00AC04A4" w:rsidRPr="00953BC9" w:rsidRDefault="00AC04A4" w:rsidP="00953BC9">
            <w:pPr>
              <w:pStyle w:val="CDITable-RowCentre"/>
            </w:pPr>
            <w:r w:rsidRPr="00953BC9">
              <w:t>36.9 (21.5–59.0)</w:t>
            </w:r>
          </w:p>
        </w:tc>
      </w:tr>
      <w:tr w:rsidR="00AC04A4" w:rsidRPr="00953BC9" w14:paraId="53ED4D04" w14:textId="77777777" w:rsidTr="006873F1">
        <w:trPr>
          <w:trHeight w:val="60"/>
        </w:trPr>
        <w:tc>
          <w:tcPr>
            <w:tcW w:w="1247" w:type="dxa"/>
            <w:vMerge/>
            <w:tcMar>
              <w:top w:w="108" w:type="dxa"/>
              <w:bottom w:w="108" w:type="dxa"/>
            </w:tcMar>
          </w:tcPr>
          <w:p w14:paraId="1603E38D" w14:textId="77777777" w:rsidR="00AC04A4" w:rsidRPr="00953BC9" w:rsidRDefault="00AC04A4"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E3D5C2F" w14:textId="77777777" w:rsidR="00AC04A4" w:rsidRPr="00953BC9" w:rsidRDefault="00AC04A4" w:rsidP="00953BC9">
            <w:pPr>
              <w:pStyle w:val="CDITable-RowLeft"/>
            </w:pPr>
            <w:r w:rsidRPr="00953BC9">
              <w:t>MMR</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3064740" w14:textId="77777777" w:rsidR="00AC04A4" w:rsidRPr="00953BC9" w:rsidRDefault="00AC04A4" w:rsidP="00953BC9">
            <w:pPr>
              <w:pStyle w:val="CDITable-RowCentre"/>
            </w:pPr>
            <w:r w:rsidRPr="00953BC9">
              <w:t>17</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2E8235D" w14:textId="77777777" w:rsidR="00AC04A4" w:rsidRPr="00953BC9" w:rsidRDefault="00AC04A4" w:rsidP="00953BC9">
            <w:pPr>
              <w:pStyle w:val="CDITable-RowCentre"/>
            </w:pPr>
            <w:r w:rsidRPr="00953BC9">
              <w:t>92,442</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EA17AB5" w14:textId="77777777" w:rsidR="00AC04A4" w:rsidRPr="00953BC9" w:rsidRDefault="00AC04A4" w:rsidP="00953BC9">
            <w:pPr>
              <w:pStyle w:val="CDITable-RowCentre"/>
            </w:pPr>
            <w:r w:rsidRPr="00953BC9">
              <w:t>18.4 (10.7–29.4)</w:t>
            </w:r>
          </w:p>
        </w:tc>
      </w:tr>
      <w:tr w:rsidR="00AC04A4" w:rsidRPr="00953BC9" w14:paraId="223396EB" w14:textId="77777777" w:rsidTr="006873F1">
        <w:trPr>
          <w:trHeight w:val="60"/>
        </w:trPr>
        <w:tc>
          <w:tcPr>
            <w:tcW w:w="1247" w:type="dxa"/>
            <w:vMerge/>
            <w:tcMar>
              <w:top w:w="108" w:type="dxa"/>
              <w:bottom w:w="108" w:type="dxa"/>
            </w:tcMar>
          </w:tcPr>
          <w:p w14:paraId="51B0756F" w14:textId="77777777" w:rsidR="00AC04A4" w:rsidRPr="00953BC9" w:rsidRDefault="00AC04A4"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995FB23" w14:textId="77777777" w:rsidR="00AC04A4" w:rsidRPr="00953BC9" w:rsidRDefault="00AC04A4" w:rsidP="00953BC9">
            <w:pPr>
              <w:pStyle w:val="CDITable-RowLeft"/>
            </w:pPr>
            <w:r w:rsidRPr="00953BC9">
              <w:t>23vPPV</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9D0696D" w14:textId="77777777" w:rsidR="00AC04A4" w:rsidRPr="00953BC9" w:rsidRDefault="00AC04A4" w:rsidP="00953BC9">
            <w:pPr>
              <w:pStyle w:val="CDITable-RowCentre"/>
            </w:pPr>
            <w:r w:rsidRPr="00953BC9">
              <w:t>16</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B6929E1" w14:textId="77777777" w:rsidR="00AC04A4" w:rsidRPr="00953BC9" w:rsidRDefault="00AC04A4" w:rsidP="00953BC9">
            <w:pPr>
              <w:pStyle w:val="CDITable-RowCentre"/>
            </w:pPr>
            <w:r w:rsidRPr="00953BC9">
              <w:t>12,500</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C7867D1" w14:textId="77777777" w:rsidR="00AC04A4" w:rsidRPr="00953BC9" w:rsidRDefault="00AC04A4" w:rsidP="00953BC9">
            <w:pPr>
              <w:pStyle w:val="CDITable-RowCentre"/>
            </w:pPr>
            <w:r w:rsidRPr="00953BC9">
              <w:t>128.0 (73.2–207.8)</w:t>
            </w:r>
          </w:p>
        </w:tc>
      </w:tr>
      <w:tr w:rsidR="00AC04A4" w:rsidRPr="00953BC9" w14:paraId="43E655A0" w14:textId="77777777" w:rsidTr="006873F1">
        <w:trPr>
          <w:trHeight w:val="60"/>
        </w:trPr>
        <w:tc>
          <w:tcPr>
            <w:tcW w:w="1247" w:type="dxa"/>
            <w:vMerge/>
            <w:tcMar>
              <w:top w:w="108" w:type="dxa"/>
              <w:bottom w:w="108" w:type="dxa"/>
            </w:tcMar>
          </w:tcPr>
          <w:p w14:paraId="30316E9E" w14:textId="77777777" w:rsidR="00AC04A4" w:rsidRPr="00953BC9" w:rsidRDefault="00AC04A4"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36D748B" w14:textId="77777777" w:rsidR="00AC04A4" w:rsidRPr="00953BC9" w:rsidRDefault="00AC04A4" w:rsidP="00953BC9">
            <w:pPr>
              <w:pStyle w:val="CDITable-RowLeft"/>
            </w:pPr>
            <w:r w:rsidRPr="00953BC9">
              <w:t>Varicella</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91CEDD5" w14:textId="77777777" w:rsidR="00AC04A4" w:rsidRPr="00953BC9" w:rsidRDefault="00AC04A4" w:rsidP="00953BC9">
            <w:pPr>
              <w:pStyle w:val="CDITable-RowCentre"/>
            </w:pPr>
            <w:r w:rsidRPr="00953BC9">
              <w:t>10</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5DCEF99" w14:textId="77777777" w:rsidR="00AC04A4" w:rsidRPr="00953BC9" w:rsidRDefault="00AC04A4" w:rsidP="00953BC9">
            <w:pPr>
              <w:pStyle w:val="CDITable-RowCentre"/>
            </w:pPr>
            <w:r w:rsidRPr="00953BC9">
              <w:t>32,539</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7E0BE03" w14:textId="77777777" w:rsidR="00AC04A4" w:rsidRPr="00953BC9" w:rsidRDefault="00AC04A4" w:rsidP="00953BC9">
            <w:pPr>
              <w:pStyle w:val="CDITable-RowCentre"/>
            </w:pPr>
            <w:r w:rsidRPr="00953BC9">
              <w:t>30.7 (14.7–56.5)</w:t>
            </w:r>
          </w:p>
        </w:tc>
      </w:tr>
      <w:tr w:rsidR="00AC04A4" w:rsidRPr="00953BC9" w14:paraId="008FD741" w14:textId="77777777" w:rsidTr="006873F1">
        <w:trPr>
          <w:trHeight w:val="60"/>
        </w:trPr>
        <w:tc>
          <w:tcPr>
            <w:tcW w:w="1247" w:type="dxa"/>
            <w:vMerge/>
            <w:tcMar>
              <w:top w:w="108" w:type="dxa"/>
              <w:bottom w:w="108" w:type="dxa"/>
            </w:tcMar>
          </w:tcPr>
          <w:p w14:paraId="766FC179" w14:textId="77777777" w:rsidR="00AC04A4" w:rsidRPr="00953BC9" w:rsidRDefault="00AC04A4"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85E43CE" w14:textId="77777777" w:rsidR="00AC04A4" w:rsidRPr="00953BC9" w:rsidRDefault="00AC04A4" w:rsidP="00953BC9">
            <w:pPr>
              <w:pStyle w:val="CDITable-RowLeft"/>
            </w:pPr>
            <w:r w:rsidRPr="00953BC9">
              <w:t>Zoster (ZVL)</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35C11A0" w14:textId="77777777" w:rsidR="00AC04A4" w:rsidRPr="00953BC9" w:rsidRDefault="00AC04A4" w:rsidP="00953BC9">
            <w:pPr>
              <w:pStyle w:val="CDITable-RowCentre"/>
            </w:pPr>
            <w:r w:rsidRPr="00953BC9">
              <w:t>11</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E1CEE28" w14:textId="77777777" w:rsidR="00AC04A4" w:rsidRPr="00953BC9" w:rsidRDefault="00AC04A4" w:rsidP="00953BC9">
            <w:pPr>
              <w:pStyle w:val="CDITable-RowCentre"/>
            </w:pPr>
            <w:r w:rsidRPr="00953BC9">
              <w:t>7,460</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6E955DD" w14:textId="77777777" w:rsidR="00AC04A4" w:rsidRPr="00953BC9" w:rsidRDefault="00AC04A4" w:rsidP="00953BC9">
            <w:pPr>
              <w:pStyle w:val="CDITable-RowCentre"/>
            </w:pPr>
            <w:r w:rsidRPr="00953BC9">
              <w:t>147.5 (73.6–263.7)</w:t>
            </w:r>
          </w:p>
        </w:tc>
      </w:tr>
      <w:tr w:rsidR="00AC04A4" w:rsidRPr="00953BC9" w14:paraId="5447C494" w14:textId="77777777" w:rsidTr="006873F1">
        <w:trPr>
          <w:trHeight w:val="60"/>
        </w:trPr>
        <w:tc>
          <w:tcPr>
            <w:tcW w:w="1247" w:type="dxa"/>
            <w:vMerge/>
            <w:tcMar>
              <w:top w:w="108" w:type="dxa"/>
              <w:bottom w:w="108" w:type="dxa"/>
            </w:tcMar>
          </w:tcPr>
          <w:p w14:paraId="29419588" w14:textId="77777777" w:rsidR="00AC04A4" w:rsidRPr="00953BC9" w:rsidRDefault="00AC04A4"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4124FBC" w14:textId="77777777" w:rsidR="00AC04A4" w:rsidRPr="00953BC9" w:rsidRDefault="00AC04A4" w:rsidP="00953BC9">
            <w:pPr>
              <w:pStyle w:val="CDITable-RowLeft"/>
            </w:pPr>
            <w:r w:rsidRPr="00953BC9">
              <w:t>DT</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D89AFA8" w14:textId="77777777" w:rsidR="00AC04A4" w:rsidRPr="00953BC9" w:rsidRDefault="00AC04A4" w:rsidP="00953BC9">
            <w:pPr>
              <w:pStyle w:val="CDITable-RowCentre"/>
            </w:pPr>
            <w:r w:rsidRPr="00953BC9">
              <w:t>9</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624A5CA" w14:textId="77777777" w:rsidR="00AC04A4" w:rsidRPr="00953BC9" w:rsidRDefault="00AC04A4" w:rsidP="00953BC9">
            <w:pPr>
              <w:pStyle w:val="CDITable-RowCentre"/>
            </w:pPr>
            <w:r w:rsidRPr="00953BC9">
              <w:t>207,700</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6F8DD1F" w14:textId="77777777" w:rsidR="00AC04A4" w:rsidRPr="00953BC9" w:rsidRDefault="00AC04A4" w:rsidP="00953BC9">
            <w:pPr>
              <w:pStyle w:val="CDITable-RowCentre"/>
            </w:pPr>
            <w:r w:rsidRPr="00953BC9">
              <w:t>4.3 (2–8.2)</w:t>
            </w:r>
          </w:p>
        </w:tc>
      </w:tr>
      <w:tr w:rsidR="00AC04A4" w:rsidRPr="00953BC9" w14:paraId="4E1D6B86" w14:textId="77777777" w:rsidTr="006873F1">
        <w:trPr>
          <w:trHeight w:val="60"/>
        </w:trPr>
        <w:tc>
          <w:tcPr>
            <w:tcW w:w="1247" w:type="dxa"/>
            <w:vMerge/>
            <w:tcMar>
              <w:top w:w="108" w:type="dxa"/>
              <w:bottom w:w="108" w:type="dxa"/>
            </w:tcMar>
          </w:tcPr>
          <w:p w14:paraId="604D4532" w14:textId="77777777" w:rsidR="00AC04A4" w:rsidRPr="00953BC9" w:rsidRDefault="00AC04A4"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F646A6E" w14:textId="77777777" w:rsidR="00AC04A4" w:rsidRPr="00953BC9" w:rsidRDefault="00AC04A4" w:rsidP="00953BC9">
            <w:pPr>
              <w:pStyle w:val="CDITable-RowLeft"/>
            </w:pPr>
            <w:r w:rsidRPr="00953BC9">
              <w:t>HPV</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A53BA95" w14:textId="77777777" w:rsidR="00AC04A4" w:rsidRPr="00953BC9" w:rsidRDefault="00AC04A4" w:rsidP="00953BC9">
            <w:pPr>
              <w:pStyle w:val="CDITable-RowCentre"/>
            </w:pPr>
            <w:r w:rsidRPr="00953BC9">
              <w:t>9</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9299796" w14:textId="77777777" w:rsidR="00AC04A4" w:rsidRPr="00953BC9" w:rsidRDefault="00AC04A4" w:rsidP="00953BC9">
            <w:pPr>
              <w:pStyle w:val="CDITable-RowCentre"/>
            </w:pPr>
            <w:r w:rsidRPr="00953BC9">
              <w:t>40,626</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BA90478" w14:textId="77777777" w:rsidR="00AC04A4" w:rsidRPr="00953BC9" w:rsidRDefault="00AC04A4" w:rsidP="00953BC9">
            <w:pPr>
              <w:pStyle w:val="CDITable-RowCentre"/>
            </w:pPr>
            <w:r w:rsidRPr="00953BC9">
              <w:t>22.2 (10.1–42.0)</w:t>
            </w:r>
          </w:p>
        </w:tc>
      </w:tr>
      <w:tr w:rsidR="00AC04A4" w:rsidRPr="00953BC9" w14:paraId="05B2702E" w14:textId="77777777" w:rsidTr="006873F1">
        <w:trPr>
          <w:trHeight w:val="60"/>
        </w:trPr>
        <w:tc>
          <w:tcPr>
            <w:tcW w:w="1247" w:type="dxa"/>
            <w:vMerge/>
            <w:tcMar>
              <w:top w:w="108" w:type="dxa"/>
              <w:bottom w:w="108" w:type="dxa"/>
            </w:tcMar>
          </w:tcPr>
          <w:p w14:paraId="59B2DE4D" w14:textId="77777777" w:rsidR="00AC04A4" w:rsidRPr="00953BC9" w:rsidRDefault="00AC04A4"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E071C05" w14:textId="77777777" w:rsidR="00AC04A4" w:rsidRPr="00953BC9" w:rsidRDefault="00AC04A4" w:rsidP="00953BC9">
            <w:pPr>
              <w:pStyle w:val="CDITable-RowLeft"/>
            </w:pPr>
            <w:r w:rsidRPr="00953BC9">
              <w:t>13vPCV</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1CAC2CF" w14:textId="77777777" w:rsidR="00AC04A4" w:rsidRPr="00953BC9" w:rsidRDefault="00AC04A4" w:rsidP="00953BC9">
            <w:pPr>
              <w:pStyle w:val="CDITable-RowCentre"/>
            </w:pPr>
            <w:r w:rsidRPr="00953BC9">
              <w:t>7</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AA0549E" w14:textId="77777777" w:rsidR="00AC04A4" w:rsidRPr="00953BC9" w:rsidRDefault="00AC04A4" w:rsidP="00953BC9">
            <w:pPr>
              <w:pStyle w:val="CDITable-RowCentre"/>
            </w:pPr>
            <w:r w:rsidRPr="00953BC9">
              <w:t>28,706</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3DB0DF0" w14:textId="77777777" w:rsidR="00AC04A4" w:rsidRPr="00953BC9" w:rsidRDefault="00AC04A4" w:rsidP="00953BC9">
            <w:pPr>
              <w:pStyle w:val="CDITable-RowCentre"/>
            </w:pPr>
            <w:r w:rsidRPr="00953BC9">
              <w:t>24.4 (9.8–50.2)</w:t>
            </w:r>
          </w:p>
        </w:tc>
      </w:tr>
      <w:tr w:rsidR="00AC04A4" w:rsidRPr="00953BC9" w14:paraId="35143DA4" w14:textId="77777777" w:rsidTr="006873F1">
        <w:trPr>
          <w:trHeight w:val="60"/>
        </w:trPr>
        <w:tc>
          <w:tcPr>
            <w:tcW w:w="1247" w:type="dxa"/>
            <w:vMerge/>
            <w:tcMar>
              <w:top w:w="108" w:type="dxa"/>
              <w:bottom w:w="108" w:type="dxa"/>
            </w:tcMar>
          </w:tcPr>
          <w:p w14:paraId="29864CD5" w14:textId="77777777" w:rsidR="00AC04A4" w:rsidRPr="00953BC9" w:rsidRDefault="00AC04A4"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03E6318" w14:textId="77777777" w:rsidR="00AC04A4" w:rsidRPr="00953BC9" w:rsidRDefault="00AC04A4" w:rsidP="00953BC9">
            <w:pPr>
              <w:pStyle w:val="CDITable-RowLeft"/>
            </w:pPr>
            <w:r w:rsidRPr="00953BC9">
              <w:t>Typhoid-hepatitis A</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46C4FC9" w14:textId="77777777" w:rsidR="00AC04A4" w:rsidRPr="00953BC9" w:rsidRDefault="00AC04A4" w:rsidP="00953BC9">
            <w:pPr>
              <w:pStyle w:val="CDITable-RowCentre"/>
            </w:pPr>
            <w:r w:rsidRPr="00953BC9">
              <w:t>6</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A3D911D" w14:textId="77777777" w:rsidR="00AC04A4" w:rsidRPr="00953BC9" w:rsidRDefault="00AC04A4" w:rsidP="00953BC9">
            <w:pPr>
              <w:pStyle w:val="CDITable-RowCentre"/>
            </w:pPr>
            <w:r w:rsidRPr="00953BC9">
              <w:t>66,830</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6F4B6C3" w14:textId="77777777" w:rsidR="00AC04A4" w:rsidRPr="00953BC9" w:rsidRDefault="00AC04A4" w:rsidP="00953BC9">
            <w:pPr>
              <w:pStyle w:val="CDITable-RowCentre"/>
            </w:pPr>
            <w:r w:rsidRPr="00953BC9">
              <w:t>9 (3.3–19.5)</w:t>
            </w:r>
          </w:p>
        </w:tc>
      </w:tr>
      <w:tr w:rsidR="00AC04A4" w:rsidRPr="00953BC9" w14:paraId="61C503F5" w14:textId="77777777" w:rsidTr="006873F1">
        <w:trPr>
          <w:trHeight w:val="60"/>
        </w:trPr>
        <w:tc>
          <w:tcPr>
            <w:tcW w:w="1247" w:type="dxa"/>
            <w:vMerge/>
            <w:tcMar>
              <w:top w:w="108" w:type="dxa"/>
              <w:bottom w:w="108" w:type="dxa"/>
            </w:tcMar>
          </w:tcPr>
          <w:p w14:paraId="648D9E82" w14:textId="77777777" w:rsidR="00AC04A4" w:rsidRPr="00953BC9" w:rsidRDefault="00AC04A4"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806CA94" w14:textId="77777777" w:rsidR="00AC04A4" w:rsidRPr="00953BC9" w:rsidRDefault="00AC04A4" w:rsidP="00953BC9">
            <w:pPr>
              <w:pStyle w:val="CDITable-RowLeft"/>
            </w:pPr>
            <w:r w:rsidRPr="00953BC9">
              <w:t>Hepatitis A</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7965214" w14:textId="77777777" w:rsidR="00AC04A4" w:rsidRPr="00953BC9" w:rsidRDefault="00AC04A4" w:rsidP="00953BC9">
            <w:pPr>
              <w:pStyle w:val="CDITable-RowCentre"/>
            </w:pPr>
            <w:r w:rsidRPr="00953BC9">
              <w:t>5</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CD79997" w14:textId="77777777" w:rsidR="00AC04A4" w:rsidRPr="00953BC9" w:rsidRDefault="00AC04A4" w:rsidP="00953BC9">
            <w:pPr>
              <w:pStyle w:val="CDITable-RowCentre"/>
            </w:pPr>
            <w:r w:rsidRPr="00953BC9">
              <w:t>53,431</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62C04E9" w14:textId="77777777" w:rsidR="00AC04A4" w:rsidRPr="00953BC9" w:rsidRDefault="00AC04A4" w:rsidP="00953BC9">
            <w:pPr>
              <w:pStyle w:val="CDITable-RowCentre"/>
            </w:pPr>
            <w:r w:rsidRPr="00953BC9">
              <w:t>9.4 (3–21.8)</w:t>
            </w:r>
          </w:p>
        </w:tc>
      </w:tr>
      <w:tr w:rsidR="00AC04A4" w:rsidRPr="00953BC9" w14:paraId="16942015" w14:textId="77777777" w:rsidTr="006873F1">
        <w:trPr>
          <w:trHeight w:val="60"/>
        </w:trPr>
        <w:tc>
          <w:tcPr>
            <w:tcW w:w="1247" w:type="dxa"/>
            <w:vMerge/>
            <w:tcMar>
              <w:top w:w="108" w:type="dxa"/>
              <w:bottom w:w="108" w:type="dxa"/>
            </w:tcMar>
          </w:tcPr>
          <w:p w14:paraId="5E35B960" w14:textId="77777777" w:rsidR="00AC04A4" w:rsidRPr="00953BC9" w:rsidRDefault="00AC04A4"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E157CE1" w14:textId="77777777" w:rsidR="00AC04A4" w:rsidRPr="00953BC9" w:rsidRDefault="00AC04A4" w:rsidP="00953BC9">
            <w:pPr>
              <w:pStyle w:val="CDITable-RowLeft"/>
            </w:pPr>
            <w:r w:rsidRPr="00953BC9">
              <w:t>MenB</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96497E2" w14:textId="77777777" w:rsidR="00AC04A4" w:rsidRPr="00953BC9" w:rsidRDefault="00AC04A4" w:rsidP="00953BC9">
            <w:pPr>
              <w:pStyle w:val="CDITable-RowCentre"/>
            </w:pPr>
            <w:r w:rsidRPr="00953BC9">
              <w:t>5</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3239245" w14:textId="77777777" w:rsidR="00AC04A4" w:rsidRPr="00953BC9" w:rsidRDefault="00AC04A4" w:rsidP="00953BC9">
            <w:pPr>
              <w:pStyle w:val="CDITable-RowCentre"/>
            </w:pPr>
            <w:r w:rsidRPr="00953BC9">
              <w:t>14,857</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6AF1A63" w14:textId="77777777" w:rsidR="00AC04A4" w:rsidRPr="00953BC9" w:rsidRDefault="00AC04A4" w:rsidP="00953BC9">
            <w:pPr>
              <w:pStyle w:val="CDITable-RowCentre"/>
            </w:pPr>
            <w:r w:rsidRPr="00953BC9">
              <w:t>33.7 (10.9–78.5)</w:t>
            </w:r>
          </w:p>
        </w:tc>
      </w:tr>
      <w:tr w:rsidR="00AC04A4" w:rsidRPr="00953BC9" w14:paraId="64EA71CF" w14:textId="77777777" w:rsidTr="006873F1">
        <w:trPr>
          <w:trHeight w:val="60"/>
        </w:trPr>
        <w:tc>
          <w:tcPr>
            <w:tcW w:w="1247" w:type="dxa"/>
            <w:vMerge/>
            <w:tcMar>
              <w:top w:w="108" w:type="dxa"/>
              <w:bottom w:w="108" w:type="dxa"/>
            </w:tcMar>
          </w:tcPr>
          <w:p w14:paraId="4B9F907B" w14:textId="77777777" w:rsidR="00AC04A4" w:rsidRPr="00953BC9" w:rsidRDefault="00AC04A4"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376AA22" w14:textId="77777777" w:rsidR="00AC04A4" w:rsidRPr="00953BC9" w:rsidRDefault="00AC04A4" w:rsidP="00953BC9">
            <w:pPr>
              <w:pStyle w:val="CDITable-RowLeft"/>
            </w:pPr>
            <w:r w:rsidRPr="00953BC9">
              <w:t>Hepatitis A-hepatitis B</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A699FF6" w14:textId="77777777" w:rsidR="00AC04A4" w:rsidRPr="00953BC9" w:rsidRDefault="00AC04A4" w:rsidP="00953BC9">
            <w:pPr>
              <w:pStyle w:val="CDITable-RowCentre"/>
            </w:pPr>
            <w:r w:rsidRPr="00953BC9">
              <w:t>4</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12A7065" w14:textId="77777777" w:rsidR="00AC04A4" w:rsidRPr="00953BC9" w:rsidRDefault="00AC04A4" w:rsidP="00953BC9">
            <w:pPr>
              <w:pStyle w:val="CDITable-RowCentre"/>
            </w:pPr>
            <w:r w:rsidRPr="00953BC9">
              <w:t>39,676</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42685DE" w14:textId="77777777" w:rsidR="00AC04A4" w:rsidRPr="00953BC9" w:rsidRDefault="00AC04A4" w:rsidP="00953BC9">
            <w:pPr>
              <w:pStyle w:val="CDITable-RowCentre"/>
            </w:pPr>
            <w:r w:rsidRPr="00953BC9">
              <w:t>10.1 (2.7–25.8)</w:t>
            </w:r>
          </w:p>
        </w:tc>
      </w:tr>
      <w:tr w:rsidR="00AC04A4" w:rsidRPr="00953BC9" w14:paraId="35DFBCEE" w14:textId="77777777" w:rsidTr="006873F1">
        <w:trPr>
          <w:trHeight w:val="60"/>
        </w:trPr>
        <w:tc>
          <w:tcPr>
            <w:tcW w:w="1247" w:type="dxa"/>
            <w:vMerge/>
            <w:tcMar>
              <w:top w:w="108" w:type="dxa"/>
              <w:bottom w:w="108" w:type="dxa"/>
            </w:tcMar>
          </w:tcPr>
          <w:p w14:paraId="111D078A" w14:textId="77777777" w:rsidR="00AC04A4" w:rsidRPr="00953BC9" w:rsidRDefault="00AC04A4"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1B6FDD8" w14:textId="77777777" w:rsidR="00AC04A4" w:rsidRPr="00953BC9" w:rsidRDefault="00AC04A4" w:rsidP="00953BC9">
            <w:pPr>
              <w:pStyle w:val="CDITable-RowLeft"/>
            </w:pPr>
            <w:r w:rsidRPr="00953BC9">
              <w:t>Typhoid</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435109A" w14:textId="77777777" w:rsidR="00AC04A4" w:rsidRPr="00953BC9" w:rsidRDefault="00AC04A4" w:rsidP="00953BC9">
            <w:pPr>
              <w:pStyle w:val="CDITable-RowCentre"/>
            </w:pPr>
            <w:r w:rsidRPr="00953BC9">
              <w:t>4</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2CAA237" w14:textId="77777777" w:rsidR="00AC04A4" w:rsidRPr="00953BC9" w:rsidRDefault="00AC04A4" w:rsidP="00953BC9">
            <w:pPr>
              <w:pStyle w:val="CDITable-RowCentre"/>
            </w:pPr>
            <w:r w:rsidRPr="00953BC9">
              <w:t>81,516</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2BDC949" w14:textId="77777777" w:rsidR="00AC04A4" w:rsidRPr="00953BC9" w:rsidRDefault="00AC04A4" w:rsidP="00953BC9">
            <w:pPr>
              <w:pStyle w:val="CDITable-RowCentre"/>
            </w:pPr>
            <w:r w:rsidRPr="00953BC9">
              <w:t>4.9 (1.3–12.6)</w:t>
            </w:r>
          </w:p>
        </w:tc>
      </w:tr>
      <w:tr w:rsidR="00AC04A4" w:rsidRPr="00953BC9" w14:paraId="4CED0867" w14:textId="77777777" w:rsidTr="006873F1">
        <w:trPr>
          <w:trHeight w:val="60"/>
        </w:trPr>
        <w:tc>
          <w:tcPr>
            <w:tcW w:w="1247" w:type="dxa"/>
            <w:vMerge/>
            <w:tcMar>
              <w:top w:w="108" w:type="dxa"/>
              <w:bottom w:w="108" w:type="dxa"/>
            </w:tcMar>
          </w:tcPr>
          <w:p w14:paraId="635FC4E9" w14:textId="77777777" w:rsidR="00AC04A4" w:rsidRPr="00953BC9" w:rsidRDefault="00AC04A4"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C11FF4D" w14:textId="77777777" w:rsidR="00AC04A4" w:rsidRPr="00953BC9" w:rsidRDefault="00AC04A4" w:rsidP="00953BC9">
            <w:pPr>
              <w:pStyle w:val="CDITable-RowLeft"/>
            </w:pPr>
            <w:r w:rsidRPr="00953BC9">
              <w:t>MMRV</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97C12F4" w14:textId="77777777" w:rsidR="00AC04A4" w:rsidRPr="00953BC9" w:rsidRDefault="00AC04A4" w:rsidP="00953BC9">
            <w:pPr>
              <w:pStyle w:val="CDITable-RowCentre"/>
            </w:pPr>
            <w:r w:rsidRPr="00953BC9">
              <w:t>3</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7EFD65B" w14:textId="77777777" w:rsidR="00AC04A4" w:rsidRPr="00953BC9" w:rsidRDefault="00AC04A4" w:rsidP="00953BC9">
            <w:pPr>
              <w:pStyle w:val="CDITable-RowCentre"/>
            </w:pPr>
            <w:r w:rsidRPr="00953BC9">
              <w:t>2,101</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6FF5858" w14:textId="77777777" w:rsidR="00AC04A4" w:rsidRPr="00953BC9" w:rsidRDefault="00AC04A4" w:rsidP="00953BC9">
            <w:pPr>
              <w:pStyle w:val="CDITable-RowCentre"/>
            </w:pPr>
            <w:r w:rsidRPr="00953BC9">
              <w:t>142.8 (29.5–416.7)</w:t>
            </w:r>
          </w:p>
        </w:tc>
      </w:tr>
      <w:tr w:rsidR="00AC04A4" w:rsidRPr="00953BC9" w14:paraId="778FEB59" w14:textId="77777777" w:rsidTr="006873F1">
        <w:trPr>
          <w:trHeight w:val="60"/>
        </w:trPr>
        <w:tc>
          <w:tcPr>
            <w:tcW w:w="1247" w:type="dxa"/>
            <w:vMerge/>
            <w:tcMar>
              <w:top w:w="108" w:type="dxa"/>
              <w:bottom w:w="108" w:type="dxa"/>
            </w:tcMar>
          </w:tcPr>
          <w:p w14:paraId="3C68287E" w14:textId="77777777" w:rsidR="00AC04A4" w:rsidRPr="00953BC9" w:rsidRDefault="00AC04A4"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2E631C9" w14:textId="77777777" w:rsidR="00AC04A4" w:rsidRPr="00953BC9" w:rsidRDefault="00AC04A4" w:rsidP="00953BC9">
            <w:pPr>
              <w:pStyle w:val="CDITable-RowLeft"/>
            </w:pPr>
            <w:r w:rsidRPr="00953BC9">
              <w:t>Rabies</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4108E7C" w14:textId="77777777" w:rsidR="00AC04A4" w:rsidRPr="00953BC9" w:rsidRDefault="00AC04A4" w:rsidP="00953BC9">
            <w:pPr>
              <w:pStyle w:val="CDITable-RowCentre"/>
            </w:pPr>
            <w:r w:rsidRPr="00953BC9">
              <w:t>3</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A371A2C" w14:textId="77777777" w:rsidR="00AC04A4" w:rsidRPr="00953BC9" w:rsidRDefault="00AC04A4" w:rsidP="00953BC9">
            <w:pPr>
              <w:pStyle w:val="CDITable-RowCentre"/>
            </w:pPr>
            <w:r w:rsidRPr="00953BC9">
              <w:t>19,912</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EF3BC69" w14:textId="77777777" w:rsidR="00AC04A4" w:rsidRPr="00953BC9" w:rsidRDefault="00AC04A4" w:rsidP="00953BC9">
            <w:pPr>
              <w:pStyle w:val="CDITable-RowCentre"/>
            </w:pPr>
            <w:r w:rsidRPr="00953BC9">
              <w:t>15.1 (3.1–44)</w:t>
            </w:r>
          </w:p>
        </w:tc>
      </w:tr>
      <w:tr w:rsidR="00AC04A4" w:rsidRPr="00953BC9" w14:paraId="182B8489" w14:textId="77777777" w:rsidTr="006873F1">
        <w:trPr>
          <w:trHeight w:val="60"/>
        </w:trPr>
        <w:tc>
          <w:tcPr>
            <w:tcW w:w="1247" w:type="dxa"/>
            <w:vMerge/>
            <w:tcMar>
              <w:top w:w="108" w:type="dxa"/>
              <w:bottom w:w="108" w:type="dxa"/>
            </w:tcMar>
          </w:tcPr>
          <w:p w14:paraId="6744A20D" w14:textId="77777777" w:rsidR="00AC04A4" w:rsidRPr="00953BC9" w:rsidRDefault="00AC04A4"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F09BC24" w14:textId="77777777" w:rsidR="00AC04A4" w:rsidRPr="00953BC9" w:rsidRDefault="00AC04A4" w:rsidP="00953BC9">
            <w:pPr>
              <w:pStyle w:val="CDITable-RowLeft"/>
            </w:pPr>
            <w:r w:rsidRPr="00953BC9">
              <w:t>dTpa-IPV</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3838EBD" w14:textId="77777777" w:rsidR="00AC04A4" w:rsidRPr="00953BC9" w:rsidRDefault="00AC04A4" w:rsidP="00953BC9">
            <w:pPr>
              <w:pStyle w:val="CDITable-RowCentre"/>
            </w:pPr>
            <w:r w:rsidRPr="00953BC9">
              <w:t>2</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907C473" w14:textId="77777777" w:rsidR="00AC04A4" w:rsidRPr="00953BC9" w:rsidRDefault="00AC04A4" w:rsidP="00953BC9">
            <w:pPr>
              <w:pStyle w:val="CDITable-RowCentre"/>
            </w:pPr>
            <w:r w:rsidRPr="00953BC9">
              <w:t>11,454</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A0836D0" w14:textId="77777777" w:rsidR="00AC04A4" w:rsidRPr="00953BC9" w:rsidRDefault="00AC04A4" w:rsidP="00953BC9">
            <w:pPr>
              <w:pStyle w:val="CDITable-RowCentre"/>
            </w:pPr>
            <w:r w:rsidRPr="00953BC9">
              <w:t>17.5 (2.1–63.1)</w:t>
            </w:r>
          </w:p>
        </w:tc>
      </w:tr>
      <w:tr w:rsidR="00AC04A4" w:rsidRPr="00953BC9" w14:paraId="5FF76DAB" w14:textId="77777777" w:rsidTr="006873F1">
        <w:trPr>
          <w:trHeight w:val="60"/>
        </w:trPr>
        <w:tc>
          <w:tcPr>
            <w:tcW w:w="1247" w:type="dxa"/>
            <w:vMerge/>
            <w:tcMar>
              <w:top w:w="108" w:type="dxa"/>
              <w:bottom w:w="108" w:type="dxa"/>
            </w:tcMar>
          </w:tcPr>
          <w:p w14:paraId="58882D5F" w14:textId="77777777" w:rsidR="00AC04A4" w:rsidRPr="00953BC9" w:rsidRDefault="00AC04A4"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B4178CA" w14:textId="77777777" w:rsidR="00AC04A4" w:rsidRPr="00953BC9" w:rsidRDefault="00AC04A4" w:rsidP="00953BC9">
            <w:pPr>
              <w:pStyle w:val="CDITable-RowLeft"/>
            </w:pPr>
            <w:r w:rsidRPr="00953BC9">
              <w:t>MenACWY</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9C3D113" w14:textId="77777777" w:rsidR="00AC04A4" w:rsidRPr="00953BC9" w:rsidRDefault="00AC04A4" w:rsidP="00953BC9">
            <w:pPr>
              <w:pStyle w:val="CDITable-RowCentre"/>
            </w:pPr>
            <w:r w:rsidRPr="00953BC9">
              <w:t>2</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8388AC4" w14:textId="77777777" w:rsidR="00AC04A4" w:rsidRPr="00953BC9" w:rsidRDefault="00AC04A4" w:rsidP="00953BC9">
            <w:pPr>
              <w:pStyle w:val="CDITable-RowCentre"/>
            </w:pPr>
            <w:r w:rsidRPr="00953BC9">
              <w:t>24,615</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C3031E7" w14:textId="77777777" w:rsidR="00AC04A4" w:rsidRPr="00953BC9" w:rsidRDefault="00AC04A4" w:rsidP="00953BC9">
            <w:pPr>
              <w:pStyle w:val="CDITable-RowCentre"/>
            </w:pPr>
            <w:r w:rsidRPr="00953BC9">
              <w:t>8.1 (1–29.3)</w:t>
            </w:r>
          </w:p>
        </w:tc>
      </w:tr>
      <w:tr w:rsidR="00AC04A4" w:rsidRPr="00953BC9" w14:paraId="0E48766F" w14:textId="77777777" w:rsidTr="006873F1">
        <w:trPr>
          <w:trHeight w:val="60"/>
        </w:trPr>
        <w:tc>
          <w:tcPr>
            <w:tcW w:w="1247" w:type="dxa"/>
            <w:vMerge/>
            <w:tcMar>
              <w:top w:w="108" w:type="dxa"/>
              <w:bottom w:w="108" w:type="dxa"/>
            </w:tcMar>
          </w:tcPr>
          <w:p w14:paraId="3237119D" w14:textId="77777777" w:rsidR="00AC04A4" w:rsidRPr="00953BC9" w:rsidRDefault="00AC04A4"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5AB7B5F" w14:textId="77777777" w:rsidR="00AC04A4" w:rsidRPr="00953BC9" w:rsidRDefault="00AC04A4" w:rsidP="00953BC9">
            <w:pPr>
              <w:pStyle w:val="CDITable-RowLeft"/>
            </w:pPr>
            <w:r w:rsidRPr="00953BC9">
              <w:t>Japanese encephalitis (inactivated)</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EA89BFE" w14:textId="77777777" w:rsidR="00AC04A4" w:rsidRPr="00953BC9" w:rsidRDefault="00AC04A4" w:rsidP="00953BC9">
            <w:pPr>
              <w:pStyle w:val="CDITable-RowCentre"/>
            </w:pPr>
            <w:r w:rsidRPr="00953BC9">
              <w:t>1</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57526C1" w14:textId="77777777" w:rsidR="00AC04A4" w:rsidRPr="00953BC9" w:rsidRDefault="00AC04A4" w:rsidP="00953BC9">
            <w:pPr>
              <w:pStyle w:val="CDITable-RowCentre"/>
            </w:pPr>
            <w:r w:rsidRPr="00953BC9">
              <w:t>2,365</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A5C9EE4" w14:textId="77777777" w:rsidR="00AC04A4" w:rsidRPr="00953BC9" w:rsidRDefault="00AC04A4" w:rsidP="00953BC9">
            <w:pPr>
              <w:pStyle w:val="CDITable-RowCentre"/>
            </w:pPr>
            <w:r w:rsidRPr="00953BC9">
              <w:t>42.3 (1.1–235.4)</w:t>
            </w:r>
          </w:p>
        </w:tc>
      </w:tr>
      <w:tr w:rsidR="00AC04A4" w:rsidRPr="00953BC9" w14:paraId="12213B33" w14:textId="77777777" w:rsidTr="006873F1">
        <w:trPr>
          <w:trHeight w:val="60"/>
        </w:trPr>
        <w:tc>
          <w:tcPr>
            <w:tcW w:w="1247" w:type="dxa"/>
            <w:vMerge/>
            <w:tcBorders>
              <w:bottom w:val="single" w:sz="6" w:space="0" w:color="1E4496" w:themeColor="text2"/>
            </w:tcBorders>
            <w:tcMar>
              <w:top w:w="108" w:type="dxa"/>
              <w:bottom w:w="108" w:type="dxa"/>
            </w:tcMar>
          </w:tcPr>
          <w:p w14:paraId="0CF43F7E" w14:textId="77777777" w:rsidR="00AC04A4" w:rsidRPr="00953BC9" w:rsidRDefault="00AC04A4" w:rsidP="00953BC9"/>
        </w:tc>
        <w:tc>
          <w:tcPr>
            <w:tcW w:w="3629" w:type="dxa"/>
            <w:tcBorders>
              <w:top w:val="single" w:sz="6" w:space="0" w:color="1E4496" w:themeColor="text2"/>
              <w:bottom w:val="single" w:sz="6" w:space="0" w:color="1E4496" w:themeColor="text2"/>
            </w:tcBorders>
            <w:shd w:val="clear" w:color="auto" w:fill="DCF4FC" w:themeFill="background2" w:themeFillTint="33"/>
            <w:tcMar>
              <w:top w:w="108" w:type="dxa"/>
              <w:left w:w="113" w:type="dxa"/>
              <w:bottom w:w="108" w:type="dxa"/>
              <w:right w:w="113" w:type="dxa"/>
            </w:tcMar>
            <w:vAlign w:val="center"/>
          </w:tcPr>
          <w:p w14:paraId="11347CF9" w14:textId="77777777" w:rsidR="00AC04A4" w:rsidRPr="00953BC9" w:rsidRDefault="00AC04A4" w:rsidP="006873F1">
            <w:pPr>
              <w:pStyle w:val="CDITable-TotalRowLeft"/>
            </w:pPr>
            <w:r w:rsidRPr="00953BC9">
              <w:t>All non-COVID-19 vaccines</w:t>
            </w:r>
          </w:p>
        </w:tc>
        <w:tc>
          <w:tcPr>
            <w:tcW w:w="1247" w:type="dxa"/>
            <w:tcBorders>
              <w:top w:val="single" w:sz="6" w:space="0" w:color="1E4496" w:themeColor="text2"/>
              <w:bottom w:val="single" w:sz="6" w:space="0" w:color="1E4496" w:themeColor="text2"/>
            </w:tcBorders>
            <w:shd w:val="clear" w:color="auto" w:fill="DCF4FC" w:themeFill="background2" w:themeFillTint="33"/>
            <w:tcMar>
              <w:top w:w="108" w:type="dxa"/>
              <w:left w:w="113" w:type="dxa"/>
              <w:bottom w:w="108" w:type="dxa"/>
              <w:right w:w="113" w:type="dxa"/>
            </w:tcMar>
            <w:vAlign w:val="center"/>
          </w:tcPr>
          <w:p w14:paraId="25AB18C7" w14:textId="77777777" w:rsidR="00AC04A4" w:rsidRPr="00953BC9" w:rsidRDefault="00AC04A4" w:rsidP="006873F1">
            <w:pPr>
              <w:pStyle w:val="CDITable-TotalRowCentre"/>
            </w:pPr>
            <w:r w:rsidRPr="00953BC9">
              <w:t>908</w:t>
            </w:r>
          </w:p>
        </w:tc>
        <w:tc>
          <w:tcPr>
            <w:tcW w:w="1417" w:type="dxa"/>
            <w:tcBorders>
              <w:top w:val="single" w:sz="6" w:space="0" w:color="1E4496" w:themeColor="text2"/>
              <w:bottom w:val="single" w:sz="6" w:space="0" w:color="1E4496" w:themeColor="text2"/>
            </w:tcBorders>
            <w:shd w:val="clear" w:color="auto" w:fill="DCF4FC" w:themeFill="background2" w:themeFillTint="33"/>
            <w:tcMar>
              <w:top w:w="108" w:type="dxa"/>
              <w:left w:w="113" w:type="dxa"/>
              <w:bottom w:w="108" w:type="dxa"/>
              <w:right w:w="113" w:type="dxa"/>
            </w:tcMar>
            <w:vAlign w:val="center"/>
          </w:tcPr>
          <w:p w14:paraId="2FE2463D" w14:textId="77777777" w:rsidR="00AC04A4" w:rsidRPr="00953BC9" w:rsidRDefault="00AC04A4" w:rsidP="006873F1">
            <w:pPr>
              <w:pStyle w:val="CDITable-TotalRowCentre"/>
            </w:pPr>
            <w:r w:rsidRPr="00953BC9">
              <w:t>7,673,117</w:t>
            </w:r>
          </w:p>
        </w:tc>
        <w:tc>
          <w:tcPr>
            <w:tcW w:w="2098" w:type="dxa"/>
            <w:tcBorders>
              <w:top w:val="single" w:sz="6" w:space="0" w:color="1E4496" w:themeColor="text2"/>
              <w:bottom w:val="single" w:sz="6" w:space="0" w:color="1E4496" w:themeColor="text2"/>
            </w:tcBorders>
            <w:shd w:val="clear" w:color="auto" w:fill="DCF4FC" w:themeFill="background2" w:themeFillTint="33"/>
            <w:tcMar>
              <w:top w:w="108" w:type="dxa"/>
              <w:left w:w="113" w:type="dxa"/>
              <w:bottom w:w="108" w:type="dxa"/>
              <w:right w:w="113" w:type="dxa"/>
            </w:tcMar>
            <w:vAlign w:val="center"/>
          </w:tcPr>
          <w:p w14:paraId="16AD51A1" w14:textId="77777777" w:rsidR="00AC04A4" w:rsidRPr="00953BC9" w:rsidRDefault="00AC04A4" w:rsidP="006873F1">
            <w:pPr>
              <w:pStyle w:val="CDITable-TotalRowCentre"/>
            </w:pPr>
            <w:r w:rsidRPr="00953BC9">
              <w:t>11.8 (11.1–12.6)</w:t>
            </w:r>
          </w:p>
        </w:tc>
      </w:tr>
      <w:tr w:rsidR="00953BC9" w:rsidRPr="00953BC9" w14:paraId="04F0447A" w14:textId="77777777" w:rsidTr="006873F1">
        <w:trPr>
          <w:trHeight w:val="60"/>
        </w:trPr>
        <w:tc>
          <w:tcPr>
            <w:tcW w:w="1247" w:type="dxa"/>
            <w:vMerge w:val="restart"/>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FE8BF5D" w14:textId="77777777" w:rsidR="00953BC9" w:rsidRPr="00953BC9" w:rsidRDefault="00953BC9" w:rsidP="00953BC9">
            <w:pPr>
              <w:pStyle w:val="CDITable-RowLeft"/>
            </w:pPr>
            <w:r w:rsidRPr="00953BC9">
              <w:t>≥ 65 years</w:t>
            </w:r>
          </w:p>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F02103A" w14:textId="77777777" w:rsidR="00953BC9" w:rsidRPr="00953BC9" w:rsidRDefault="00953BC9" w:rsidP="00953BC9">
            <w:pPr>
              <w:pStyle w:val="CDITable-RowLeft"/>
            </w:pPr>
            <w:r w:rsidRPr="00953BC9">
              <w:t>Influenza (seasonal—high-dose or adjuvanted)</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D3558D0" w14:textId="77777777" w:rsidR="00953BC9" w:rsidRPr="00953BC9" w:rsidRDefault="00953BC9" w:rsidP="00953BC9">
            <w:pPr>
              <w:pStyle w:val="CDITable-RowCentre"/>
            </w:pPr>
            <w:r w:rsidRPr="00953BC9">
              <w:t>143</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29CF1F1" w14:textId="77777777" w:rsidR="00953BC9" w:rsidRPr="00953BC9" w:rsidRDefault="00953BC9" w:rsidP="00953BC9">
            <w:pPr>
              <w:pStyle w:val="CDITable-RowCentre"/>
            </w:pPr>
            <w:r w:rsidRPr="00953BC9">
              <w:t>3,187,272</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9FA5DE1" w14:textId="77777777" w:rsidR="00953BC9" w:rsidRPr="00953BC9" w:rsidRDefault="00953BC9" w:rsidP="00953BC9">
            <w:pPr>
              <w:pStyle w:val="CDITable-RowCentre"/>
            </w:pPr>
            <w:r w:rsidRPr="00953BC9">
              <w:t>4.5 (3.8–5.3)</w:t>
            </w:r>
          </w:p>
        </w:tc>
      </w:tr>
      <w:tr w:rsidR="00953BC9" w:rsidRPr="00953BC9" w14:paraId="1ADEBE9A" w14:textId="77777777" w:rsidTr="006873F1">
        <w:trPr>
          <w:trHeight w:val="60"/>
        </w:trPr>
        <w:tc>
          <w:tcPr>
            <w:tcW w:w="1247" w:type="dxa"/>
            <w:vMerge/>
            <w:tcBorders>
              <w:top w:val="single" w:sz="6" w:space="0" w:color="1E4496" w:themeColor="text2"/>
              <w:bottom w:val="single" w:sz="6" w:space="0" w:color="1E4496" w:themeColor="text2"/>
            </w:tcBorders>
            <w:tcMar>
              <w:top w:w="108" w:type="dxa"/>
              <w:bottom w:w="108" w:type="dxa"/>
            </w:tcMar>
          </w:tcPr>
          <w:p w14:paraId="107FB798" w14:textId="77777777" w:rsidR="00953BC9" w:rsidRPr="00953BC9" w:rsidRDefault="00953BC9"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EB2E956" w14:textId="77777777" w:rsidR="00953BC9" w:rsidRPr="00953BC9" w:rsidRDefault="00953BC9" w:rsidP="00953BC9">
            <w:pPr>
              <w:pStyle w:val="CDITable-RowLeft"/>
            </w:pPr>
            <w:r w:rsidRPr="00953BC9">
              <w:t>Zoster (ZVL)</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0AE34AE" w14:textId="77777777" w:rsidR="00953BC9" w:rsidRPr="00953BC9" w:rsidRDefault="00953BC9" w:rsidP="00953BC9">
            <w:pPr>
              <w:pStyle w:val="CDITable-RowCentre"/>
            </w:pPr>
            <w:r w:rsidRPr="00953BC9">
              <w:t>76</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6279FAC" w14:textId="77777777" w:rsidR="00953BC9" w:rsidRPr="00953BC9" w:rsidRDefault="00953BC9" w:rsidP="00953BC9">
            <w:pPr>
              <w:pStyle w:val="CDITable-RowCentre"/>
            </w:pPr>
            <w:r w:rsidRPr="00953BC9">
              <w:t>194,245</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92566A0" w14:textId="77777777" w:rsidR="00953BC9" w:rsidRPr="00953BC9" w:rsidRDefault="00953BC9" w:rsidP="00953BC9">
            <w:pPr>
              <w:pStyle w:val="CDITable-RowCentre"/>
            </w:pPr>
            <w:r w:rsidRPr="00953BC9">
              <w:t>39.1 (30.8–49)</w:t>
            </w:r>
          </w:p>
        </w:tc>
      </w:tr>
      <w:tr w:rsidR="00953BC9" w:rsidRPr="00953BC9" w14:paraId="318CD0AB" w14:textId="77777777" w:rsidTr="006873F1">
        <w:trPr>
          <w:trHeight w:val="60"/>
        </w:trPr>
        <w:tc>
          <w:tcPr>
            <w:tcW w:w="1247" w:type="dxa"/>
            <w:vMerge/>
            <w:tcBorders>
              <w:top w:val="single" w:sz="6" w:space="0" w:color="1E4496" w:themeColor="text2"/>
              <w:bottom w:val="single" w:sz="6" w:space="0" w:color="1E4496" w:themeColor="text2"/>
            </w:tcBorders>
            <w:tcMar>
              <w:top w:w="108" w:type="dxa"/>
              <w:bottom w:w="108" w:type="dxa"/>
            </w:tcMar>
          </w:tcPr>
          <w:p w14:paraId="6E42CF71" w14:textId="77777777" w:rsidR="00953BC9" w:rsidRPr="00953BC9" w:rsidRDefault="00953BC9"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41D166B" w14:textId="77777777" w:rsidR="00953BC9" w:rsidRPr="00953BC9" w:rsidRDefault="00953BC9" w:rsidP="00953BC9">
            <w:pPr>
              <w:pStyle w:val="CDITable-RowLeft"/>
            </w:pPr>
            <w:r w:rsidRPr="00953BC9">
              <w:t>Zoster (RZV)</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AF1BDCB" w14:textId="77777777" w:rsidR="00953BC9" w:rsidRPr="00953BC9" w:rsidRDefault="00953BC9" w:rsidP="00953BC9">
            <w:pPr>
              <w:pStyle w:val="CDITable-RowCentre"/>
            </w:pPr>
            <w:r w:rsidRPr="00953BC9">
              <w:t>47</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70AF40E" w14:textId="77777777" w:rsidR="00953BC9" w:rsidRPr="00953BC9" w:rsidRDefault="00953BC9" w:rsidP="00953BC9">
            <w:pPr>
              <w:pStyle w:val="CDITable-RowCentre"/>
            </w:pPr>
            <w:r w:rsidRPr="00953BC9">
              <w:t>69,402</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A4198BA" w14:textId="77777777" w:rsidR="00953BC9" w:rsidRPr="00953BC9" w:rsidRDefault="00953BC9" w:rsidP="00953BC9">
            <w:pPr>
              <w:pStyle w:val="CDITable-RowCentre"/>
            </w:pPr>
            <w:r w:rsidRPr="00953BC9">
              <w:t>67.7 (49.8–90.0)</w:t>
            </w:r>
          </w:p>
        </w:tc>
      </w:tr>
      <w:tr w:rsidR="00953BC9" w:rsidRPr="00953BC9" w14:paraId="424DE46F" w14:textId="77777777" w:rsidTr="006873F1">
        <w:trPr>
          <w:trHeight w:val="60"/>
        </w:trPr>
        <w:tc>
          <w:tcPr>
            <w:tcW w:w="1247" w:type="dxa"/>
            <w:vMerge/>
            <w:tcBorders>
              <w:top w:val="single" w:sz="6" w:space="0" w:color="1E4496" w:themeColor="text2"/>
              <w:bottom w:val="single" w:sz="6" w:space="0" w:color="1E4496" w:themeColor="text2"/>
            </w:tcBorders>
            <w:tcMar>
              <w:top w:w="108" w:type="dxa"/>
              <w:bottom w:w="108" w:type="dxa"/>
            </w:tcMar>
          </w:tcPr>
          <w:p w14:paraId="022DF356" w14:textId="77777777" w:rsidR="00953BC9" w:rsidRPr="00953BC9" w:rsidRDefault="00953BC9"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7DCDB19" w14:textId="77777777" w:rsidR="00953BC9" w:rsidRPr="00953BC9" w:rsidRDefault="00953BC9" w:rsidP="00953BC9">
            <w:pPr>
              <w:pStyle w:val="CDITable-RowLeft"/>
            </w:pPr>
            <w:r w:rsidRPr="00953BC9">
              <w:t>13vPCV</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ECE120C" w14:textId="77777777" w:rsidR="00953BC9" w:rsidRPr="00953BC9" w:rsidRDefault="00953BC9" w:rsidP="00953BC9">
            <w:pPr>
              <w:pStyle w:val="CDITable-RowCentre"/>
            </w:pPr>
            <w:r w:rsidRPr="00953BC9">
              <w:t>43</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297172C" w14:textId="77777777" w:rsidR="00953BC9" w:rsidRPr="00953BC9" w:rsidRDefault="00953BC9" w:rsidP="00953BC9">
            <w:pPr>
              <w:pStyle w:val="CDITable-RowCentre"/>
            </w:pPr>
            <w:r w:rsidRPr="00953BC9">
              <w:t>366,319</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960D164" w14:textId="77777777" w:rsidR="00953BC9" w:rsidRPr="00953BC9" w:rsidRDefault="00953BC9" w:rsidP="00953BC9">
            <w:pPr>
              <w:pStyle w:val="CDITable-RowCentre"/>
            </w:pPr>
            <w:r w:rsidRPr="00953BC9">
              <w:t>11.7 (8.5–15.8)</w:t>
            </w:r>
          </w:p>
        </w:tc>
      </w:tr>
      <w:tr w:rsidR="00953BC9" w:rsidRPr="00953BC9" w14:paraId="75552BE4" w14:textId="77777777" w:rsidTr="006873F1">
        <w:trPr>
          <w:trHeight w:val="60"/>
        </w:trPr>
        <w:tc>
          <w:tcPr>
            <w:tcW w:w="1247" w:type="dxa"/>
            <w:vMerge/>
            <w:tcBorders>
              <w:top w:val="single" w:sz="6" w:space="0" w:color="1E4496" w:themeColor="text2"/>
              <w:bottom w:val="single" w:sz="6" w:space="0" w:color="1E4496" w:themeColor="text2"/>
            </w:tcBorders>
            <w:tcMar>
              <w:top w:w="108" w:type="dxa"/>
              <w:bottom w:w="108" w:type="dxa"/>
            </w:tcMar>
          </w:tcPr>
          <w:p w14:paraId="414160DF" w14:textId="77777777" w:rsidR="00953BC9" w:rsidRPr="00953BC9" w:rsidRDefault="00953BC9"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42E3018" w14:textId="77777777" w:rsidR="00953BC9" w:rsidRPr="00953BC9" w:rsidRDefault="00953BC9" w:rsidP="00953BC9">
            <w:pPr>
              <w:pStyle w:val="CDITable-RowLeft"/>
            </w:pPr>
            <w:r w:rsidRPr="00953BC9">
              <w:t>Influenza (seasonal—standard formulation)</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AF7BD77" w14:textId="77777777" w:rsidR="00953BC9" w:rsidRPr="00953BC9" w:rsidRDefault="00953BC9" w:rsidP="00953BC9">
            <w:pPr>
              <w:pStyle w:val="CDITable-RowCentre"/>
            </w:pPr>
            <w:r w:rsidRPr="00953BC9">
              <w:t>33</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D2C79A4" w14:textId="77777777" w:rsidR="00953BC9" w:rsidRPr="00953BC9" w:rsidRDefault="00953BC9" w:rsidP="00953BC9">
            <w:pPr>
              <w:pStyle w:val="CDITable-RowCentre"/>
            </w:pPr>
            <w:r w:rsidRPr="00953BC9">
              <w:t>269,348</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E434258" w14:textId="77777777" w:rsidR="00953BC9" w:rsidRPr="00953BC9" w:rsidRDefault="00953BC9" w:rsidP="00953BC9">
            <w:pPr>
              <w:pStyle w:val="CDITable-RowCentre"/>
            </w:pPr>
            <w:r w:rsidRPr="00953BC9">
              <w:t>12.3 (8.4–17.2)</w:t>
            </w:r>
          </w:p>
        </w:tc>
      </w:tr>
      <w:tr w:rsidR="00953BC9" w:rsidRPr="00953BC9" w14:paraId="728E8746" w14:textId="77777777" w:rsidTr="006873F1">
        <w:trPr>
          <w:trHeight w:val="60"/>
        </w:trPr>
        <w:tc>
          <w:tcPr>
            <w:tcW w:w="1247" w:type="dxa"/>
            <w:vMerge/>
            <w:tcBorders>
              <w:top w:val="single" w:sz="6" w:space="0" w:color="1E4496" w:themeColor="text2"/>
              <w:bottom w:val="single" w:sz="6" w:space="0" w:color="1E4496" w:themeColor="text2"/>
            </w:tcBorders>
            <w:tcMar>
              <w:top w:w="108" w:type="dxa"/>
              <w:bottom w:w="108" w:type="dxa"/>
            </w:tcMar>
          </w:tcPr>
          <w:p w14:paraId="5F81C8D4" w14:textId="77777777" w:rsidR="00953BC9" w:rsidRPr="00953BC9" w:rsidRDefault="00953BC9"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10268BA" w14:textId="77777777" w:rsidR="00953BC9" w:rsidRPr="00953BC9" w:rsidRDefault="00953BC9" w:rsidP="00953BC9">
            <w:pPr>
              <w:pStyle w:val="CDITable-RowLeft"/>
            </w:pPr>
            <w:r w:rsidRPr="00953BC9">
              <w:t>23vPPV</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47856C7" w14:textId="77777777" w:rsidR="00953BC9" w:rsidRPr="00953BC9" w:rsidRDefault="00953BC9" w:rsidP="00953BC9">
            <w:pPr>
              <w:pStyle w:val="CDITable-RowCentre"/>
            </w:pPr>
            <w:r w:rsidRPr="00953BC9">
              <w:t>11</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7A5D467" w14:textId="77777777" w:rsidR="00953BC9" w:rsidRPr="00953BC9" w:rsidRDefault="00953BC9" w:rsidP="00953BC9">
            <w:pPr>
              <w:pStyle w:val="CDITable-RowCentre"/>
            </w:pPr>
            <w:r w:rsidRPr="00953BC9">
              <w:t>30,302</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FD25186" w14:textId="77777777" w:rsidR="00953BC9" w:rsidRPr="00953BC9" w:rsidRDefault="00953BC9" w:rsidP="00953BC9">
            <w:pPr>
              <w:pStyle w:val="CDITable-RowCentre"/>
            </w:pPr>
            <w:r w:rsidRPr="00953BC9">
              <w:t>36.3 (18.1–64.9)</w:t>
            </w:r>
          </w:p>
        </w:tc>
      </w:tr>
      <w:tr w:rsidR="00953BC9" w:rsidRPr="00953BC9" w14:paraId="248C7CB7" w14:textId="77777777" w:rsidTr="006873F1">
        <w:trPr>
          <w:trHeight w:val="60"/>
        </w:trPr>
        <w:tc>
          <w:tcPr>
            <w:tcW w:w="1247" w:type="dxa"/>
            <w:vMerge/>
            <w:tcBorders>
              <w:top w:val="single" w:sz="6" w:space="0" w:color="1E4496" w:themeColor="text2"/>
              <w:bottom w:val="single" w:sz="6" w:space="0" w:color="1E4496" w:themeColor="text2"/>
            </w:tcBorders>
            <w:tcMar>
              <w:top w:w="108" w:type="dxa"/>
              <w:bottom w:w="108" w:type="dxa"/>
            </w:tcMar>
          </w:tcPr>
          <w:p w14:paraId="60E88389" w14:textId="77777777" w:rsidR="00953BC9" w:rsidRPr="00953BC9" w:rsidRDefault="00953BC9"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30B0964" w14:textId="77777777" w:rsidR="00953BC9" w:rsidRPr="00953BC9" w:rsidRDefault="00953BC9" w:rsidP="00953BC9">
            <w:pPr>
              <w:pStyle w:val="CDITable-RowLeft"/>
            </w:pPr>
            <w:r w:rsidRPr="00953BC9">
              <w:t>MVA-BN</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9742D5F" w14:textId="77777777" w:rsidR="00953BC9" w:rsidRPr="00953BC9" w:rsidRDefault="00953BC9" w:rsidP="00953BC9">
            <w:pPr>
              <w:pStyle w:val="CDITable-RowCentre"/>
            </w:pPr>
            <w:r w:rsidRPr="00953BC9">
              <w:t>11</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8FD92DE" w14:textId="77777777" w:rsidR="00953BC9" w:rsidRPr="00953BC9" w:rsidRDefault="00953BC9" w:rsidP="00953BC9">
            <w:pPr>
              <w:pStyle w:val="CDITable-RowCentre"/>
            </w:pPr>
            <w:r w:rsidRPr="00953BC9">
              <w:t>2,676</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2F82412" w14:textId="77777777" w:rsidR="00953BC9" w:rsidRPr="00953BC9" w:rsidRDefault="00953BC9" w:rsidP="00953BC9">
            <w:pPr>
              <w:pStyle w:val="CDITable-RowCentre"/>
            </w:pPr>
            <w:r w:rsidRPr="00953BC9">
              <w:t>411.1 (205.4–734.3)</w:t>
            </w:r>
          </w:p>
        </w:tc>
      </w:tr>
      <w:tr w:rsidR="00953BC9" w:rsidRPr="00953BC9" w14:paraId="43AD3832" w14:textId="77777777" w:rsidTr="006873F1">
        <w:trPr>
          <w:trHeight w:val="60"/>
        </w:trPr>
        <w:tc>
          <w:tcPr>
            <w:tcW w:w="1247" w:type="dxa"/>
            <w:vMerge/>
            <w:tcBorders>
              <w:top w:val="single" w:sz="6" w:space="0" w:color="1E4496" w:themeColor="text2"/>
              <w:bottom w:val="single" w:sz="6" w:space="0" w:color="1E4496" w:themeColor="text2"/>
            </w:tcBorders>
            <w:tcMar>
              <w:top w:w="108" w:type="dxa"/>
              <w:bottom w:w="108" w:type="dxa"/>
            </w:tcMar>
          </w:tcPr>
          <w:p w14:paraId="3C993878" w14:textId="77777777" w:rsidR="00953BC9" w:rsidRPr="00953BC9" w:rsidRDefault="00953BC9"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D183214" w14:textId="77777777" w:rsidR="00953BC9" w:rsidRPr="00953BC9" w:rsidRDefault="00953BC9" w:rsidP="00953BC9">
            <w:pPr>
              <w:pStyle w:val="CDITable-RowLeft"/>
            </w:pPr>
            <w:r w:rsidRPr="00953BC9">
              <w:t>dTpa</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44604FB" w14:textId="77777777" w:rsidR="00953BC9" w:rsidRPr="00953BC9" w:rsidRDefault="00953BC9" w:rsidP="00953BC9">
            <w:pPr>
              <w:pStyle w:val="CDITable-RowCentre"/>
            </w:pPr>
            <w:r w:rsidRPr="00953BC9">
              <w:t>8</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D39D140" w14:textId="77777777" w:rsidR="00953BC9" w:rsidRPr="00953BC9" w:rsidRDefault="00953BC9" w:rsidP="00953BC9">
            <w:pPr>
              <w:pStyle w:val="CDITable-RowCentre"/>
            </w:pPr>
            <w:r w:rsidRPr="00953BC9">
              <w:t>119,154</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E1D4356" w14:textId="77777777" w:rsidR="00953BC9" w:rsidRPr="00953BC9" w:rsidRDefault="00953BC9" w:rsidP="00953BC9">
            <w:pPr>
              <w:pStyle w:val="CDITable-RowCentre"/>
            </w:pPr>
            <w:r w:rsidRPr="00953BC9">
              <w:t>6.7 (2.9–13.2)</w:t>
            </w:r>
          </w:p>
        </w:tc>
      </w:tr>
      <w:tr w:rsidR="00953BC9" w:rsidRPr="00953BC9" w14:paraId="186C1BA7" w14:textId="77777777" w:rsidTr="006873F1">
        <w:trPr>
          <w:trHeight w:val="60"/>
        </w:trPr>
        <w:tc>
          <w:tcPr>
            <w:tcW w:w="1247" w:type="dxa"/>
            <w:vMerge/>
            <w:tcBorders>
              <w:top w:val="single" w:sz="6" w:space="0" w:color="1E4496" w:themeColor="text2"/>
              <w:bottom w:val="single" w:sz="6" w:space="0" w:color="1E4496" w:themeColor="text2"/>
            </w:tcBorders>
            <w:tcMar>
              <w:top w:w="108" w:type="dxa"/>
              <w:bottom w:w="108" w:type="dxa"/>
            </w:tcMar>
          </w:tcPr>
          <w:p w14:paraId="6751BD0A" w14:textId="77777777" w:rsidR="00953BC9" w:rsidRPr="00953BC9" w:rsidRDefault="00953BC9"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5CE1188" w14:textId="77777777" w:rsidR="00953BC9" w:rsidRPr="00953BC9" w:rsidRDefault="00953BC9" w:rsidP="00953BC9">
            <w:pPr>
              <w:pStyle w:val="CDITable-RowLeft"/>
            </w:pPr>
            <w:r w:rsidRPr="00953BC9">
              <w:t>Japanese encephalitis (live)</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D8373A3" w14:textId="77777777" w:rsidR="00953BC9" w:rsidRPr="00953BC9" w:rsidRDefault="00953BC9" w:rsidP="00953BC9">
            <w:pPr>
              <w:pStyle w:val="CDITable-RowCentre"/>
            </w:pPr>
            <w:r w:rsidRPr="00953BC9">
              <w:t>3</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6F7F6E8" w14:textId="77777777" w:rsidR="00953BC9" w:rsidRPr="00953BC9" w:rsidRDefault="00953BC9" w:rsidP="00953BC9">
            <w:pPr>
              <w:pStyle w:val="CDITable-RowCentre"/>
            </w:pPr>
            <w:r w:rsidRPr="00953BC9">
              <w:t>30,289</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1C7C8B7" w14:textId="77777777" w:rsidR="00953BC9" w:rsidRPr="00953BC9" w:rsidRDefault="00953BC9" w:rsidP="00953BC9">
            <w:pPr>
              <w:pStyle w:val="CDITable-RowCentre"/>
            </w:pPr>
            <w:r w:rsidRPr="00953BC9">
              <w:t>9.9 (2–28.9)</w:t>
            </w:r>
          </w:p>
        </w:tc>
      </w:tr>
      <w:tr w:rsidR="00953BC9" w:rsidRPr="00953BC9" w14:paraId="48A40BB3" w14:textId="77777777" w:rsidTr="006873F1">
        <w:trPr>
          <w:trHeight w:val="60"/>
        </w:trPr>
        <w:tc>
          <w:tcPr>
            <w:tcW w:w="1247" w:type="dxa"/>
            <w:vMerge/>
            <w:tcBorders>
              <w:top w:val="single" w:sz="6" w:space="0" w:color="1E4496" w:themeColor="text2"/>
              <w:bottom w:val="single" w:sz="6" w:space="0" w:color="1E4496" w:themeColor="text2"/>
            </w:tcBorders>
            <w:tcMar>
              <w:top w:w="108" w:type="dxa"/>
              <w:bottom w:w="108" w:type="dxa"/>
            </w:tcMar>
          </w:tcPr>
          <w:p w14:paraId="066DA339" w14:textId="77777777" w:rsidR="00953BC9" w:rsidRPr="00953BC9" w:rsidRDefault="00953BC9"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71B751C" w14:textId="77777777" w:rsidR="00953BC9" w:rsidRPr="00953BC9" w:rsidRDefault="00953BC9" w:rsidP="00953BC9">
            <w:pPr>
              <w:pStyle w:val="CDITable-RowLeft"/>
            </w:pPr>
            <w:r w:rsidRPr="00953BC9">
              <w:t>Varicella</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3687DE0" w14:textId="77777777" w:rsidR="00953BC9" w:rsidRPr="00953BC9" w:rsidRDefault="00953BC9" w:rsidP="00953BC9">
            <w:pPr>
              <w:pStyle w:val="CDITable-RowCentre"/>
            </w:pPr>
            <w:r w:rsidRPr="00953BC9">
              <w:t>3</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AB1D7E3" w14:textId="77777777" w:rsidR="00953BC9" w:rsidRPr="00953BC9" w:rsidRDefault="00953BC9" w:rsidP="00953BC9">
            <w:pPr>
              <w:pStyle w:val="CDITable-RowCentre"/>
            </w:pPr>
            <w:r w:rsidRPr="00953BC9">
              <w:t>812</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3B3ED51" w14:textId="77777777" w:rsidR="00953BC9" w:rsidRPr="00953BC9" w:rsidRDefault="00953BC9" w:rsidP="00953BC9">
            <w:pPr>
              <w:pStyle w:val="CDITable-RowCentre"/>
            </w:pPr>
            <w:r w:rsidRPr="00953BC9">
              <w:t>369.5 (76.3–1,075.9)</w:t>
            </w:r>
          </w:p>
        </w:tc>
      </w:tr>
      <w:tr w:rsidR="00953BC9" w:rsidRPr="00953BC9" w14:paraId="0CD69F1C" w14:textId="77777777" w:rsidTr="006873F1">
        <w:trPr>
          <w:trHeight w:val="60"/>
        </w:trPr>
        <w:tc>
          <w:tcPr>
            <w:tcW w:w="1247" w:type="dxa"/>
            <w:vMerge/>
            <w:tcBorders>
              <w:top w:val="single" w:sz="6" w:space="0" w:color="1E4496" w:themeColor="text2"/>
              <w:bottom w:val="single" w:sz="6" w:space="0" w:color="1E4496" w:themeColor="text2"/>
            </w:tcBorders>
            <w:tcMar>
              <w:top w:w="108" w:type="dxa"/>
              <w:bottom w:w="108" w:type="dxa"/>
            </w:tcMar>
          </w:tcPr>
          <w:p w14:paraId="5861B29C" w14:textId="77777777" w:rsidR="00953BC9" w:rsidRPr="00953BC9" w:rsidRDefault="00953BC9"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70DE9AF" w14:textId="77777777" w:rsidR="00953BC9" w:rsidRPr="00953BC9" w:rsidRDefault="00953BC9" w:rsidP="00953BC9">
            <w:pPr>
              <w:pStyle w:val="CDITable-RowLeft"/>
            </w:pPr>
            <w:r w:rsidRPr="00953BC9">
              <w:t>DT</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BCA9E57" w14:textId="77777777" w:rsidR="00953BC9" w:rsidRPr="00953BC9" w:rsidRDefault="00953BC9" w:rsidP="00953BC9">
            <w:pPr>
              <w:pStyle w:val="CDITable-RowCentre"/>
            </w:pPr>
            <w:r w:rsidRPr="00953BC9">
              <w:t>2</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7293930" w14:textId="77777777" w:rsidR="00953BC9" w:rsidRPr="00953BC9" w:rsidRDefault="00953BC9" w:rsidP="00953BC9">
            <w:pPr>
              <w:pStyle w:val="CDITable-RowCentre"/>
            </w:pPr>
            <w:r w:rsidRPr="00953BC9">
              <w:t>80,957</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383A827" w14:textId="77777777" w:rsidR="00953BC9" w:rsidRPr="00953BC9" w:rsidRDefault="00953BC9" w:rsidP="00953BC9">
            <w:pPr>
              <w:pStyle w:val="CDITable-RowCentre"/>
            </w:pPr>
            <w:r w:rsidRPr="00953BC9">
              <w:t>2.5 (0.3–8.9)</w:t>
            </w:r>
          </w:p>
        </w:tc>
      </w:tr>
      <w:tr w:rsidR="00953BC9" w:rsidRPr="00953BC9" w14:paraId="04DD5AFF" w14:textId="77777777" w:rsidTr="006873F1">
        <w:trPr>
          <w:trHeight w:val="60"/>
        </w:trPr>
        <w:tc>
          <w:tcPr>
            <w:tcW w:w="1247" w:type="dxa"/>
            <w:vMerge/>
            <w:tcBorders>
              <w:top w:val="single" w:sz="6" w:space="0" w:color="1E4496" w:themeColor="text2"/>
              <w:bottom w:val="single" w:sz="6" w:space="0" w:color="1E4496" w:themeColor="text2"/>
            </w:tcBorders>
            <w:tcMar>
              <w:top w:w="108" w:type="dxa"/>
              <w:bottom w:w="108" w:type="dxa"/>
            </w:tcMar>
          </w:tcPr>
          <w:p w14:paraId="20A2BED4" w14:textId="77777777" w:rsidR="00953BC9" w:rsidRPr="00953BC9" w:rsidRDefault="00953BC9"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E7F93B3" w14:textId="77777777" w:rsidR="00953BC9" w:rsidRPr="00953BC9" w:rsidRDefault="00953BC9" w:rsidP="00953BC9">
            <w:pPr>
              <w:pStyle w:val="CDITable-RowLeft"/>
            </w:pPr>
            <w:r w:rsidRPr="00953BC9">
              <w:t>MenACWY</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F51F4D9" w14:textId="77777777" w:rsidR="00953BC9" w:rsidRPr="00953BC9" w:rsidRDefault="00953BC9" w:rsidP="00953BC9">
            <w:pPr>
              <w:pStyle w:val="CDITable-RowCentre"/>
            </w:pPr>
            <w:r w:rsidRPr="00953BC9">
              <w:t>1</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62AF2DD" w14:textId="77777777" w:rsidR="00953BC9" w:rsidRPr="00953BC9" w:rsidRDefault="00953BC9" w:rsidP="00953BC9">
            <w:pPr>
              <w:pStyle w:val="CDITable-RowCentre"/>
            </w:pPr>
            <w:r w:rsidRPr="00953BC9">
              <w:t>3,347</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8B3CD71" w14:textId="77777777" w:rsidR="00953BC9" w:rsidRPr="00953BC9" w:rsidRDefault="00953BC9" w:rsidP="00953BC9">
            <w:pPr>
              <w:pStyle w:val="CDITable-RowCentre"/>
            </w:pPr>
            <w:r w:rsidRPr="00953BC9">
              <w:t>29.9 (0.8–166.4)</w:t>
            </w:r>
          </w:p>
        </w:tc>
      </w:tr>
      <w:tr w:rsidR="00953BC9" w:rsidRPr="00953BC9" w14:paraId="54D99525" w14:textId="77777777" w:rsidTr="006873F1">
        <w:trPr>
          <w:trHeight w:val="60"/>
        </w:trPr>
        <w:tc>
          <w:tcPr>
            <w:tcW w:w="1247" w:type="dxa"/>
            <w:vMerge/>
            <w:tcBorders>
              <w:top w:val="single" w:sz="6" w:space="0" w:color="1E4496" w:themeColor="text2"/>
              <w:bottom w:val="single" w:sz="6" w:space="0" w:color="1E4496" w:themeColor="text2"/>
            </w:tcBorders>
            <w:tcMar>
              <w:top w:w="108" w:type="dxa"/>
              <w:bottom w:w="108" w:type="dxa"/>
            </w:tcMar>
          </w:tcPr>
          <w:p w14:paraId="3AF88E2D" w14:textId="77777777" w:rsidR="00953BC9" w:rsidRPr="00953BC9" w:rsidRDefault="00953BC9" w:rsidP="00953BC9"/>
        </w:tc>
        <w:tc>
          <w:tcPr>
            <w:tcW w:w="362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C732E42" w14:textId="77777777" w:rsidR="00953BC9" w:rsidRPr="00953BC9" w:rsidRDefault="00953BC9" w:rsidP="00953BC9">
            <w:pPr>
              <w:pStyle w:val="CDITable-RowLeft"/>
            </w:pPr>
            <w:r w:rsidRPr="00953BC9">
              <w:t>Typhoid-hepatitis A</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9C298FC" w14:textId="77777777" w:rsidR="00953BC9" w:rsidRPr="00953BC9" w:rsidRDefault="00953BC9" w:rsidP="00953BC9">
            <w:pPr>
              <w:pStyle w:val="CDITable-RowCentre"/>
            </w:pPr>
            <w:r w:rsidRPr="00953BC9">
              <w:t>1</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973AA87" w14:textId="77777777" w:rsidR="00953BC9" w:rsidRPr="00953BC9" w:rsidRDefault="00953BC9" w:rsidP="00953BC9">
            <w:pPr>
              <w:pStyle w:val="CDITable-RowCentre"/>
            </w:pPr>
            <w:r w:rsidRPr="00953BC9">
              <w:t>7,798</w:t>
            </w:r>
          </w:p>
        </w:tc>
        <w:tc>
          <w:tcPr>
            <w:tcW w:w="209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561D29C" w14:textId="77777777" w:rsidR="00953BC9" w:rsidRPr="00953BC9" w:rsidRDefault="00953BC9" w:rsidP="00953BC9">
            <w:pPr>
              <w:pStyle w:val="CDITable-RowCentre"/>
            </w:pPr>
            <w:r w:rsidRPr="00953BC9">
              <w:t>12.8 (0.3–71.4)</w:t>
            </w:r>
          </w:p>
        </w:tc>
      </w:tr>
      <w:tr w:rsidR="00953BC9" w:rsidRPr="00953BC9" w14:paraId="28C90B54" w14:textId="77777777" w:rsidTr="006873F1">
        <w:trPr>
          <w:trHeight w:val="60"/>
        </w:trPr>
        <w:tc>
          <w:tcPr>
            <w:tcW w:w="1247" w:type="dxa"/>
            <w:vMerge/>
            <w:tcBorders>
              <w:top w:val="single" w:sz="6" w:space="0" w:color="1E4496" w:themeColor="text2"/>
              <w:bottom w:val="single" w:sz="6" w:space="0" w:color="1E4496" w:themeColor="text2"/>
            </w:tcBorders>
            <w:tcMar>
              <w:top w:w="108" w:type="dxa"/>
              <w:bottom w:w="108" w:type="dxa"/>
            </w:tcMar>
          </w:tcPr>
          <w:p w14:paraId="3A3B8A8D" w14:textId="77777777" w:rsidR="00953BC9" w:rsidRPr="00953BC9" w:rsidRDefault="00953BC9" w:rsidP="00953BC9"/>
        </w:tc>
        <w:tc>
          <w:tcPr>
            <w:tcW w:w="3629" w:type="dxa"/>
            <w:tcBorders>
              <w:top w:val="single" w:sz="6" w:space="0" w:color="1E4496" w:themeColor="text2"/>
              <w:bottom w:val="single" w:sz="6" w:space="0" w:color="1E4496" w:themeColor="text2"/>
            </w:tcBorders>
            <w:shd w:val="clear" w:color="auto" w:fill="DCF4FC" w:themeFill="background2" w:themeFillTint="33"/>
            <w:tcMar>
              <w:top w:w="108" w:type="dxa"/>
              <w:left w:w="113" w:type="dxa"/>
              <w:bottom w:w="108" w:type="dxa"/>
              <w:right w:w="113" w:type="dxa"/>
            </w:tcMar>
            <w:vAlign w:val="center"/>
          </w:tcPr>
          <w:p w14:paraId="193F2276" w14:textId="77777777" w:rsidR="00953BC9" w:rsidRPr="00953BC9" w:rsidRDefault="00953BC9" w:rsidP="00953BC9">
            <w:pPr>
              <w:pStyle w:val="CDITable-TotalRowLeft"/>
            </w:pPr>
            <w:r w:rsidRPr="00953BC9">
              <w:t>All non-COVID-19 vaccines</w:t>
            </w:r>
          </w:p>
        </w:tc>
        <w:tc>
          <w:tcPr>
            <w:tcW w:w="1247" w:type="dxa"/>
            <w:tcBorders>
              <w:top w:val="single" w:sz="6" w:space="0" w:color="1E4496" w:themeColor="text2"/>
              <w:bottom w:val="single" w:sz="6" w:space="0" w:color="1E4496" w:themeColor="text2"/>
            </w:tcBorders>
            <w:shd w:val="clear" w:color="auto" w:fill="DCF4FC" w:themeFill="background2" w:themeFillTint="33"/>
            <w:tcMar>
              <w:top w:w="108" w:type="dxa"/>
              <w:left w:w="113" w:type="dxa"/>
              <w:bottom w:w="108" w:type="dxa"/>
              <w:right w:w="113" w:type="dxa"/>
            </w:tcMar>
            <w:vAlign w:val="center"/>
          </w:tcPr>
          <w:p w14:paraId="2619B72D" w14:textId="77777777" w:rsidR="00953BC9" w:rsidRPr="00953BC9" w:rsidRDefault="00953BC9" w:rsidP="00953BC9">
            <w:pPr>
              <w:pStyle w:val="CDITable-TotalRowCentre"/>
            </w:pPr>
            <w:r w:rsidRPr="00953BC9">
              <w:t>375</w:t>
            </w:r>
          </w:p>
        </w:tc>
        <w:tc>
          <w:tcPr>
            <w:tcW w:w="1417" w:type="dxa"/>
            <w:tcBorders>
              <w:top w:val="single" w:sz="6" w:space="0" w:color="1E4496" w:themeColor="text2"/>
              <w:bottom w:val="single" w:sz="6" w:space="0" w:color="1E4496" w:themeColor="text2"/>
            </w:tcBorders>
            <w:shd w:val="clear" w:color="auto" w:fill="DCF4FC" w:themeFill="background2" w:themeFillTint="33"/>
            <w:tcMar>
              <w:top w:w="108" w:type="dxa"/>
              <w:left w:w="113" w:type="dxa"/>
              <w:bottom w:w="108" w:type="dxa"/>
              <w:right w:w="113" w:type="dxa"/>
            </w:tcMar>
            <w:vAlign w:val="center"/>
          </w:tcPr>
          <w:p w14:paraId="4394F690" w14:textId="77777777" w:rsidR="00953BC9" w:rsidRPr="00953BC9" w:rsidRDefault="00953BC9" w:rsidP="00953BC9">
            <w:pPr>
              <w:pStyle w:val="CDITable-TotalRowCentre"/>
            </w:pPr>
            <w:r w:rsidRPr="00953BC9">
              <w:t>4,412,768</w:t>
            </w:r>
          </w:p>
        </w:tc>
        <w:tc>
          <w:tcPr>
            <w:tcW w:w="2098" w:type="dxa"/>
            <w:tcBorders>
              <w:top w:val="single" w:sz="6" w:space="0" w:color="1E4496" w:themeColor="text2"/>
              <w:bottom w:val="single" w:sz="6" w:space="0" w:color="1E4496" w:themeColor="text2"/>
            </w:tcBorders>
            <w:shd w:val="clear" w:color="auto" w:fill="DCF4FC" w:themeFill="background2" w:themeFillTint="33"/>
            <w:tcMar>
              <w:top w:w="108" w:type="dxa"/>
              <w:left w:w="113" w:type="dxa"/>
              <w:bottom w:w="108" w:type="dxa"/>
              <w:right w:w="113" w:type="dxa"/>
            </w:tcMar>
            <w:vAlign w:val="center"/>
          </w:tcPr>
          <w:p w14:paraId="44C3DB83" w14:textId="77777777" w:rsidR="00953BC9" w:rsidRPr="00953BC9" w:rsidRDefault="00953BC9" w:rsidP="00953BC9">
            <w:pPr>
              <w:pStyle w:val="CDITable-TotalRowCentre"/>
            </w:pPr>
            <w:r w:rsidRPr="00953BC9">
              <w:t>8.5 (7.7–9.4)</w:t>
            </w:r>
          </w:p>
        </w:tc>
      </w:tr>
      <w:tr w:rsidR="00953BC9" w:rsidRPr="00953BC9" w14:paraId="580D6EFD" w14:textId="77777777" w:rsidTr="006873F1">
        <w:trPr>
          <w:trHeight w:val="60"/>
        </w:trPr>
        <w:tc>
          <w:tcPr>
            <w:tcW w:w="1247" w:type="dxa"/>
            <w:tcBorders>
              <w:top w:val="single" w:sz="6" w:space="0" w:color="1E4496" w:themeColor="text2"/>
              <w:bottom w:val="single" w:sz="6" w:space="0" w:color="1E4496" w:themeColor="text2"/>
            </w:tcBorders>
            <w:shd w:val="clear" w:color="auto" w:fill="53C9F1" w:themeFill="background2"/>
            <w:tcMar>
              <w:top w:w="108" w:type="dxa"/>
              <w:left w:w="113" w:type="dxa"/>
              <w:bottom w:w="108" w:type="dxa"/>
              <w:right w:w="113" w:type="dxa"/>
            </w:tcMar>
            <w:vAlign w:val="center"/>
          </w:tcPr>
          <w:p w14:paraId="43C46E15" w14:textId="77777777" w:rsidR="00953BC9" w:rsidRPr="00AC04A4" w:rsidRDefault="00953BC9" w:rsidP="00953BC9">
            <w:pPr>
              <w:pStyle w:val="CDITable-TotalRowLeft"/>
            </w:pPr>
            <w:r w:rsidRPr="00AC04A4">
              <w:t>All ages</w:t>
            </w:r>
          </w:p>
        </w:tc>
        <w:tc>
          <w:tcPr>
            <w:tcW w:w="3629" w:type="dxa"/>
            <w:tcBorders>
              <w:top w:val="single" w:sz="6" w:space="0" w:color="1E4496" w:themeColor="text2"/>
              <w:bottom w:val="single" w:sz="6" w:space="0" w:color="1E4496" w:themeColor="text2"/>
            </w:tcBorders>
            <w:shd w:val="clear" w:color="auto" w:fill="53C9F1" w:themeFill="background2"/>
            <w:tcMar>
              <w:top w:w="108" w:type="dxa"/>
              <w:left w:w="113" w:type="dxa"/>
              <w:bottom w:w="108" w:type="dxa"/>
              <w:right w:w="113" w:type="dxa"/>
            </w:tcMar>
            <w:vAlign w:val="center"/>
          </w:tcPr>
          <w:p w14:paraId="61BFE9ED" w14:textId="77777777" w:rsidR="00953BC9" w:rsidRPr="00AC04A4" w:rsidRDefault="00953BC9" w:rsidP="00953BC9">
            <w:pPr>
              <w:pStyle w:val="CDITable-TotalRowLeft"/>
            </w:pPr>
            <w:r w:rsidRPr="00AC04A4">
              <w:t>All non-COVID-19 vaccines</w:t>
            </w:r>
          </w:p>
        </w:tc>
        <w:tc>
          <w:tcPr>
            <w:tcW w:w="1247" w:type="dxa"/>
            <w:tcBorders>
              <w:top w:val="single" w:sz="6" w:space="0" w:color="1E4496" w:themeColor="text2"/>
              <w:bottom w:val="single" w:sz="6" w:space="0" w:color="1E4496" w:themeColor="text2"/>
            </w:tcBorders>
            <w:shd w:val="clear" w:color="auto" w:fill="53C9F1" w:themeFill="background2"/>
            <w:tcMar>
              <w:top w:w="108" w:type="dxa"/>
              <w:left w:w="113" w:type="dxa"/>
              <w:bottom w:w="108" w:type="dxa"/>
              <w:right w:w="113" w:type="dxa"/>
            </w:tcMar>
            <w:vAlign w:val="center"/>
          </w:tcPr>
          <w:p w14:paraId="1A7E222F" w14:textId="77777777" w:rsidR="00953BC9" w:rsidRPr="00AC04A4" w:rsidRDefault="00953BC9" w:rsidP="00953BC9">
            <w:pPr>
              <w:pStyle w:val="CDITable-TotalRowCentre"/>
            </w:pPr>
            <w:r w:rsidRPr="00AC04A4">
              <w:t>3,642</w:t>
            </w:r>
          </w:p>
        </w:tc>
        <w:tc>
          <w:tcPr>
            <w:tcW w:w="1417" w:type="dxa"/>
            <w:tcBorders>
              <w:top w:val="single" w:sz="6" w:space="0" w:color="1E4496" w:themeColor="text2"/>
              <w:bottom w:val="single" w:sz="6" w:space="0" w:color="1E4496" w:themeColor="text2"/>
            </w:tcBorders>
            <w:shd w:val="clear" w:color="auto" w:fill="53C9F1" w:themeFill="background2"/>
            <w:tcMar>
              <w:top w:w="108" w:type="dxa"/>
              <w:left w:w="113" w:type="dxa"/>
              <w:bottom w:w="108" w:type="dxa"/>
              <w:right w:w="113" w:type="dxa"/>
            </w:tcMar>
            <w:vAlign w:val="center"/>
          </w:tcPr>
          <w:p w14:paraId="73F22CED" w14:textId="77777777" w:rsidR="00953BC9" w:rsidRPr="00AC04A4" w:rsidRDefault="00953BC9" w:rsidP="00953BC9">
            <w:pPr>
              <w:pStyle w:val="CDITable-TotalRowCentre"/>
            </w:pPr>
            <w:r w:rsidRPr="00AC04A4">
              <w:t>19,327,320</w:t>
            </w:r>
          </w:p>
        </w:tc>
        <w:tc>
          <w:tcPr>
            <w:tcW w:w="2098" w:type="dxa"/>
            <w:tcBorders>
              <w:top w:val="single" w:sz="6" w:space="0" w:color="1E4496" w:themeColor="text2"/>
              <w:bottom w:val="single" w:sz="6" w:space="0" w:color="1E4496" w:themeColor="text2"/>
            </w:tcBorders>
            <w:shd w:val="clear" w:color="auto" w:fill="53C9F1" w:themeFill="background2"/>
            <w:tcMar>
              <w:top w:w="108" w:type="dxa"/>
              <w:left w:w="113" w:type="dxa"/>
              <w:bottom w:w="108" w:type="dxa"/>
              <w:right w:w="113" w:type="dxa"/>
            </w:tcMar>
            <w:vAlign w:val="center"/>
          </w:tcPr>
          <w:p w14:paraId="2CB287B8" w14:textId="77777777" w:rsidR="00953BC9" w:rsidRPr="00AC04A4" w:rsidRDefault="00953BC9" w:rsidP="00953BC9">
            <w:pPr>
              <w:pStyle w:val="CDITable-TotalRowCentre"/>
            </w:pPr>
            <w:r w:rsidRPr="00AC04A4">
              <w:t>18.8 (18.2–19.5)</w:t>
            </w:r>
          </w:p>
        </w:tc>
      </w:tr>
    </w:tbl>
    <w:p w14:paraId="7BEAFCDE" w14:textId="77777777" w:rsidR="00953BC9" w:rsidRPr="00953BC9" w:rsidRDefault="00953BC9" w:rsidP="00953BC9">
      <w:pPr>
        <w:pStyle w:val="CDITable-FirstFootnote"/>
        <w:rPr>
          <w:lang w:val="en-GB"/>
        </w:rPr>
      </w:pPr>
      <w:r w:rsidRPr="00953BC9">
        <w:rPr>
          <w:lang w:val="en-GB"/>
        </w:rPr>
        <w:t>a</w:t>
      </w:r>
      <w:r w:rsidRPr="00953BC9">
        <w:rPr>
          <w:lang w:val="en-GB"/>
        </w:rPr>
        <w:tab/>
        <w:t>‘All ages’ includes AEFI reports where age was not provided.</w:t>
      </w:r>
    </w:p>
    <w:p w14:paraId="00F3BB47" w14:textId="77777777" w:rsidR="00953BC9" w:rsidRPr="00953BC9" w:rsidRDefault="00953BC9" w:rsidP="00953BC9">
      <w:pPr>
        <w:pStyle w:val="CDITable-Footnote"/>
        <w:rPr>
          <w:lang w:val="en-GB"/>
        </w:rPr>
      </w:pPr>
      <w:r w:rsidRPr="00953BC9">
        <w:rPr>
          <w:lang w:val="en-GB"/>
        </w:rPr>
        <w:t>b</w:t>
      </w:r>
      <w:r w:rsidRPr="00953BC9">
        <w:rPr>
          <w:lang w:val="en-GB"/>
        </w:rPr>
        <w:tab/>
        <w:t xml:space="preserve">‘All non-COVID-19 vaccines’ includes AEFI reports where the vaccine was not </w:t>
      </w:r>
      <w:proofErr w:type="gramStart"/>
      <w:r w:rsidRPr="00953BC9">
        <w:rPr>
          <w:lang w:val="en-GB"/>
        </w:rPr>
        <w:t>specified</w:t>
      </w:r>
      <w:proofErr w:type="gramEnd"/>
      <w:r w:rsidRPr="00953BC9">
        <w:rPr>
          <w:lang w:val="en-GB"/>
        </w:rPr>
        <w:t xml:space="preserve"> and a general vaccine category (for example, ‘pneumococcal vaccine’) was coded as ‘suspect’.</w:t>
      </w:r>
    </w:p>
    <w:p w14:paraId="21643231" w14:textId="77777777" w:rsidR="00953BC9" w:rsidRPr="00953BC9" w:rsidRDefault="00953BC9" w:rsidP="00953BC9">
      <w:pPr>
        <w:pStyle w:val="CDITable-Footnote"/>
        <w:rPr>
          <w:lang w:val="en-GB"/>
        </w:rPr>
      </w:pPr>
      <w:r w:rsidRPr="00953BC9">
        <w:rPr>
          <w:lang w:val="en-GB"/>
        </w:rPr>
        <w:t>c</w:t>
      </w:r>
      <w:r w:rsidRPr="00953BC9">
        <w:rPr>
          <w:lang w:val="en-GB"/>
        </w:rPr>
        <w:tab/>
        <w:t xml:space="preserve">Number of AEFI reports in which the vaccine was coded as ‘suspect’ </w:t>
      </w:r>
      <w:proofErr w:type="gramStart"/>
      <w:r w:rsidRPr="00953BC9">
        <w:rPr>
          <w:lang w:val="en-GB"/>
        </w:rPr>
        <w:t>with regard to</w:t>
      </w:r>
      <w:proofErr w:type="gramEnd"/>
      <w:r w:rsidRPr="00953BC9">
        <w:rPr>
          <w:lang w:val="en-GB"/>
        </w:rPr>
        <w:t xml:space="preserve"> causal involvement in the reported adverse event and the vaccine was administered between 1 January and 31 December 2022. More than one vaccine may be coded as ‘suspect’ in the same report if several were administered or reported at the same time.</w:t>
      </w:r>
    </w:p>
    <w:p w14:paraId="1BE63967" w14:textId="77777777" w:rsidR="00953BC9" w:rsidRPr="00953BC9" w:rsidRDefault="00953BC9" w:rsidP="00953BC9">
      <w:pPr>
        <w:pStyle w:val="CDITable-Footnote"/>
        <w:rPr>
          <w:lang w:val="en-GB"/>
        </w:rPr>
      </w:pPr>
      <w:r w:rsidRPr="00953BC9">
        <w:rPr>
          <w:lang w:val="en-GB"/>
        </w:rPr>
        <w:t>d</w:t>
      </w:r>
      <w:r w:rsidRPr="00953BC9">
        <w:rPr>
          <w:lang w:val="en-GB"/>
        </w:rPr>
        <w:tab/>
        <w:t xml:space="preserve">Number of vaccine doses administered between 1 January and 31 December 2022 and recorded on the Australian Immunisation Register as </w:t>
      </w:r>
      <w:proofErr w:type="gramStart"/>
      <w:r w:rsidRPr="00953BC9">
        <w:rPr>
          <w:lang w:val="en-GB"/>
        </w:rPr>
        <w:t>at</w:t>
      </w:r>
      <w:proofErr w:type="gramEnd"/>
      <w:r w:rsidRPr="00953BC9">
        <w:rPr>
          <w:lang w:val="en-GB"/>
        </w:rPr>
        <w:t xml:space="preserve"> 2 April 2023.</w:t>
      </w:r>
    </w:p>
    <w:p w14:paraId="6A34DADA" w14:textId="77777777" w:rsidR="00953BC9" w:rsidRPr="00953BC9" w:rsidRDefault="00953BC9" w:rsidP="00953BC9">
      <w:pPr>
        <w:pStyle w:val="CDITable-Footnote"/>
        <w:rPr>
          <w:lang w:val="en-GB"/>
        </w:rPr>
      </w:pPr>
      <w:r w:rsidRPr="00953BC9">
        <w:rPr>
          <w:lang w:val="en-GB"/>
        </w:rPr>
        <w:t>e</w:t>
      </w:r>
      <w:r w:rsidRPr="00953BC9">
        <w:rPr>
          <w:lang w:val="en-GB"/>
        </w:rPr>
        <w:tab/>
        <w:t>95% CI: 95% confidence interval.</w:t>
      </w:r>
    </w:p>
    <w:p w14:paraId="0A9F1875" w14:textId="77777777" w:rsidR="00213AE1" w:rsidRPr="00213AE1" w:rsidRDefault="00213AE1" w:rsidP="00213AE1">
      <w:pPr>
        <w:pStyle w:val="Heading3"/>
        <w:rPr>
          <w:lang w:val="en-GB"/>
        </w:rPr>
      </w:pPr>
      <w:r w:rsidRPr="00213AE1">
        <w:rPr>
          <w:lang w:val="en-GB"/>
        </w:rPr>
        <w:lastRenderedPageBreak/>
        <w:t>Population-based reporting rates</w:t>
      </w:r>
    </w:p>
    <w:p w14:paraId="1479FCF9" w14:textId="0E8907AF" w:rsidR="00213AE1" w:rsidRPr="00213AE1" w:rsidRDefault="00213AE1" w:rsidP="00213AE1">
      <w:pPr>
        <w:rPr>
          <w:lang w:val="en-GB"/>
        </w:rPr>
      </w:pPr>
      <w:r w:rsidRPr="00213AE1">
        <w:rPr>
          <w:lang w:val="en-GB"/>
        </w:rPr>
        <w:t>The overall AEFI reporting rate for 2022 was 14.0 [95% CI: 13.6–14.5] per 100,000 total population, compared with 13.4 per 100,000 in 2021 and 14.9 per 100,000 in 2020 (Table 2). By</w:t>
      </w:r>
      <w:r w:rsidR="00C65F41">
        <w:rPr>
          <w:lang w:val="en-GB"/>
        </w:rPr>
        <w:t> </w:t>
      </w:r>
      <w:r w:rsidRPr="00213AE1">
        <w:rPr>
          <w:lang w:val="en-GB"/>
        </w:rPr>
        <w:t>comparison, the highest annual reporting rate during 2000–2021 was observed in 2010 (17.4</w:t>
      </w:r>
      <w:r w:rsidR="00C65F41">
        <w:rPr>
          <w:lang w:val="en-GB"/>
        </w:rPr>
        <w:t> </w:t>
      </w:r>
      <w:r w:rsidRPr="00213AE1">
        <w:rPr>
          <w:lang w:val="en-GB"/>
        </w:rPr>
        <w:t xml:space="preserve">per 100,000 total population). </w:t>
      </w:r>
    </w:p>
    <w:p w14:paraId="26EAA657" w14:textId="77777777" w:rsidR="00213AE1" w:rsidRPr="00213AE1" w:rsidRDefault="00213AE1" w:rsidP="00213AE1">
      <w:pPr>
        <w:rPr>
          <w:lang w:val="en-GB"/>
        </w:rPr>
      </w:pPr>
      <w:r w:rsidRPr="00213AE1">
        <w:rPr>
          <w:lang w:val="en-GB"/>
        </w:rPr>
        <w:t xml:space="preserve">Figure 1 shows the annual trend in AEFI report counts and reporting rates per 100,000 population, including AEFI reports that had been entered into the AEMS database in the years </w:t>
      </w:r>
      <w:proofErr w:type="gramStart"/>
      <w:r w:rsidRPr="00213AE1">
        <w:rPr>
          <w:lang w:val="en-GB"/>
        </w:rPr>
        <w:t>subsequent to</w:t>
      </w:r>
      <w:proofErr w:type="gramEnd"/>
      <w:r w:rsidRPr="00213AE1">
        <w:rPr>
          <w:lang w:val="en-GB"/>
        </w:rPr>
        <w:t xml:space="preserve"> their occurrence. Therefore, there may be discrepancies between Figure 1 and the numbers in previous annual reports.</w:t>
      </w:r>
    </w:p>
    <w:p w14:paraId="12FC0ED5" w14:textId="77777777" w:rsidR="00213AE1" w:rsidRPr="00213AE1" w:rsidRDefault="00213AE1" w:rsidP="00213AE1">
      <w:pPr>
        <w:rPr>
          <w:lang w:val="en-GB"/>
        </w:rPr>
      </w:pPr>
      <w:r w:rsidRPr="00213AE1">
        <w:rPr>
          <w:lang w:val="en-GB"/>
        </w:rPr>
        <w:t>The highest age group-specific population-based AEFI reporting rate was observed in children aged &lt; 7 years (69.5 reports per 100,000 population &lt; 7 years; Table 2). Compared with 2021, reporting rates of AEFI decreased in the &lt; 7 years and ≥ 65 years age groups (Figure 2). While reporting rates increased slightly in the 7–17 years and 18–64 years age groups from 2021, they were still below 2020 rates.</w:t>
      </w:r>
    </w:p>
    <w:p w14:paraId="5AF80BFD" w14:textId="04F63A9B" w:rsidR="00C65F41" w:rsidRDefault="00213AE1" w:rsidP="00C65F41">
      <w:pPr>
        <w:rPr>
          <w:lang w:val="en-GB"/>
        </w:rPr>
      </w:pPr>
      <w:r w:rsidRPr="00213AE1">
        <w:rPr>
          <w:lang w:val="en-GB"/>
        </w:rPr>
        <w:t>By jurisdiction, the highest population-based AEFI reporting rates in 2022 were in Victoria (19.9</w:t>
      </w:r>
      <w:r w:rsidR="00C65F41">
        <w:rPr>
          <w:lang w:val="en-GB"/>
        </w:rPr>
        <w:t> </w:t>
      </w:r>
      <w:r w:rsidRPr="00213AE1">
        <w:rPr>
          <w:lang w:val="en-GB"/>
        </w:rPr>
        <w:t>reports per 100,000 population), Western Australia (18.4 per 100,000 population) and Tasmania (18.2 per 100,000 population). The lowest reporting rates were in Queensland (4.2</w:t>
      </w:r>
      <w:r w:rsidR="00C65F41">
        <w:rPr>
          <w:lang w:val="en-GB"/>
        </w:rPr>
        <w:t> </w:t>
      </w:r>
      <w:r w:rsidRPr="00213AE1">
        <w:rPr>
          <w:lang w:val="en-GB"/>
        </w:rPr>
        <w:t xml:space="preserve">reports per 100,000 population), South Australia (7.3 per 100,000 population), and New South Wales (9.8 per 100,000 population; Table 2). </w:t>
      </w:r>
      <w:r w:rsidR="00C65F41">
        <w:rPr>
          <w:lang w:val="en-GB"/>
        </w:rPr>
        <w:br w:type="page"/>
      </w:r>
    </w:p>
    <w:p w14:paraId="09536FE6" w14:textId="060FCB3C" w:rsidR="00213AE1" w:rsidRPr="00213AE1" w:rsidRDefault="00213AE1" w:rsidP="00213AE1">
      <w:pPr>
        <w:pStyle w:val="CDITable-Title"/>
        <w:rPr>
          <w:lang w:val="en-GB"/>
        </w:rPr>
      </w:pPr>
      <w:bookmarkStart w:id="27" w:name="_Toc215491390"/>
      <w:r w:rsidRPr="00213AE1">
        <w:rPr>
          <w:lang w:val="en-GB"/>
        </w:rPr>
        <w:lastRenderedPageBreak/>
        <w:t>Table 2: Adverse event following immunisation reports in the Adverse Event Management System database for vaccines administered in 2022 (excluding COVID-19 vaccines), by</w:t>
      </w:r>
      <w:r w:rsidR="00C65F41">
        <w:rPr>
          <w:lang w:val="en-GB"/>
        </w:rPr>
        <w:t> </w:t>
      </w:r>
      <w:r w:rsidRPr="00213AE1">
        <w:rPr>
          <w:lang w:val="en-GB"/>
        </w:rPr>
        <w:t>jurisdiction</w:t>
      </w:r>
      <w:bookmarkEnd w:id="27"/>
    </w:p>
    <w:tbl>
      <w:tblPr>
        <w:tblW w:w="0" w:type="auto"/>
        <w:tblLayout w:type="fixed"/>
        <w:tblCellMar>
          <w:left w:w="0" w:type="dxa"/>
          <w:right w:w="0" w:type="dxa"/>
        </w:tblCellMar>
        <w:tblLook w:val="0000" w:firstRow="0" w:lastRow="0" w:firstColumn="0" w:lastColumn="0" w:noHBand="0" w:noVBand="0"/>
        <w:tblCaption w:val="Table 2: Adverse event following immunisation reports in the Adverse Event Management System database for vaccines administered in 2022 (excluding COVID-19 vaccines), by jurisdiction"/>
        <w:tblDescription w:val="Table 2 lists each state and territory of Australia and the number of adverse event reports received following non-COVID-19 vaccines in 2022. The jurisdiction-specific 2022 annual adverse event reporting rate per 100,000 population is calculated. For each jurisdiction, the table also gives the 2022 reporting rates for events classified as serious, and for recipients &lt; 7 and ≥ 7 years of age."/>
      </w:tblPr>
      <w:tblGrid>
        <w:gridCol w:w="1587"/>
        <w:gridCol w:w="1871"/>
        <w:gridCol w:w="1928"/>
        <w:gridCol w:w="1417"/>
        <w:gridCol w:w="1417"/>
        <w:gridCol w:w="1418"/>
      </w:tblGrid>
      <w:tr w:rsidR="00213AE1" w:rsidRPr="00213AE1" w14:paraId="76F4A269" w14:textId="77777777" w:rsidTr="00213AE1">
        <w:tblPrEx>
          <w:tblCellMar>
            <w:top w:w="0" w:type="dxa"/>
            <w:left w:w="0" w:type="dxa"/>
            <w:bottom w:w="0" w:type="dxa"/>
            <w:right w:w="0" w:type="dxa"/>
          </w:tblCellMar>
        </w:tblPrEx>
        <w:trPr>
          <w:trHeight w:val="60"/>
          <w:tblHeader/>
        </w:trPr>
        <w:tc>
          <w:tcPr>
            <w:tcW w:w="1587" w:type="dxa"/>
            <w:vMerge w:val="restart"/>
            <w:shd w:val="clear" w:color="auto" w:fill="1E4496" w:themeFill="text2"/>
            <w:tcMar>
              <w:top w:w="113" w:type="dxa"/>
              <w:left w:w="113" w:type="dxa"/>
              <w:bottom w:w="113" w:type="dxa"/>
              <w:right w:w="113" w:type="dxa"/>
            </w:tcMar>
            <w:vAlign w:val="bottom"/>
          </w:tcPr>
          <w:p w14:paraId="6EA5C2F0" w14:textId="77777777" w:rsidR="00213AE1" w:rsidRPr="00213AE1" w:rsidRDefault="00213AE1" w:rsidP="00213AE1">
            <w:pPr>
              <w:pStyle w:val="CDITable-HeaderRowLeft"/>
            </w:pPr>
            <w:proofErr w:type="spellStart"/>
            <w:r w:rsidRPr="00213AE1">
              <w:t>Jurisdiction</w:t>
            </w:r>
            <w:r w:rsidRPr="00213AE1">
              <w:rPr>
                <w:vertAlign w:val="superscript"/>
              </w:rPr>
              <w:t>a</w:t>
            </w:r>
            <w:proofErr w:type="spellEnd"/>
          </w:p>
        </w:tc>
        <w:tc>
          <w:tcPr>
            <w:tcW w:w="1871" w:type="dxa"/>
            <w:vMerge w:val="restart"/>
            <w:shd w:val="clear" w:color="auto" w:fill="1E4496" w:themeFill="text2"/>
            <w:tcMar>
              <w:top w:w="113" w:type="dxa"/>
              <w:left w:w="113" w:type="dxa"/>
              <w:bottom w:w="113" w:type="dxa"/>
              <w:right w:w="113" w:type="dxa"/>
            </w:tcMar>
            <w:vAlign w:val="bottom"/>
          </w:tcPr>
          <w:p w14:paraId="6834530B" w14:textId="77777777" w:rsidR="00213AE1" w:rsidRPr="00213AE1" w:rsidRDefault="00213AE1" w:rsidP="00213AE1">
            <w:pPr>
              <w:pStyle w:val="CDITable-HeaderRowCentre"/>
            </w:pPr>
            <w:r w:rsidRPr="00213AE1">
              <w:t>AEFI reports</w:t>
            </w:r>
            <w:r w:rsidRPr="00213AE1">
              <w:br/>
              <w:t>n (%)</w:t>
            </w:r>
          </w:p>
        </w:tc>
        <w:tc>
          <w:tcPr>
            <w:tcW w:w="6180" w:type="dxa"/>
            <w:gridSpan w:val="4"/>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3A62AF87" w14:textId="77777777" w:rsidR="00213AE1" w:rsidRPr="00213AE1" w:rsidRDefault="00213AE1" w:rsidP="00213AE1">
            <w:pPr>
              <w:pStyle w:val="CDITable-HeaderRowCentre"/>
            </w:pPr>
            <w:r w:rsidRPr="00213AE1">
              <w:t xml:space="preserve">Annual reporting rate per 100,000 </w:t>
            </w:r>
            <w:proofErr w:type="spellStart"/>
            <w:r w:rsidRPr="00213AE1">
              <w:t>population</w:t>
            </w:r>
            <w:r w:rsidRPr="00213AE1">
              <w:rPr>
                <w:vertAlign w:val="superscript"/>
              </w:rPr>
              <w:t>b</w:t>
            </w:r>
            <w:proofErr w:type="spellEnd"/>
          </w:p>
        </w:tc>
      </w:tr>
      <w:tr w:rsidR="00213AE1" w:rsidRPr="00213AE1" w14:paraId="1FBEA478" w14:textId="77777777" w:rsidTr="00213AE1">
        <w:tblPrEx>
          <w:tblCellMar>
            <w:top w:w="0" w:type="dxa"/>
            <w:left w:w="0" w:type="dxa"/>
            <w:bottom w:w="0" w:type="dxa"/>
            <w:right w:w="0" w:type="dxa"/>
          </w:tblCellMar>
        </w:tblPrEx>
        <w:trPr>
          <w:trHeight w:val="60"/>
          <w:tblHeader/>
        </w:trPr>
        <w:tc>
          <w:tcPr>
            <w:tcW w:w="1587" w:type="dxa"/>
            <w:vMerge/>
            <w:shd w:val="clear" w:color="auto" w:fill="1E4496" w:themeFill="text2"/>
          </w:tcPr>
          <w:p w14:paraId="22078437" w14:textId="77777777" w:rsidR="00213AE1" w:rsidRPr="00213AE1" w:rsidRDefault="00213AE1" w:rsidP="00213AE1"/>
        </w:tc>
        <w:tc>
          <w:tcPr>
            <w:tcW w:w="1871" w:type="dxa"/>
            <w:vMerge/>
            <w:shd w:val="clear" w:color="auto" w:fill="1E4496" w:themeFill="text2"/>
          </w:tcPr>
          <w:p w14:paraId="15680561" w14:textId="77777777" w:rsidR="00213AE1" w:rsidRPr="00213AE1" w:rsidRDefault="00213AE1" w:rsidP="00213AE1">
            <w:pPr>
              <w:pStyle w:val="CDITable-HeaderRowCentre"/>
            </w:pPr>
          </w:p>
        </w:tc>
        <w:tc>
          <w:tcPr>
            <w:tcW w:w="1928"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2A31415" w14:textId="77777777" w:rsidR="00213AE1" w:rsidRPr="00213AE1" w:rsidRDefault="00213AE1" w:rsidP="00213AE1">
            <w:pPr>
              <w:pStyle w:val="CDITable-HeaderRowCentre"/>
            </w:pPr>
            <w:r w:rsidRPr="00213AE1">
              <w:t>Overall</w:t>
            </w:r>
            <w:r w:rsidRPr="00213AE1">
              <w:br/>
              <w:t xml:space="preserve">(95% </w:t>
            </w:r>
            <w:proofErr w:type="gramStart"/>
            <w:r w:rsidRPr="00213AE1">
              <w:t>CI)</w:t>
            </w:r>
            <w:r w:rsidRPr="00213AE1">
              <w:rPr>
                <w:vertAlign w:val="superscript"/>
              </w:rPr>
              <w:t>c</w:t>
            </w:r>
            <w:proofErr w:type="gramEnd"/>
          </w:p>
        </w:tc>
        <w:tc>
          <w:tcPr>
            <w:tcW w:w="141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5464C29" w14:textId="77777777" w:rsidR="00213AE1" w:rsidRPr="00213AE1" w:rsidRDefault="00213AE1" w:rsidP="00213AE1">
            <w:pPr>
              <w:pStyle w:val="CDITable-HeaderRowCentre"/>
            </w:pPr>
            <w:r w:rsidRPr="00213AE1">
              <w:t xml:space="preserve">Aged &lt; 7 </w:t>
            </w:r>
            <w:proofErr w:type="spellStart"/>
            <w:r w:rsidRPr="00213AE1">
              <w:t>years</w:t>
            </w:r>
            <w:r w:rsidRPr="00213AE1">
              <w:rPr>
                <w:bCs/>
                <w:vertAlign w:val="superscript"/>
              </w:rPr>
              <w:t>d</w:t>
            </w:r>
            <w:proofErr w:type="spellEnd"/>
          </w:p>
        </w:tc>
        <w:tc>
          <w:tcPr>
            <w:tcW w:w="141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4E49545" w14:textId="77777777" w:rsidR="00213AE1" w:rsidRPr="00213AE1" w:rsidRDefault="00213AE1" w:rsidP="00213AE1">
            <w:pPr>
              <w:pStyle w:val="CDITable-HeaderRowCentre"/>
            </w:pPr>
            <w:r w:rsidRPr="00213AE1">
              <w:t xml:space="preserve">Aged ≥ 7 </w:t>
            </w:r>
            <w:proofErr w:type="spellStart"/>
            <w:r w:rsidRPr="00213AE1">
              <w:t>years</w:t>
            </w:r>
            <w:r w:rsidRPr="00213AE1">
              <w:rPr>
                <w:bCs/>
                <w:vertAlign w:val="superscript"/>
              </w:rPr>
              <w:t>d</w:t>
            </w:r>
            <w:proofErr w:type="spellEnd"/>
          </w:p>
        </w:tc>
        <w:tc>
          <w:tcPr>
            <w:tcW w:w="1418"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03F1969" w14:textId="77777777" w:rsidR="00213AE1" w:rsidRPr="00213AE1" w:rsidRDefault="00213AE1" w:rsidP="00213AE1">
            <w:pPr>
              <w:pStyle w:val="CDITable-HeaderRowCentre"/>
            </w:pPr>
            <w:r w:rsidRPr="00213AE1">
              <w:t>Serious</w:t>
            </w:r>
            <w:r w:rsidRPr="00213AE1">
              <w:br/>
            </w:r>
            <w:proofErr w:type="spellStart"/>
            <w:r w:rsidRPr="00213AE1">
              <w:t>AEFI</w:t>
            </w:r>
            <w:r w:rsidRPr="00213AE1">
              <w:rPr>
                <w:bCs/>
                <w:vertAlign w:val="superscript"/>
              </w:rPr>
              <w:t>e</w:t>
            </w:r>
            <w:proofErr w:type="spellEnd"/>
          </w:p>
        </w:tc>
      </w:tr>
      <w:tr w:rsidR="00213AE1" w:rsidRPr="00213AE1" w14:paraId="3048C261" w14:textId="77777777" w:rsidTr="00213AE1">
        <w:tblPrEx>
          <w:tblCellMar>
            <w:top w:w="0" w:type="dxa"/>
            <w:left w:w="0" w:type="dxa"/>
            <w:bottom w:w="0" w:type="dxa"/>
            <w:right w:w="0" w:type="dxa"/>
          </w:tblCellMar>
        </w:tblPrEx>
        <w:trPr>
          <w:trHeight w:val="60"/>
        </w:trPr>
        <w:tc>
          <w:tcPr>
            <w:tcW w:w="1587" w:type="dxa"/>
            <w:tcBorders>
              <w:bottom w:val="single" w:sz="6" w:space="0" w:color="1E4496" w:themeColor="text2"/>
            </w:tcBorders>
            <w:tcMar>
              <w:top w:w="113" w:type="dxa"/>
              <w:left w:w="113" w:type="dxa"/>
              <w:bottom w:w="113" w:type="dxa"/>
              <w:right w:w="113" w:type="dxa"/>
            </w:tcMar>
            <w:vAlign w:val="center"/>
          </w:tcPr>
          <w:p w14:paraId="6FB84278" w14:textId="77777777" w:rsidR="00213AE1" w:rsidRPr="00213AE1" w:rsidRDefault="00213AE1" w:rsidP="00213AE1">
            <w:pPr>
              <w:pStyle w:val="CDITable-RowLeft"/>
            </w:pPr>
            <w:r w:rsidRPr="00213AE1">
              <w:t>ACT</w:t>
            </w:r>
          </w:p>
        </w:tc>
        <w:tc>
          <w:tcPr>
            <w:tcW w:w="1871" w:type="dxa"/>
            <w:tcBorders>
              <w:bottom w:val="single" w:sz="6" w:space="0" w:color="1E4496" w:themeColor="text2"/>
            </w:tcBorders>
            <w:tcMar>
              <w:top w:w="113" w:type="dxa"/>
              <w:left w:w="113" w:type="dxa"/>
              <w:bottom w:w="113" w:type="dxa"/>
              <w:right w:w="113" w:type="dxa"/>
            </w:tcMar>
            <w:vAlign w:val="center"/>
          </w:tcPr>
          <w:p w14:paraId="0ADADC40" w14:textId="77777777" w:rsidR="00213AE1" w:rsidRPr="00213AE1" w:rsidRDefault="00213AE1" w:rsidP="00213AE1">
            <w:pPr>
              <w:pStyle w:val="CDITable-RowCentre"/>
            </w:pPr>
            <w:r w:rsidRPr="00213AE1">
              <w:t>71 (1.9)</w:t>
            </w:r>
          </w:p>
        </w:tc>
        <w:tc>
          <w:tcPr>
            <w:tcW w:w="1928" w:type="dxa"/>
            <w:tcBorders>
              <w:bottom w:val="single" w:sz="6" w:space="0" w:color="1E4496" w:themeColor="text2"/>
            </w:tcBorders>
            <w:tcMar>
              <w:top w:w="113" w:type="dxa"/>
              <w:left w:w="113" w:type="dxa"/>
              <w:bottom w:w="113" w:type="dxa"/>
              <w:right w:w="113" w:type="dxa"/>
            </w:tcMar>
            <w:vAlign w:val="center"/>
          </w:tcPr>
          <w:p w14:paraId="09403109" w14:textId="77777777" w:rsidR="00213AE1" w:rsidRPr="00213AE1" w:rsidRDefault="00213AE1" w:rsidP="00213AE1">
            <w:pPr>
              <w:pStyle w:val="CDITable-RowCentre"/>
            </w:pPr>
            <w:r w:rsidRPr="00213AE1">
              <w:t>15.5 (12.1–19.6)</w:t>
            </w:r>
          </w:p>
        </w:tc>
        <w:tc>
          <w:tcPr>
            <w:tcW w:w="1417" w:type="dxa"/>
            <w:tcBorders>
              <w:bottom w:val="single" w:sz="6" w:space="0" w:color="1E4496" w:themeColor="text2"/>
            </w:tcBorders>
            <w:tcMar>
              <w:top w:w="113" w:type="dxa"/>
              <w:left w:w="113" w:type="dxa"/>
              <w:bottom w:w="113" w:type="dxa"/>
              <w:right w:w="113" w:type="dxa"/>
            </w:tcMar>
            <w:vAlign w:val="center"/>
          </w:tcPr>
          <w:p w14:paraId="7EA5D911" w14:textId="77777777" w:rsidR="00213AE1" w:rsidRPr="00213AE1" w:rsidRDefault="00213AE1" w:rsidP="00213AE1">
            <w:pPr>
              <w:pStyle w:val="CDITable-RowCentre"/>
            </w:pPr>
            <w:r w:rsidRPr="00213AE1">
              <w:t>65.5</w:t>
            </w:r>
          </w:p>
        </w:tc>
        <w:tc>
          <w:tcPr>
            <w:tcW w:w="1417" w:type="dxa"/>
            <w:tcBorders>
              <w:bottom w:val="single" w:sz="6" w:space="0" w:color="1E4496" w:themeColor="text2"/>
            </w:tcBorders>
            <w:tcMar>
              <w:top w:w="113" w:type="dxa"/>
              <w:left w:w="113" w:type="dxa"/>
              <w:bottom w:w="113" w:type="dxa"/>
              <w:right w:w="113" w:type="dxa"/>
            </w:tcMar>
            <w:vAlign w:val="center"/>
          </w:tcPr>
          <w:p w14:paraId="3B856739" w14:textId="77777777" w:rsidR="00213AE1" w:rsidRPr="00213AE1" w:rsidRDefault="00213AE1" w:rsidP="00213AE1">
            <w:pPr>
              <w:pStyle w:val="CDITable-RowCentre"/>
            </w:pPr>
            <w:r w:rsidRPr="00213AE1">
              <w:t>10.8</w:t>
            </w:r>
          </w:p>
        </w:tc>
        <w:tc>
          <w:tcPr>
            <w:tcW w:w="1418" w:type="dxa"/>
            <w:tcBorders>
              <w:bottom w:val="single" w:sz="6" w:space="0" w:color="1E4496" w:themeColor="text2"/>
            </w:tcBorders>
            <w:tcMar>
              <w:top w:w="113" w:type="dxa"/>
              <w:left w:w="113" w:type="dxa"/>
              <w:bottom w:w="113" w:type="dxa"/>
              <w:right w:w="113" w:type="dxa"/>
            </w:tcMar>
            <w:vAlign w:val="center"/>
          </w:tcPr>
          <w:p w14:paraId="07D5CDE7" w14:textId="77777777" w:rsidR="00213AE1" w:rsidRPr="00213AE1" w:rsidRDefault="00213AE1" w:rsidP="00213AE1">
            <w:pPr>
              <w:pStyle w:val="CDITable-RowCentre"/>
            </w:pPr>
            <w:r w:rsidRPr="00213AE1">
              <w:t>2.2</w:t>
            </w:r>
          </w:p>
        </w:tc>
      </w:tr>
      <w:tr w:rsidR="00213AE1" w:rsidRPr="00213AE1" w14:paraId="53925AA8" w14:textId="77777777" w:rsidTr="00213AE1">
        <w:tblPrEx>
          <w:tblCellMar>
            <w:top w:w="0" w:type="dxa"/>
            <w:left w:w="0" w:type="dxa"/>
            <w:bottom w:w="0" w:type="dxa"/>
            <w:right w:w="0" w:type="dxa"/>
          </w:tblCellMar>
        </w:tblPrEx>
        <w:trPr>
          <w:trHeight w:val="60"/>
        </w:trPr>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55C433" w14:textId="77777777" w:rsidR="00213AE1" w:rsidRPr="00213AE1" w:rsidRDefault="00213AE1" w:rsidP="00213AE1">
            <w:pPr>
              <w:pStyle w:val="CDITable-RowLeft"/>
            </w:pPr>
            <w:r w:rsidRPr="00213AE1">
              <w:t>NSW</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54C4DF" w14:textId="77777777" w:rsidR="00213AE1" w:rsidRPr="00213AE1" w:rsidRDefault="00213AE1" w:rsidP="00213AE1">
            <w:pPr>
              <w:pStyle w:val="CDITable-RowCentre"/>
            </w:pPr>
            <w:r w:rsidRPr="00213AE1">
              <w:t>802 (22.0)</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119207" w14:textId="77777777" w:rsidR="00213AE1" w:rsidRPr="00213AE1" w:rsidRDefault="00213AE1" w:rsidP="00213AE1">
            <w:pPr>
              <w:pStyle w:val="CDITable-RowCentre"/>
            </w:pPr>
            <w:r w:rsidRPr="00213AE1">
              <w:t>9.8 (9.2–10.5)</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1BE96B" w14:textId="77777777" w:rsidR="00213AE1" w:rsidRPr="00213AE1" w:rsidRDefault="00213AE1" w:rsidP="00213AE1">
            <w:pPr>
              <w:pStyle w:val="CDITable-RowCentre"/>
            </w:pPr>
            <w:r w:rsidRPr="00213AE1">
              <w:t>39.0</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D65D4D" w14:textId="77777777" w:rsidR="00213AE1" w:rsidRPr="00213AE1" w:rsidRDefault="00213AE1" w:rsidP="00213AE1">
            <w:pPr>
              <w:pStyle w:val="CDITable-RowCentre"/>
            </w:pPr>
            <w:r w:rsidRPr="00213AE1">
              <w:t>6.6</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C62BFD" w14:textId="77777777" w:rsidR="00213AE1" w:rsidRPr="00213AE1" w:rsidRDefault="00213AE1" w:rsidP="00213AE1">
            <w:pPr>
              <w:pStyle w:val="CDITable-RowCentre"/>
            </w:pPr>
            <w:r w:rsidRPr="00213AE1">
              <w:t>1.7</w:t>
            </w:r>
          </w:p>
        </w:tc>
      </w:tr>
      <w:tr w:rsidR="00213AE1" w:rsidRPr="00213AE1" w14:paraId="56CE9376" w14:textId="77777777" w:rsidTr="00213AE1">
        <w:tblPrEx>
          <w:tblCellMar>
            <w:top w:w="0" w:type="dxa"/>
            <w:left w:w="0" w:type="dxa"/>
            <w:bottom w:w="0" w:type="dxa"/>
            <w:right w:w="0" w:type="dxa"/>
          </w:tblCellMar>
        </w:tblPrEx>
        <w:trPr>
          <w:trHeight w:val="60"/>
        </w:trPr>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ACBF64" w14:textId="77777777" w:rsidR="00213AE1" w:rsidRPr="00213AE1" w:rsidRDefault="00213AE1" w:rsidP="00213AE1">
            <w:pPr>
              <w:pStyle w:val="CDITable-RowLeft"/>
            </w:pPr>
            <w:r w:rsidRPr="00213AE1">
              <w:t>NT</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37296E" w14:textId="77777777" w:rsidR="00213AE1" w:rsidRPr="00213AE1" w:rsidRDefault="00213AE1" w:rsidP="00213AE1">
            <w:pPr>
              <w:pStyle w:val="CDITable-RowCentre"/>
            </w:pPr>
            <w:r w:rsidRPr="00213AE1">
              <w:t>43 (1.2)</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3D5373" w14:textId="77777777" w:rsidR="00213AE1" w:rsidRPr="00213AE1" w:rsidRDefault="00213AE1" w:rsidP="00213AE1">
            <w:pPr>
              <w:pStyle w:val="CDITable-RowCentre"/>
            </w:pPr>
            <w:r w:rsidRPr="00213AE1">
              <w:t>17.2 (12.4–23.1)</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B75199" w14:textId="77777777" w:rsidR="00213AE1" w:rsidRPr="00213AE1" w:rsidRDefault="00213AE1" w:rsidP="00213AE1">
            <w:pPr>
              <w:pStyle w:val="CDITable-RowCentre"/>
            </w:pPr>
            <w:r w:rsidRPr="00213AE1">
              <w:t>44.7</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C226DD" w14:textId="77777777" w:rsidR="00213AE1" w:rsidRPr="00213AE1" w:rsidRDefault="00213AE1" w:rsidP="00213AE1">
            <w:pPr>
              <w:pStyle w:val="CDITable-RowCentre"/>
            </w:pPr>
            <w:r w:rsidRPr="00213AE1">
              <w:t>14.2</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599C51" w14:textId="77777777" w:rsidR="00213AE1" w:rsidRPr="00213AE1" w:rsidRDefault="00213AE1" w:rsidP="00213AE1">
            <w:pPr>
              <w:pStyle w:val="CDITable-RowCentre"/>
            </w:pPr>
            <w:r w:rsidRPr="00213AE1">
              <w:t>0.8</w:t>
            </w:r>
          </w:p>
        </w:tc>
      </w:tr>
      <w:tr w:rsidR="00213AE1" w:rsidRPr="00213AE1" w14:paraId="724E7B5C" w14:textId="77777777" w:rsidTr="00213AE1">
        <w:tblPrEx>
          <w:tblCellMar>
            <w:top w:w="0" w:type="dxa"/>
            <w:left w:w="0" w:type="dxa"/>
            <w:bottom w:w="0" w:type="dxa"/>
            <w:right w:w="0" w:type="dxa"/>
          </w:tblCellMar>
        </w:tblPrEx>
        <w:trPr>
          <w:trHeight w:val="60"/>
        </w:trPr>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FBED02" w14:textId="77777777" w:rsidR="00213AE1" w:rsidRPr="00213AE1" w:rsidRDefault="00213AE1" w:rsidP="00213AE1">
            <w:pPr>
              <w:pStyle w:val="CDITable-RowLeft"/>
            </w:pPr>
            <w:r w:rsidRPr="00213AE1">
              <w:t>Qld</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C04915" w14:textId="77777777" w:rsidR="00213AE1" w:rsidRPr="00213AE1" w:rsidRDefault="00213AE1" w:rsidP="00213AE1">
            <w:pPr>
              <w:pStyle w:val="CDITable-RowCentre"/>
            </w:pPr>
            <w:r w:rsidRPr="00213AE1">
              <w:t>225 (6.2)</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C07EEC" w14:textId="77777777" w:rsidR="00213AE1" w:rsidRPr="00213AE1" w:rsidRDefault="00213AE1" w:rsidP="00213AE1">
            <w:pPr>
              <w:pStyle w:val="CDITable-RowCentre"/>
            </w:pPr>
            <w:r w:rsidRPr="00213AE1">
              <w:t>4.2 (3.7–4.8)</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D20AD6" w14:textId="77777777" w:rsidR="00213AE1" w:rsidRPr="00213AE1" w:rsidRDefault="00213AE1" w:rsidP="00213AE1">
            <w:pPr>
              <w:pStyle w:val="CDITable-RowCentre"/>
            </w:pPr>
            <w:r w:rsidRPr="00213AE1">
              <w:t>26.0</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F68B30" w14:textId="77777777" w:rsidR="00213AE1" w:rsidRPr="00213AE1" w:rsidRDefault="00213AE1" w:rsidP="00213AE1">
            <w:pPr>
              <w:pStyle w:val="CDITable-RowCentre"/>
            </w:pPr>
            <w:r w:rsidRPr="00213AE1">
              <w:t>2.2</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4662F0" w14:textId="77777777" w:rsidR="00213AE1" w:rsidRPr="00213AE1" w:rsidRDefault="00213AE1" w:rsidP="00213AE1">
            <w:pPr>
              <w:pStyle w:val="CDITable-RowCentre"/>
            </w:pPr>
            <w:r w:rsidRPr="00213AE1">
              <w:t>0.4</w:t>
            </w:r>
          </w:p>
        </w:tc>
      </w:tr>
      <w:tr w:rsidR="00213AE1" w:rsidRPr="00213AE1" w14:paraId="4BCE7B6E" w14:textId="77777777" w:rsidTr="00213AE1">
        <w:tblPrEx>
          <w:tblCellMar>
            <w:top w:w="0" w:type="dxa"/>
            <w:left w:w="0" w:type="dxa"/>
            <w:bottom w:w="0" w:type="dxa"/>
            <w:right w:w="0" w:type="dxa"/>
          </w:tblCellMar>
        </w:tblPrEx>
        <w:trPr>
          <w:trHeight w:val="60"/>
        </w:trPr>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DF7806" w14:textId="77777777" w:rsidR="00213AE1" w:rsidRPr="00213AE1" w:rsidRDefault="00213AE1" w:rsidP="00213AE1">
            <w:pPr>
              <w:pStyle w:val="CDITable-RowLeft"/>
            </w:pPr>
            <w:r w:rsidRPr="00213AE1">
              <w:t>SA</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0C64E8" w14:textId="77777777" w:rsidR="00213AE1" w:rsidRPr="00213AE1" w:rsidRDefault="00213AE1" w:rsidP="00213AE1">
            <w:pPr>
              <w:pStyle w:val="CDITable-RowCentre"/>
            </w:pPr>
            <w:r w:rsidRPr="00213AE1">
              <w:t>132 (3.6)</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87F33E" w14:textId="77777777" w:rsidR="00213AE1" w:rsidRPr="00213AE1" w:rsidRDefault="00213AE1" w:rsidP="00213AE1">
            <w:pPr>
              <w:pStyle w:val="CDITable-RowCentre"/>
            </w:pPr>
            <w:r w:rsidRPr="00213AE1">
              <w:t>7.3 (6.1–8.6)</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8B7EFF" w14:textId="77777777" w:rsidR="00213AE1" w:rsidRPr="00213AE1" w:rsidRDefault="00213AE1" w:rsidP="00213AE1">
            <w:pPr>
              <w:pStyle w:val="CDITable-RowCentre"/>
            </w:pPr>
            <w:r w:rsidRPr="00213AE1">
              <w:t>44.5</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93BEA5" w14:textId="77777777" w:rsidR="00213AE1" w:rsidRPr="00213AE1" w:rsidRDefault="00213AE1" w:rsidP="00213AE1">
            <w:pPr>
              <w:pStyle w:val="CDITable-RowCentre"/>
            </w:pPr>
            <w:r w:rsidRPr="00213AE1">
              <w:t>4.0</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05C11E" w14:textId="77777777" w:rsidR="00213AE1" w:rsidRPr="00213AE1" w:rsidRDefault="00213AE1" w:rsidP="00213AE1">
            <w:pPr>
              <w:pStyle w:val="CDITable-RowCentre"/>
            </w:pPr>
            <w:r w:rsidRPr="00213AE1">
              <w:t>0.3</w:t>
            </w:r>
          </w:p>
        </w:tc>
      </w:tr>
      <w:tr w:rsidR="00213AE1" w:rsidRPr="00213AE1" w14:paraId="22A2E8F5" w14:textId="77777777" w:rsidTr="00213AE1">
        <w:tblPrEx>
          <w:tblCellMar>
            <w:top w:w="0" w:type="dxa"/>
            <w:left w:w="0" w:type="dxa"/>
            <w:bottom w:w="0" w:type="dxa"/>
            <w:right w:w="0" w:type="dxa"/>
          </w:tblCellMar>
        </w:tblPrEx>
        <w:trPr>
          <w:trHeight w:val="60"/>
        </w:trPr>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621B81" w14:textId="77777777" w:rsidR="00213AE1" w:rsidRPr="00213AE1" w:rsidRDefault="00213AE1" w:rsidP="00213AE1">
            <w:pPr>
              <w:pStyle w:val="CDITable-RowLeft"/>
            </w:pPr>
            <w:r w:rsidRPr="00213AE1">
              <w:t>Tas.</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C5F6F6" w14:textId="77777777" w:rsidR="00213AE1" w:rsidRPr="00213AE1" w:rsidRDefault="00213AE1" w:rsidP="00213AE1">
            <w:pPr>
              <w:pStyle w:val="CDITable-RowCentre"/>
            </w:pPr>
            <w:r w:rsidRPr="00213AE1">
              <w:t>104 (2.9)</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9FFFB3" w14:textId="77777777" w:rsidR="00213AE1" w:rsidRPr="00213AE1" w:rsidRDefault="00213AE1" w:rsidP="00213AE1">
            <w:pPr>
              <w:pStyle w:val="CDITable-RowCentre"/>
            </w:pPr>
            <w:r w:rsidRPr="00213AE1">
              <w:t>18.2 (14.9–22.0)</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21690A" w14:textId="77777777" w:rsidR="00213AE1" w:rsidRPr="00213AE1" w:rsidRDefault="00213AE1" w:rsidP="00213AE1">
            <w:pPr>
              <w:pStyle w:val="CDITable-RowCentre"/>
            </w:pPr>
            <w:r w:rsidRPr="00213AE1">
              <w:t>69.2</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C79DF1" w14:textId="77777777" w:rsidR="00213AE1" w:rsidRPr="00213AE1" w:rsidRDefault="00213AE1" w:rsidP="00213AE1">
            <w:pPr>
              <w:pStyle w:val="CDITable-RowCentre"/>
            </w:pPr>
            <w:r w:rsidRPr="00213AE1">
              <w:t>13.6</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030350" w14:textId="77777777" w:rsidR="00213AE1" w:rsidRPr="00213AE1" w:rsidRDefault="00213AE1" w:rsidP="00213AE1">
            <w:pPr>
              <w:pStyle w:val="CDITable-RowCentre"/>
            </w:pPr>
            <w:r w:rsidRPr="00213AE1">
              <w:t>0.2</w:t>
            </w:r>
          </w:p>
        </w:tc>
      </w:tr>
      <w:tr w:rsidR="00213AE1" w:rsidRPr="00213AE1" w14:paraId="112D656F" w14:textId="77777777" w:rsidTr="00213AE1">
        <w:tblPrEx>
          <w:tblCellMar>
            <w:top w:w="0" w:type="dxa"/>
            <w:left w:w="0" w:type="dxa"/>
            <w:bottom w:w="0" w:type="dxa"/>
            <w:right w:w="0" w:type="dxa"/>
          </w:tblCellMar>
        </w:tblPrEx>
        <w:trPr>
          <w:trHeight w:val="60"/>
        </w:trPr>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CFD120" w14:textId="77777777" w:rsidR="00213AE1" w:rsidRPr="00213AE1" w:rsidRDefault="00213AE1" w:rsidP="00213AE1">
            <w:pPr>
              <w:pStyle w:val="CDITable-RowLeft"/>
            </w:pPr>
            <w:r w:rsidRPr="00213AE1">
              <w:t>Vic.</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969576" w14:textId="77777777" w:rsidR="00213AE1" w:rsidRPr="00213AE1" w:rsidRDefault="00213AE1" w:rsidP="00213AE1">
            <w:pPr>
              <w:pStyle w:val="CDITable-RowCentre"/>
            </w:pPr>
            <w:r w:rsidRPr="00213AE1">
              <w:t>1,319 (36.2)</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F0ABBA" w14:textId="77777777" w:rsidR="00213AE1" w:rsidRPr="00213AE1" w:rsidRDefault="00213AE1" w:rsidP="00213AE1">
            <w:pPr>
              <w:pStyle w:val="CDITable-RowCentre"/>
            </w:pPr>
            <w:r w:rsidRPr="00213AE1">
              <w:t>19.9 (18.9–21.0)</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F8F2F0" w14:textId="77777777" w:rsidR="00213AE1" w:rsidRPr="00213AE1" w:rsidRDefault="00213AE1" w:rsidP="00213AE1">
            <w:pPr>
              <w:pStyle w:val="CDITable-RowCentre"/>
            </w:pPr>
            <w:r w:rsidRPr="00213AE1">
              <w:t>139.9</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8C9809" w14:textId="77777777" w:rsidR="00213AE1" w:rsidRPr="00213AE1" w:rsidRDefault="00213AE1" w:rsidP="00213AE1">
            <w:pPr>
              <w:pStyle w:val="CDITable-RowCentre"/>
            </w:pPr>
            <w:r w:rsidRPr="00213AE1">
              <w:t>8.4</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B1699C" w14:textId="77777777" w:rsidR="00213AE1" w:rsidRPr="00213AE1" w:rsidRDefault="00213AE1" w:rsidP="00213AE1">
            <w:pPr>
              <w:pStyle w:val="CDITable-RowCentre"/>
            </w:pPr>
            <w:r w:rsidRPr="00213AE1">
              <w:t>0.8</w:t>
            </w:r>
          </w:p>
        </w:tc>
      </w:tr>
      <w:tr w:rsidR="00213AE1" w:rsidRPr="00213AE1" w14:paraId="2BA3941E" w14:textId="77777777" w:rsidTr="00213AE1">
        <w:tblPrEx>
          <w:tblCellMar>
            <w:top w:w="0" w:type="dxa"/>
            <w:left w:w="0" w:type="dxa"/>
            <w:bottom w:w="0" w:type="dxa"/>
            <w:right w:w="0" w:type="dxa"/>
          </w:tblCellMar>
        </w:tblPrEx>
        <w:trPr>
          <w:trHeight w:val="60"/>
        </w:trPr>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990C0C" w14:textId="77777777" w:rsidR="00213AE1" w:rsidRPr="00213AE1" w:rsidRDefault="00213AE1" w:rsidP="00213AE1">
            <w:pPr>
              <w:pStyle w:val="CDITable-RowLeft"/>
            </w:pPr>
            <w:r w:rsidRPr="00213AE1">
              <w:t>WA</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6FEF18" w14:textId="77777777" w:rsidR="00213AE1" w:rsidRPr="00213AE1" w:rsidRDefault="00213AE1" w:rsidP="00213AE1">
            <w:pPr>
              <w:pStyle w:val="CDITable-RowCentre"/>
            </w:pPr>
            <w:r w:rsidRPr="00213AE1">
              <w:t>513 (14.1)</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34312E" w14:textId="77777777" w:rsidR="00213AE1" w:rsidRPr="00213AE1" w:rsidRDefault="00213AE1" w:rsidP="00213AE1">
            <w:pPr>
              <w:pStyle w:val="CDITable-RowCentre"/>
            </w:pPr>
            <w:r w:rsidRPr="00213AE1">
              <w:t>18.4 (16.9–20.1)</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4F73CC" w14:textId="77777777" w:rsidR="00213AE1" w:rsidRPr="00213AE1" w:rsidRDefault="00213AE1" w:rsidP="00213AE1">
            <w:pPr>
              <w:pStyle w:val="CDITable-RowCentre"/>
            </w:pPr>
            <w:r w:rsidRPr="00213AE1">
              <w:t>89.7</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1A3AE5" w14:textId="77777777" w:rsidR="00213AE1" w:rsidRPr="00213AE1" w:rsidRDefault="00213AE1" w:rsidP="00213AE1">
            <w:pPr>
              <w:pStyle w:val="CDITable-RowCentre"/>
            </w:pPr>
            <w:r w:rsidRPr="00213AE1">
              <w:t>11.2</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5226B4" w14:textId="77777777" w:rsidR="00213AE1" w:rsidRPr="00213AE1" w:rsidRDefault="00213AE1" w:rsidP="00213AE1">
            <w:pPr>
              <w:pStyle w:val="CDITable-RowCentre"/>
            </w:pPr>
            <w:r w:rsidRPr="00213AE1">
              <w:t>0.5</w:t>
            </w:r>
          </w:p>
        </w:tc>
      </w:tr>
      <w:tr w:rsidR="00213AE1" w:rsidRPr="00213AE1" w14:paraId="1F7920CD" w14:textId="77777777" w:rsidTr="00213AE1">
        <w:tblPrEx>
          <w:tblCellMar>
            <w:top w:w="0" w:type="dxa"/>
            <w:left w:w="0" w:type="dxa"/>
            <w:bottom w:w="0" w:type="dxa"/>
            <w:right w:w="0" w:type="dxa"/>
          </w:tblCellMar>
        </w:tblPrEx>
        <w:trPr>
          <w:trHeight w:val="60"/>
        </w:trPr>
        <w:tc>
          <w:tcPr>
            <w:tcW w:w="1587" w:type="dxa"/>
            <w:tcBorders>
              <w:top w:val="single" w:sz="6" w:space="0" w:color="1E4496" w:themeColor="text2"/>
            </w:tcBorders>
            <w:tcMar>
              <w:top w:w="113" w:type="dxa"/>
              <w:left w:w="113" w:type="dxa"/>
              <w:bottom w:w="113" w:type="dxa"/>
              <w:right w:w="113" w:type="dxa"/>
            </w:tcMar>
            <w:vAlign w:val="center"/>
          </w:tcPr>
          <w:p w14:paraId="3D761CBD" w14:textId="77777777" w:rsidR="00213AE1" w:rsidRPr="00213AE1" w:rsidRDefault="00213AE1" w:rsidP="00213AE1">
            <w:pPr>
              <w:pStyle w:val="CDITable-RowLeft"/>
            </w:pPr>
            <w:r w:rsidRPr="00213AE1">
              <w:t>Unknown</w:t>
            </w:r>
          </w:p>
        </w:tc>
        <w:tc>
          <w:tcPr>
            <w:tcW w:w="1871" w:type="dxa"/>
            <w:tcBorders>
              <w:top w:val="single" w:sz="6" w:space="0" w:color="1E4496" w:themeColor="text2"/>
            </w:tcBorders>
            <w:tcMar>
              <w:top w:w="113" w:type="dxa"/>
              <w:left w:w="113" w:type="dxa"/>
              <w:bottom w:w="113" w:type="dxa"/>
              <w:right w:w="113" w:type="dxa"/>
            </w:tcMar>
            <w:vAlign w:val="center"/>
          </w:tcPr>
          <w:p w14:paraId="77395054" w14:textId="77777777" w:rsidR="00213AE1" w:rsidRPr="00213AE1" w:rsidRDefault="00213AE1" w:rsidP="00213AE1">
            <w:pPr>
              <w:pStyle w:val="CDITable-RowCentre"/>
            </w:pPr>
            <w:r w:rsidRPr="00213AE1">
              <w:t>433 (11.9)</w:t>
            </w:r>
          </w:p>
        </w:tc>
        <w:tc>
          <w:tcPr>
            <w:tcW w:w="1928" w:type="dxa"/>
            <w:tcBorders>
              <w:top w:val="single" w:sz="6" w:space="0" w:color="1E4496" w:themeColor="text2"/>
            </w:tcBorders>
            <w:tcMar>
              <w:top w:w="113" w:type="dxa"/>
              <w:left w:w="113" w:type="dxa"/>
              <w:bottom w:w="113" w:type="dxa"/>
              <w:right w:w="113" w:type="dxa"/>
            </w:tcMar>
            <w:vAlign w:val="center"/>
          </w:tcPr>
          <w:p w14:paraId="6CCBA644" w14:textId="77777777" w:rsidR="00213AE1" w:rsidRPr="00213AE1" w:rsidRDefault="00213AE1" w:rsidP="00213AE1">
            <w:pPr>
              <w:pStyle w:val="CDITable-RowCentre"/>
            </w:pPr>
            <w:r w:rsidRPr="00213AE1">
              <w:t>—</w:t>
            </w:r>
          </w:p>
        </w:tc>
        <w:tc>
          <w:tcPr>
            <w:tcW w:w="1417" w:type="dxa"/>
            <w:tcBorders>
              <w:top w:val="single" w:sz="6" w:space="0" w:color="1E4496" w:themeColor="text2"/>
            </w:tcBorders>
            <w:tcMar>
              <w:top w:w="113" w:type="dxa"/>
              <w:left w:w="113" w:type="dxa"/>
              <w:bottom w:w="113" w:type="dxa"/>
              <w:right w:w="113" w:type="dxa"/>
            </w:tcMar>
            <w:vAlign w:val="center"/>
          </w:tcPr>
          <w:p w14:paraId="5BB6735D" w14:textId="77777777" w:rsidR="00213AE1" w:rsidRPr="00213AE1" w:rsidRDefault="00213AE1" w:rsidP="00213AE1">
            <w:pPr>
              <w:pStyle w:val="CDITable-RowCentre"/>
            </w:pPr>
            <w:r w:rsidRPr="00213AE1">
              <w:t>—</w:t>
            </w:r>
          </w:p>
        </w:tc>
        <w:tc>
          <w:tcPr>
            <w:tcW w:w="1417" w:type="dxa"/>
            <w:tcBorders>
              <w:top w:val="single" w:sz="6" w:space="0" w:color="1E4496" w:themeColor="text2"/>
            </w:tcBorders>
            <w:tcMar>
              <w:top w:w="113" w:type="dxa"/>
              <w:left w:w="113" w:type="dxa"/>
              <w:bottom w:w="113" w:type="dxa"/>
              <w:right w:w="113" w:type="dxa"/>
            </w:tcMar>
            <w:vAlign w:val="center"/>
          </w:tcPr>
          <w:p w14:paraId="0174AFF3" w14:textId="77777777" w:rsidR="00213AE1" w:rsidRPr="00213AE1" w:rsidRDefault="00213AE1" w:rsidP="00213AE1">
            <w:pPr>
              <w:pStyle w:val="CDITable-RowCentre"/>
            </w:pPr>
            <w:r w:rsidRPr="00213AE1">
              <w:t>—</w:t>
            </w:r>
          </w:p>
        </w:tc>
        <w:tc>
          <w:tcPr>
            <w:tcW w:w="1418" w:type="dxa"/>
            <w:tcBorders>
              <w:top w:val="single" w:sz="6" w:space="0" w:color="1E4496" w:themeColor="text2"/>
            </w:tcBorders>
            <w:tcMar>
              <w:top w:w="113" w:type="dxa"/>
              <w:left w:w="113" w:type="dxa"/>
              <w:bottom w:w="113" w:type="dxa"/>
              <w:right w:w="113" w:type="dxa"/>
            </w:tcMar>
            <w:vAlign w:val="center"/>
          </w:tcPr>
          <w:p w14:paraId="748EA5BC" w14:textId="77777777" w:rsidR="00213AE1" w:rsidRPr="00213AE1" w:rsidRDefault="00213AE1" w:rsidP="00213AE1">
            <w:pPr>
              <w:pStyle w:val="CDITable-RowCentre"/>
            </w:pPr>
            <w:r w:rsidRPr="00213AE1">
              <w:t>—</w:t>
            </w:r>
          </w:p>
        </w:tc>
      </w:tr>
      <w:tr w:rsidR="00213AE1" w:rsidRPr="00213AE1" w14:paraId="7E8879BD" w14:textId="77777777" w:rsidTr="00213AE1">
        <w:tblPrEx>
          <w:tblCellMar>
            <w:top w:w="0" w:type="dxa"/>
            <w:left w:w="0" w:type="dxa"/>
            <w:bottom w:w="0" w:type="dxa"/>
            <w:right w:w="0" w:type="dxa"/>
          </w:tblCellMar>
        </w:tblPrEx>
        <w:trPr>
          <w:trHeight w:val="60"/>
        </w:trPr>
        <w:tc>
          <w:tcPr>
            <w:tcW w:w="158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4EC0F19" w14:textId="77777777" w:rsidR="00213AE1" w:rsidRPr="00213AE1" w:rsidRDefault="00213AE1" w:rsidP="00213AE1">
            <w:pPr>
              <w:pStyle w:val="CDITable-TotalRowLeft"/>
            </w:pPr>
            <w:r w:rsidRPr="00213AE1">
              <w:t>Australia</w:t>
            </w:r>
          </w:p>
        </w:tc>
        <w:tc>
          <w:tcPr>
            <w:tcW w:w="187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F0BF584" w14:textId="77777777" w:rsidR="00213AE1" w:rsidRPr="00213AE1" w:rsidRDefault="00213AE1" w:rsidP="00213AE1">
            <w:pPr>
              <w:pStyle w:val="CDITable-TotalRowCentre"/>
            </w:pPr>
            <w:r w:rsidRPr="00213AE1">
              <w:t>3,642 (100)</w:t>
            </w:r>
          </w:p>
        </w:tc>
        <w:tc>
          <w:tcPr>
            <w:tcW w:w="192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8D6B513" w14:textId="77777777" w:rsidR="00213AE1" w:rsidRPr="00213AE1" w:rsidRDefault="00213AE1" w:rsidP="00213AE1">
            <w:pPr>
              <w:pStyle w:val="CDITable-TotalRowCentre"/>
            </w:pPr>
            <w:r w:rsidRPr="00213AE1">
              <w:t>14.0 (13.6–14.5)</w:t>
            </w:r>
          </w:p>
        </w:tc>
        <w:tc>
          <w:tcPr>
            <w:tcW w:w="141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FED77F1" w14:textId="77777777" w:rsidR="00213AE1" w:rsidRPr="00213AE1" w:rsidRDefault="00213AE1" w:rsidP="00213AE1">
            <w:pPr>
              <w:pStyle w:val="CDITable-TotalRowCentre"/>
            </w:pPr>
            <w:r w:rsidRPr="00213AE1">
              <w:t>69.5</w:t>
            </w:r>
          </w:p>
        </w:tc>
        <w:tc>
          <w:tcPr>
            <w:tcW w:w="141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41F0A73" w14:textId="77777777" w:rsidR="00213AE1" w:rsidRPr="00213AE1" w:rsidRDefault="00213AE1" w:rsidP="00213AE1">
            <w:pPr>
              <w:pStyle w:val="CDITable-TotalRowCentre"/>
            </w:pPr>
            <w:r w:rsidRPr="00213AE1">
              <w:t>7.0</w:t>
            </w:r>
          </w:p>
        </w:tc>
        <w:tc>
          <w:tcPr>
            <w:tcW w:w="141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5E0DCEE" w14:textId="77777777" w:rsidR="00213AE1" w:rsidRPr="00213AE1" w:rsidRDefault="00213AE1" w:rsidP="00213AE1">
            <w:pPr>
              <w:pStyle w:val="CDITable-TotalRowCentre"/>
            </w:pPr>
            <w:r w:rsidRPr="00213AE1">
              <w:t>2.5</w:t>
            </w:r>
          </w:p>
        </w:tc>
      </w:tr>
    </w:tbl>
    <w:p w14:paraId="7065A853" w14:textId="77777777" w:rsidR="00213AE1" w:rsidRPr="00213AE1" w:rsidRDefault="00213AE1" w:rsidP="00213AE1">
      <w:pPr>
        <w:pStyle w:val="CDITable-FirstFootnote"/>
        <w:rPr>
          <w:lang w:val="en-GB"/>
        </w:rPr>
      </w:pPr>
      <w:proofErr w:type="gramStart"/>
      <w:r w:rsidRPr="00213AE1">
        <w:rPr>
          <w:lang w:val="en-GB"/>
        </w:rPr>
        <w:t>a</w:t>
      </w:r>
      <w:proofErr w:type="gramEnd"/>
      <w:r w:rsidRPr="00213AE1">
        <w:rPr>
          <w:lang w:val="en-GB"/>
        </w:rPr>
        <w:tab/>
        <w:t>ACT: Australian Capital Territory; NSW: New South Wales; NT: Northern Territory; Qld: Queensland; SA: South Australia; Tas.: Tasmania; Vic: Victoria; WA: Western Australia.</w:t>
      </w:r>
    </w:p>
    <w:p w14:paraId="06F76CBF" w14:textId="77777777" w:rsidR="00213AE1" w:rsidRPr="00213AE1" w:rsidRDefault="00213AE1" w:rsidP="00213AE1">
      <w:pPr>
        <w:pStyle w:val="CDITable-Footnote"/>
        <w:rPr>
          <w:lang w:val="en-GB"/>
        </w:rPr>
      </w:pPr>
      <w:r w:rsidRPr="00213AE1">
        <w:rPr>
          <w:lang w:val="en-GB"/>
        </w:rPr>
        <w:t>b</w:t>
      </w:r>
      <w:r w:rsidRPr="00213AE1">
        <w:rPr>
          <w:lang w:val="en-GB"/>
        </w:rPr>
        <w:tab/>
        <w:t>Average annual rates per 100,000 population calculated using June 2022 jurisdiction and total ERP estimates from the Australian Bureau of Statistics.</w:t>
      </w:r>
    </w:p>
    <w:p w14:paraId="5D1380C6" w14:textId="77777777" w:rsidR="00213AE1" w:rsidRPr="00213AE1" w:rsidRDefault="00213AE1" w:rsidP="00213AE1">
      <w:pPr>
        <w:pStyle w:val="CDITable-Footnote"/>
        <w:rPr>
          <w:lang w:val="en-GB"/>
        </w:rPr>
      </w:pPr>
      <w:r w:rsidRPr="00213AE1">
        <w:rPr>
          <w:lang w:val="en-GB"/>
        </w:rPr>
        <w:t>c</w:t>
      </w:r>
      <w:r w:rsidRPr="00213AE1">
        <w:rPr>
          <w:lang w:val="en-GB"/>
        </w:rPr>
        <w:tab/>
        <w:t>95% CI: 95% confidence interval.</w:t>
      </w:r>
    </w:p>
    <w:p w14:paraId="50401E45" w14:textId="77777777" w:rsidR="00213AE1" w:rsidRPr="00213AE1" w:rsidRDefault="00213AE1" w:rsidP="00213AE1">
      <w:pPr>
        <w:pStyle w:val="CDITable-Footnote"/>
        <w:rPr>
          <w:lang w:val="en-GB"/>
        </w:rPr>
      </w:pPr>
      <w:r w:rsidRPr="00213AE1">
        <w:rPr>
          <w:lang w:val="en-GB"/>
        </w:rPr>
        <w:t>d</w:t>
      </w:r>
      <w:r w:rsidRPr="00213AE1">
        <w:rPr>
          <w:lang w:val="en-GB"/>
        </w:rPr>
        <w:tab/>
        <w:t>Includes only AEFI reports where an age or date of birth was reported.</w:t>
      </w:r>
    </w:p>
    <w:p w14:paraId="63582FB2" w14:textId="61FAAA11" w:rsidR="00C65F41" w:rsidRDefault="00213AE1" w:rsidP="00C65F41">
      <w:pPr>
        <w:pStyle w:val="CDITable-Footnote"/>
        <w:rPr>
          <w:lang w:val="en-GB"/>
        </w:rPr>
      </w:pPr>
      <w:r w:rsidRPr="00213AE1">
        <w:rPr>
          <w:lang w:val="en-GB"/>
        </w:rPr>
        <w:t>e</w:t>
      </w:r>
      <w:r w:rsidRPr="00213AE1">
        <w:rPr>
          <w:lang w:val="en-GB"/>
        </w:rPr>
        <w:tab/>
      </w:r>
      <w:proofErr w:type="gramStart"/>
      <w:r w:rsidRPr="00213AE1">
        <w:rPr>
          <w:lang w:val="en-GB"/>
        </w:rPr>
        <w:t>An</w:t>
      </w:r>
      <w:proofErr w:type="gramEnd"/>
      <w:r w:rsidRPr="00213AE1">
        <w:rPr>
          <w:lang w:val="en-GB"/>
        </w:rPr>
        <w:t xml:space="preserve"> adverse event report is defined as ‘</w:t>
      </w:r>
      <w:proofErr w:type="spellStart"/>
      <w:r w:rsidRPr="00213AE1">
        <w:rPr>
          <w:lang w:val="en-GB"/>
        </w:rPr>
        <w:t>serious’</w:t>
      </w:r>
      <w:proofErr w:type="spellEnd"/>
      <w:r w:rsidRPr="00213AE1">
        <w:rPr>
          <w:lang w:val="en-GB"/>
        </w:rPr>
        <w:t xml:space="preserve"> if it involves one or more of the following outcomes: (1) fatal or life-threatening condition(s); (2) new or prolonged hospitalisation; (3) persistent or significant disability; (4) congenital anomaly or birth defect; and (5) any medical event that requires an intervention to prevent the above outcomes. For AEFI reports submitted by sponsors (vaccine companies), the seriousness classification is applied by sponsors to ensure they meet legislated requirements. For other AEFI reports submitted to the TGA, the seriousness classification either reflects the view of the reporter or may have been applied by the TGA following review.</w:t>
      </w:r>
      <w:r w:rsidR="00C65F41">
        <w:rPr>
          <w:lang w:val="en-GB"/>
        </w:rPr>
        <w:br w:type="page"/>
      </w:r>
    </w:p>
    <w:p w14:paraId="2CC8017A" w14:textId="77777777" w:rsidR="00C65F41" w:rsidRPr="00C65F41" w:rsidRDefault="00C65F41" w:rsidP="00C65F41">
      <w:pPr>
        <w:pStyle w:val="CDIFigure-Title"/>
        <w:rPr>
          <w:lang w:val="en-GB"/>
        </w:rPr>
      </w:pPr>
      <w:bookmarkStart w:id="28" w:name="_Toc215491332"/>
      <w:r w:rsidRPr="00C65F41">
        <w:rPr>
          <w:lang w:val="en-GB"/>
        </w:rPr>
        <w:lastRenderedPageBreak/>
        <w:t>Figure 1: Adverse event following immunisation reports in the Adverse Event Management System database from 2000 to 2022 (excluding COVID-19 vaccines</w:t>
      </w:r>
      <w:proofErr w:type="gramStart"/>
      <w:r w:rsidRPr="00C65F41">
        <w:rPr>
          <w:lang w:val="en-GB"/>
        </w:rPr>
        <w:t>),</w:t>
      </w:r>
      <w:proofErr w:type="spellStart"/>
      <w:r w:rsidRPr="00C65F41">
        <w:rPr>
          <w:vertAlign w:val="superscript"/>
          <w:lang w:val="en-GB"/>
        </w:rPr>
        <w:t>a</w:t>
      </w:r>
      <w:proofErr w:type="gramEnd"/>
      <w:r w:rsidRPr="00C65F41">
        <w:rPr>
          <w:vertAlign w:val="superscript"/>
          <w:lang w:val="en-GB"/>
        </w:rPr>
        <w:t>,b</w:t>
      </w:r>
      <w:proofErr w:type="spellEnd"/>
      <w:r w:rsidRPr="00C65F41">
        <w:rPr>
          <w:lang w:val="en-GB"/>
        </w:rPr>
        <w:t xml:space="preserve"> by year</w:t>
      </w:r>
      <w:bookmarkEnd w:id="28"/>
    </w:p>
    <w:p w14:paraId="07C350EC" w14:textId="2C91B2AC" w:rsidR="00213AE1" w:rsidRDefault="00C65F41" w:rsidP="00C65F41">
      <w:pPr>
        <w:pStyle w:val="CDIFigure-Placeholder"/>
      </w:pPr>
      <w:r>
        <w:rPr>
          <w:noProof/>
          <w14:ligatures w14:val="none"/>
        </w:rPr>
        <w:drawing>
          <wp:inline distT="0" distB="0" distL="0" distR="0" wp14:anchorId="6C8046CD" wp14:editId="65BCC9CF">
            <wp:extent cx="6120765" cy="2089150"/>
            <wp:effectExtent l="0" t="0" r="0" b="6350"/>
            <wp:docPr id="2109722433" name="Picture 1" descr="Figure 1 is a bar chart showing the number of adverse event reports received by the TGA for non-COVID-19 vaccines every year from 2000 to 2022. The shading of each bar shows the number of reports out of the total that are classified as serious or non-serious adverse events. It shows that the number of total adverse event reports in 2022 had decreased slightly since 2021, and was at its lowest since 2018. The number of serious adverse event reports in 2022 had increased since 2021, but was still lower than 2018. Superimposed onto the bar chart is a line graph showing the annual adverse event reporting rate per 100,000 population of adverse events following immunisation for the same period. The reporting rate per 100,000 population in 2022 was also slightly lower than that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722433" name="Picture 1" descr="Figure 1 is a bar chart showing the number of adverse event reports received by the TGA for non-COVID-19 vaccines every year from 2000 to 2022. The shading of each bar shows the number of reports out of the total that are classified as serious or non-serious adverse events. It shows that the number of total adverse event reports in 2022 had decreased slightly since 2021, and was at its lowest since 2018. The number of serious adverse event reports in 2022 had increased since 2021, but was still lower than 2018. Superimposed onto the bar chart is a line graph showing the annual adverse event reporting rate per 100,000 population of adverse events following immunisation for the same period. The reporting rate per 100,000 population in 2022 was also slightly lower than that in 2021."/>
                    <pic:cNvPicPr/>
                  </pic:nvPicPr>
                  <pic:blipFill>
                    <a:blip r:embed="rId18">
                      <a:extLst>
                        <a:ext uri="{28A0092B-C50C-407E-A947-70E740481C1C}">
                          <a14:useLocalDpi xmlns:a14="http://schemas.microsoft.com/office/drawing/2010/main" val="0"/>
                        </a:ext>
                      </a:extLst>
                    </a:blip>
                    <a:stretch>
                      <a:fillRect/>
                    </a:stretch>
                  </pic:blipFill>
                  <pic:spPr>
                    <a:xfrm>
                      <a:off x="0" y="0"/>
                      <a:ext cx="6120765" cy="2089150"/>
                    </a:xfrm>
                    <a:prstGeom prst="rect">
                      <a:avLst/>
                    </a:prstGeom>
                  </pic:spPr>
                </pic:pic>
              </a:graphicData>
            </a:graphic>
          </wp:inline>
        </w:drawing>
      </w:r>
    </w:p>
    <w:p w14:paraId="2AF767A9" w14:textId="77777777" w:rsidR="00C65F41" w:rsidRPr="00C65F41" w:rsidRDefault="00C65F41" w:rsidP="00C65F41">
      <w:pPr>
        <w:pStyle w:val="CDITable-Footnote"/>
        <w:rPr>
          <w:lang w:val="en-GB"/>
        </w:rPr>
      </w:pPr>
      <w:proofErr w:type="spellStart"/>
      <w:r w:rsidRPr="00C65F41">
        <w:rPr>
          <w:lang w:val="en-GB"/>
        </w:rPr>
        <w:t>a</w:t>
      </w:r>
      <w:proofErr w:type="spellEnd"/>
      <w:r w:rsidRPr="00C65F41">
        <w:rPr>
          <w:lang w:val="en-GB"/>
        </w:rPr>
        <w:tab/>
      </w:r>
      <w:proofErr w:type="gramStart"/>
      <w:r w:rsidRPr="00C65F41">
        <w:rPr>
          <w:lang w:val="en-GB"/>
        </w:rPr>
        <w:t>For</w:t>
      </w:r>
      <w:proofErr w:type="gramEnd"/>
      <w:r w:rsidRPr="00C65F41">
        <w:rPr>
          <w:lang w:val="en-GB"/>
        </w:rPr>
        <w:t xml:space="preserve"> reports where the date of vaccination was not recorded, the date of symptom onset or the received date (when the event was reported to the sender of the case) was used. Please note that Figure 1 was generated from all reports in AEMS, including those for previous years that may have been entered into the database in subsequent years due to delays in reporting. Of note, there were </w:t>
      </w:r>
      <w:proofErr w:type="gramStart"/>
      <w:r w:rsidRPr="00C65F41">
        <w:rPr>
          <w:lang w:val="en-GB"/>
        </w:rPr>
        <w:t>a large number of</w:t>
      </w:r>
      <w:proofErr w:type="gramEnd"/>
      <w:r w:rsidRPr="00C65F41">
        <w:rPr>
          <w:lang w:val="en-GB"/>
        </w:rPr>
        <w:t xml:space="preserve"> 2021 AEFI reports for reported in 2022, which had resulted in a corresponding increase in reporting rates per 100,000 population since the 2021 annual report. Therefore, there may be discrepancies between the numbers shown in Figure 1 and those stated in the annual report of the corresponding year. For more details on changes to the National Immunisation Program, please refer to Appendix A, Table A.1.</w:t>
      </w:r>
    </w:p>
    <w:p w14:paraId="705077DD" w14:textId="77777777" w:rsidR="00C65F41" w:rsidRPr="00C65F41" w:rsidRDefault="00C65F41" w:rsidP="00C65F41">
      <w:pPr>
        <w:pStyle w:val="CDITable-Footnote"/>
        <w:rPr>
          <w:lang w:val="en-GB"/>
        </w:rPr>
      </w:pPr>
      <w:r w:rsidRPr="00C65F41">
        <w:rPr>
          <w:lang w:val="en-GB"/>
        </w:rPr>
        <w:t>b</w:t>
      </w:r>
      <w:r w:rsidRPr="00C65F41">
        <w:rPr>
          <w:lang w:val="en-GB"/>
        </w:rPr>
        <w:tab/>
        <w:t xml:space="preserve">Population data was sourced from the Australian Bureau of </w:t>
      </w:r>
      <w:proofErr w:type="gramStart"/>
      <w:r w:rsidRPr="00C65F41">
        <w:rPr>
          <w:lang w:val="en-GB"/>
        </w:rPr>
        <w:t>Statistics, and</w:t>
      </w:r>
      <w:proofErr w:type="gramEnd"/>
      <w:r w:rsidRPr="00C65F41">
        <w:rPr>
          <w:lang w:val="en-GB"/>
        </w:rPr>
        <w:t xml:space="preserve"> represents the mid-year total Australian estimated resident population (ERP) for each calendar year.</w:t>
      </w:r>
    </w:p>
    <w:p w14:paraId="0AE42CB4" w14:textId="77777777" w:rsidR="00C65F41" w:rsidRPr="00C65F41" w:rsidRDefault="00C65F41" w:rsidP="00C65F41">
      <w:pPr>
        <w:pStyle w:val="CDIFigure-Title"/>
        <w:rPr>
          <w:lang w:val="en-GB"/>
        </w:rPr>
      </w:pPr>
      <w:bookmarkStart w:id="29" w:name="_Toc215491333"/>
      <w:r w:rsidRPr="00C65F41">
        <w:rPr>
          <w:lang w:val="en-GB"/>
        </w:rPr>
        <w:t>Figure 2: Reporting rates of adverse events following immunisation per 100,000 population in the Adverse Event Management System database from 2000 to 2022 (excluding COVID-19 vaccines</w:t>
      </w:r>
      <w:proofErr w:type="gramStart"/>
      <w:r w:rsidRPr="00C65F41">
        <w:rPr>
          <w:lang w:val="en-GB"/>
        </w:rPr>
        <w:t>),</w:t>
      </w:r>
      <w:proofErr w:type="spellStart"/>
      <w:r w:rsidRPr="00C65F41">
        <w:rPr>
          <w:vertAlign w:val="superscript"/>
          <w:lang w:val="en-GB"/>
        </w:rPr>
        <w:t>a</w:t>
      </w:r>
      <w:proofErr w:type="gramEnd"/>
      <w:r w:rsidRPr="00C65F41">
        <w:rPr>
          <w:vertAlign w:val="superscript"/>
          <w:lang w:val="en-GB"/>
        </w:rPr>
        <w:t>,b</w:t>
      </w:r>
      <w:proofErr w:type="spellEnd"/>
      <w:r w:rsidRPr="00C65F41">
        <w:rPr>
          <w:vertAlign w:val="superscript"/>
          <w:lang w:val="en-GB"/>
        </w:rPr>
        <w:t xml:space="preserve"> </w:t>
      </w:r>
      <w:r w:rsidRPr="00C65F41">
        <w:rPr>
          <w:lang w:val="en-GB"/>
        </w:rPr>
        <w:t>by year and age group</w:t>
      </w:r>
      <w:bookmarkEnd w:id="29"/>
    </w:p>
    <w:p w14:paraId="5B0C054E" w14:textId="6D874920" w:rsidR="00213AE1" w:rsidRDefault="00C65F41" w:rsidP="00C65F41">
      <w:pPr>
        <w:pStyle w:val="CDIFigure-Placeholder"/>
      </w:pPr>
      <w:r>
        <w:rPr>
          <w:noProof/>
          <w14:ligatures w14:val="none"/>
        </w:rPr>
        <w:drawing>
          <wp:inline distT="0" distB="0" distL="0" distR="0" wp14:anchorId="7A0D461C" wp14:editId="305D00AA">
            <wp:extent cx="6120765" cy="2903220"/>
            <wp:effectExtent l="0" t="0" r="0" b="0"/>
            <wp:docPr id="2057800884" name="Picture 2" descr="Figure 2 is a line graph showing the annual adverse event reporting rates for non-COVID-19 vaccines per 100,000 population from 2000 to 2022. There are 4 lines on the graph, each representing an age group roughly corresponding to schedule points within the current National Immunisation Program (NIP): &lt; 7 years, 7-17 years, 18-64 years and ≥ 65 years. The graph shows that the reporting rates were consistently and markedly the highest in the &lt; 7 age group each year, with a sharp spike in reports in this age group in 2010. There was a decrease in the reporting rate in the &lt; 7 and ≥ 65 age groups between 2021 and 2022, and a slight increase in the 7-17 and 18-64 age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800884" name="Picture 2" descr="Figure 2 is a line graph showing the annual adverse event reporting rates for non-COVID-19 vaccines per 100,000 population from 2000 to 2022. There are 4 lines on the graph, each representing an age group roughly corresponding to schedule points within the current National Immunisation Program (NIP): &lt; 7 years, 7-17 years, 18-64 years and ≥ 65 years. The graph shows that the reporting rates were consistently and markedly the highest in the &lt; 7 age group each year, with a sharp spike in reports in this age group in 2010. There was a decrease in the reporting rate in the &lt; 7 and ≥ 65 age groups between 2021 and 2022, and a slight increase in the 7-17 and 18-64 age groups."/>
                    <pic:cNvPicPr/>
                  </pic:nvPicPr>
                  <pic:blipFill>
                    <a:blip r:embed="rId19">
                      <a:extLst>
                        <a:ext uri="{28A0092B-C50C-407E-A947-70E740481C1C}">
                          <a14:useLocalDpi xmlns:a14="http://schemas.microsoft.com/office/drawing/2010/main" val="0"/>
                        </a:ext>
                      </a:extLst>
                    </a:blip>
                    <a:stretch>
                      <a:fillRect/>
                    </a:stretch>
                  </pic:blipFill>
                  <pic:spPr>
                    <a:xfrm>
                      <a:off x="0" y="0"/>
                      <a:ext cx="6120765" cy="2903220"/>
                    </a:xfrm>
                    <a:prstGeom prst="rect">
                      <a:avLst/>
                    </a:prstGeom>
                  </pic:spPr>
                </pic:pic>
              </a:graphicData>
            </a:graphic>
          </wp:inline>
        </w:drawing>
      </w:r>
    </w:p>
    <w:p w14:paraId="33E756A8" w14:textId="77777777" w:rsidR="00C65F41" w:rsidRPr="00C65F41" w:rsidRDefault="00C65F41" w:rsidP="00C65F41">
      <w:pPr>
        <w:pStyle w:val="CDITable-Footnote"/>
        <w:rPr>
          <w:lang w:val="en-GB"/>
        </w:rPr>
      </w:pPr>
      <w:proofErr w:type="spellStart"/>
      <w:r w:rsidRPr="00C65F41">
        <w:rPr>
          <w:lang w:val="en-GB"/>
        </w:rPr>
        <w:t>a</w:t>
      </w:r>
      <w:proofErr w:type="spellEnd"/>
      <w:r w:rsidRPr="00C65F41">
        <w:rPr>
          <w:lang w:val="en-GB"/>
        </w:rPr>
        <w:tab/>
      </w:r>
      <w:proofErr w:type="gramStart"/>
      <w:r w:rsidRPr="00C65F41">
        <w:rPr>
          <w:lang w:val="en-GB"/>
        </w:rPr>
        <w:t>For</w:t>
      </w:r>
      <w:proofErr w:type="gramEnd"/>
      <w:r w:rsidRPr="00C65F41">
        <w:rPr>
          <w:lang w:val="en-GB"/>
        </w:rPr>
        <w:t xml:space="preserve"> reports where the date of vaccination was not recorded, the date of symptom onset or the received date (when the event was reported to the sender of the case) was used. For more details on changes to immunisation programs (including the National Immunisation Program), please refer to Appendix A, Table A.1.</w:t>
      </w:r>
    </w:p>
    <w:p w14:paraId="4CF4307D" w14:textId="77777777" w:rsidR="00C65F41" w:rsidRPr="00C65F41" w:rsidRDefault="00C65F41" w:rsidP="00C65F41">
      <w:pPr>
        <w:pStyle w:val="CDITable-Footnote"/>
        <w:rPr>
          <w:lang w:val="en-GB"/>
        </w:rPr>
      </w:pPr>
      <w:r w:rsidRPr="00C65F41">
        <w:rPr>
          <w:lang w:val="en-GB"/>
        </w:rPr>
        <w:t>b</w:t>
      </w:r>
      <w:r w:rsidRPr="00C65F41">
        <w:rPr>
          <w:lang w:val="en-GB"/>
        </w:rPr>
        <w:tab/>
        <w:t xml:space="preserve">Population data was sourced from the Australian Bureau of </w:t>
      </w:r>
      <w:proofErr w:type="gramStart"/>
      <w:r w:rsidRPr="00C65F41">
        <w:rPr>
          <w:lang w:val="en-GB"/>
        </w:rPr>
        <w:t>Statistics, and</w:t>
      </w:r>
      <w:proofErr w:type="gramEnd"/>
      <w:r w:rsidRPr="00C65F41">
        <w:rPr>
          <w:lang w:val="en-GB"/>
        </w:rPr>
        <w:t xml:space="preserve"> represents the mid-year total Australian estimated resident population (ERP) for each calendar year.</w:t>
      </w:r>
    </w:p>
    <w:p w14:paraId="2A6D1C2B" w14:textId="77777777" w:rsidR="00C65F41" w:rsidRPr="00C65F41" w:rsidRDefault="00C65F41" w:rsidP="00C65F41">
      <w:pPr>
        <w:pStyle w:val="Heading2"/>
        <w:rPr>
          <w:lang w:val="en-GB"/>
        </w:rPr>
      </w:pPr>
      <w:bookmarkStart w:id="30" w:name="_Toc215477403"/>
      <w:r w:rsidRPr="00C65F41">
        <w:rPr>
          <w:lang w:val="en-GB"/>
        </w:rPr>
        <w:lastRenderedPageBreak/>
        <w:t>Vaccines</w:t>
      </w:r>
      <w:bookmarkEnd w:id="30"/>
    </w:p>
    <w:p w14:paraId="36DE5ECF" w14:textId="77777777" w:rsidR="00C65F41" w:rsidRPr="00C65F41" w:rsidRDefault="00C65F41" w:rsidP="00C65F41">
      <w:pPr>
        <w:rPr>
          <w:lang w:val="en-GB"/>
        </w:rPr>
      </w:pPr>
      <w:r w:rsidRPr="00C65F41">
        <w:rPr>
          <w:lang w:val="en-GB"/>
        </w:rPr>
        <w:t xml:space="preserve">The non-COVID-19 vaccine most frequently listed in 2022 AEFI reports was the standard-formulation seasonal influenza vaccine (786 reports; 21.6% of total 2022 reports), followed by 13vPCV (454 reports; 12.5%), DTPa-IPV-HepB-Hib (373 reports; 10.2%), DTPa-IPV (311 reports; 8.5%) and MVA-BN (280 reports; 7.7%) (Table 3). Of the 786 AEFI reports following standard-formulation seasonal influenza vaccination, 74 (9.4%) were classified as serious and 250 (31.8%) were reported in children aged &lt; 7 years (Table 3). </w:t>
      </w:r>
    </w:p>
    <w:p w14:paraId="0BE80617" w14:textId="77777777" w:rsidR="00C65F41" w:rsidRPr="00C65F41" w:rsidRDefault="00C65F41" w:rsidP="00C65F41">
      <w:pPr>
        <w:rPr>
          <w:lang w:val="en-GB"/>
        </w:rPr>
      </w:pPr>
      <w:r w:rsidRPr="00C65F41">
        <w:rPr>
          <w:lang w:val="en-GB"/>
        </w:rPr>
        <w:t>For each respective age group, the vaccines with the highest number of AEFI reports in 2022 were 13vPCV (in children aged &lt; 7 years), HPV vaccine (in children and adolescents aged 7–17 years), standard-formulation seasonal influenza vaccine (in people aged 18–64 years), and high-dose or adjuvanted seasonal influenza vaccine (in people aged ≥ 65 years; Table 1). These trends remained the same as 2021 (Figures 3–7).</w:t>
      </w:r>
      <w:r w:rsidRPr="00C65F41">
        <w:rPr>
          <w:vertAlign w:val="superscript"/>
          <w:lang w:val="en-GB"/>
        </w:rPr>
        <w:t>5</w:t>
      </w:r>
    </w:p>
    <w:p w14:paraId="5F3E607E" w14:textId="77777777" w:rsidR="00C65F41" w:rsidRPr="00C65F41" w:rsidRDefault="00C65F41" w:rsidP="00C65F41">
      <w:pPr>
        <w:rPr>
          <w:lang w:val="en-GB"/>
        </w:rPr>
      </w:pPr>
      <w:r w:rsidRPr="00C65F41">
        <w:rPr>
          <w:lang w:val="en-GB"/>
        </w:rPr>
        <w:t>Reflecting vaccination activities in response to significant public health events in 2022, there was a corresponding increase in AEFI reporting for Japanese encephalitis vaccines (23 reports in total across vaccine brands in 2022, compared to one report in 2021), and AEFI reports for the MVA-BN smallpox/mpox vaccine were recorded in AEMS for the first time (280 reports).</w:t>
      </w:r>
    </w:p>
    <w:p w14:paraId="7708AE31" w14:textId="77777777" w:rsidR="00C65F41" w:rsidRPr="00C65F41" w:rsidRDefault="00C65F41" w:rsidP="00C65F41">
      <w:pPr>
        <w:pStyle w:val="Heading2"/>
        <w:rPr>
          <w:lang w:val="en-GB"/>
        </w:rPr>
      </w:pPr>
      <w:bookmarkStart w:id="31" w:name="_Toc215477404"/>
      <w:r w:rsidRPr="00C65F41">
        <w:rPr>
          <w:lang w:val="en-GB"/>
        </w:rPr>
        <w:t>Adverse events</w:t>
      </w:r>
      <w:bookmarkEnd w:id="31"/>
    </w:p>
    <w:p w14:paraId="230F87A3" w14:textId="7A5D50A1" w:rsidR="00C65F41" w:rsidRPr="00C65F41" w:rsidRDefault="00C65F41" w:rsidP="00C65F41">
      <w:pPr>
        <w:rPr>
          <w:lang w:val="en-GB"/>
        </w:rPr>
      </w:pPr>
      <w:r w:rsidRPr="00C65F41">
        <w:rPr>
          <w:lang w:val="en-GB"/>
        </w:rPr>
        <w:t>The most frequently reported PT or SMQ in 2022 was hypersensitivity (691 reports; 19.0%; Table</w:t>
      </w:r>
      <w:r>
        <w:rPr>
          <w:lang w:val="en-GB"/>
        </w:rPr>
        <w:t> </w:t>
      </w:r>
      <w:r w:rsidRPr="00C65F41">
        <w:rPr>
          <w:lang w:val="en-GB"/>
        </w:rPr>
        <w:t>4), with 8.5% classified as serious. Most reports of hypersensitivity were in children aged &lt;</w:t>
      </w:r>
      <w:r>
        <w:rPr>
          <w:lang w:val="en-GB"/>
        </w:rPr>
        <w:t> </w:t>
      </w:r>
      <w:r w:rsidRPr="00C65F41">
        <w:rPr>
          <w:lang w:val="en-GB"/>
        </w:rPr>
        <w:t>7</w:t>
      </w:r>
      <w:r>
        <w:rPr>
          <w:lang w:val="en-GB"/>
        </w:rPr>
        <w:t> </w:t>
      </w:r>
      <w:r w:rsidRPr="00C65F41">
        <w:rPr>
          <w:lang w:val="en-GB"/>
        </w:rPr>
        <w:t>years (398 reports, 57.6% of the reports of hypersensitivity), most commonly following 13vPCV (85 reports, 21.3% of the reports of hypersensitivity in the &lt; 7 years age group).</w:t>
      </w:r>
    </w:p>
    <w:p w14:paraId="66A72826" w14:textId="77777777" w:rsidR="002F48E5" w:rsidRDefault="00C65F41" w:rsidP="00C65F41">
      <w:pPr>
        <w:rPr>
          <w:lang w:val="en-GB"/>
        </w:rPr>
      </w:pPr>
      <w:r w:rsidRPr="00C65F41">
        <w:rPr>
          <w:lang w:val="en-GB"/>
        </w:rPr>
        <w:t>In order of frequency, the next most frequently reported adverse events were the MedDRA PT/SMQ ‘medication errors’ (678 reports; 18.6%; further detail of terms included in Appendix A, Table A.3); injection site reaction (567 reports; 15.6%); pyrexia (512 reports; 14.1%); and the MedDRA SMQ grouping of ‘gastrointestinal non-specific symptoms and therapeutic procedures’ (490 reports; 13.5%; Appendix A, Table A.3 provides further details regarding terms included).</w:t>
      </w:r>
    </w:p>
    <w:p w14:paraId="19D41F52" w14:textId="6742F049" w:rsidR="00C65F41" w:rsidRDefault="002F48E5" w:rsidP="00C65F41">
      <w:pPr>
        <w:rPr>
          <w:lang w:val="en-GB"/>
        </w:rPr>
      </w:pPr>
      <w:r w:rsidRPr="002F48E5">
        <w:rPr>
          <w:lang w:val="en-GB"/>
        </w:rPr>
        <w:t>In the context of AEFI, the term ‘medication errors’ denotes vaccination errors, and in the ≥ 7 age group, this was the most frequently reported PT / SMQ (310 reports). Notably, in 78.8% of reports of ‘medication errors’ (534/678), there were no adverse events reported in association with the error, noting that it is possible after the error has been reported for an associated adverse event to occur (and not be captured in the error report). Six AEFI reports involving ‘medication errors’ were classified as serious, and in 22.6% of reports of ‘medication errors’ (153/678), more than one vaccine was reported. Compared to 2021, there was an increase in reports of vaccination errors, across all age groups and vaccines (from 380 reports, representing 11.3% of all 2021 AEFI reports, to 678 [18.6% of reports] in 2022). There was an increase in the reporting of errors both from health professionals directly to the TGA (from 17 reports of errors in 2021 to 88 reports in 2022) and to the TGA from jurisdictional health departments (from 353 reports in 2021 to 578 reports in 2022). The vaccine most frequently implicated in a report of ‘medication errors’ was the standard formulation seasonal influenza vaccine, with 129 reports (19.0% of reports with ‘medication errors’ included), followed by the high dose or adjuvanted influenza vaccine, with 78 reports (11.5%).</w:t>
      </w:r>
      <w:r w:rsidR="00C65F41">
        <w:rPr>
          <w:lang w:val="en-GB"/>
        </w:rPr>
        <w:br w:type="page"/>
      </w:r>
    </w:p>
    <w:p w14:paraId="65E2D269" w14:textId="77777777" w:rsidR="002F48E5" w:rsidRPr="002F48E5" w:rsidRDefault="002F48E5" w:rsidP="002F48E5">
      <w:pPr>
        <w:pStyle w:val="CDITable-Title"/>
        <w:rPr>
          <w:lang w:val="en-GB"/>
        </w:rPr>
      </w:pPr>
      <w:bookmarkStart w:id="32" w:name="_Toc215491391"/>
      <w:r w:rsidRPr="002F48E5">
        <w:rPr>
          <w:lang w:val="en-GB"/>
        </w:rPr>
        <w:lastRenderedPageBreak/>
        <w:t>Table 3: Vaccines administered in 2022 listed as ‘suspect’ in reports of adverse events following immunisation in the Adverse Event Management System (AEMS) database (excluding COVID-19 vaccines)</w:t>
      </w:r>
      <w:bookmarkEnd w:id="32"/>
    </w:p>
    <w:tbl>
      <w:tblPr>
        <w:tblW w:w="0" w:type="auto"/>
        <w:tblLayout w:type="fixed"/>
        <w:tblCellMar>
          <w:left w:w="0" w:type="dxa"/>
          <w:right w:w="0" w:type="dxa"/>
        </w:tblCellMar>
        <w:tblLook w:val="0000" w:firstRow="0" w:lastRow="0" w:firstColumn="0" w:lastColumn="0" w:noHBand="0" w:noVBand="0"/>
        <w:tblCaption w:val="Table 3: Vaccines administered in 2022 listed as ‘suspect’ in reports of adverse events following immunisation in the Adverse Event Management System (AEMS) database (excluding COVID-19 vaccines)"/>
        <w:tblDescription w:val="Table 3 shows, in descending order, the non-COVID-19 vaccines nominated as the “suspected” causative agent in adverse event reports in 2022. For each vaccine, the table gives the number and proportion of reports classified as serious, and the proportions of recipients &lt; 7 and ≥ 7 years of age."/>
      </w:tblPr>
      <w:tblGrid>
        <w:gridCol w:w="2778"/>
        <w:gridCol w:w="1372"/>
        <w:gridCol w:w="1372"/>
        <w:gridCol w:w="1372"/>
        <w:gridCol w:w="1372"/>
        <w:gridCol w:w="1372"/>
      </w:tblGrid>
      <w:tr w:rsidR="00A96216" w:rsidRPr="00A96216" w14:paraId="5F0F9BE5" w14:textId="77777777" w:rsidTr="00A96216">
        <w:tblPrEx>
          <w:tblCellMar>
            <w:top w:w="0" w:type="dxa"/>
            <w:left w:w="0" w:type="dxa"/>
            <w:bottom w:w="0" w:type="dxa"/>
            <w:right w:w="0" w:type="dxa"/>
          </w:tblCellMar>
        </w:tblPrEx>
        <w:trPr>
          <w:trHeight w:val="355"/>
          <w:tblHeader/>
        </w:trPr>
        <w:tc>
          <w:tcPr>
            <w:tcW w:w="2778" w:type="dxa"/>
            <w:shd w:val="clear" w:color="auto" w:fill="1E4496" w:themeFill="text2"/>
            <w:tcMar>
              <w:top w:w="113" w:type="dxa"/>
              <w:left w:w="113" w:type="dxa"/>
              <w:bottom w:w="113" w:type="dxa"/>
              <w:right w:w="113" w:type="dxa"/>
            </w:tcMar>
            <w:vAlign w:val="bottom"/>
          </w:tcPr>
          <w:p w14:paraId="2FC72E8D" w14:textId="77777777" w:rsidR="00A96216" w:rsidRPr="00A96216" w:rsidRDefault="00A96216" w:rsidP="00A96216">
            <w:pPr>
              <w:pStyle w:val="CDITable-HeaderRowLeft"/>
            </w:pPr>
            <w:proofErr w:type="spellStart"/>
            <w:r w:rsidRPr="00A96216">
              <w:t>Vaccine</w:t>
            </w:r>
            <w:r w:rsidRPr="00A96216">
              <w:rPr>
                <w:vertAlign w:val="superscript"/>
              </w:rPr>
              <w:t>a</w:t>
            </w:r>
            <w:proofErr w:type="spellEnd"/>
          </w:p>
        </w:tc>
        <w:tc>
          <w:tcPr>
            <w:tcW w:w="1372" w:type="dxa"/>
            <w:shd w:val="clear" w:color="auto" w:fill="1E4496" w:themeFill="text2"/>
            <w:tcMar>
              <w:top w:w="113" w:type="dxa"/>
              <w:left w:w="113" w:type="dxa"/>
              <w:bottom w:w="113" w:type="dxa"/>
              <w:right w:w="113" w:type="dxa"/>
            </w:tcMar>
            <w:vAlign w:val="bottom"/>
          </w:tcPr>
          <w:p w14:paraId="075199D6" w14:textId="77777777" w:rsidR="00A96216" w:rsidRPr="00A96216" w:rsidRDefault="00A96216" w:rsidP="00A96216">
            <w:pPr>
              <w:pStyle w:val="CDITable-HeaderRowCentre"/>
            </w:pPr>
            <w:r w:rsidRPr="00A96216">
              <w:t>AEFI reports n (</w:t>
            </w:r>
            <w:proofErr w:type="gramStart"/>
            <w:r w:rsidRPr="00A96216">
              <w:t>%)</w:t>
            </w:r>
            <w:proofErr w:type="spellStart"/>
            <w:r w:rsidRPr="00A96216">
              <w:rPr>
                <w:bCs/>
                <w:vertAlign w:val="superscript"/>
              </w:rPr>
              <w:t>b</w:t>
            </w:r>
            <w:proofErr w:type="gramEnd"/>
            <w:r w:rsidRPr="00A96216">
              <w:rPr>
                <w:bCs/>
                <w:vertAlign w:val="superscript"/>
              </w:rPr>
              <w:t>,c</w:t>
            </w:r>
            <w:proofErr w:type="spellEnd"/>
          </w:p>
        </w:tc>
        <w:tc>
          <w:tcPr>
            <w:tcW w:w="1372" w:type="dxa"/>
            <w:shd w:val="clear" w:color="auto" w:fill="1E4496" w:themeFill="text2"/>
            <w:tcMar>
              <w:top w:w="113" w:type="dxa"/>
              <w:left w:w="113" w:type="dxa"/>
              <w:bottom w:w="113" w:type="dxa"/>
              <w:right w:w="113" w:type="dxa"/>
            </w:tcMar>
            <w:vAlign w:val="bottom"/>
          </w:tcPr>
          <w:p w14:paraId="60876C93" w14:textId="37FEAE2C" w:rsidR="00A96216" w:rsidRPr="00A96216" w:rsidRDefault="00A96216" w:rsidP="00A96216">
            <w:pPr>
              <w:pStyle w:val="CDITable-HeaderRowCentre"/>
            </w:pPr>
            <w:r w:rsidRPr="00A96216">
              <w:t>Reports with a single suspected vaccine n</w:t>
            </w:r>
            <w:r>
              <w:t> </w:t>
            </w:r>
            <w:r w:rsidRPr="00A96216">
              <w:t>(</w:t>
            </w:r>
            <w:proofErr w:type="gramStart"/>
            <w:r w:rsidRPr="00A96216">
              <w:t>%)</w:t>
            </w:r>
            <w:proofErr w:type="spellStart"/>
            <w:r w:rsidRPr="00A96216">
              <w:rPr>
                <w:bCs/>
                <w:vertAlign w:val="superscript"/>
              </w:rPr>
              <w:t>c</w:t>
            </w:r>
            <w:proofErr w:type="gramEnd"/>
            <w:r w:rsidRPr="00A96216">
              <w:rPr>
                <w:bCs/>
                <w:vertAlign w:val="superscript"/>
              </w:rPr>
              <w:t>,d</w:t>
            </w:r>
            <w:proofErr w:type="spellEnd"/>
          </w:p>
        </w:tc>
        <w:tc>
          <w:tcPr>
            <w:tcW w:w="1372" w:type="dxa"/>
            <w:shd w:val="clear" w:color="auto" w:fill="1E4496" w:themeFill="text2"/>
            <w:tcMar>
              <w:top w:w="113" w:type="dxa"/>
              <w:left w:w="113" w:type="dxa"/>
              <w:bottom w:w="113" w:type="dxa"/>
              <w:right w:w="113" w:type="dxa"/>
            </w:tcMar>
            <w:vAlign w:val="bottom"/>
          </w:tcPr>
          <w:p w14:paraId="465D2855" w14:textId="77777777" w:rsidR="00A96216" w:rsidRPr="00A96216" w:rsidRDefault="00A96216" w:rsidP="00A96216">
            <w:pPr>
              <w:pStyle w:val="CDITable-HeaderRowCentre"/>
            </w:pPr>
            <w:r w:rsidRPr="00A96216">
              <w:t>Serious AEFI n (</w:t>
            </w:r>
            <w:proofErr w:type="gramStart"/>
            <w:r w:rsidRPr="00A96216">
              <w:t>%)</w:t>
            </w:r>
            <w:proofErr w:type="spellStart"/>
            <w:r w:rsidRPr="00A96216">
              <w:rPr>
                <w:bCs/>
                <w:vertAlign w:val="superscript"/>
              </w:rPr>
              <w:t>c</w:t>
            </w:r>
            <w:proofErr w:type="gramEnd"/>
            <w:r w:rsidRPr="00A96216">
              <w:rPr>
                <w:bCs/>
                <w:vertAlign w:val="superscript"/>
              </w:rPr>
              <w:t>,e</w:t>
            </w:r>
            <w:proofErr w:type="spellEnd"/>
          </w:p>
        </w:tc>
        <w:tc>
          <w:tcPr>
            <w:tcW w:w="1372" w:type="dxa"/>
            <w:shd w:val="clear" w:color="auto" w:fill="1E4496" w:themeFill="text2"/>
            <w:tcMar>
              <w:top w:w="113" w:type="dxa"/>
              <w:left w:w="113" w:type="dxa"/>
              <w:bottom w:w="113" w:type="dxa"/>
              <w:right w:w="113" w:type="dxa"/>
            </w:tcMar>
            <w:vAlign w:val="bottom"/>
          </w:tcPr>
          <w:p w14:paraId="7EE1120D" w14:textId="4871EA3D" w:rsidR="00A96216" w:rsidRPr="00A96216" w:rsidRDefault="00A96216" w:rsidP="00A96216">
            <w:pPr>
              <w:pStyle w:val="CDITable-HeaderRowCentre"/>
            </w:pPr>
            <w:r w:rsidRPr="00A96216">
              <w:t>Aged &lt;</w:t>
            </w:r>
            <w:r>
              <w:t> </w:t>
            </w:r>
            <w:r w:rsidRPr="00A96216">
              <w:t>7</w:t>
            </w:r>
            <w:r>
              <w:t> </w:t>
            </w:r>
            <w:r w:rsidRPr="00A96216">
              <w:t>years n</w:t>
            </w:r>
            <w:r>
              <w:t> </w:t>
            </w:r>
            <w:r w:rsidRPr="00A96216">
              <w:t>(</w:t>
            </w:r>
            <w:proofErr w:type="gramStart"/>
            <w:r w:rsidRPr="00A96216">
              <w:t>%)</w:t>
            </w:r>
            <w:proofErr w:type="spellStart"/>
            <w:r w:rsidRPr="00A96216">
              <w:rPr>
                <w:bCs/>
                <w:vertAlign w:val="superscript"/>
              </w:rPr>
              <w:t>c</w:t>
            </w:r>
            <w:proofErr w:type="gramEnd"/>
            <w:r w:rsidRPr="00A96216">
              <w:rPr>
                <w:bCs/>
                <w:vertAlign w:val="superscript"/>
              </w:rPr>
              <w:t>,f</w:t>
            </w:r>
            <w:proofErr w:type="spellEnd"/>
          </w:p>
        </w:tc>
        <w:tc>
          <w:tcPr>
            <w:tcW w:w="1372" w:type="dxa"/>
            <w:shd w:val="clear" w:color="auto" w:fill="1E4496" w:themeFill="text2"/>
            <w:tcMar>
              <w:top w:w="113" w:type="dxa"/>
              <w:left w:w="113" w:type="dxa"/>
              <w:bottom w:w="113" w:type="dxa"/>
              <w:right w:w="113" w:type="dxa"/>
            </w:tcMar>
            <w:vAlign w:val="bottom"/>
          </w:tcPr>
          <w:p w14:paraId="1B7E8060" w14:textId="09B4D235" w:rsidR="00A96216" w:rsidRPr="00A96216" w:rsidRDefault="00A96216" w:rsidP="00A96216">
            <w:pPr>
              <w:pStyle w:val="CDITable-HeaderRowCentre"/>
            </w:pPr>
            <w:r w:rsidRPr="00A96216">
              <w:t>Aged ≥</w:t>
            </w:r>
            <w:r>
              <w:t> </w:t>
            </w:r>
            <w:r w:rsidRPr="00A96216">
              <w:t>7</w:t>
            </w:r>
            <w:r>
              <w:t> </w:t>
            </w:r>
            <w:r w:rsidRPr="00A96216">
              <w:t>years n</w:t>
            </w:r>
            <w:r>
              <w:t> </w:t>
            </w:r>
            <w:r w:rsidRPr="00A96216">
              <w:t>(</w:t>
            </w:r>
            <w:proofErr w:type="gramStart"/>
            <w:r w:rsidRPr="00A96216">
              <w:t>%)</w:t>
            </w:r>
            <w:proofErr w:type="spellStart"/>
            <w:r w:rsidRPr="00A96216">
              <w:rPr>
                <w:bCs/>
                <w:vertAlign w:val="superscript"/>
              </w:rPr>
              <w:t>c</w:t>
            </w:r>
            <w:proofErr w:type="gramEnd"/>
            <w:r w:rsidRPr="00A96216">
              <w:rPr>
                <w:bCs/>
                <w:vertAlign w:val="superscript"/>
              </w:rPr>
              <w:t>,f</w:t>
            </w:r>
            <w:proofErr w:type="spellEnd"/>
          </w:p>
        </w:tc>
      </w:tr>
      <w:tr w:rsidR="00A96216" w:rsidRPr="00A96216" w14:paraId="2252F040" w14:textId="77777777" w:rsidTr="00A96216">
        <w:tblPrEx>
          <w:tblCellMar>
            <w:top w:w="0" w:type="dxa"/>
            <w:left w:w="0" w:type="dxa"/>
            <w:bottom w:w="0" w:type="dxa"/>
            <w:right w:w="0" w:type="dxa"/>
          </w:tblCellMar>
        </w:tblPrEx>
        <w:trPr>
          <w:trHeight w:val="60"/>
        </w:trPr>
        <w:tc>
          <w:tcPr>
            <w:tcW w:w="2778" w:type="dxa"/>
            <w:tcBorders>
              <w:bottom w:val="single" w:sz="6" w:space="0" w:color="1E4496" w:themeColor="text2"/>
            </w:tcBorders>
            <w:tcMar>
              <w:top w:w="113" w:type="dxa"/>
              <w:left w:w="113" w:type="dxa"/>
              <w:bottom w:w="113" w:type="dxa"/>
              <w:right w:w="113" w:type="dxa"/>
            </w:tcMar>
            <w:vAlign w:val="center"/>
          </w:tcPr>
          <w:p w14:paraId="74DC82CB" w14:textId="77777777" w:rsidR="00A96216" w:rsidRPr="00A96216" w:rsidRDefault="00A96216" w:rsidP="00A96216">
            <w:pPr>
              <w:pStyle w:val="CDITable-RowLeft"/>
            </w:pPr>
            <w:r w:rsidRPr="00A96216">
              <w:t>Influenza (seasonal—standard formulation)</w:t>
            </w:r>
          </w:p>
        </w:tc>
        <w:tc>
          <w:tcPr>
            <w:tcW w:w="1372" w:type="dxa"/>
            <w:tcBorders>
              <w:bottom w:val="single" w:sz="6" w:space="0" w:color="1E4496" w:themeColor="text2"/>
            </w:tcBorders>
            <w:tcMar>
              <w:top w:w="113" w:type="dxa"/>
              <w:left w:w="113" w:type="dxa"/>
              <w:bottom w:w="113" w:type="dxa"/>
              <w:right w:w="113" w:type="dxa"/>
            </w:tcMar>
            <w:vAlign w:val="center"/>
          </w:tcPr>
          <w:p w14:paraId="4A92A772" w14:textId="77777777" w:rsidR="00A96216" w:rsidRPr="00A96216" w:rsidRDefault="00A96216" w:rsidP="00A96216">
            <w:pPr>
              <w:pStyle w:val="CDITable-RowCentre"/>
            </w:pPr>
            <w:r w:rsidRPr="00A96216">
              <w:t>786 (21.6)</w:t>
            </w:r>
          </w:p>
        </w:tc>
        <w:tc>
          <w:tcPr>
            <w:tcW w:w="1372" w:type="dxa"/>
            <w:tcBorders>
              <w:bottom w:val="single" w:sz="6" w:space="0" w:color="1E4496" w:themeColor="text2"/>
            </w:tcBorders>
            <w:tcMar>
              <w:top w:w="113" w:type="dxa"/>
              <w:left w:w="113" w:type="dxa"/>
              <w:bottom w:w="113" w:type="dxa"/>
              <w:right w:w="113" w:type="dxa"/>
            </w:tcMar>
            <w:vAlign w:val="center"/>
          </w:tcPr>
          <w:p w14:paraId="772EAA6F" w14:textId="77777777" w:rsidR="00A96216" w:rsidRPr="00A96216" w:rsidRDefault="00A96216" w:rsidP="00A96216">
            <w:pPr>
              <w:pStyle w:val="CDITable-RowCentre"/>
            </w:pPr>
            <w:r w:rsidRPr="00A96216">
              <w:t>656 (83.5)</w:t>
            </w:r>
          </w:p>
        </w:tc>
        <w:tc>
          <w:tcPr>
            <w:tcW w:w="1372" w:type="dxa"/>
            <w:tcBorders>
              <w:bottom w:val="single" w:sz="6" w:space="0" w:color="1E4496" w:themeColor="text2"/>
            </w:tcBorders>
            <w:tcMar>
              <w:top w:w="113" w:type="dxa"/>
              <w:left w:w="113" w:type="dxa"/>
              <w:bottom w:w="113" w:type="dxa"/>
              <w:right w:w="113" w:type="dxa"/>
            </w:tcMar>
            <w:vAlign w:val="center"/>
          </w:tcPr>
          <w:p w14:paraId="544D655A" w14:textId="77777777" w:rsidR="00A96216" w:rsidRPr="00A96216" w:rsidRDefault="00A96216" w:rsidP="00A96216">
            <w:pPr>
              <w:pStyle w:val="CDITable-RowCentre"/>
            </w:pPr>
            <w:r w:rsidRPr="00A96216">
              <w:t>74 (9.4)</w:t>
            </w:r>
          </w:p>
        </w:tc>
        <w:tc>
          <w:tcPr>
            <w:tcW w:w="1372" w:type="dxa"/>
            <w:tcBorders>
              <w:bottom w:val="single" w:sz="6" w:space="0" w:color="1E4496" w:themeColor="text2"/>
            </w:tcBorders>
            <w:tcMar>
              <w:top w:w="113" w:type="dxa"/>
              <w:left w:w="113" w:type="dxa"/>
              <w:bottom w:w="113" w:type="dxa"/>
              <w:right w:w="113" w:type="dxa"/>
            </w:tcMar>
            <w:vAlign w:val="center"/>
          </w:tcPr>
          <w:p w14:paraId="3835FF71" w14:textId="77777777" w:rsidR="00A96216" w:rsidRPr="00A96216" w:rsidRDefault="00A96216" w:rsidP="00A96216">
            <w:pPr>
              <w:pStyle w:val="CDITable-RowCentre"/>
            </w:pPr>
            <w:r w:rsidRPr="00A96216">
              <w:t>250 (31.8)</w:t>
            </w:r>
          </w:p>
        </w:tc>
        <w:tc>
          <w:tcPr>
            <w:tcW w:w="1372" w:type="dxa"/>
            <w:tcBorders>
              <w:bottom w:val="single" w:sz="6" w:space="0" w:color="1E4496" w:themeColor="text2"/>
            </w:tcBorders>
            <w:tcMar>
              <w:top w:w="113" w:type="dxa"/>
              <w:left w:w="113" w:type="dxa"/>
              <w:bottom w:w="113" w:type="dxa"/>
              <w:right w:w="113" w:type="dxa"/>
            </w:tcMar>
            <w:vAlign w:val="center"/>
          </w:tcPr>
          <w:p w14:paraId="0A95726A" w14:textId="77777777" w:rsidR="00A96216" w:rsidRPr="00A96216" w:rsidRDefault="00A96216" w:rsidP="00A96216">
            <w:pPr>
              <w:pStyle w:val="CDITable-RowCentre"/>
            </w:pPr>
            <w:r w:rsidRPr="00A96216">
              <w:t>497 (63.2)</w:t>
            </w:r>
          </w:p>
        </w:tc>
      </w:tr>
      <w:tr w:rsidR="00A96216" w:rsidRPr="00A96216" w14:paraId="4D5313A9"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D79360" w14:textId="77777777" w:rsidR="00A96216" w:rsidRPr="00A96216" w:rsidRDefault="00A96216" w:rsidP="00A96216">
            <w:pPr>
              <w:pStyle w:val="CDITable-RowLeft"/>
            </w:pPr>
            <w:r w:rsidRPr="00A96216">
              <w:t>13vPCV</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3DB8B3" w14:textId="77777777" w:rsidR="00A96216" w:rsidRPr="00A96216" w:rsidRDefault="00A96216" w:rsidP="00A96216">
            <w:pPr>
              <w:pStyle w:val="CDITable-RowCentre"/>
            </w:pPr>
            <w:r w:rsidRPr="00A96216">
              <w:t>454 (12.5)</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E350F0" w14:textId="77777777" w:rsidR="00A96216" w:rsidRPr="00A96216" w:rsidRDefault="00A96216" w:rsidP="00A96216">
            <w:pPr>
              <w:pStyle w:val="CDITable-RowCentre"/>
            </w:pPr>
            <w:r w:rsidRPr="00A96216">
              <w:t>43 (9.5)</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A503F2" w14:textId="77777777" w:rsidR="00A96216" w:rsidRPr="00A96216" w:rsidRDefault="00A96216" w:rsidP="00A96216">
            <w:pPr>
              <w:pStyle w:val="CDITable-RowCentre"/>
            </w:pPr>
            <w:r w:rsidRPr="00A96216">
              <w:t>50 (11.0)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9535F4" w14:textId="77777777" w:rsidR="00A96216" w:rsidRPr="00A96216" w:rsidRDefault="00A96216" w:rsidP="00A96216">
            <w:pPr>
              <w:pStyle w:val="CDITable-RowCentre"/>
            </w:pPr>
            <w:r w:rsidRPr="00A96216">
              <w:t>397 (87.4)</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439FB7" w14:textId="77777777" w:rsidR="00A96216" w:rsidRPr="00A96216" w:rsidRDefault="00A96216" w:rsidP="00A96216">
            <w:pPr>
              <w:pStyle w:val="CDITable-RowCentre"/>
            </w:pPr>
            <w:r w:rsidRPr="00A96216">
              <w:t>51 (11.2)</w:t>
            </w:r>
          </w:p>
        </w:tc>
      </w:tr>
      <w:tr w:rsidR="00A96216" w:rsidRPr="00A96216" w14:paraId="13137686"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260E9E" w14:textId="77777777" w:rsidR="00A96216" w:rsidRPr="00A96216" w:rsidRDefault="00A96216" w:rsidP="00A96216">
            <w:pPr>
              <w:pStyle w:val="CDITable-RowLeft"/>
            </w:pPr>
            <w:r w:rsidRPr="00A96216">
              <w:t>DTPa-HepB-IPV-Hib</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0B7D2B" w14:textId="77777777" w:rsidR="00A96216" w:rsidRPr="00A96216" w:rsidRDefault="00A96216" w:rsidP="00A96216">
            <w:pPr>
              <w:pStyle w:val="CDITable-RowCentre"/>
            </w:pPr>
            <w:r w:rsidRPr="00A96216">
              <w:t>373 (10.2)</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CDB630" w14:textId="77777777" w:rsidR="00A96216" w:rsidRPr="00A96216" w:rsidRDefault="00A96216" w:rsidP="00A96216">
            <w:pPr>
              <w:pStyle w:val="CDITable-RowCentre"/>
            </w:pPr>
            <w:r w:rsidRPr="00A96216">
              <w:t>91 (24.4)</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D30191" w14:textId="77777777" w:rsidR="00A96216" w:rsidRPr="00A96216" w:rsidRDefault="00A96216" w:rsidP="00A96216">
            <w:pPr>
              <w:pStyle w:val="CDITable-RowCentre"/>
            </w:pPr>
            <w:r w:rsidRPr="00A96216">
              <w:t>39 (10.5)</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EFDF03" w14:textId="77777777" w:rsidR="00A96216" w:rsidRPr="00A96216" w:rsidRDefault="00A96216" w:rsidP="00A96216">
            <w:pPr>
              <w:pStyle w:val="CDITable-RowCentre"/>
            </w:pPr>
            <w:r w:rsidRPr="00A96216">
              <w:t>360 (96.5)</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4B2692" w14:textId="77777777" w:rsidR="00A96216" w:rsidRPr="00A96216" w:rsidRDefault="00A96216" w:rsidP="00A96216">
            <w:pPr>
              <w:pStyle w:val="CDITable-RowCentre"/>
            </w:pPr>
            <w:r w:rsidRPr="00A96216">
              <w:t>2 (0.5)</w:t>
            </w:r>
          </w:p>
        </w:tc>
      </w:tr>
      <w:tr w:rsidR="00A96216" w:rsidRPr="00A96216" w14:paraId="154758B5"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B6B118" w14:textId="77777777" w:rsidR="00A96216" w:rsidRPr="00A96216" w:rsidRDefault="00A96216" w:rsidP="00A96216">
            <w:pPr>
              <w:pStyle w:val="CDITable-RowLeft"/>
            </w:pPr>
            <w:r w:rsidRPr="00A96216">
              <w:t>DTPa-IPV</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B4CB53" w14:textId="77777777" w:rsidR="00A96216" w:rsidRPr="00A96216" w:rsidRDefault="00A96216" w:rsidP="00A96216">
            <w:pPr>
              <w:pStyle w:val="CDITable-RowCentre"/>
            </w:pPr>
            <w:r w:rsidRPr="00A96216">
              <w:t>310 (8.5)</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E8EE51" w14:textId="77777777" w:rsidR="00A96216" w:rsidRPr="00A96216" w:rsidRDefault="00A96216" w:rsidP="00A96216">
            <w:pPr>
              <w:pStyle w:val="CDITable-RowCentre"/>
            </w:pPr>
            <w:r w:rsidRPr="00A96216">
              <w:t>269 (86.8)</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0B77FC" w14:textId="77777777" w:rsidR="00A96216" w:rsidRPr="00A96216" w:rsidRDefault="00A96216" w:rsidP="00A96216">
            <w:pPr>
              <w:pStyle w:val="CDITable-RowCentre"/>
            </w:pPr>
            <w:r w:rsidRPr="00A96216">
              <w:t>13 (4.2)</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06E13A" w14:textId="77777777" w:rsidR="00A96216" w:rsidRPr="00A96216" w:rsidRDefault="00A96216" w:rsidP="00A96216">
            <w:pPr>
              <w:pStyle w:val="CDITable-RowCentre"/>
            </w:pPr>
            <w:r w:rsidRPr="00A96216">
              <w:t>287 (92.6)</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FB5061" w14:textId="77777777" w:rsidR="00A96216" w:rsidRPr="00A96216" w:rsidRDefault="00A96216" w:rsidP="00A96216">
            <w:pPr>
              <w:pStyle w:val="CDITable-RowCentre"/>
            </w:pPr>
            <w:r w:rsidRPr="00A96216">
              <w:t>14 (4.5)</w:t>
            </w:r>
          </w:p>
        </w:tc>
      </w:tr>
      <w:tr w:rsidR="00A96216" w:rsidRPr="00A96216" w14:paraId="3465BC5B"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22C575" w14:textId="77777777" w:rsidR="00A96216" w:rsidRPr="00A96216" w:rsidRDefault="00A96216" w:rsidP="00A96216">
            <w:pPr>
              <w:pStyle w:val="CDITable-RowLeft"/>
            </w:pPr>
            <w:r w:rsidRPr="00A96216">
              <w:t>MVA-BN</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FE1210" w14:textId="77777777" w:rsidR="00A96216" w:rsidRPr="00A96216" w:rsidRDefault="00A96216" w:rsidP="00A96216">
            <w:pPr>
              <w:pStyle w:val="CDITable-RowCentre"/>
            </w:pPr>
            <w:r w:rsidRPr="00A96216">
              <w:t>282 (7.7)</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07D3B1" w14:textId="77777777" w:rsidR="00A96216" w:rsidRPr="00A96216" w:rsidRDefault="00A96216" w:rsidP="00A96216">
            <w:pPr>
              <w:pStyle w:val="CDITable-RowCentre"/>
            </w:pPr>
            <w:r w:rsidRPr="00A96216">
              <w:t>262 (92.9)</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510C02" w14:textId="77777777" w:rsidR="00A96216" w:rsidRPr="00A96216" w:rsidRDefault="00A96216" w:rsidP="00A96216">
            <w:pPr>
              <w:pStyle w:val="CDITable-RowCentre"/>
            </w:pPr>
            <w:r w:rsidRPr="00A96216">
              <w:t>4 (1.4)</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469958" w14:textId="77777777" w:rsidR="00A96216" w:rsidRPr="00A96216" w:rsidRDefault="00A96216" w:rsidP="00A96216">
            <w:pPr>
              <w:pStyle w:val="CDITable-RowCentre"/>
            </w:pPr>
            <w:r w:rsidRPr="00A96216">
              <w:t>0 (0)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759F1B" w14:textId="77777777" w:rsidR="00A96216" w:rsidRPr="00A96216" w:rsidRDefault="00A96216" w:rsidP="00A96216">
            <w:pPr>
              <w:pStyle w:val="CDITable-RowCentre"/>
            </w:pPr>
            <w:r w:rsidRPr="00A96216">
              <w:t>279 (98.9)</w:t>
            </w:r>
          </w:p>
        </w:tc>
      </w:tr>
      <w:tr w:rsidR="00A96216" w:rsidRPr="00A96216" w14:paraId="67F9B794"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F7B7F7" w14:textId="77777777" w:rsidR="00A96216" w:rsidRPr="00A96216" w:rsidRDefault="00A96216" w:rsidP="00A96216">
            <w:pPr>
              <w:pStyle w:val="CDITable-RowLeft"/>
            </w:pPr>
            <w:r w:rsidRPr="00A96216">
              <w:t>Rotavirus</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594E74" w14:textId="77777777" w:rsidR="00A96216" w:rsidRPr="00A96216" w:rsidRDefault="00A96216" w:rsidP="00A96216">
            <w:pPr>
              <w:pStyle w:val="CDITable-RowCentre"/>
            </w:pPr>
            <w:r w:rsidRPr="00A96216">
              <w:t>279 (7.7)</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239C2B" w14:textId="77777777" w:rsidR="00A96216" w:rsidRPr="00A96216" w:rsidRDefault="00A96216" w:rsidP="00A96216">
            <w:pPr>
              <w:pStyle w:val="CDITable-RowCentre"/>
            </w:pPr>
            <w:r w:rsidRPr="00A96216">
              <w:t>55 (19.7)</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2B0A45" w14:textId="77777777" w:rsidR="00A96216" w:rsidRPr="00A96216" w:rsidRDefault="00A96216" w:rsidP="00A96216">
            <w:pPr>
              <w:pStyle w:val="CDITable-RowCentre"/>
            </w:pPr>
            <w:r w:rsidRPr="00A96216">
              <w:t>67 (24.0)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35BB3B" w14:textId="77777777" w:rsidR="00A96216" w:rsidRPr="00A96216" w:rsidRDefault="00A96216" w:rsidP="00A96216">
            <w:pPr>
              <w:pStyle w:val="CDITable-RowCentre"/>
            </w:pPr>
            <w:r w:rsidRPr="00A96216">
              <w:t>246 (88.2)</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5C88D2" w14:textId="77777777" w:rsidR="00A96216" w:rsidRPr="00A96216" w:rsidRDefault="00A96216" w:rsidP="00A96216">
            <w:pPr>
              <w:pStyle w:val="CDITable-RowCentre"/>
            </w:pPr>
            <w:r w:rsidRPr="00A96216">
              <w:t>0 (0)</w:t>
            </w:r>
          </w:p>
        </w:tc>
      </w:tr>
      <w:tr w:rsidR="00A96216" w:rsidRPr="00A96216" w14:paraId="367554E1"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049A0E" w14:textId="77777777" w:rsidR="00A96216" w:rsidRPr="00A96216" w:rsidRDefault="00A96216" w:rsidP="00A96216">
            <w:pPr>
              <w:pStyle w:val="CDITable-RowLeft"/>
            </w:pPr>
            <w:r w:rsidRPr="00A96216">
              <w:t>Zoster (unspecified)</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96FD81" w14:textId="77777777" w:rsidR="00A96216" w:rsidRPr="00A96216" w:rsidRDefault="00A96216" w:rsidP="00A96216">
            <w:pPr>
              <w:pStyle w:val="CDITable-RowCentre"/>
            </w:pPr>
            <w:r w:rsidRPr="00A96216">
              <w:t>279 (7.7)</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87FF6C" w14:textId="77777777" w:rsidR="00A96216" w:rsidRPr="00A96216" w:rsidRDefault="00A96216" w:rsidP="00A96216">
            <w:pPr>
              <w:pStyle w:val="CDITable-RowCentre"/>
            </w:pPr>
            <w:r w:rsidRPr="00A96216">
              <w:t>279 (100)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5ECFF8" w14:textId="77777777" w:rsidR="00A96216" w:rsidRPr="00A96216" w:rsidRDefault="00A96216" w:rsidP="00A96216">
            <w:pPr>
              <w:pStyle w:val="CDITable-RowCentre"/>
            </w:pPr>
            <w:r w:rsidRPr="00A96216">
              <w:t>278 (99.6)</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5D08C7" w14:textId="77777777" w:rsidR="00A96216" w:rsidRPr="00A96216" w:rsidRDefault="00A96216" w:rsidP="00A96216">
            <w:pPr>
              <w:pStyle w:val="CDITable-RowCentre"/>
            </w:pPr>
            <w:r w:rsidRPr="00A96216">
              <w:t>0 (0)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269029" w14:textId="77777777" w:rsidR="00A96216" w:rsidRPr="00A96216" w:rsidRDefault="00A96216" w:rsidP="00A96216">
            <w:pPr>
              <w:pStyle w:val="CDITable-RowCentre"/>
            </w:pPr>
            <w:r w:rsidRPr="00A96216">
              <w:t>18 (6.5)</w:t>
            </w:r>
          </w:p>
        </w:tc>
      </w:tr>
      <w:tr w:rsidR="00A96216" w:rsidRPr="00A96216" w14:paraId="1079AAEE"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46095D" w14:textId="77777777" w:rsidR="00A96216" w:rsidRPr="00A96216" w:rsidRDefault="00A96216" w:rsidP="00A96216">
            <w:pPr>
              <w:pStyle w:val="CDITable-RowLeft"/>
            </w:pPr>
            <w:r w:rsidRPr="00A96216">
              <w:t>MMR</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E21584" w14:textId="77777777" w:rsidR="00A96216" w:rsidRPr="00A96216" w:rsidRDefault="00A96216" w:rsidP="00A96216">
            <w:pPr>
              <w:pStyle w:val="CDITable-RowCentre"/>
            </w:pPr>
            <w:r w:rsidRPr="00A96216">
              <w:t>226 (6.2)</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6055E6" w14:textId="77777777" w:rsidR="00A96216" w:rsidRPr="00A96216" w:rsidRDefault="00A96216" w:rsidP="00A96216">
            <w:pPr>
              <w:pStyle w:val="CDITable-RowCentre"/>
            </w:pPr>
            <w:r w:rsidRPr="00A96216">
              <w:t>56 (24.8)</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CC3697" w14:textId="77777777" w:rsidR="00A96216" w:rsidRPr="00A96216" w:rsidRDefault="00A96216" w:rsidP="00A96216">
            <w:pPr>
              <w:pStyle w:val="CDITable-RowCentre"/>
            </w:pPr>
            <w:r w:rsidRPr="00A96216">
              <w:t>17 (8.5)</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57171F" w14:textId="77777777" w:rsidR="00A96216" w:rsidRPr="00A96216" w:rsidRDefault="00A96216" w:rsidP="00A96216">
            <w:pPr>
              <w:pStyle w:val="CDITable-RowCentre"/>
            </w:pPr>
            <w:r w:rsidRPr="00A96216">
              <w:t>204 (90.3)</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1ED90D" w14:textId="77777777" w:rsidR="00A96216" w:rsidRPr="00A96216" w:rsidRDefault="00A96216" w:rsidP="00A96216">
            <w:pPr>
              <w:pStyle w:val="CDITable-RowCentre"/>
            </w:pPr>
            <w:r w:rsidRPr="00A96216">
              <w:t>19 (8.4)</w:t>
            </w:r>
          </w:p>
        </w:tc>
      </w:tr>
      <w:tr w:rsidR="00A96216" w:rsidRPr="00A96216" w14:paraId="3B6D4D9B"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9F32D2" w14:textId="77777777" w:rsidR="00A96216" w:rsidRPr="00A96216" w:rsidRDefault="00A96216" w:rsidP="00A96216">
            <w:pPr>
              <w:pStyle w:val="CDITable-RowLeft"/>
            </w:pPr>
            <w:r w:rsidRPr="00A96216">
              <w:t>MenACWY</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6D6B45" w14:textId="77777777" w:rsidR="00A96216" w:rsidRPr="00A96216" w:rsidRDefault="00A96216" w:rsidP="00A96216">
            <w:pPr>
              <w:pStyle w:val="CDITable-RowCentre"/>
            </w:pPr>
            <w:r w:rsidRPr="00A96216">
              <w:t>223 (6.1)</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B90CC2" w14:textId="77777777" w:rsidR="00A96216" w:rsidRPr="00A96216" w:rsidRDefault="00A96216" w:rsidP="00A96216">
            <w:pPr>
              <w:pStyle w:val="CDITable-RowCentre"/>
            </w:pPr>
            <w:r w:rsidRPr="00A96216">
              <w:t>52 (23.3)</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2B4E63" w14:textId="77777777" w:rsidR="00A96216" w:rsidRPr="00A96216" w:rsidRDefault="00A96216" w:rsidP="00A96216">
            <w:pPr>
              <w:pStyle w:val="CDITable-RowCentre"/>
            </w:pPr>
            <w:r w:rsidRPr="00A96216">
              <w:t>12 (5.4)</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6AF2A0" w14:textId="77777777" w:rsidR="00A96216" w:rsidRPr="00A96216" w:rsidRDefault="00A96216" w:rsidP="00A96216">
            <w:pPr>
              <w:pStyle w:val="CDITable-RowCentre"/>
            </w:pPr>
            <w:r w:rsidRPr="00A96216">
              <w:t>163 (73.1)</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EAA29D" w14:textId="77777777" w:rsidR="00A96216" w:rsidRPr="00A96216" w:rsidRDefault="00A96216" w:rsidP="00A96216">
            <w:pPr>
              <w:pStyle w:val="CDITable-RowCentre"/>
            </w:pPr>
            <w:r w:rsidRPr="00A96216">
              <w:t>58 (26.0)</w:t>
            </w:r>
          </w:p>
        </w:tc>
      </w:tr>
      <w:tr w:rsidR="00A96216" w:rsidRPr="00A96216" w14:paraId="1300D7EE"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4714B7" w14:textId="77777777" w:rsidR="00A96216" w:rsidRPr="00A96216" w:rsidRDefault="00A96216" w:rsidP="00A96216">
            <w:pPr>
              <w:pStyle w:val="CDITable-RowLeft"/>
            </w:pPr>
            <w:r w:rsidRPr="00A96216">
              <w:t>MenB</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F28F6B" w14:textId="77777777" w:rsidR="00A96216" w:rsidRPr="00A96216" w:rsidRDefault="00A96216" w:rsidP="00A96216">
            <w:pPr>
              <w:pStyle w:val="CDITable-RowCentre"/>
            </w:pPr>
            <w:r w:rsidRPr="00A96216">
              <w:t>223 (6.1)</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74B4BF" w14:textId="77777777" w:rsidR="00A96216" w:rsidRPr="00A96216" w:rsidRDefault="00A96216" w:rsidP="00A96216">
            <w:pPr>
              <w:pStyle w:val="CDITable-RowCentre"/>
            </w:pPr>
            <w:r w:rsidRPr="00A96216">
              <w:t>118 (52.9)</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46B1B1" w14:textId="77777777" w:rsidR="00A96216" w:rsidRPr="00A96216" w:rsidRDefault="00A96216" w:rsidP="00A96216">
            <w:pPr>
              <w:pStyle w:val="CDITable-RowCentre"/>
            </w:pPr>
            <w:r w:rsidRPr="00A96216">
              <w:t>25 (11.2)</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1BB6E2" w14:textId="77777777" w:rsidR="00A96216" w:rsidRPr="00A96216" w:rsidRDefault="00A96216" w:rsidP="00A96216">
            <w:pPr>
              <w:pStyle w:val="CDITable-RowCentre"/>
            </w:pPr>
            <w:r w:rsidRPr="00A96216">
              <w:t>178 (79.8)</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43BEF1" w14:textId="77777777" w:rsidR="00A96216" w:rsidRPr="00A96216" w:rsidRDefault="00A96216" w:rsidP="00A96216">
            <w:pPr>
              <w:pStyle w:val="CDITable-RowCentre"/>
            </w:pPr>
            <w:r w:rsidRPr="00A96216">
              <w:t>43 (19.3)</w:t>
            </w:r>
          </w:p>
        </w:tc>
      </w:tr>
      <w:tr w:rsidR="00A96216" w:rsidRPr="00A96216" w14:paraId="5299150E"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6877AA" w14:textId="77777777" w:rsidR="00A96216" w:rsidRPr="00A96216" w:rsidRDefault="00A96216" w:rsidP="00A96216">
            <w:pPr>
              <w:pStyle w:val="CDITable-RowLeft"/>
            </w:pPr>
            <w:r w:rsidRPr="00A96216">
              <w:t>DTPa</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C3830F" w14:textId="77777777" w:rsidR="00A96216" w:rsidRPr="00A96216" w:rsidRDefault="00A96216" w:rsidP="00A96216">
            <w:pPr>
              <w:pStyle w:val="CDITable-RowCentre"/>
            </w:pPr>
            <w:r w:rsidRPr="00A96216">
              <w:t>222 (6.1)</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87A92C" w14:textId="77777777" w:rsidR="00A96216" w:rsidRPr="00A96216" w:rsidRDefault="00A96216" w:rsidP="00A96216">
            <w:pPr>
              <w:pStyle w:val="CDITable-RowCentre"/>
            </w:pPr>
            <w:r w:rsidRPr="00A96216">
              <w:t>34 (15.3)</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71C4D7" w14:textId="77777777" w:rsidR="00A96216" w:rsidRPr="00A96216" w:rsidRDefault="00A96216" w:rsidP="00A96216">
            <w:pPr>
              <w:pStyle w:val="CDITable-RowCentre"/>
            </w:pPr>
            <w:r w:rsidRPr="00A96216">
              <w:t>6 (2.7)</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994D5C" w14:textId="77777777" w:rsidR="00A96216" w:rsidRPr="00A96216" w:rsidRDefault="00A96216" w:rsidP="00A96216">
            <w:pPr>
              <w:pStyle w:val="CDITable-RowCentre"/>
            </w:pPr>
            <w:r w:rsidRPr="00A96216">
              <w:t>211 (95.0)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39B9C8" w14:textId="77777777" w:rsidR="00A96216" w:rsidRPr="00A96216" w:rsidRDefault="00A96216" w:rsidP="00A96216">
            <w:pPr>
              <w:pStyle w:val="CDITable-RowCentre"/>
            </w:pPr>
            <w:r w:rsidRPr="00A96216">
              <w:t>7 (3.2)</w:t>
            </w:r>
          </w:p>
        </w:tc>
      </w:tr>
      <w:tr w:rsidR="00A96216" w:rsidRPr="00A96216" w14:paraId="02633EE9"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C9AD66" w14:textId="77777777" w:rsidR="00A96216" w:rsidRPr="00A96216" w:rsidRDefault="00A96216" w:rsidP="00A96216">
            <w:pPr>
              <w:pStyle w:val="CDITable-RowLeft"/>
            </w:pPr>
            <w:r w:rsidRPr="00A96216">
              <w:t>MMRV</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0E10CD" w14:textId="77777777" w:rsidR="00A96216" w:rsidRPr="00A96216" w:rsidRDefault="00A96216" w:rsidP="00A96216">
            <w:pPr>
              <w:pStyle w:val="CDITable-RowCentre"/>
            </w:pPr>
            <w:r w:rsidRPr="00A96216">
              <w:t>211 (5.8)</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A74DC7" w14:textId="77777777" w:rsidR="00A96216" w:rsidRPr="00A96216" w:rsidRDefault="00A96216" w:rsidP="00A96216">
            <w:pPr>
              <w:pStyle w:val="CDITable-RowCentre"/>
            </w:pPr>
            <w:r w:rsidRPr="00A96216">
              <w:t>27 (12.8)</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5FCC2B" w14:textId="77777777" w:rsidR="00A96216" w:rsidRPr="00A96216" w:rsidRDefault="00A96216" w:rsidP="00A96216">
            <w:pPr>
              <w:pStyle w:val="CDITable-RowCentre"/>
            </w:pPr>
            <w:r w:rsidRPr="00A96216">
              <w:t>6 (2.8)</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2877A5" w14:textId="77777777" w:rsidR="00A96216" w:rsidRPr="00A96216" w:rsidRDefault="00A96216" w:rsidP="00A96216">
            <w:pPr>
              <w:pStyle w:val="CDITable-RowCentre"/>
            </w:pPr>
            <w:r w:rsidRPr="00A96216">
              <w:t>204 (96.7)</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82CF9B" w14:textId="77777777" w:rsidR="00A96216" w:rsidRPr="00A96216" w:rsidRDefault="00A96216" w:rsidP="00A96216">
            <w:pPr>
              <w:pStyle w:val="CDITable-RowCentre"/>
            </w:pPr>
            <w:r w:rsidRPr="00A96216">
              <w:t>6 (2.8)</w:t>
            </w:r>
          </w:p>
        </w:tc>
      </w:tr>
      <w:tr w:rsidR="00A96216" w:rsidRPr="00A96216" w14:paraId="7BC2705A"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711CB4" w14:textId="77777777" w:rsidR="00A96216" w:rsidRPr="00A96216" w:rsidRDefault="00A96216" w:rsidP="00A96216">
            <w:pPr>
              <w:pStyle w:val="CDITable-RowLeft"/>
            </w:pPr>
            <w:r w:rsidRPr="00A96216">
              <w:t>Hib</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66F7BD" w14:textId="77777777" w:rsidR="00A96216" w:rsidRPr="00A96216" w:rsidRDefault="00A96216" w:rsidP="00A96216">
            <w:pPr>
              <w:pStyle w:val="CDITable-RowCentre"/>
            </w:pPr>
            <w:r w:rsidRPr="00A96216">
              <w:t>200 (5.5)</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3AF00A" w14:textId="77777777" w:rsidR="00A96216" w:rsidRPr="00A96216" w:rsidRDefault="00A96216" w:rsidP="00A96216">
            <w:pPr>
              <w:pStyle w:val="CDITable-RowCentre"/>
            </w:pPr>
            <w:r w:rsidRPr="00A96216">
              <w:t>14 (7.0)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179C81" w14:textId="77777777" w:rsidR="00A96216" w:rsidRPr="00A96216" w:rsidRDefault="00A96216" w:rsidP="00A96216">
            <w:pPr>
              <w:pStyle w:val="CDITable-RowCentre"/>
            </w:pPr>
            <w:r w:rsidRPr="00A96216">
              <w:t>8 (4.0)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DBD7DB" w14:textId="77777777" w:rsidR="00A96216" w:rsidRPr="00A96216" w:rsidRDefault="00A96216" w:rsidP="00A96216">
            <w:pPr>
              <w:pStyle w:val="CDITable-RowCentre"/>
            </w:pPr>
            <w:r w:rsidRPr="00A96216">
              <w:t>198 (99.0)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F4C1FA" w14:textId="77777777" w:rsidR="00A96216" w:rsidRPr="00A96216" w:rsidRDefault="00A96216" w:rsidP="00A96216">
            <w:pPr>
              <w:pStyle w:val="CDITable-RowCentre"/>
            </w:pPr>
            <w:r w:rsidRPr="00A96216">
              <w:t>1 (0.5)</w:t>
            </w:r>
          </w:p>
        </w:tc>
      </w:tr>
      <w:tr w:rsidR="00A96216" w:rsidRPr="00A96216" w14:paraId="6868D576"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5D3969" w14:textId="77777777" w:rsidR="00A96216" w:rsidRPr="00A96216" w:rsidRDefault="00A96216" w:rsidP="00A96216">
            <w:pPr>
              <w:pStyle w:val="CDITable-RowLeft"/>
            </w:pPr>
            <w:r w:rsidRPr="00A96216">
              <w:t>Influenza (seasonal—high-dose or adjuvanted)</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704FC8" w14:textId="77777777" w:rsidR="00A96216" w:rsidRPr="00A96216" w:rsidRDefault="00A96216" w:rsidP="00A96216">
            <w:pPr>
              <w:pStyle w:val="CDITable-RowCentre"/>
            </w:pPr>
            <w:r w:rsidRPr="00A96216">
              <w:t>198 (5.4)</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B16F04" w14:textId="77777777" w:rsidR="00A96216" w:rsidRPr="00A96216" w:rsidRDefault="00A96216" w:rsidP="00A96216">
            <w:pPr>
              <w:pStyle w:val="CDITable-RowCentre"/>
            </w:pPr>
            <w:r w:rsidRPr="00A96216">
              <w:t>178 (89.9)</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FCD19C" w14:textId="77777777" w:rsidR="00A96216" w:rsidRPr="00A96216" w:rsidRDefault="00A96216" w:rsidP="00A96216">
            <w:pPr>
              <w:pStyle w:val="CDITable-RowCentre"/>
            </w:pPr>
            <w:r w:rsidRPr="00A96216">
              <w:t>26 (13.1)</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02098A" w14:textId="77777777" w:rsidR="00A96216" w:rsidRPr="00A96216" w:rsidRDefault="00A96216" w:rsidP="00A96216">
            <w:pPr>
              <w:pStyle w:val="CDITable-RowCentre"/>
            </w:pPr>
            <w:r w:rsidRPr="00A96216">
              <w:t>6 (3.0)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34D1FE" w14:textId="77777777" w:rsidR="00A96216" w:rsidRPr="00A96216" w:rsidRDefault="00A96216" w:rsidP="00A96216">
            <w:pPr>
              <w:pStyle w:val="CDITable-RowCentre"/>
            </w:pPr>
            <w:r w:rsidRPr="00A96216">
              <w:t>187 (94.4)</w:t>
            </w:r>
          </w:p>
        </w:tc>
      </w:tr>
      <w:tr w:rsidR="00A96216" w:rsidRPr="00A96216" w14:paraId="0512E97B"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D2080E" w14:textId="77777777" w:rsidR="00A96216" w:rsidRPr="00A96216" w:rsidRDefault="00A96216" w:rsidP="00A96216">
            <w:pPr>
              <w:pStyle w:val="CDITable-RowLeft"/>
            </w:pPr>
            <w:r w:rsidRPr="00A96216">
              <w:t>dTpa</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8BC20C" w14:textId="77777777" w:rsidR="00A96216" w:rsidRPr="00A96216" w:rsidRDefault="00A96216" w:rsidP="00A96216">
            <w:pPr>
              <w:pStyle w:val="CDITable-RowCentre"/>
            </w:pPr>
            <w:r w:rsidRPr="00A96216">
              <w:t>184 (5.1)</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A032B5" w14:textId="77777777" w:rsidR="00A96216" w:rsidRPr="00A96216" w:rsidRDefault="00A96216" w:rsidP="00A96216">
            <w:pPr>
              <w:pStyle w:val="CDITable-RowCentre"/>
            </w:pPr>
            <w:r w:rsidRPr="00A96216">
              <w:t>92 (50.0)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C61642" w14:textId="77777777" w:rsidR="00A96216" w:rsidRPr="00A96216" w:rsidRDefault="00A96216" w:rsidP="00A96216">
            <w:pPr>
              <w:pStyle w:val="CDITable-RowCentre"/>
            </w:pPr>
            <w:r w:rsidRPr="00A96216">
              <w:t>7 (3.8)</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50A6E9" w14:textId="77777777" w:rsidR="00A96216" w:rsidRPr="00A96216" w:rsidRDefault="00A96216" w:rsidP="00A96216">
            <w:pPr>
              <w:pStyle w:val="CDITable-RowCentre"/>
            </w:pPr>
            <w:r w:rsidRPr="00A96216">
              <w:t>24 (13.0)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2016AE" w14:textId="77777777" w:rsidR="00A96216" w:rsidRPr="00A96216" w:rsidRDefault="00A96216" w:rsidP="00A96216">
            <w:pPr>
              <w:pStyle w:val="CDITable-RowCentre"/>
            </w:pPr>
            <w:r w:rsidRPr="00A96216">
              <w:t>154 (83.7)</w:t>
            </w:r>
          </w:p>
        </w:tc>
      </w:tr>
      <w:tr w:rsidR="00A96216" w:rsidRPr="00A96216" w14:paraId="0E4028F6"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93C61C" w14:textId="77777777" w:rsidR="00A96216" w:rsidRPr="00A96216" w:rsidRDefault="00A96216" w:rsidP="00A96216">
            <w:pPr>
              <w:pStyle w:val="CDITable-RowLeft"/>
            </w:pPr>
            <w:r w:rsidRPr="00A96216">
              <w:t>HPV</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240360" w14:textId="77777777" w:rsidR="00A96216" w:rsidRPr="00A96216" w:rsidRDefault="00A96216" w:rsidP="00A96216">
            <w:pPr>
              <w:pStyle w:val="CDITable-RowCentre"/>
            </w:pPr>
            <w:r w:rsidRPr="00A96216">
              <w:t>169 (4.6)</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A26698" w14:textId="77777777" w:rsidR="00A96216" w:rsidRPr="00A96216" w:rsidRDefault="00A96216" w:rsidP="00A96216">
            <w:pPr>
              <w:pStyle w:val="CDITable-RowCentre"/>
            </w:pPr>
            <w:r w:rsidRPr="00A96216">
              <w:t>95 (56.2)</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46C48F" w14:textId="77777777" w:rsidR="00A96216" w:rsidRPr="00A96216" w:rsidRDefault="00A96216" w:rsidP="00A96216">
            <w:pPr>
              <w:pStyle w:val="CDITable-RowCentre"/>
            </w:pPr>
            <w:r w:rsidRPr="00A96216">
              <w:t>6 (3.6)</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EF9F02" w14:textId="77777777" w:rsidR="00A96216" w:rsidRPr="00A96216" w:rsidRDefault="00A96216" w:rsidP="00A96216">
            <w:pPr>
              <w:pStyle w:val="CDITable-RowCentre"/>
            </w:pPr>
            <w:r w:rsidRPr="00A96216">
              <w:t>1 (0.6)</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B3C958" w14:textId="77777777" w:rsidR="00A96216" w:rsidRPr="00A96216" w:rsidRDefault="00A96216" w:rsidP="00A96216">
            <w:pPr>
              <w:pStyle w:val="CDITable-RowCentre"/>
            </w:pPr>
            <w:r w:rsidRPr="00A96216">
              <w:t>166 (98.2)</w:t>
            </w:r>
          </w:p>
        </w:tc>
      </w:tr>
      <w:tr w:rsidR="00A96216" w:rsidRPr="00A96216" w14:paraId="2CA203B3"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701FBC" w14:textId="77777777" w:rsidR="00A96216" w:rsidRPr="00A96216" w:rsidRDefault="00A96216" w:rsidP="00A96216">
            <w:pPr>
              <w:pStyle w:val="CDITable-RowLeft"/>
            </w:pPr>
            <w:r w:rsidRPr="00A96216">
              <w:t>Zoster (ZVL)</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7E5C3E" w14:textId="77777777" w:rsidR="00A96216" w:rsidRPr="00A96216" w:rsidRDefault="00A96216" w:rsidP="00A96216">
            <w:pPr>
              <w:pStyle w:val="CDITable-RowCentre"/>
            </w:pPr>
            <w:r w:rsidRPr="00A96216">
              <w:t>117 (3.2)</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A59469" w14:textId="77777777" w:rsidR="00A96216" w:rsidRPr="00A96216" w:rsidRDefault="00A96216" w:rsidP="00A96216">
            <w:pPr>
              <w:pStyle w:val="CDITable-RowCentre"/>
            </w:pPr>
            <w:r w:rsidRPr="00A96216">
              <w:t>101 (86.3)</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3B4A79" w14:textId="77777777" w:rsidR="00A96216" w:rsidRPr="00A96216" w:rsidRDefault="00A96216" w:rsidP="00A96216">
            <w:pPr>
              <w:pStyle w:val="CDITable-RowCentre"/>
            </w:pPr>
            <w:r w:rsidRPr="00A96216">
              <w:t>33 (28.2)</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A4E4FD" w14:textId="77777777" w:rsidR="00A96216" w:rsidRPr="00A96216" w:rsidRDefault="00A96216" w:rsidP="00A96216">
            <w:pPr>
              <w:pStyle w:val="CDITable-RowCentre"/>
            </w:pPr>
            <w:r w:rsidRPr="00A96216">
              <w:t>0 (0)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F1A05F" w14:textId="77777777" w:rsidR="00A96216" w:rsidRPr="00A96216" w:rsidRDefault="00A96216" w:rsidP="00A96216">
            <w:pPr>
              <w:pStyle w:val="CDITable-RowCentre"/>
            </w:pPr>
            <w:r w:rsidRPr="00A96216">
              <w:t>89 (76.1)</w:t>
            </w:r>
          </w:p>
        </w:tc>
      </w:tr>
      <w:tr w:rsidR="00A96216" w:rsidRPr="00A96216" w14:paraId="739FC8D8"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74C3CA" w14:textId="77777777" w:rsidR="00A96216" w:rsidRPr="00A96216" w:rsidRDefault="00A96216" w:rsidP="00A96216">
            <w:pPr>
              <w:pStyle w:val="CDITable-RowLeft"/>
            </w:pPr>
            <w:r w:rsidRPr="00A96216">
              <w:t>Zoster (RZV)</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880D73" w14:textId="77777777" w:rsidR="00A96216" w:rsidRPr="00A96216" w:rsidRDefault="00A96216" w:rsidP="00A96216">
            <w:pPr>
              <w:pStyle w:val="CDITable-RowCentre"/>
            </w:pPr>
            <w:r w:rsidRPr="00A96216">
              <w:t>90 (2.5)</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78D24A" w14:textId="77777777" w:rsidR="00A96216" w:rsidRPr="00A96216" w:rsidRDefault="00A96216" w:rsidP="00A96216">
            <w:pPr>
              <w:pStyle w:val="CDITable-RowCentre"/>
            </w:pPr>
            <w:r w:rsidRPr="00A96216">
              <w:t>80 (88.9)</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282EBC" w14:textId="77777777" w:rsidR="00A96216" w:rsidRPr="00A96216" w:rsidRDefault="00A96216" w:rsidP="00A96216">
            <w:pPr>
              <w:pStyle w:val="CDITable-RowCentre"/>
            </w:pPr>
            <w:r w:rsidRPr="00A96216">
              <w:t>25 (27.8)</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95B192" w14:textId="77777777" w:rsidR="00A96216" w:rsidRPr="00A96216" w:rsidRDefault="00A96216" w:rsidP="00A96216">
            <w:pPr>
              <w:pStyle w:val="CDITable-RowCentre"/>
            </w:pPr>
            <w:r w:rsidRPr="00A96216">
              <w:t>0 (0)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CA0E9F" w14:textId="77777777" w:rsidR="00A96216" w:rsidRPr="00A96216" w:rsidRDefault="00A96216" w:rsidP="00A96216">
            <w:pPr>
              <w:pStyle w:val="CDITable-RowCentre"/>
            </w:pPr>
            <w:r w:rsidRPr="00A96216">
              <w:t>73 (81.1)</w:t>
            </w:r>
          </w:p>
        </w:tc>
      </w:tr>
      <w:tr w:rsidR="00A96216" w:rsidRPr="00A96216" w14:paraId="20B107A8"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E8F390" w14:textId="77777777" w:rsidR="00A96216" w:rsidRPr="00A96216" w:rsidRDefault="00A96216" w:rsidP="00A96216">
            <w:pPr>
              <w:pStyle w:val="CDITable-RowLeft"/>
            </w:pPr>
            <w:r w:rsidRPr="00A96216">
              <w:t>Varicella</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D4C723" w14:textId="77777777" w:rsidR="00A96216" w:rsidRPr="00A96216" w:rsidRDefault="00A96216" w:rsidP="00A96216">
            <w:pPr>
              <w:pStyle w:val="CDITable-RowCentre"/>
            </w:pPr>
            <w:r w:rsidRPr="00A96216">
              <w:t>81 (2.2)</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E84BCD" w14:textId="77777777" w:rsidR="00A96216" w:rsidRPr="00A96216" w:rsidRDefault="00A96216" w:rsidP="00A96216">
            <w:pPr>
              <w:pStyle w:val="CDITable-RowCentre"/>
            </w:pPr>
            <w:r w:rsidRPr="00A96216">
              <w:t>74 (91.4)</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B0D941" w14:textId="77777777" w:rsidR="00A96216" w:rsidRPr="00A96216" w:rsidRDefault="00A96216" w:rsidP="00A96216">
            <w:pPr>
              <w:pStyle w:val="CDITable-RowCentre"/>
            </w:pPr>
            <w:r w:rsidRPr="00A96216">
              <w:t>58 (71.6)</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8B6E07" w14:textId="77777777" w:rsidR="00A96216" w:rsidRPr="00A96216" w:rsidRDefault="00A96216" w:rsidP="00A96216">
            <w:pPr>
              <w:pStyle w:val="CDITable-RowCentre"/>
            </w:pPr>
            <w:r w:rsidRPr="00A96216">
              <w:t>10 (12.3)</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08CD19" w14:textId="77777777" w:rsidR="00A96216" w:rsidRPr="00A96216" w:rsidRDefault="00A96216" w:rsidP="00A96216">
            <w:pPr>
              <w:pStyle w:val="CDITable-RowCentre"/>
            </w:pPr>
            <w:r w:rsidRPr="00A96216">
              <w:t>16 (19.8)</w:t>
            </w:r>
          </w:p>
        </w:tc>
      </w:tr>
      <w:tr w:rsidR="00A96216" w:rsidRPr="00A96216" w14:paraId="439AEF4D"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7F8E20" w14:textId="77777777" w:rsidR="00A96216" w:rsidRPr="00A96216" w:rsidRDefault="00A96216" w:rsidP="00A96216">
            <w:pPr>
              <w:pStyle w:val="CDITable-RowLeft"/>
            </w:pPr>
            <w:r w:rsidRPr="00A96216">
              <w:t>23vPPV</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7C3027" w14:textId="77777777" w:rsidR="00A96216" w:rsidRPr="00A96216" w:rsidRDefault="00A96216" w:rsidP="00A96216">
            <w:pPr>
              <w:pStyle w:val="CDITable-RowCentre"/>
            </w:pPr>
            <w:r w:rsidRPr="00A96216">
              <w:t>51 (1.4)</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50096E" w14:textId="77777777" w:rsidR="00A96216" w:rsidRPr="00A96216" w:rsidRDefault="00A96216" w:rsidP="00A96216">
            <w:pPr>
              <w:pStyle w:val="CDITable-RowCentre"/>
            </w:pPr>
            <w:r w:rsidRPr="00A96216">
              <w:t>29 (56.9)</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86A2D1" w14:textId="77777777" w:rsidR="00A96216" w:rsidRPr="00A96216" w:rsidRDefault="00A96216" w:rsidP="00A96216">
            <w:pPr>
              <w:pStyle w:val="CDITable-RowCentre"/>
            </w:pPr>
            <w:r w:rsidRPr="00A96216">
              <w:t>1 (2.0)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210E4F" w14:textId="77777777" w:rsidR="00A96216" w:rsidRPr="00A96216" w:rsidRDefault="00A96216" w:rsidP="00A96216">
            <w:pPr>
              <w:pStyle w:val="CDITable-RowCentre"/>
            </w:pPr>
            <w:r w:rsidRPr="00A96216">
              <w:t>14 (27.5)</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2EB322" w14:textId="77777777" w:rsidR="00A96216" w:rsidRPr="00A96216" w:rsidRDefault="00A96216" w:rsidP="00A96216">
            <w:pPr>
              <w:pStyle w:val="CDITable-RowCentre"/>
            </w:pPr>
            <w:r w:rsidRPr="00A96216">
              <w:t>34 (66.7)</w:t>
            </w:r>
          </w:p>
        </w:tc>
      </w:tr>
      <w:tr w:rsidR="00A96216" w:rsidRPr="00A96216" w14:paraId="75F79393"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DB2F8C" w14:textId="77777777" w:rsidR="00A96216" w:rsidRPr="00A96216" w:rsidRDefault="00A96216" w:rsidP="00A96216">
            <w:pPr>
              <w:pStyle w:val="CDITable-RowLeft"/>
            </w:pPr>
            <w:r w:rsidRPr="00A96216">
              <w:t>Hepatitis B</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BBC7C7" w14:textId="77777777" w:rsidR="00A96216" w:rsidRPr="00A96216" w:rsidRDefault="00A96216" w:rsidP="00A96216">
            <w:pPr>
              <w:pStyle w:val="CDITable-RowCentre"/>
            </w:pPr>
            <w:r w:rsidRPr="00A96216">
              <w:t>50 (1.4)</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EC06CB" w14:textId="77777777" w:rsidR="00A96216" w:rsidRPr="00A96216" w:rsidRDefault="00A96216" w:rsidP="00A96216">
            <w:pPr>
              <w:pStyle w:val="CDITable-RowCentre"/>
            </w:pPr>
            <w:r w:rsidRPr="00A96216">
              <w:t>32 (64.0)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CD69FF" w14:textId="77777777" w:rsidR="00A96216" w:rsidRPr="00A96216" w:rsidRDefault="00A96216" w:rsidP="00A96216">
            <w:pPr>
              <w:pStyle w:val="CDITable-RowCentre"/>
            </w:pPr>
            <w:r w:rsidRPr="00A96216">
              <w:t>8 (16.0)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6823B8" w14:textId="77777777" w:rsidR="00A96216" w:rsidRPr="00A96216" w:rsidRDefault="00A96216" w:rsidP="00A96216">
            <w:pPr>
              <w:pStyle w:val="CDITable-RowCentre"/>
            </w:pPr>
            <w:r w:rsidRPr="00A96216">
              <w:t>17 (34.0)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2F19A5" w14:textId="77777777" w:rsidR="00A96216" w:rsidRPr="00A96216" w:rsidRDefault="00A96216" w:rsidP="00A96216">
            <w:pPr>
              <w:pStyle w:val="CDITable-RowCentre"/>
            </w:pPr>
            <w:r w:rsidRPr="00A96216">
              <w:t>29 (58.0)</w:t>
            </w:r>
          </w:p>
        </w:tc>
      </w:tr>
      <w:tr w:rsidR="00A96216" w:rsidRPr="00A96216" w14:paraId="1CB22152"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E556EE" w14:textId="77777777" w:rsidR="00A96216" w:rsidRPr="00A96216" w:rsidRDefault="00A96216" w:rsidP="00A96216">
            <w:pPr>
              <w:pStyle w:val="CDITable-RowLeft"/>
            </w:pPr>
            <w:r w:rsidRPr="00A96216">
              <w:t>Hepatitis A</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44AAEC" w14:textId="77777777" w:rsidR="00A96216" w:rsidRPr="00A96216" w:rsidRDefault="00A96216" w:rsidP="00A96216">
            <w:pPr>
              <w:pStyle w:val="CDITable-RowCentre"/>
            </w:pPr>
            <w:r w:rsidRPr="00A96216">
              <w:t>30 (0.8)</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5DFDFE" w14:textId="77777777" w:rsidR="00A96216" w:rsidRPr="00A96216" w:rsidRDefault="00A96216" w:rsidP="00A96216">
            <w:pPr>
              <w:pStyle w:val="CDITable-RowCentre"/>
            </w:pPr>
            <w:r w:rsidRPr="00A96216">
              <w:t>15 (50.0)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E5E671" w14:textId="77777777" w:rsidR="00A96216" w:rsidRPr="00A96216" w:rsidRDefault="00A96216" w:rsidP="00A96216">
            <w:pPr>
              <w:pStyle w:val="CDITable-RowCentre"/>
            </w:pPr>
            <w:r w:rsidRPr="00A96216">
              <w:t>4 (13.3)</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C66FEA" w14:textId="77777777" w:rsidR="00A96216" w:rsidRPr="00A96216" w:rsidRDefault="00A96216" w:rsidP="00A96216">
            <w:pPr>
              <w:pStyle w:val="CDITable-RowCentre"/>
            </w:pPr>
            <w:r w:rsidRPr="00A96216">
              <w:t>16 (53.3)</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C04F61" w14:textId="77777777" w:rsidR="00A96216" w:rsidRPr="00A96216" w:rsidRDefault="00A96216" w:rsidP="00A96216">
            <w:pPr>
              <w:pStyle w:val="CDITable-RowCentre"/>
            </w:pPr>
            <w:r w:rsidRPr="00A96216">
              <w:t>12 (40.0)</w:t>
            </w:r>
          </w:p>
        </w:tc>
      </w:tr>
      <w:tr w:rsidR="00A96216" w:rsidRPr="00A96216" w14:paraId="5DA03BAA"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B4FB9C" w14:textId="77777777" w:rsidR="00A96216" w:rsidRPr="00A96216" w:rsidRDefault="00A96216" w:rsidP="00A96216">
            <w:pPr>
              <w:pStyle w:val="CDITable-RowLeft"/>
            </w:pPr>
            <w:r w:rsidRPr="00A96216">
              <w:t>Japanese encephalitis (live)</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25920C" w14:textId="77777777" w:rsidR="00A96216" w:rsidRPr="00A96216" w:rsidRDefault="00A96216" w:rsidP="00A96216">
            <w:pPr>
              <w:pStyle w:val="CDITable-RowCentre"/>
            </w:pPr>
            <w:r w:rsidRPr="00A96216">
              <w:t>22 (0.6)</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60B24D" w14:textId="77777777" w:rsidR="00A96216" w:rsidRPr="00A96216" w:rsidRDefault="00A96216" w:rsidP="00A96216">
            <w:pPr>
              <w:pStyle w:val="CDITable-RowCentre"/>
            </w:pPr>
            <w:r w:rsidRPr="00A96216">
              <w:t>20 (90.9)</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A4E294" w14:textId="77777777" w:rsidR="00A96216" w:rsidRPr="00A96216" w:rsidRDefault="00A96216" w:rsidP="00A96216">
            <w:pPr>
              <w:pStyle w:val="CDITable-RowCentre"/>
            </w:pPr>
            <w:r w:rsidRPr="00A96216">
              <w:t>1 (4.5)</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9520DB" w14:textId="77777777" w:rsidR="00A96216" w:rsidRPr="00A96216" w:rsidRDefault="00A96216" w:rsidP="00A96216">
            <w:pPr>
              <w:pStyle w:val="CDITable-RowCentre"/>
            </w:pPr>
            <w:r w:rsidRPr="00A96216">
              <w:t>1 (4.5)</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1A4A45" w14:textId="77777777" w:rsidR="00A96216" w:rsidRPr="00A96216" w:rsidRDefault="00A96216" w:rsidP="00A96216">
            <w:pPr>
              <w:pStyle w:val="CDITable-RowCentre"/>
            </w:pPr>
            <w:r w:rsidRPr="00A96216">
              <w:t>21 (95.5)</w:t>
            </w:r>
          </w:p>
        </w:tc>
      </w:tr>
      <w:tr w:rsidR="00A96216" w:rsidRPr="00A96216" w14:paraId="0997D8F7"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1DD9AC" w14:textId="77777777" w:rsidR="00A96216" w:rsidRPr="00A96216" w:rsidRDefault="00A96216" w:rsidP="00A96216">
            <w:pPr>
              <w:pStyle w:val="CDITable-RowLeft"/>
            </w:pPr>
            <w:r w:rsidRPr="00A96216">
              <w:t>Typhoid-hepatitis A</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34916B" w14:textId="77777777" w:rsidR="00A96216" w:rsidRPr="00A96216" w:rsidRDefault="00A96216" w:rsidP="00A96216">
            <w:pPr>
              <w:pStyle w:val="CDITable-RowCentre"/>
            </w:pPr>
            <w:r w:rsidRPr="00A96216">
              <w:t>21 (0.6)</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BBB254" w14:textId="77777777" w:rsidR="00A96216" w:rsidRPr="00A96216" w:rsidRDefault="00A96216" w:rsidP="00A96216">
            <w:pPr>
              <w:pStyle w:val="CDITable-RowCentre"/>
            </w:pPr>
            <w:r w:rsidRPr="00A96216">
              <w:t>12 (57.1)</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B50F1E" w14:textId="77777777" w:rsidR="00A96216" w:rsidRPr="00A96216" w:rsidRDefault="00A96216" w:rsidP="00A96216">
            <w:pPr>
              <w:pStyle w:val="CDITable-RowCentre"/>
            </w:pPr>
            <w:r w:rsidRPr="00A96216">
              <w:t>3 (14.3)</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11BA21" w14:textId="77777777" w:rsidR="00A96216" w:rsidRPr="00A96216" w:rsidRDefault="00A96216" w:rsidP="00A96216">
            <w:pPr>
              <w:pStyle w:val="CDITable-RowCentre"/>
            </w:pPr>
            <w:r w:rsidRPr="00A96216">
              <w:t>5 (23.8)</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1E61B9" w14:textId="77777777" w:rsidR="00A96216" w:rsidRPr="00A96216" w:rsidRDefault="00A96216" w:rsidP="00A96216">
            <w:pPr>
              <w:pStyle w:val="CDITable-RowCentre"/>
            </w:pPr>
            <w:r w:rsidRPr="00A96216">
              <w:t>14 (66.7)</w:t>
            </w:r>
          </w:p>
        </w:tc>
      </w:tr>
      <w:tr w:rsidR="00A96216" w:rsidRPr="00A96216" w14:paraId="52E1543D"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6B3EA5" w14:textId="77777777" w:rsidR="00A96216" w:rsidRPr="00A96216" w:rsidRDefault="00A96216" w:rsidP="00A96216">
            <w:pPr>
              <w:pStyle w:val="CDITable-RowLeft"/>
            </w:pPr>
            <w:r w:rsidRPr="00A96216">
              <w:t>DT</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4EFB49" w14:textId="77777777" w:rsidR="00A96216" w:rsidRPr="00A96216" w:rsidRDefault="00A96216" w:rsidP="00A96216">
            <w:pPr>
              <w:pStyle w:val="CDITable-RowCentre"/>
            </w:pPr>
            <w:r w:rsidRPr="00A96216">
              <w:t>15 (0.4)</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0AF3F7" w14:textId="77777777" w:rsidR="00A96216" w:rsidRPr="00A96216" w:rsidRDefault="00A96216" w:rsidP="00A96216">
            <w:pPr>
              <w:pStyle w:val="CDITable-RowCentre"/>
            </w:pPr>
            <w:r w:rsidRPr="00A96216">
              <w:t>11 (73.3)</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3E1968" w14:textId="77777777" w:rsidR="00A96216" w:rsidRPr="00A96216" w:rsidRDefault="00A96216" w:rsidP="00A96216">
            <w:pPr>
              <w:pStyle w:val="CDITable-RowCentre"/>
            </w:pPr>
            <w:r w:rsidRPr="00A96216">
              <w:t>3 (20.0)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6179FB" w14:textId="77777777" w:rsidR="00A96216" w:rsidRPr="00A96216" w:rsidRDefault="00A96216" w:rsidP="00A96216">
            <w:pPr>
              <w:pStyle w:val="CDITable-RowCentre"/>
            </w:pPr>
            <w:r w:rsidRPr="00A96216">
              <w:t>0 (0)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916BCC" w14:textId="77777777" w:rsidR="00A96216" w:rsidRPr="00A96216" w:rsidRDefault="00A96216" w:rsidP="00A96216">
            <w:pPr>
              <w:pStyle w:val="CDITable-RowCentre"/>
            </w:pPr>
            <w:r w:rsidRPr="00A96216">
              <w:t>11 (73.3)</w:t>
            </w:r>
          </w:p>
        </w:tc>
      </w:tr>
      <w:tr w:rsidR="00A96216" w:rsidRPr="00A96216" w14:paraId="6CA412CD"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698DEA" w14:textId="77777777" w:rsidR="00A96216" w:rsidRPr="00A96216" w:rsidRDefault="00A96216" w:rsidP="00A96216">
            <w:pPr>
              <w:pStyle w:val="CDITable-RowLeft"/>
            </w:pPr>
            <w:r w:rsidRPr="00A96216">
              <w:t>Tuberculosis</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76171C" w14:textId="77777777" w:rsidR="00A96216" w:rsidRPr="00A96216" w:rsidRDefault="00A96216" w:rsidP="00A96216">
            <w:pPr>
              <w:pStyle w:val="CDITable-RowCentre"/>
            </w:pPr>
            <w:r w:rsidRPr="00A96216">
              <w:t>14 (0.4)</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61637D" w14:textId="77777777" w:rsidR="00A96216" w:rsidRPr="00A96216" w:rsidRDefault="00A96216" w:rsidP="00A96216">
            <w:pPr>
              <w:pStyle w:val="CDITable-RowCentre"/>
            </w:pPr>
            <w:r w:rsidRPr="00A96216">
              <w:t>11 (78.6)</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3295D7" w14:textId="77777777" w:rsidR="00A96216" w:rsidRPr="00A96216" w:rsidRDefault="00A96216" w:rsidP="00A96216">
            <w:pPr>
              <w:pStyle w:val="CDITable-RowCentre"/>
            </w:pPr>
            <w:r w:rsidRPr="00A96216">
              <w:t>1 (7.1)</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AB345E" w14:textId="77777777" w:rsidR="00A96216" w:rsidRPr="00A96216" w:rsidRDefault="00A96216" w:rsidP="00A96216">
            <w:pPr>
              <w:pStyle w:val="CDITable-RowCentre"/>
            </w:pPr>
            <w:r w:rsidRPr="00A96216">
              <w:t>11 (78.6)</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04DD22" w14:textId="77777777" w:rsidR="00A96216" w:rsidRPr="00A96216" w:rsidRDefault="00A96216" w:rsidP="00A96216">
            <w:pPr>
              <w:pStyle w:val="CDITable-RowCentre"/>
            </w:pPr>
            <w:r w:rsidRPr="00A96216">
              <w:t>2 (14.3)</w:t>
            </w:r>
          </w:p>
        </w:tc>
      </w:tr>
      <w:tr w:rsidR="00A96216" w:rsidRPr="00A96216" w14:paraId="326F2585"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723E2E" w14:textId="77777777" w:rsidR="00A96216" w:rsidRPr="00A96216" w:rsidRDefault="00A96216" w:rsidP="00A96216">
            <w:pPr>
              <w:pStyle w:val="CDITable-RowLeft"/>
            </w:pPr>
            <w:r w:rsidRPr="00A96216">
              <w:lastRenderedPageBreak/>
              <w:t>Pneumococcal (unspecified)</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C85748" w14:textId="77777777" w:rsidR="00A96216" w:rsidRPr="00A96216" w:rsidRDefault="00A96216" w:rsidP="00A96216">
            <w:pPr>
              <w:pStyle w:val="CDITable-RowCentre"/>
            </w:pPr>
            <w:r w:rsidRPr="00A96216">
              <w:t>9 (0.2)</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C946A3" w14:textId="77777777" w:rsidR="00A96216" w:rsidRPr="00A96216" w:rsidRDefault="00A96216" w:rsidP="00A96216">
            <w:pPr>
              <w:pStyle w:val="CDITable-RowCentre"/>
            </w:pPr>
            <w:r w:rsidRPr="00A96216">
              <w:t>1 (11.1)</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A7C11E" w14:textId="77777777" w:rsidR="00A96216" w:rsidRPr="00A96216" w:rsidRDefault="00A96216" w:rsidP="00A96216">
            <w:pPr>
              <w:pStyle w:val="CDITable-RowCentre"/>
            </w:pPr>
            <w:r w:rsidRPr="00A96216">
              <w:t>6 (66.7)</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A876F0" w14:textId="77777777" w:rsidR="00A96216" w:rsidRPr="00A96216" w:rsidRDefault="00A96216" w:rsidP="00A96216">
            <w:pPr>
              <w:pStyle w:val="CDITable-RowCentre"/>
            </w:pPr>
            <w:r w:rsidRPr="00A96216">
              <w:t>1 (11.1)</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E7A343" w14:textId="77777777" w:rsidR="00A96216" w:rsidRPr="00A96216" w:rsidRDefault="00A96216" w:rsidP="00A96216">
            <w:pPr>
              <w:pStyle w:val="CDITable-RowCentre"/>
            </w:pPr>
            <w:r w:rsidRPr="00A96216">
              <w:t>2 (22.2)</w:t>
            </w:r>
          </w:p>
        </w:tc>
      </w:tr>
      <w:tr w:rsidR="00A96216" w:rsidRPr="00A96216" w14:paraId="15117CB9"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FF3389" w14:textId="77777777" w:rsidR="00A96216" w:rsidRPr="00A96216" w:rsidRDefault="00A96216" w:rsidP="00A96216">
            <w:pPr>
              <w:pStyle w:val="CDITable-RowLeft"/>
            </w:pPr>
            <w:r w:rsidRPr="00A96216">
              <w:t>Typhoid</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68EEE8" w14:textId="77777777" w:rsidR="00A96216" w:rsidRPr="00A96216" w:rsidRDefault="00A96216" w:rsidP="00A96216">
            <w:pPr>
              <w:pStyle w:val="CDITable-RowCentre"/>
            </w:pPr>
            <w:r w:rsidRPr="00A96216">
              <w:t>11 (0.3)</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A1EF8D" w14:textId="77777777" w:rsidR="00A96216" w:rsidRPr="00A96216" w:rsidRDefault="00A96216" w:rsidP="00A96216">
            <w:pPr>
              <w:pStyle w:val="CDITable-RowCentre"/>
            </w:pPr>
            <w:r w:rsidRPr="00A96216">
              <w:t>4 (36.4)</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6FFA0B" w14:textId="77777777" w:rsidR="00A96216" w:rsidRPr="00A96216" w:rsidRDefault="00A96216" w:rsidP="00A96216">
            <w:pPr>
              <w:pStyle w:val="CDITable-RowCentre"/>
            </w:pPr>
            <w:r w:rsidRPr="00A96216">
              <w:t>1 (9.1)</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D861B8" w14:textId="77777777" w:rsidR="00A96216" w:rsidRPr="00A96216" w:rsidRDefault="00A96216" w:rsidP="00A96216">
            <w:pPr>
              <w:pStyle w:val="CDITable-RowCentre"/>
            </w:pPr>
            <w:r w:rsidRPr="00A96216">
              <w:t>3 (27.3)</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29B500" w14:textId="77777777" w:rsidR="00A96216" w:rsidRPr="00A96216" w:rsidRDefault="00A96216" w:rsidP="00A96216">
            <w:pPr>
              <w:pStyle w:val="CDITable-RowCentre"/>
            </w:pPr>
            <w:r w:rsidRPr="00A96216">
              <w:t>8 (72.7)</w:t>
            </w:r>
          </w:p>
        </w:tc>
      </w:tr>
      <w:tr w:rsidR="00A96216" w:rsidRPr="00A96216" w14:paraId="54FB3B6F"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EA6FC4" w14:textId="77777777" w:rsidR="00A96216" w:rsidRPr="00A96216" w:rsidRDefault="00A96216" w:rsidP="00A96216">
            <w:pPr>
              <w:pStyle w:val="CDITable-RowLeft"/>
            </w:pPr>
            <w:r w:rsidRPr="00A96216">
              <w:t>Hepatitis A-hepatitis B</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CEA9A3" w14:textId="77777777" w:rsidR="00A96216" w:rsidRPr="00A96216" w:rsidRDefault="00A96216" w:rsidP="00A96216">
            <w:pPr>
              <w:pStyle w:val="CDITable-RowCentre"/>
            </w:pPr>
            <w:r w:rsidRPr="00A96216">
              <w:t>7 (0.2)</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4EC096" w14:textId="77777777" w:rsidR="00A96216" w:rsidRPr="00A96216" w:rsidRDefault="00A96216" w:rsidP="00A96216">
            <w:pPr>
              <w:pStyle w:val="CDITable-RowCentre"/>
            </w:pPr>
            <w:r w:rsidRPr="00A96216">
              <w:t>5 (71.4)</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3F0366" w14:textId="77777777" w:rsidR="00A96216" w:rsidRPr="00A96216" w:rsidRDefault="00A96216" w:rsidP="00A96216">
            <w:pPr>
              <w:pStyle w:val="CDITable-RowCentre"/>
            </w:pPr>
            <w:r w:rsidRPr="00A96216">
              <w:t>2 (28.6)</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722FC7" w14:textId="77777777" w:rsidR="00A96216" w:rsidRPr="00A96216" w:rsidRDefault="00A96216" w:rsidP="00A96216">
            <w:pPr>
              <w:pStyle w:val="CDITable-RowCentre"/>
            </w:pPr>
            <w:r w:rsidRPr="00A96216">
              <w:t>0 (0)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9FC952" w14:textId="77777777" w:rsidR="00A96216" w:rsidRPr="00A96216" w:rsidRDefault="00A96216" w:rsidP="00A96216">
            <w:pPr>
              <w:pStyle w:val="CDITable-RowCentre"/>
            </w:pPr>
            <w:r w:rsidRPr="00A96216">
              <w:t>4 (57.1)</w:t>
            </w:r>
          </w:p>
        </w:tc>
      </w:tr>
      <w:tr w:rsidR="00A96216" w:rsidRPr="00A96216" w14:paraId="627F913E"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23F9B3" w14:textId="77777777" w:rsidR="00A96216" w:rsidRPr="00A96216" w:rsidRDefault="00A96216" w:rsidP="00A96216">
            <w:pPr>
              <w:pStyle w:val="CDITable-RowLeft"/>
            </w:pPr>
            <w:r w:rsidRPr="00A96216">
              <w:t>Polio (unspecified)</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2F22D8" w14:textId="77777777" w:rsidR="00A96216" w:rsidRPr="00A96216" w:rsidRDefault="00A96216" w:rsidP="00A96216">
            <w:pPr>
              <w:pStyle w:val="CDITable-RowCentre"/>
            </w:pPr>
            <w:r w:rsidRPr="00A96216">
              <w:t>5 (0.1)</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5871A3" w14:textId="77777777" w:rsidR="00A96216" w:rsidRPr="00A96216" w:rsidRDefault="00A96216" w:rsidP="00A96216">
            <w:pPr>
              <w:pStyle w:val="CDITable-RowCentre"/>
            </w:pPr>
            <w:r w:rsidRPr="00A96216">
              <w:t>1 (20.0)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0C6AC3" w14:textId="77777777" w:rsidR="00A96216" w:rsidRPr="00A96216" w:rsidRDefault="00A96216" w:rsidP="00A96216">
            <w:pPr>
              <w:pStyle w:val="CDITable-RowCentre"/>
            </w:pPr>
            <w:r w:rsidRPr="00A96216">
              <w:t>0 (0)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6867B8" w14:textId="77777777" w:rsidR="00A96216" w:rsidRPr="00A96216" w:rsidRDefault="00A96216" w:rsidP="00A96216">
            <w:pPr>
              <w:pStyle w:val="CDITable-RowCentre"/>
            </w:pPr>
            <w:r w:rsidRPr="00A96216">
              <w:t>2 (40.0)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5FF67B" w14:textId="77777777" w:rsidR="00A96216" w:rsidRPr="00A96216" w:rsidRDefault="00A96216" w:rsidP="00A96216">
            <w:pPr>
              <w:pStyle w:val="CDITable-RowCentre"/>
            </w:pPr>
            <w:r w:rsidRPr="00A96216">
              <w:t>3 (60.0)</w:t>
            </w:r>
          </w:p>
        </w:tc>
      </w:tr>
      <w:tr w:rsidR="00A96216" w:rsidRPr="00A96216" w14:paraId="46685A3D"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F3D914" w14:textId="77777777" w:rsidR="00A96216" w:rsidRPr="00A96216" w:rsidRDefault="00A96216" w:rsidP="00A96216">
            <w:pPr>
              <w:pStyle w:val="CDITable-RowLeft"/>
            </w:pPr>
            <w:r w:rsidRPr="00A96216">
              <w:t>Q fever</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DBC122" w14:textId="77777777" w:rsidR="00A96216" w:rsidRPr="00A96216" w:rsidRDefault="00A96216" w:rsidP="00A96216">
            <w:pPr>
              <w:pStyle w:val="CDITable-RowCentre"/>
            </w:pPr>
            <w:r w:rsidRPr="00A96216">
              <w:t>5 (0.1)</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8D32A1" w14:textId="77777777" w:rsidR="00A96216" w:rsidRPr="00A96216" w:rsidRDefault="00A96216" w:rsidP="00A96216">
            <w:pPr>
              <w:pStyle w:val="CDITable-RowCentre"/>
            </w:pPr>
            <w:r w:rsidRPr="00A96216">
              <w:t>4 (80.0)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DC3F4E" w14:textId="77777777" w:rsidR="00A96216" w:rsidRPr="00A96216" w:rsidRDefault="00A96216" w:rsidP="00A96216">
            <w:pPr>
              <w:pStyle w:val="CDITable-RowCentre"/>
            </w:pPr>
            <w:r w:rsidRPr="00A96216">
              <w:t>0 (0)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754DA2" w14:textId="77777777" w:rsidR="00A96216" w:rsidRPr="00A96216" w:rsidRDefault="00A96216" w:rsidP="00A96216">
            <w:pPr>
              <w:pStyle w:val="CDITable-RowCentre"/>
            </w:pPr>
            <w:r w:rsidRPr="00A96216">
              <w:t>0 (0)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2FFF77" w14:textId="77777777" w:rsidR="00A96216" w:rsidRPr="00A96216" w:rsidRDefault="00A96216" w:rsidP="00A96216">
            <w:pPr>
              <w:pStyle w:val="CDITable-RowCentre"/>
            </w:pPr>
            <w:r w:rsidRPr="00A96216">
              <w:t>5 (100)</w:t>
            </w:r>
          </w:p>
        </w:tc>
      </w:tr>
      <w:tr w:rsidR="00A96216" w:rsidRPr="00A96216" w14:paraId="327F1780"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5AA01E" w14:textId="77777777" w:rsidR="00A96216" w:rsidRPr="00A96216" w:rsidRDefault="00A96216" w:rsidP="00A96216">
            <w:pPr>
              <w:pStyle w:val="CDITable-RowLeft"/>
            </w:pPr>
            <w:r w:rsidRPr="00A96216">
              <w:t>Tetanus (unspecified)</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BD5D17" w14:textId="77777777" w:rsidR="00A96216" w:rsidRPr="00A96216" w:rsidRDefault="00A96216" w:rsidP="00A96216">
            <w:pPr>
              <w:pStyle w:val="CDITable-RowCentre"/>
            </w:pPr>
            <w:r w:rsidRPr="00A96216">
              <w:t>4 (0.1)</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A90C0E" w14:textId="77777777" w:rsidR="00A96216" w:rsidRPr="00A96216" w:rsidRDefault="00A96216" w:rsidP="00A96216">
            <w:pPr>
              <w:pStyle w:val="CDITable-RowCentre"/>
            </w:pPr>
            <w:r w:rsidRPr="00A96216">
              <w:t>1 (25.0)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40409D" w14:textId="77777777" w:rsidR="00A96216" w:rsidRPr="00A96216" w:rsidRDefault="00A96216" w:rsidP="00A96216">
            <w:pPr>
              <w:pStyle w:val="CDITable-RowCentre"/>
            </w:pPr>
            <w:r w:rsidRPr="00A96216">
              <w:t>4 (100)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FBA478" w14:textId="77777777" w:rsidR="00A96216" w:rsidRPr="00A96216" w:rsidRDefault="00A96216" w:rsidP="00A96216">
            <w:pPr>
              <w:pStyle w:val="CDITable-RowCentre"/>
            </w:pPr>
            <w:r w:rsidRPr="00A96216">
              <w:t>0 (0)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E17CD7" w14:textId="77777777" w:rsidR="00A96216" w:rsidRPr="00A96216" w:rsidRDefault="00A96216" w:rsidP="00A96216">
            <w:pPr>
              <w:pStyle w:val="CDITable-RowCentre"/>
            </w:pPr>
            <w:r w:rsidRPr="00A96216">
              <w:t>0 (0)</w:t>
            </w:r>
          </w:p>
        </w:tc>
      </w:tr>
      <w:tr w:rsidR="00A96216" w:rsidRPr="00A96216" w14:paraId="3C5738F2"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B569B5" w14:textId="77777777" w:rsidR="00A96216" w:rsidRPr="00A96216" w:rsidRDefault="00A96216" w:rsidP="00A96216">
            <w:pPr>
              <w:pStyle w:val="CDITable-RowLeft"/>
            </w:pPr>
            <w:r w:rsidRPr="00A96216">
              <w:t>DTP</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A52749" w14:textId="77777777" w:rsidR="00A96216" w:rsidRPr="00A96216" w:rsidRDefault="00A96216" w:rsidP="00A96216">
            <w:pPr>
              <w:pStyle w:val="CDITable-RowCentre"/>
            </w:pPr>
            <w:r w:rsidRPr="00A96216">
              <w:t>3 (0.1)</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E0EFE4" w14:textId="77777777" w:rsidR="00A96216" w:rsidRPr="00A96216" w:rsidRDefault="00A96216" w:rsidP="00A96216">
            <w:pPr>
              <w:pStyle w:val="CDITable-RowCentre"/>
            </w:pPr>
            <w:r w:rsidRPr="00A96216">
              <w:t>2 (66.7)</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5FC589" w14:textId="77777777" w:rsidR="00A96216" w:rsidRPr="00A96216" w:rsidRDefault="00A96216" w:rsidP="00A96216">
            <w:pPr>
              <w:pStyle w:val="CDITable-RowCentre"/>
            </w:pPr>
            <w:r w:rsidRPr="00A96216">
              <w:t>0 (0)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29EC16" w14:textId="77777777" w:rsidR="00A96216" w:rsidRPr="00A96216" w:rsidRDefault="00A96216" w:rsidP="00A96216">
            <w:pPr>
              <w:pStyle w:val="CDITable-RowCentre"/>
            </w:pPr>
            <w:r w:rsidRPr="00A96216">
              <w:t>2 (66.7)</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530798" w14:textId="77777777" w:rsidR="00A96216" w:rsidRPr="00A96216" w:rsidRDefault="00A96216" w:rsidP="00A96216">
            <w:pPr>
              <w:pStyle w:val="CDITable-RowCentre"/>
            </w:pPr>
            <w:r w:rsidRPr="00A96216">
              <w:t>1 (33.3)</w:t>
            </w:r>
          </w:p>
        </w:tc>
      </w:tr>
      <w:tr w:rsidR="00A96216" w:rsidRPr="00A96216" w14:paraId="190E094E"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3076F3" w14:textId="77777777" w:rsidR="00A96216" w:rsidRPr="00A96216" w:rsidRDefault="00A96216" w:rsidP="00A96216">
            <w:pPr>
              <w:pStyle w:val="CDITable-RowLeft"/>
            </w:pPr>
            <w:r w:rsidRPr="00A96216">
              <w:t>Meningococcal (unspecified)</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503CB7" w14:textId="77777777" w:rsidR="00A96216" w:rsidRPr="00A96216" w:rsidRDefault="00A96216" w:rsidP="00A96216">
            <w:pPr>
              <w:pStyle w:val="CDITable-RowCentre"/>
            </w:pPr>
            <w:r w:rsidRPr="00A96216">
              <w:t>3 (0.1)</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361CCF" w14:textId="77777777" w:rsidR="00A96216" w:rsidRPr="00A96216" w:rsidRDefault="00A96216" w:rsidP="00A96216">
            <w:pPr>
              <w:pStyle w:val="CDITable-RowCentre"/>
            </w:pPr>
            <w:r w:rsidRPr="00A96216">
              <w:t>1 (33.3)</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FC135B" w14:textId="77777777" w:rsidR="00A96216" w:rsidRPr="00A96216" w:rsidRDefault="00A96216" w:rsidP="00A96216">
            <w:pPr>
              <w:pStyle w:val="CDITable-RowCentre"/>
            </w:pPr>
            <w:r w:rsidRPr="00A96216">
              <w:t>1 (33.3)</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7F61F4" w14:textId="77777777" w:rsidR="00A96216" w:rsidRPr="00A96216" w:rsidRDefault="00A96216" w:rsidP="00A96216">
            <w:pPr>
              <w:pStyle w:val="CDITable-RowCentre"/>
            </w:pPr>
            <w:r w:rsidRPr="00A96216">
              <w:t>1 (33.3)</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DD8397" w14:textId="77777777" w:rsidR="00A96216" w:rsidRPr="00A96216" w:rsidRDefault="00A96216" w:rsidP="00A96216">
            <w:pPr>
              <w:pStyle w:val="CDITable-RowCentre"/>
            </w:pPr>
            <w:r w:rsidRPr="00A96216">
              <w:t>2 (66.7)</w:t>
            </w:r>
          </w:p>
        </w:tc>
      </w:tr>
      <w:tr w:rsidR="00A96216" w:rsidRPr="00A96216" w14:paraId="43B1E7B2"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87B9D2" w14:textId="77777777" w:rsidR="00A96216" w:rsidRPr="00A96216" w:rsidRDefault="00A96216" w:rsidP="00A96216">
            <w:pPr>
              <w:pStyle w:val="CDITable-RowLeft"/>
            </w:pPr>
            <w:r w:rsidRPr="00A96216">
              <w:t>Pertussis</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F087E0" w14:textId="77777777" w:rsidR="00A96216" w:rsidRPr="00A96216" w:rsidRDefault="00A96216" w:rsidP="00A96216">
            <w:pPr>
              <w:pStyle w:val="CDITable-RowCentre"/>
            </w:pPr>
            <w:r w:rsidRPr="00A96216">
              <w:t>3 (0.1)</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998D5E" w14:textId="77777777" w:rsidR="00A96216" w:rsidRPr="00A96216" w:rsidRDefault="00A96216" w:rsidP="00A96216">
            <w:pPr>
              <w:pStyle w:val="CDITable-RowCentre"/>
            </w:pPr>
            <w:r w:rsidRPr="00A96216">
              <w:t>1 (33.3)</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D125B2" w14:textId="77777777" w:rsidR="00A96216" w:rsidRPr="00A96216" w:rsidRDefault="00A96216" w:rsidP="00A96216">
            <w:pPr>
              <w:pStyle w:val="CDITable-RowCentre"/>
            </w:pPr>
            <w:r w:rsidRPr="00A96216">
              <w:t>0 (0)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9FC945" w14:textId="77777777" w:rsidR="00A96216" w:rsidRPr="00A96216" w:rsidRDefault="00A96216" w:rsidP="00A96216">
            <w:pPr>
              <w:pStyle w:val="CDITable-RowCentre"/>
            </w:pPr>
            <w:r w:rsidRPr="00A96216">
              <w:t>2 (66.7)</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F95154" w14:textId="77777777" w:rsidR="00A96216" w:rsidRPr="00A96216" w:rsidRDefault="00A96216" w:rsidP="00A96216">
            <w:pPr>
              <w:pStyle w:val="CDITable-RowCentre"/>
            </w:pPr>
            <w:r w:rsidRPr="00A96216">
              <w:t>1 (33.3)</w:t>
            </w:r>
          </w:p>
        </w:tc>
      </w:tr>
      <w:tr w:rsidR="00A96216" w:rsidRPr="00A96216" w14:paraId="01C9A243"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126BE3" w14:textId="77777777" w:rsidR="00A96216" w:rsidRPr="00A96216" w:rsidRDefault="00A96216" w:rsidP="00A96216">
            <w:pPr>
              <w:pStyle w:val="CDITable-RowLeft"/>
            </w:pPr>
            <w:r w:rsidRPr="00A96216">
              <w:t>Rabies</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C19D3C" w14:textId="77777777" w:rsidR="00A96216" w:rsidRPr="00A96216" w:rsidRDefault="00A96216" w:rsidP="00A96216">
            <w:pPr>
              <w:pStyle w:val="CDITable-RowCentre"/>
            </w:pPr>
            <w:r w:rsidRPr="00A96216">
              <w:t>3 (0.1)</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B9E25D" w14:textId="77777777" w:rsidR="00A96216" w:rsidRPr="00A96216" w:rsidRDefault="00A96216" w:rsidP="00A96216">
            <w:pPr>
              <w:pStyle w:val="CDITable-RowCentre"/>
            </w:pPr>
            <w:r w:rsidRPr="00A96216">
              <w:t>1(33.3)</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2DBBE9" w14:textId="77777777" w:rsidR="00A96216" w:rsidRPr="00A96216" w:rsidRDefault="00A96216" w:rsidP="00A96216">
            <w:pPr>
              <w:pStyle w:val="CDITable-RowCentre"/>
            </w:pPr>
            <w:r w:rsidRPr="00A96216">
              <w:t>2 (66.7)</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8EC757" w14:textId="77777777" w:rsidR="00A96216" w:rsidRPr="00A96216" w:rsidRDefault="00A96216" w:rsidP="00A96216">
            <w:pPr>
              <w:pStyle w:val="CDITable-RowCentre"/>
            </w:pPr>
            <w:r w:rsidRPr="00A96216">
              <w:t>0 (0)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822B73" w14:textId="77777777" w:rsidR="00A96216" w:rsidRPr="00A96216" w:rsidRDefault="00A96216" w:rsidP="00A96216">
            <w:pPr>
              <w:pStyle w:val="CDITable-RowCentre"/>
            </w:pPr>
            <w:r w:rsidRPr="00A96216">
              <w:t>3 (100)</w:t>
            </w:r>
          </w:p>
        </w:tc>
      </w:tr>
      <w:tr w:rsidR="00A96216" w:rsidRPr="00A96216" w14:paraId="7EB328F7"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62A2C2" w14:textId="77777777" w:rsidR="00A96216" w:rsidRPr="00A96216" w:rsidRDefault="00A96216" w:rsidP="00A96216">
            <w:pPr>
              <w:pStyle w:val="CDITable-RowLeft"/>
            </w:pPr>
            <w:r w:rsidRPr="00A96216">
              <w:t>dTpa-IPV</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0AABB7" w14:textId="77777777" w:rsidR="00A96216" w:rsidRPr="00A96216" w:rsidRDefault="00A96216" w:rsidP="00A96216">
            <w:pPr>
              <w:pStyle w:val="CDITable-RowCentre"/>
            </w:pPr>
            <w:r w:rsidRPr="00A96216">
              <w:t>2 (0.1)</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6A8804" w14:textId="77777777" w:rsidR="00A96216" w:rsidRPr="00A96216" w:rsidRDefault="00A96216" w:rsidP="00A96216">
            <w:pPr>
              <w:pStyle w:val="CDITable-RowCentre"/>
            </w:pPr>
            <w:r w:rsidRPr="00A96216">
              <w:t>1 (50.0)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F0B0BC" w14:textId="77777777" w:rsidR="00A96216" w:rsidRPr="00A96216" w:rsidRDefault="00A96216" w:rsidP="00A96216">
            <w:pPr>
              <w:pStyle w:val="CDITable-RowCentre"/>
            </w:pPr>
            <w:r w:rsidRPr="00A96216">
              <w:t>1 (50.0)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B8E75F" w14:textId="77777777" w:rsidR="00A96216" w:rsidRPr="00A96216" w:rsidRDefault="00A96216" w:rsidP="00A96216">
            <w:pPr>
              <w:pStyle w:val="CDITable-RowCentre"/>
            </w:pPr>
            <w:r w:rsidRPr="00A96216">
              <w:t>0 (0)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9127DC" w14:textId="77777777" w:rsidR="00A96216" w:rsidRPr="00A96216" w:rsidRDefault="00A96216" w:rsidP="00A96216">
            <w:pPr>
              <w:pStyle w:val="CDITable-RowCentre"/>
            </w:pPr>
            <w:r w:rsidRPr="00A96216">
              <w:t>2 (100)</w:t>
            </w:r>
          </w:p>
        </w:tc>
      </w:tr>
      <w:tr w:rsidR="00A96216" w:rsidRPr="00A96216" w14:paraId="58BAA218"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378A49" w14:textId="77777777" w:rsidR="00A96216" w:rsidRPr="00A96216" w:rsidRDefault="00A96216" w:rsidP="00A96216">
            <w:pPr>
              <w:pStyle w:val="CDITable-RowLeft"/>
            </w:pPr>
            <w:r w:rsidRPr="00A96216">
              <w:t>Cholera</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C0E46A" w14:textId="77777777" w:rsidR="00A96216" w:rsidRPr="00A96216" w:rsidRDefault="00A96216" w:rsidP="00A96216">
            <w:pPr>
              <w:pStyle w:val="CDITable-RowCentre"/>
            </w:pPr>
            <w:r w:rsidRPr="00A96216">
              <w:t>1 (0.03)</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07A4CE" w14:textId="77777777" w:rsidR="00A96216" w:rsidRPr="00A96216" w:rsidRDefault="00A96216" w:rsidP="00A96216">
            <w:pPr>
              <w:pStyle w:val="CDITable-RowCentre"/>
            </w:pPr>
            <w:r w:rsidRPr="00A96216">
              <w:t>0 (0)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4A34B4" w14:textId="77777777" w:rsidR="00A96216" w:rsidRPr="00A96216" w:rsidRDefault="00A96216" w:rsidP="00A96216">
            <w:pPr>
              <w:pStyle w:val="CDITable-RowCentre"/>
            </w:pPr>
            <w:r w:rsidRPr="00A96216">
              <w:t>0 (0)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D483E7" w14:textId="77777777" w:rsidR="00A96216" w:rsidRPr="00A96216" w:rsidRDefault="00A96216" w:rsidP="00A96216">
            <w:pPr>
              <w:pStyle w:val="CDITable-RowCentre"/>
            </w:pPr>
            <w:r w:rsidRPr="00A96216">
              <w:t>0 (0)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D51CB2" w14:textId="77777777" w:rsidR="00A96216" w:rsidRPr="00A96216" w:rsidRDefault="00A96216" w:rsidP="00A96216">
            <w:pPr>
              <w:pStyle w:val="CDITable-RowCentre"/>
            </w:pPr>
            <w:r w:rsidRPr="00A96216">
              <w:t>1 (100)</w:t>
            </w:r>
          </w:p>
        </w:tc>
      </w:tr>
      <w:tr w:rsidR="00A96216" w:rsidRPr="00A96216" w14:paraId="716DB2D3"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E94CDC" w14:textId="77777777" w:rsidR="00A96216" w:rsidRPr="00A96216" w:rsidRDefault="00A96216" w:rsidP="00A96216">
            <w:pPr>
              <w:pStyle w:val="CDITable-RowLeft"/>
            </w:pPr>
            <w:r w:rsidRPr="00A96216">
              <w:t>Hib-MenCY</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365B1B" w14:textId="77777777" w:rsidR="00A96216" w:rsidRPr="00A96216" w:rsidRDefault="00A96216" w:rsidP="00A96216">
            <w:pPr>
              <w:pStyle w:val="CDITable-RowCentre"/>
            </w:pPr>
            <w:r w:rsidRPr="00A96216">
              <w:t>1 (0.03)</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51E3B7" w14:textId="77777777" w:rsidR="00A96216" w:rsidRPr="00A96216" w:rsidRDefault="00A96216" w:rsidP="00A96216">
            <w:pPr>
              <w:pStyle w:val="CDITable-RowCentre"/>
            </w:pPr>
            <w:r w:rsidRPr="00A96216">
              <w:t>0 (0)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99B335" w14:textId="77777777" w:rsidR="00A96216" w:rsidRPr="00A96216" w:rsidRDefault="00A96216" w:rsidP="00A96216">
            <w:pPr>
              <w:pStyle w:val="CDITable-RowCentre"/>
            </w:pPr>
            <w:r w:rsidRPr="00A96216">
              <w:t>1 (100)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7CB5EC" w14:textId="77777777" w:rsidR="00A96216" w:rsidRPr="00A96216" w:rsidRDefault="00A96216" w:rsidP="00A96216">
            <w:pPr>
              <w:pStyle w:val="CDITable-RowCentre"/>
            </w:pPr>
            <w:r w:rsidRPr="00A96216">
              <w:t>1 (100)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5BE504" w14:textId="77777777" w:rsidR="00A96216" w:rsidRPr="00A96216" w:rsidRDefault="00A96216" w:rsidP="00A96216">
            <w:pPr>
              <w:pStyle w:val="CDITable-RowCentre"/>
            </w:pPr>
            <w:r w:rsidRPr="00A96216">
              <w:t>0 (0)</w:t>
            </w:r>
          </w:p>
        </w:tc>
      </w:tr>
      <w:tr w:rsidR="00A96216" w:rsidRPr="00A96216" w14:paraId="0E9B7820"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7249D5" w14:textId="77777777" w:rsidR="00A96216" w:rsidRPr="00A96216" w:rsidRDefault="00A96216" w:rsidP="00A96216">
            <w:pPr>
              <w:pStyle w:val="CDITable-RowLeft"/>
            </w:pPr>
            <w:r w:rsidRPr="00A96216">
              <w:t>Japanese encephalitis (inactivated)</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87298C" w14:textId="77777777" w:rsidR="00A96216" w:rsidRPr="00A96216" w:rsidRDefault="00A96216" w:rsidP="00A96216">
            <w:pPr>
              <w:pStyle w:val="CDITable-RowCentre"/>
            </w:pPr>
            <w:r w:rsidRPr="00A96216">
              <w:t>1 (0.03)</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51D067" w14:textId="77777777" w:rsidR="00A96216" w:rsidRPr="00A96216" w:rsidRDefault="00A96216" w:rsidP="00A96216">
            <w:pPr>
              <w:pStyle w:val="CDITable-RowCentre"/>
            </w:pPr>
            <w:r w:rsidRPr="00A96216">
              <w:t>1 (100)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B4D2AB" w14:textId="77777777" w:rsidR="00A96216" w:rsidRPr="00A96216" w:rsidRDefault="00A96216" w:rsidP="00A96216">
            <w:pPr>
              <w:pStyle w:val="CDITable-RowCentre"/>
            </w:pPr>
            <w:r w:rsidRPr="00A96216">
              <w:t>0 (0)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029607" w14:textId="77777777" w:rsidR="00A96216" w:rsidRPr="00A96216" w:rsidRDefault="00A96216" w:rsidP="00A96216">
            <w:pPr>
              <w:pStyle w:val="CDITable-RowCentre"/>
            </w:pPr>
            <w:r w:rsidRPr="00A96216">
              <w:t>0 (0)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427552" w14:textId="77777777" w:rsidR="00A96216" w:rsidRPr="00A96216" w:rsidRDefault="00A96216" w:rsidP="00A96216">
            <w:pPr>
              <w:pStyle w:val="CDITable-RowCentre"/>
            </w:pPr>
            <w:r w:rsidRPr="00A96216">
              <w:t>1 (100)</w:t>
            </w:r>
          </w:p>
        </w:tc>
      </w:tr>
      <w:tr w:rsidR="00A96216" w:rsidRPr="00A96216" w14:paraId="0A43F8A9"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5C12FA" w14:textId="77777777" w:rsidR="00A96216" w:rsidRPr="00A96216" w:rsidRDefault="00A96216" w:rsidP="00A96216">
            <w:pPr>
              <w:pStyle w:val="CDITable-RowLeft"/>
            </w:pPr>
            <w:r w:rsidRPr="00A96216">
              <w:t>PCV (unspecified)</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50F93B" w14:textId="77777777" w:rsidR="00A96216" w:rsidRPr="00A96216" w:rsidRDefault="00A96216" w:rsidP="00A96216">
            <w:pPr>
              <w:pStyle w:val="CDITable-RowCentre"/>
            </w:pPr>
            <w:r w:rsidRPr="00A96216">
              <w:t>1 (0.03)</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762260" w14:textId="77777777" w:rsidR="00A96216" w:rsidRPr="00A96216" w:rsidRDefault="00A96216" w:rsidP="00A96216">
            <w:pPr>
              <w:pStyle w:val="CDITable-RowCentre"/>
            </w:pPr>
            <w:r w:rsidRPr="00A96216">
              <w:t>1 (100)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11A3D4" w14:textId="77777777" w:rsidR="00A96216" w:rsidRPr="00A96216" w:rsidRDefault="00A96216" w:rsidP="00A96216">
            <w:pPr>
              <w:pStyle w:val="CDITable-RowCentre"/>
            </w:pPr>
            <w:r w:rsidRPr="00A96216">
              <w:t>0 (0)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C6C585" w14:textId="77777777" w:rsidR="00A96216" w:rsidRPr="00A96216" w:rsidRDefault="00A96216" w:rsidP="00A96216">
            <w:pPr>
              <w:pStyle w:val="CDITable-RowCentre"/>
            </w:pPr>
            <w:r w:rsidRPr="00A96216">
              <w:t>1 (100)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94606C" w14:textId="77777777" w:rsidR="00A96216" w:rsidRPr="00A96216" w:rsidRDefault="00A96216" w:rsidP="00A96216">
            <w:pPr>
              <w:pStyle w:val="CDITable-RowCentre"/>
            </w:pPr>
            <w:r w:rsidRPr="00A96216">
              <w:t>0 (0)</w:t>
            </w:r>
          </w:p>
        </w:tc>
      </w:tr>
      <w:tr w:rsidR="00A96216" w:rsidRPr="00A96216" w14:paraId="3E4C8057"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A734AC" w14:textId="77777777" w:rsidR="00A96216" w:rsidRPr="00A96216" w:rsidRDefault="00A96216" w:rsidP="00A96216">
            <w:pPr>
              <w:pStyle w:val="CDITable-RowLeft"/>
            </w:pPr>
            <w:r w:rsidRPr="00A96216">
              <w:t>Yellow Fever</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9C9D0C" w14:textId="77777777" w:rsidR="00A96216" w:rsidRPr="00A96216" w:rsidRDefault="00A96216" w:rsidP="00A96216">
            <w:pPr>
              <w:pStyle w:val="CDITable-RowCentre"/>
            </w:pPr>
            <w:r w:rsidRPr="00A96216">
              <w:t>1 (0.03)</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41CB39" w14:textId="77777777" w:rsidR="00A96216" w:rsidRPr="00A96216" w:rsidRDefault="00A96216" w:rsidP="00A96216">
            <w:pPr>
              <w:pStyle w:val="CDITable-RowCentre"/>
            </w:pPr>
            <w:r w:rsidRPr="00A96216">
              <w:t>1 (100)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1E18D5" w14:textId="77777777" w:rsidR="00A96216" w:rsidRPr="00A96216" w:rsidRDefault="00A96216" w:rsidP="00A96216">
            <w:pPr>
              <w:pStyle w:val="CDITable-RowCentre"/>
            </w:pPr>
            <w:r w:rsidRPr="00A96216">
              <w:t>0 (0)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AB7606" w14:textId="77777777" w:rsidR="00A96216" w:rsidRPr="00A96216" w:rsidRDefault="00A96216" w:rsidP="00A96216">
            <w:pPr>
              <w:pStyle w:val="CDITable-RowCentre"/>
            </w:pPr>
            <w:r w:rsidRPr="00A96216">
              <w:t>1 (100)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DBAB6F" w14:textId="77777777" w:rsidR="00A96216" w:rsidRPr="00A96216" w:rsidRDefault="00A96216" w:rsidP="00A96216">
            <w:pPr>
              <w:pStyle w:val="CDITable-RowCentre"/>
            </w:pPr>
            <w:r w:rsidRPr="00A96216">
              <w:t>0 (0)</w:t>
            </w:r>
          </w:p>
        </w:tc>
      </w:tr>
      <w:tr w:rsidR="00A96216" w:rsidRPr="00A96216" w14:paraId="712F0B61"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E45A3B" w14:textId="77777777" w:rsidR="00A96216" w:rsidRPr="00A96216" w:rsidRDefault="00A96216" w:rsidP="00A96216">
            <w:pPr>
              <w:pStyle w:val="CDITable-RowLeft"/>
            </w:pPr>
            <w:r w:rsidRPr="00A96216">
              <w:t>Hib-MenC</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664DFF" w14:textId="77777777" w:rsidR="00A96216" w:rsidRPr="00A96216" w:rsidRDefault="00A96216" w:rsidP="00A96216">
            <w:pPr>
              <w:pStyle w:val="CDITable-RowCentre"/>
            </w:pPr>
            <w:r w:rsidRPr="00A96216">
              <w:t>1 (0.03)</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CAEAD5" w14:textId="77777777" w:rsidR="00A96216" w:rsidRPr="00A96216" w:rsidRDefault="00A96216" w:rsidP="00A96216">
            <w:pPr>
              <w:pStyle w:val="CDITable-RowCentre"/>
            </w:pPr>
            <w:r w:rsidRPr="00A96216">
              <w:t>0 (0)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9FB3E2" w14:textId="77777777" w:rsidR="00A96216" w:rsidRPr="00A96216" w:rsidRDefault="00A96216" w:rsidP="00A96216">
            <w:pPr>
              <w:pStyle w:val="CDITable-RowCentre"/>
            </w:pPr>
            <w:r w:rsidRPr="00A96216">
              <w:t>1 (100)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C4E262" w14:textId="77777777" w:rsidR="00A96216" w:rsidRPr="00A96216" w:rsidRDefault="00A96216" w:rsidP="00A96216">
            <w:pPr>
              <w:pStyle w:val="CDITable-RowCentre"/>
            </w:pPr>
            <w:r w:rsidRPr="00A96216">
              <w:t>0 (0)</w:t>
            </w:r>
          </w:p>
        </w:tc>
        <w:tc>
          <w:tcPr>
            <w:tcW w:w="13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2D980C" w14:textId="77777777" w:rsidR="00A96216" w:rsidRPr="00A96216" w:rsidRDefault="00A96216" w:rsidP="00A96216">
            <w:pPr>
              <w:pStyle w:val="CDITable-RowCentre"/>
            </w:pPr>
            <w:r w:rsidRPr="00A96216">
              <w:t>0 (0)</w:t>
            </w:r>
          </w:p>
        </w:tc>
      </w:tr>
    </w:tbl>
    <w:p w14:paraId="17423ACC" w14:textId="77777777" w:rsidR="002F48E5" w:rsidRPr="002F48E5" w:rsidRDefault="002F48E5" w:rsidP="002F48E5">
      <w:pPr>
        <w:pStyle w:val="CDITable-FirstFootnote"/>
        <w:rPr>
          <w:lang w:val="en-GB"/>
        </w:rPr>
      </w:pPr>
      <w:r w:rsidRPr="002F48E5">
        <w:rPr>
          <w:lang w:val="en-GB"/>
        </w:rPr>
        <w:t>a</w:t>
      </w:r>
      <w:r w:rsidRPr="002F48E5">
        <w:rPr>
          <w:lang w:val="en-GB"/>
        </w:rPr>
        <w:tab/>
        <w:t>See Appendix A, Table A.4 for full vaccine names.</w:t>
      </w:r>
    </w:p>
    <w:p w14:paraId="62D655B6" w14:textId="77777777" w:rsidR="002F48E5" w:rsidRPr="002F48E5" w:rsidRDefault="002F48E5" w:rsidP="002F48E5">
      <w:pPr>
        <w:pStyle w:val="CDITable-Footnote"/>
        <w:rPr>
          <w:lang w:val="en-GB"/>
        </w:rPr>
      </w:pPr>
      <w:r w:rsidRPr="002F48E5">
        <w:rPr>
          <w:lang w:val="en-GB"/>
        </w:rPr>
        <w:t>b</w:t>
      </w:r>
      <w:r w:rsidRPr="002F48E5">
        <w:rPr>
          <w:lang w:val="en-GB"/>
        </w:rPr>
        <w:tab/>
        <w:t xml:space="preserve">Number of AEFI reports in which the vaccine was coded as ‘suspect’ </w:t>
      </w:r>
      <w:proofErr w:type="gramStart"/>
      <w:r w:rsidRPr="002F48E5">
        <w:rPr>
          <w:lang w:val="en-GB"/>
        </w:rPr>
        <w:t>with regard to</w:t>
      </w:r>
      <w:proofErr w:type="gramEnd"/>
      <w:r w:rsidRPr="002F48E5">
        <w:rPr>
          <w:lang w:val="en-GB"/>
        </w:rPr>
        <w:t xml:space="preserve"> causal involvement in the reported adverse event and the vaccination was administered between 1 January and 31 December 2022. More than one vaccine may be coded as “suspect” if several were administered or reported at the same time.</w:t>
      </w:r>
    </w:p>
    <w:p w14:paraId="53A30A65" w14:textId="77777777" w:rsidR="002F48E5" w:rsidRPr="002F48E5" w:rsidRDefault="002F48E5" w:rsidP="002F48E5">
      <w:pPr>
        <w:pStyle w:val="CDITable-Footnote"/>
        <w:rPr>
          <w:lang w:val="en-GB"/>
        </w:rPr>
      </w:pPr>
      <w:r w:rsidRPr="002F48E5">
        <w:rPr>
          <w:lang w:val="en-GB"/>
        </w:rPr>
        <w:t>c</w:t>
      </w:r>
      <w:r w:rsidRPr="002F48E5">
        <w:rPr>
          <w:lang w:val="en-GB"/>
        </w:rPr>
        <w:tab/>
        <w:t xml:space="preserve">Percentages are calculated for the number of AEFI reports where the vaccine was coded as ‘suspect’ </w:t>
      </w:r>
      <w:proofErr w:type="gramStart"/>
      <w:r w:rsidRPr="002F48E5">
        <w:rPr>
          <w:lang w:val="en-GB"/>
        </w:rPr>
        <w:t>with regard to</w:t>
      </w:r>
      <w:proofErr w:type="gramEnd"/>
      <w:r w:rsidRPr="002F48E5">
        <w:rPr>
          <w:lang w:val="en-GB"/>
        </w:rPr>
        <w:t xml:space="preserve"> causal involvement in the event.</w:t>
      </w:r>
    </w:p>
    <w:p w14:paraId="30D2B862" w14:textId="77777777" w:rsidR="002F48E5" w:rsidRPr="002F48E5" w:rsidRDefault="002F48E5" w:rsidP="002F48E5">
      <w:pPr>
        <w:pStyle w:val="CDITable-Footnote"/>
        <w:rPr>
          <w:lang w:val="en-GB"/>
        </w:rPr>
      </w:pPr>
      <w:r w:rsidRPr="002F48E5">
        <w:rPr>
          <w:lang w:val="en-GB"/>
        </w:rPr>
        <w:t>d</w:t>
      </w:r>
      <w:r w:rsidRPr="002F48E5">
        <w:rPr>
          <w:lang w:val="en-GB"/>
        </w:rPr>
        <w:tab/>
        <w:t xml:space="preserve">AEFI reports where only one vaccine was coded as ‘suspect’ </w:t>
      </w:r>
      <w:proofErr w:type="gramStart"/>
      <w:r w:rsidRPr="002F48E5">
        <w:rPr>
          <w:lang w:val="en-GB"/>
        </w:rPr>
        <w:t>with regard to</w:t>
      </w:r>
      <w:proofErr w:type="gramEnd"/>
      <w:r w:rsidRPr="002F48E5">
        <w:rPr>
          <w:lang w:val="en-GB"/>
        </w:rPr>
        <w:t xml:space="preserve"> causal involvement in a reported adverse event; note that in reports where more than one vaccine was nominated, this does not necessarily imply concomitant administration of nominated vaccines.</w:t>
      </w:r>
    </w:p>
    <w:p w14:paraId="1EF84C77" w14:textId="77777777" w:rsidR="002F48E5" w:rsidRPr="002F48E5" w:rsidRDefault="002F48E5" w:rsidP="002F48E5">
      <w:pPr>
        <w:pStyle w:val="CDITable-Footnote"/>
        <w:rPr>
          <w:lang w:val="en-GB"/>
        </w:rPr>
      </w:pPr>
      <w:r w:rsidRPr="002F48E5">
        <w:rPr>
          <w:lang w:val="en-GB"/>
        </w:rPr>
        <w:t>e</w:t>
      </w:r>
      <w:r w:rsidRPr="002F48E5">
        <w:rPr>
          <w:lang w:val="en-GB"/>
        </w:rPr>
        <w:tab/>
      </w:r>
      <w:proofErr w:type="gramStart"/>
      <w:r w:rsidRPr="002F48E5">
        <w:rPr>
          <w:lang w:val="en-GB"/>
        </w:rPr>
        <w:t>An</w:t>
      </w:r>
      <w:proofErr w:type="gramEnd"/>
      <w:r w:rsidRPr="002F48E5">
        <w:rPr>
          <w:lang w:val="en-GB"/>
        </w:rPr>
        <w:t xml:space="preserve"> adverse event report is defined as ‘</w:t>
      </w:r>
      <w:proofErr w:type="spellStart"/>
      <w:r w:rsidRPr="002F48E5">
        <w:rPr>
          <w:lang w:val="en-GB"/>
        </w:rPr>
        <w:t>serious’</w:t>
      </w:r>
      <w:proofErr w:type="spellEnd"/>
      <w:r w:rsidRPr="002F48E5">
        <w:rPr>
          <w:lang w:val="en-GB"/>
        </w:rPr>
        <w:t xml:space="preserve"> if it involves one or more of the following outcomes: (1) fatal or life-threatening condition(s); (2) new or prolonged hospitalisation; (3) persistent or significant disability; (4) congenital anomaly or birth defect; and (5) any medical event that requires an intervention to prevent the above outcomes. For AEFI reports submitted by sponsors (vaccine companies), the seriousness classification is applied by sponsors to ensure they meet legislated requirements. For other AEFI reports submitted to the TGA, the seriousness classification either reflects the view of the reporter or may have been applied by the TGA following review.</w:t>
      </w:r>
    </w:p>
    <w:p w14:paraId="11990E4A" w14:textId="448D1931" w:rsidR="00A96216" w:rsidRDefault="002F48E5" w:rsidP="00A96216">
      <w:pPr>
        <w:pStyle w:val="CDITable-Footnote"/>
        <w:rPr>
          <w:lang w:val="en-GB"/>
        </w:rPr>
      </w:pPr>
      <w:r w:rsidRPr="002F48E5">
        <w:rPr>
          <w:lang w:val="en-GB"/>
        </w:rPr>
        <w:t>f</w:t>
      </w:r>
      <w:r w:rsidRPr="002F48E5">
        <w:rPr>
          <w:lang w:val="en-GB"/>
        </w:rPr>
        <w:tab/>
        <w:t>Includes only AEFI reports where an age or date of birth has been reported.</w:t>
      </w:r>
      <w:r w:rsidR="00A96216">
        <w:rPr>
          <w:lang w:val="en-GB"/>
        </w:rPr>
        <w:br w:type="page"/>
      </w:r>
    </w:p>
    <w:p w14:paraId="481ED45A" w14:textId="77777777" w:rsidR="002F48E5" w:rsidRPr="002F48E5" w:rsidRDefault="002F48E5" w:rsidP="002F48E5">
      <w:pPr>
        <w:pStyle w:val="CDITable-Title"/>
        <w:rPr>
          <w:lang w:val="en-GB"/>
        </w:rPr>
      </w:pPr>
      <w:bookmarkStart w:id="33" w:name="_Toc215491392"/>
      <w:r w:rsidRPr="002F48E5">
        <w:rPr>
          <w:lang w:val="en-GB"/>
        </w:rPr>
        <w:lastRenderedPageBreak/>
        <w:t>Table 4: The 30 most frequently reported adverse events classified by MedDRA Preferred Terms (PTs) or Standardised MedDRA queries (SMQs), in reports of adverse events following immunisation in the Adverse Event Management System database for vaccines administered in 2022 (excluding COVID-19 vaccines)</w:t>
      </w:r>
      <w:bookmarkEnd w:id="33"/>
    </w:p>
    <w:tbl>
      <w:tblPr>
        <w:tblW w:w="0" w:type="auto"/>
        <w:tblLayout w:type="fixed"/>
        <w:tblCellMar>
          <w:left w:w="0" w:type="dxa"/>
          <w:right w:w="0" w:type="dxa"/>
        </w:tblCellMar>
        <w:tblLook w:val="0000" w:firstRow="0" w:lastRow="0" w:firstColumn="0" w:lastColumn="0" w:noHBand="0" w:noVBand="0"/>
        <w:tblCaption w:val="Table 4: The 30 most frequently reported adverse events classified by MedDRA Preferred Terms (PTs) or Standardised MedDRA queries (SMQs), in reports of adverse events following immunisation in the Adverse Event Management System database for vaccines administered in 2022 (excluding COVID-19 vaccines)"/>
        <w:tblDescription w:val="Table 4 shows, in descending order, the 30 MedDRA-coded adverse events that were reported the most frequently following non-COVID-19 vaccines administered in 2022. For each adverse event, the table gives the number and proportion of reports classified as serious, and the proportions of recipients &lt; 7 and ≥ 7 years of age."/>
      </w:tblPr>
      <w:tblGrid>
        <w:gridCol w:w="2778"/>
        <w:gridCol w:w="1372"/>
        <w:gridCol w:w="1372"/>
        <w:gridCol w:w="1372"/>
        <w:gridCol w:w="1372"/>
        <w:gridCol w:w="1372"/>
      </w:tblGrid>
      <w:tr w:rsidR="00A96216" w:rsidRPr="00A96216" w14:paraId="66ED7063" w14:textId="77777777" w:rsidTr="00A96216">
        <w:tblPrEx>
          <w:tblCellMar>
            <w:top w:w="0" w:type="dxa"/>
            <w:left w:w="0" w:type="dxa"/>
            <w:bottom w:w="0" w:type="dxa"/>
            <w:right w:w="0" w:type="dxa"/>
          </w:tblCellMar>
        </w:tblPrEx>
        <w:trPr>
          <w:trHeight w:val="60"/>
          <w:tblHeader/>
        </w:trPr>
        <w:tc>
          <w:tcPr>
            <w:tcW w:w="2778" w:type="dxa"/>
            <w:shd w:val="clear" w:color="auto" w:fill="1E4496" w:themeFill="text2"/>
            <w:tcMar>
              <w:top w:w="113" w:type="dxa"/>
              <w:left w:w="113" w:type="dxa"/>
              <w:bottom w:w="113" w:type="dxa"/>
              <w:right w:w="113" w:type="dxa"/>
            </w:tcMar>
            <w:vAlign w:val="bottom"/>
          </w:tcPr>
          <w:p w14:paraId="4C6345FE" w14:textId="77777777" w:rsidR="00A96216" w:rsidRPr="00A96216" w:rsidRDefault="00A96216" w:rsidP="00A96216">
            <w:pPr>
              <w:pStyle w:val="CDITable-HeaderRowLeft"/>
            </w:pPr>
            <w:r w:rsidRPr="00A96216">
              <w:t>Adverse event PT or SMQ</w:t>
            </w:r>
          </w:p>
        </w:tc>
        <w:tc>
          <w:tcPr>
            <w:tcW w:w="1372" w:type="dxa"/>
            <w:shd w:val="clear" w:color="auto" w:fill="1E4496" w:themeFill="text2"/>
            <w:tcMar>
              <w:top w:w="113" w:type="dxa"/>
              <w:left w:w="113" w:type="dxa"/>
              <w:bottom w:w="113" w:type="dxa"/>
              <w:right w:w="113" w:type="dxa"/>
            </w:tcMar>
            <w:vAlign w:val="bottom"/>
          </w:tcPr>
          <w:p w14:paraId="178101BF" w14:textId="77777777" w:rsidR="00A96216" w:rsidRPr="00A96216" w:rsidRDefault="00A96216" w:rsidP="00A96216">
            <w:pPr>
              <w:pStyle w:val="CDITable-HeaderRowCentre"/>
            </w:pPr>
            <w:r w:rsidRPr="00A96216">
              <w:t>AEFI reports n (</w:t>
            </w:r>
            <w:proofErr w:type="gramStart"/>
            <w:r w:rsidRPr="00A96216">
              <w:t>%)</w:t>
            </w:r>
            <w:r w:rsidRPr="00A96216">
              <w:rPr>
                <w:bCs/>
                <w:vertAlign w:val="superscript"/>
              </w:rPr>
              <w:t>a</w:t>
            </w:r>
            <w:proofErr w:type="gramEnd"/>
          </w:p>
        </w:tc>
        <w:tc>
          <w:tcPr>
            <w:tcW w:w="1372" w:type="dxa"/>
            <w:shd w:val="clear" w:color="auto" w:fill="1E4496" w:themeFill="text2"/>
            <w:tcMar>
              <w:top w:w="113" w:type="dxa"/>
              <w:left w:w="113" w:type="dxa"/>
              <w:bottom w:w="113" w:type="dxa"/>
              <w:right w:w="113" w:type="dxa"/>
            </w:tcMar>
            <w:vAlign w:val="bottom"/>
          </w:tcPr>
          <w:p w14:paraId="4B2CBDB9" w14:textId="77777777" w:rsidR="00A96216" w:rsidRPr="00A96216" w:rsidRDefault="00A96216" w:rsidP="00A96216">
            <w:pPr>
              <w:pStyle w:val="CDITable-HeaderRowCentre"/>
            </w:pPr>
            <w:r w:rsidRPr="00A96216">
              <w:t>Reports with a single reported adverse event n (</w:t>
            </w:r>
            <w:proofErr w:type="gramStart"/>
            <w:r w:rsidRPr="00A96216">
              <w:t>%)</w:t>
            </w:r>
            <w:proofErr w:type="spellStart"/>
            <w:r w:rsidRPr="00A96216">
              <w:rPr>
                <w:bCs/>
                <w:vertAlign w:val="superscript"/>
              </w:rPr>
              <w:t>b</w:t>
            </w:r>
            <w:proofErr w:type="gramEnd"/>
            <w:r w:rsidRPr="00A96216">
              <w:rPr>
                <w:bCs/>
                <w:vertAlign w:val="superscript"/>
              </w:rPr>
              <w:t>,c</w:t>
            </w:r>
            <w:proofErr w:type="spellEnd"/>
          </w:p>
        </w:tc>
        <w:tc>
          <w:tcPr>
            <w:tcW w:w="1372" w:type="dxa"/>
            <w:shd w:val="clear" w:color="auto" w:fill="1E4496" w:themeFill="text2"/>
            <w:tcMar>
              <w:top w:w="113" w:type="dxa"/>
              <w:left w:w="113" w:type="dxa"/>
              <w:bottom w:w="113" w:type="dxa"/>
              <w:right w:w="113" w:type="dxa"/>
            </w:tcMar>
            <w:vAlign w:val="bottom"/>
          </w:tcPr>
          <w:p w14:paraId="0E774B09" w14:textId="77777777" w:rsidR="00A96216" w:rsidRPr="00A96216" w:rsidRDefault="00A96216" w:rsidP="00A96216">
            <w:pPr>
              <w:pStyle w:val="CDITable-HeaderRowCentre"/>
            </w:pPr>
            <w:r w:rsidRPr="00A96216">
              <w:t>Serious AEFI n (</w:t>
            </w:r>
            <w:proofErr w:type="gramStart"/>
            <w:r w:rsidRPr="00A96216">
              <w:t>%)</w:t>
            </w:r>
            <w:proofErr w:type="spellStart"/>
            <w:r w:rsidRPr="00A96216">
              <w:rPr>
                <w:bCs/>
                <w:vertAlign w:val="superscript"/>
              </w:rPr>
              <w:t>c</w:t>
            </w:r>
            <w:proofErr w:type="gramEnd"/>
            <w:r w:rsidRPr="00A96216">
              <w:rPr>
                <w:bCs/>
                <w:vertAlign w:val="superscript"/>
              </w:rPr>
              <w:t>,d</w:t>
            </w:r>
            <w:proofErr w:type="spellEnd"/>
          </w:p>
        </w:tc>
        <w:tc>
          <w:tcPr>
            <w:tcW w:w="1372" w:type="dxa"/>
            <w:shd w:val="clear" w:color="auto" w:fill="1E4496" w:themeFill="text2"/>
            <w:tcMar>
              <w:top w:w="113" w:type="dxa"/>
              <w:left w:w="113" w:type="dxa"/>
              <w:bottom w:w="113" w:type="dxa"/>
              <w:right w:w="113" w:type="dxa"/>
            </w:tcMar>
            <w:vAlign w:val="bottom"/>
          </w:tcPr>
          <w:p w14:paraId="1186502B" w14:textId="0BBC0A8C" w:rsidR="00A96216" w:rsidRPr="00A96216" w:rsidRDefault="00A96216" w:rsidP="00A96216">
            <w:pPr>
              <w:pStyle w:val="CDITable-HeaderRowCentre"/>
            </w:pPr>
            <w:r w:rsidRPr="00A96216">
              <w:t>Aged &lt;</w:t>
            </w:r>
            <w:r>
              <w:t> </w:t>
            </w:r>
            <w:r w:rsidRPr="00A96216">
              <w:t>7</w:t>
            </w:r>
            <w:r>
              <w:t> </w:t>
            </w:r>
            <w:r w:rsidRPr="00A96216">
              <w:t>years n</w:t>
            </w:r>
            <w:r>
              <w:t> </w:t>
            </w:r>
            <w:r w:rsidRPr="00A96216">
              <w:t>(</w:t>
            </w:r>
            <w:proofErr w:type="gramStart"/>
            <w:r w:rsidRPr="00A96216">
              <w:t>%)</w:t>
            </w:r>
            <w:proofErr w:type="spellStart"/>
            <w:r w:rsidRPr="00A96216">
              <w:rPr>
                <w:bCs/>
                <w:vertAlign w:val="superscript"/>
              </w:rPr>
              <w:t>c</w:t>
            </w:r>
            <w:proofErr w:type="gramEnd"/>
            <w:r w:rsidRPr="00A96216">
              <w:rPr>
                <w:bCs/>
                <w:vertAlign w:val="superscript"/>
              </w:rPr>
              <w:t>,e</w:t>
            </w:r>
            <w:proofErr w:type="spellEnd"/>
          </w:p>
        </w:tc>
        <w:tc>
          <w:tcPr>
            <w:tcW w:w="1372" w:type="dxa"/>
            <w:shd w:val="clear" w:color="auto" w:fill="1E4496" w:themeFill="text2"/>
            <w:tcMar>
              <w:top w:w="113" w:type="dxa"/>
              <w:left w:w="113" w:type="dxa"/>
              <w:bottom w:w="113" w:type="dxa"/>
              <w:right w:w="113" w:type="dxa"/>
            </w:tcMar>
            <w:vAlign w:val="bottom"/>
          </w:tcPr>
          <w:p w14:paraId="68BE486D" w14:textId="3FF40F53" w:rsidR="00A96216" w:rsidRPr="00A96216" w:rsidRDefault="00A96216" w:rsidP="00A96216">
            <w:pPr>
              <w:pStyle w:val="CDITable-HeaderRowCentre"/>
            </w:pPr>
            <w:r w:rsidRPr="00A96216">
              <w:t>Aged ≥</w:t>
            </w:r>
            <w:r>
              <w:t> </w:t>
            </w:r>
            <w:r w:rsidRPr="00A96216">
              <w:t>7</w:t>
            </w:r>
            <w:r>
              <w:t> </w:t>
            </w:r>
            <w:r w:rsidRPr="00A96216">
              <w:t>years</w:t>
            </w:r>
            <w:r>
              <w:t xml:space="preserve"> </w:t>
            </w:r>
            <w:r w:rsidRPr="00A96216">
              <w:t>n</w:t>
            </w:r>
            <w:r>
              <w:t> </w:t>
            </w:r>
            <w:r w:rsidRPr="00A96216">
              <w:t>(</w:t>
            </w:r>
            <w:proofErr w:type="gramStart"/>
            <w:r w:rsidRPr="00A96216">
              <w:t>%)</w:t>
            </w:r>
            <w:proofErr w:type="spellStart"/>
            <w:r w:rsidRPr="00A96216">
              <w:rPr>
                <w:bCs/>
                <w:vertAlign w:val="superscript"/>
              </w:rPr>
              <w:t>c</w:t>
            </w:r>
            <w:proofErr w:type="gramEnd"/>
            <w:r w:rsidRPr="00A96216">
              <w:rPr>
                <w:bCs/>
                <w:vertAlign w:val="superscript"/>
              </w:rPr>
              <w:t>,e</w:t>
            </w:r>
            <w:proofErr w:type="spellEnd"/>
          </w:p>
        </w:tc>
      </w:tr>
      <w:tr w:rsidR="00A96216" w:rsidRPr="00A96216" w14:paraId="54CAB8EE" w14:textId="77777777" w:rsidTr="00A96216">
        <w:tblPrEx>
          <w:tblCellMar>
            <w:top w:w="0" w:type="dxa"/>
            <w:left w:w="0" w:type="dxa"/>
            <w:bottom w:w="0" w:type="dxa"/>
            <w:right w:w="0" w:type="dxa"/>
          </w:tblCellMar>
        </w:tblPrEx>
        <w:trPr>
          <w:trHeight w:val="60"/>
        </w:trPr>
        <w:tc>
          <w:tcPr>
            <w:tcW w:w="2778" w:type="dxa"/>
            <w:tcBorders>
              <w:bottom w:val="single" w:sz="6" w:space="0" w:color="1E4496" w:themeColor="text2"/>
            </w:tcBorders>
            <w:tcMar>
              <w:top w:w="128" w:type="dxa"/>
              <w:left w:w="113" w:type="dxa"/>
              <w:bottom w:w="128" w:type="dxa"/>
              <w:right w:w="113" w:type="dxa"/>
            </w:tcMar>
            <w:vAlign w:val="center"/>
          </w:tcPr>
          <w:p w14:paraId="3DFD6A4B" w14:textId="77777777" w:rsidR="00A96216" w:rsidRPr="00A96216" w:rsidRDefault="00A96216" w:rsidP="00A96216">
            <w:pPr>
              <w:pStyle w:val="CDITable-RowLeft"/>
            </w:pPr>
            <w:r w:rsidRPr="00A96216">
              <w:t>Hypersensitivity</w:t>
            </w:r>
          </w:p>
        </w:tc>
        <w:tc>
          <w:tcPr>
            <w:tcW w:w="1372" w:type="dxa"/>
            <w:tcBorders>
              <w:bottom w:val="single" w:sz="6" w:space="0" w:color="1E4496" w:themeColor="text2"/>
            </w:tcBorders>
            <w:tcMar>
              <w:top w:w="128" w:type="dxa"/>
              <w:left w:w="113" w:type="dxa"/>
              <w:bottom w:w="128" w:type="dxa"/>
              <w:right w:w="113" w:type="dxa"/>
            </w:tcMar>
            <w:vAlign w:val="center"/>
          </w:tcPr>
          <w:p w14:paraId="3DE3A167" w14:textId="77777777" w:rsidR="00A96216" w:rsidRPr="00A96216" w:rsidRDefault="00A96216" w:rsidP="00A96216">
            <w:pPr>
              <w:pStyle w:val="CDITable-RowCentre"/>
            </w:pPr>
            <w:r w:rsidRPr="00A96216">
              <w:t>691 (19.0)</w:t>
            </w:r>
          </w:p>
        </w:tc>
        <w:tc>
          <w:tcPr>
            <w:tcW w:w="1372" w:type="dxa"/>
            <w:tcBorders>
              <w:bottom w:val="single" w:sz="6" w:space="0" w:color="1E4496" w:themeColor="text2"/>
            </w:tcBorders>
            <w:tcMar>
              <w:top w:w="128" w:type="dxa"/>
              <w:left w:w="113" w:type="dxa"/>
              <w:bottom w:w="128" w:type="dxa"/>
              <w:right w:w="113" w:type="dxa"/>
            </w:tcMar>
            <w:vAlign w:val="center"/>
          </w:tcPr>
          <w:p w14:paraId="60B3C44F" w14:textId="77777777" w:rsidR="00A96216" w:rsidRPr="00A96216" w:rsidRDefault="00A96216" w:rsidP="00A96216">
            <w:pPr>
              <w:pStyle w:val="CDITable-RowCentre"/>
            </w:pPr>
            <w:r w:rsidRPr="00A96216">
              <w:t>198 (28.7)</w:t>
            </w:r>
          </w:p>
        </w:tc>
        <w:tc>
          <w:tcPr>
            <w:tcW w:w="1372" w:type="dxa"/>
            <w:tcBorders>
              <w:bottom w:val="single" w:sz="6" w:space="0" w:color="1E4496" w:themeColor="text2"/>
            </w:tcBorders>
            <w:tcMar>
              <w:top w:w="128" w:type="dxa"/>
              <w:left w:w="113" w:type="dxa"/>
              <w:bottom w:w="128" w:type="dxa"/>
              <w:right w:w="113" w:type="dxa"/>
            </w:tcMar>
            <w:vAlign w:val="center"/>
          </w:tcPr>
          <w:p w14:paraId="6B7EE702" w14:textId="77777777" w:rsidR="00A96216" w:rsidRPr="00A96216" w:rsidRDefault="00A96216" w:rsidP="00A96216">
            <w:pPr>
              <w:pStyle w:val="CDITable-RowCentre"/>
            </w:pPr>
            <w:r w:rsidRPr="00A96216">
              <w:t>59 (8.5)</w:t>
            </w:r>
          </w:p>
        </w:tc>
        <w:tc>
          <w:tcPr>
            <w:tcW w:w="1372" w:type="dxa"/>
            <w:tcBorders>
              <w:bottom w:val="single" w:sz="6" w:space="0" w:color="1E4496" w:themeColor="text2"/>
            </w:tcBorders>
            <w:tcMar>
              <w:top w:w="128" w:type="dxa"/>
              <w:left w:w="113" w:type="dxa"/>
              <w:bottom w:w="128" w:type="dxa"/>
              <w:right w:w="113" w:type="dxa"/>
            </w:tcMar>
            <w:vAlign w:val="center"/>
          </w:tcPr>
          <w:p w14:paraId="7E712F89" w14:textId="77777777" w:rsidR="00A96216" w:rsidRPr="00A96216" w:rsidRDefault="00A96216" w:rsidP="00A96216">
            <w:pPr>
              <w:pStyle w:val="CDITable-RowCentre"/>
            </w:pPr>
            <w:r w:rsidRPr="00A96216">
              <w:t>398 (57.6)</w:t>
            </w:r>
          </w:p>
        </w:tc>
        <w:tc>
          <w:tcPr>
            <w:tcW w:w="1372" w:type="dxa"/>
            <w:tcBorders>
              <w:bottom w:val="single" w:sz="6" w:space="0" w:color="1E4496" w:themeColor="text2"/>
            </w:tcBorders>
            <w:tcMar>
              <w:top w:w="128" w:type="dxa"/>
              <w:left w:w="113" w:type="dxa"/>
              <w:bottom w:w="128" w:type="dxa"/>
              <w:right w:w="113" w:type="dxa"/>
            </w:tcMar>
            <w:vAlign w:val="center"/>
          </w:tcPr>
          <w:p w14:paraId="573985B1" w14:textId="77777777" w:rsidR="00A96216" w:rsidRPr="00A96216" w:rsidRDefault="00A96216" w:rsidP="00A96216">
            <w:pPr>
              <w:pStyle w:val="CDITable-RowCentre"/>
            </w:pPr>
            <w:r w:rsidRPr="00A96216">
              <w:t>264 (38.2)</w:t>
            </w:r>
          </w:p>
        </w:tc>
      </w:tr>
      <w:tr w:rsidR="00A96216" w:rsidRPr="00A96216" w14:paraId="28D5384B"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0025764E" w14:textId="77777777" w:rsidR="00A96216" w:rsidRPr="00A96216" w:rsidRDefault="00A96216" w:rsidP="00A96216">
            <w:pPr>
              <w:pStyle w:val="CDITable-RowLeft"/>
            </w:pPr>
            <w:r w:rsidRPr="00A96216">
              <w:t>Medication errors</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38383AC5" w14:textId="77777777" w:rsidR="00A96216" w:rsidRPr="00A96216" w:rsidRDefault="00A96216" w:rsidP="00A96216">
            <w:pPr>
              <w:pStyle w:val="CDITable-RowCentre"/>
            </w:pPr>
            <w:r w:rsidRPr="00A96216">
              <w:t>678 (18.6)</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60336664" w14:textId="77777777" w:rsidR="00A96216" w:rsidRPr="00A96216" w:rsidRDefault="00A96216" w:rsidP="00A96216">
            <w:pPr>
              <w:pStyle w:val="CDITable-RowCentre"/>
            </w:pPr>
            <w:r w:rsidRPr="00A96216">
              <w:t>534 (78.9)</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2EEBF5DA" w14:textId="77777777" w:rsidR="00A96216" w:rsidRPr="00A96216" w:rsidRDefault="00A96216" w:rsidP="00A96216">
            <w:pPr>
              <w:pStyle w:val="CDITable-RowCentre"/>
            </w:pPr>
            <w:r w:rsidRPr="00A96216">
              <w:t>6 (0.9)</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2D4378C6" w14:textId="77777777" w:rsidR="00A96216" w:rsidRPr="00A96216" w:rsidRDefault="00A96216" w:rsidP="00A96216">
            <w:pPr>
              <w:pStyle w:val="CDITable-RowCentre"/>
            </w:pPr>
            <w:r w:rsidRPr="00A96216">
              <w:t>334 (49.3)</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107D0FD6" w14:textId="77777777" w:rsidR="00A96216" w:rsidRPr="00A96216" w:rsidRDefault="00A96216" w:rsidP="00A96216">
            <w:pPr>
              <w:pStyle w:val="CDITable-RowCentre"/>
            </w:pPr>
            <w:r w:rsidRPr="00A96216">
              <w:t>310 (45.8)</w:t>
            </w:r>
          </w:p>
        </w:tc>
      </w:tr>
      <w:tr w:rsidR="00A96216" w:rsidRPr="00A96216" w14:paraId="5ED6BF12"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16DD6DE4" w14:textId="77777777" w:rsidR="00A96216" w:rsidRPr="00A96216" w:rsidRDefault="00A96216" w:rsidP="00A96216">
            <w:pPr>
              <w:pStyle w:val="CDITable-RowLeft"/>
            </w:pPr>
            <w:r w:rsidRPr="00A96216">
              <w:t>Injection site reaction</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47CD72BC" w14:textId="77777777" w:rsidR="00A96216" w:rsidRPr="00A96216" w:rsidRDefault="00A96216" w:rsidP="00A96216">
            <w:pPr>
              <w:pStyle w:val="CDITable-RowCentre"/>
            </w:pPr>
            <w:r w:rsidRPr="00A96216">
              <w:t>567 (15.6)</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2FB764E6" w14:textId="77777777" w:rsidR="00A96216" w:rsidRPr="00A96216" w:rsidRDefault="00A96216" w:rsidP="00A96216">
            <w:pPr>
              <w:pStyle w:val="CDITable-RowCentre"/>
            </w:pPr>
            <w:r w:rsidRPr="00A96216">
              <w:t>220 (38.8)</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29A693CA" w14:textId="77777777" w:rsidR="00A96216" w:rsidRPr="00A96216" w:rsidRDefault="00A96216" w:rsidP="00A96216">
            <w:pPr>
              <w:pStyle w:val="CDITable-RowCentre"/>
            </w:pPr>
            <w:r w:rsidRPr="00A96216">
              <w:t>8 (1.4)</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768063C0" w14:textId="77777777" w:rsidR="00A96216" w:rsidRPr="00A96216" w:rsidRDefault="00A96216" w:rsidP="00A96216">
            <w:pPr>
              <w:pStyle w:val="CDITable-RowCentre"/>
            </w:pPr>
            <w:r w:rsidRPr="00A96216">
              <w:t>254 (44.8)</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367FC5DF" w14:textId="77777777" w:rsidR="00A96216" w:rsidRPr="00A96216" w:rsidRDefault="00A96216" w:rsidP="00A96216">
            <w:pPr>
              <w:pStyle w:val="CDITable-RowCentre"/>
            </w:pPr>
            <w:r w:rsidRPr="00A96216">
              <w:t>302 (53.3)</w:t>
            </w:r>
          </w:p>
        </w:tc>
      </w:tr>
      <w:tr w:rsidR="00A96216" w:rsidRPr="00A96216" w14:paraId="28917D09"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6F6D052E" w14:textId="77777777" w:rsidR="00A96216" w:rsidRPr="00A96216" w:rsidRDefault="00A96216" w:rsidP="00A96216">
            <w:pPr>
              <w:pStyle w:val="CDITable-RowLeft"/>
            </w:pPr>
            <w:r w:rsidRPr="00A96216">
              <w:t>Pyrexia</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446CA847" w14:textId="77777777" w:rsidR="00A96216" w:rsidRPr="00A96216" w:rsidRDefault="00A96216" w:rsidP="00A96216">
            <w:pPr>
              <w:pStyle w:val="CDITable-RowCentre"/>
            </w:pPr>
            <w:r w:rsidRPr="00A96216">
              <w:t>512 (14.1)</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17807B4B" w14:textId="77777777" w:rsidR="00A96216" w:rsidRPr="00A96216" w:rsidRDefault="00A96216" w:rsidP="00A96216">
            <w:pPr>
              <w:pStyle w:val="CDITable-RowCentre"/>
            </w:pPr>
            <w:r w:rsidRPr="00A96216">
              <w:t>7 (1.4)</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3706BB5F" w14:textId="77777777" w:rsidR="00A96216" w:rsidRPr="00A96216" w:rsidRDefault="00A96216" w:rsidP="00A96216">
            <w:pPr>
              <w:pStyle w:val="CDITable-RowCentre"/>
            </w:pPr>
            <w:r w:rsidRPr="00A96216">
              <w:t>49 (9.6)</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184EFE29" w14:textId="77777777" w:rsidR="00A96216" w:rsidRPr="00A96216" w:rsidRDefault="00A96216" w:rsidP="00A96216">
            <w:pPr>
              <w:pStyle w:val="CDITable-RowCentre"/>
            </w:pPr>
            <w:r w:rsidRPr="00A96216">
              <w:t>303 (59.2)</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29792BC9" w14:textId="77777777" w:rsidR="00A96216" w:rsidRPr="00A96216" w:rsidRDefault="00A96216" w:rsidP="00A96216">
            <w:pPr>
              <w:pStyle w:val="CDITable-RowCentre"/>
            </w:pPr>
            <w:r w:rsidRPr="00A96216">
              <w:t>202 (39.5)</w:t>
            </w:r>
          </w:p>
        </w:tc>
      </w:tr>
      <w:tr w:rsidR="00A96216" w:rsidRPr="00A96216" w14:paraId="54738B5A"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707692E4" w14:textId="77777777" w:rsidR="00A96216" w:rsidRPr="00A96216" w:rsidRDefault="00A96216" w:rsidP="00A96216">
            <w:pPr>
              <w:pStyle w:val="CDITable-RowLeft"/>
            </w:pPr>
            <w:r w:rsidRPr="00A96216">
              <w:t>Gastrointestinal nonspecific symptoms and therapeutic procedures</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0FEE1FC1" w14:textId="77777777" w:rsidR="00A96216" w:rsidRPr="00A96216" w:rsidRDefault="00A96216" w:rsidP="00A96216">
            <w:pPr>
              <w:pStyle w:val="CDITable-RowCentre"/>
            </w:pPr>
            <w:r w:rsidRPr="00A96216">
              <w:t>490 (13.5)</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3D44EA62" w14:textId="77777777" w:rsidR="00A96216" w:rsidRPr="00A96216" w:rsidRDefault="00A96216" w:rsidP="00A96216">
            <w:pPr>
              <w:pStyle w:val="CDITable-RowCentre"/>
            </w:pPr>
            <w:r w:rsidRPr="00A96216">
              <w:t>29 (5.9)</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17E07F15" w14:textId="77777777" w:rsidR="00A96216" w:rsidRPr="00A96216" w:rsidRDefault="00A96216" w:rsidP="00A96216">
            <w:pPr>
              <w:pStyle w:val="CDITable-RowCentre"/>
            </w:pPr>
            <w:r w:rsidRPr="00A96216">
              <w:t>55 (11.2)</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1A77F510" w14:textId="77777777" w:rsidR="00A96216" w:rsidRPr="00A96216" w:rsidRDefault="00A96216" w:rsidP="00A96216">
            <w:pPr>
              <w:pStyle w:val="CDITable-RowCentre"/>
            </w:pPr>
            <w:r w:rsidRPr="00A96216">
              <w:t>211 (43.1)</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070135A4" w14:textId="77777777" w:rsidR="00A96216" w:rsidRPr="00A96216" w:rsidRDefault="00A96216" w:rsidP="00A96216">
            <w:pPr>
              <w:pStyle w:val="CDITable-RowCentre"/>
            </w:pPr>
            <w:r w:rsidRPr="00A96216">
              <w:t>271 (55.3)</w:t>
            </w:r>
          </w:p>
        </w:tc>
      </w:tr>
      <w:tr w:rsidR="00A96216" w:rsidRPr="00A96216" w14:paraId="20B9388B"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6FB5CD11" w14:textId="77777777" w:rsidR="00A96216" w:rsidRPr="00A96216" w:rsidRDefault="00A96216" w:rsidP="00A96216">
            <w:pPr>
              <w:pStyle w:val="CDITable-RowLeft"/>
            </w:pPr>
            <w:r w:rsidRPr="00A96216">
              <w:t>Lack of efficacy/effect</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2C88E90F" w14:textId="77777777" w:rsidR="00A96216" w:rsidRPr="00A96216" w:rsidRDefault="00A96216" w:rsidP="00A96216">
            <w:pPr>
              <w:pStyle w:val="CDITable-RowCentre"/>
            </w:pPr>
            <w:r w:rsidRPr="00A96216">
              <w:t>375 (10.3)</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1B619CDF" w14:textId="77777777" w:rsidR="00A96216" w:rsidRPr="00A96216" w:rsidRDefault="00A96216" w:rsidP="00A96216">
            <w:pPr>
              <w:pStyle w:val="CDITable-RowCentre"/>
            </w:pPr>
            <w:r w:rsidRPr="00A96216">
              <w:t>2 (0.5)</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0ACBE83D" w14:textId="77777777" w:rsidR="00A96216" w:rsidRPr="00A96216" w:rsidRDefault="00A96216" w:rsidP="00A96216">
            <w:pPr>
              <w:pStyle w:val="CDITable-RowCentre"/>
            </w:pPr>
            <w:r w:rsidRPr="00A96216">
              <w:t>370 (98.7)</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4B991BBD" w14:textId="77777777" w:rsidR="00A96216" w:rsidRPr="00A96216" w:rsidRDefault="00A96216" w:rsidP="00A96216">
            <w:pPr>
              <w:pStyle w:val="CDITable-RowCentre"/>
            </w:pPr>
            <w:r w:rsidRPr="00A96216">
              <w:t>4 (1.1)</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4BCA089C" w14:textId="77777777" w:rsidR="00A96216" w:rsidRPr="00A96216" w:rsidRDefault="00A96216" w:rsidP="00A96216">
            <w:pPr>
              <w:pStyle w:val="CDITable-RowCentre"/>
            </w:pPr>
            <w:r w:rsidRPr="00A96216">
              <w:t>32 (8.5)</w:t>
            </w:r>
          </w:p>
        </w:tc>
      </w:tr>
      <w:tr w:rsidR="00A96216" w:rsidRPr="00A96216" w14:paraId="7E74B1B1"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7CBAE73D" w14:textId="77777777" w:rsidR="00A96216" w:rsidRPr="00A96216" w:rsidRDefault="00A96216" w:rsidP="00A96216">
            <w:pPr>
              <w:pStyle w:val="CDITable-RowLeft"/>
            </w:pPr>
            <w:r w:rsidRPr="00A96216">
              <w:t>Herpes zoster</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2945F896" w14:textId="77777777" w:rsidR="00A96216" w:rsidRPr="00A96216" w:rsidRDefault="00A96216" w:rsidP="00A96216">
            <w:pPr>
              <w:pStyle w:val="CDITable-RowCentre"/>
            </w:pPr>
            <w:r w:rsidRPr="00A96216">
              <w:t>365 (10.0)</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7C5E5BD8" w14:textId="77777777" w:rsidR="00A96216" w:rsidRPr="00A96216" w:rsidRDefault="00A96216" w:rsidP="00A96216">
            <w:pPr>
              <w:pStyle w:val="CDITable-RowCentre"/>
            </w:pPr>
            <w:r w:rsidRPr="00A96216">
              <w:t>11 (3.0)</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4AF66701" w14:textId="77777777" w:rsidR="00A96216" w:rsidRPr="00A96216" w:rsidRDefault="00A96216" w:rsidP="00A96216">
            <w:pPr>
              <w:pStyle w:val="CDITable-RowCentre"/>
            </w:pPr>
            <w:r w:rsidRPr="00A96216">
              <w:t>353 (96.7)</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69DA5CD0" w14:textId="77777777" w:rsidR="00A96216" w:rsidRPr="00A96216" w:rsidRDefault="00A96216" w:rsidP="00A96216">
            <w:pPr>
              <w:pStyle w:val="CDITable-RowCentre"/>
            </w:pPr>
            <w:r w:rsidRPr="00A96216">
              <w:t>0 (0)</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79279464" w14:textId="77777777" w:rsidR="00A96216" w:rsidRPr="00A96216" w:rsidRDefault="00A96216" w:rsidP="00A96216">
            <w:pPr>
              <w:pStyle w:val="CDITable-RowCentre"/>
            </w:pPr>
            <w:r w:rsidRPr="00A96216">
              <w:t>38 (10.4)</w:t>
            </w:r>
          </w:p>
        </w:tc>
      </w:tr>
      <w:tr w:rsidR="00A96216" w:rsidRPr="00A96216" w14:paraId="708F9EBD"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5DD1CCC2" w14:textId="77777777" w:rsidR="00A96216" w:rsidRPr="00A96216" w:rsidRDefault="00A96216" w:rsidP="00A96216">
            <w:pPr>
              <w:pStyle w:val="CDITable-RowLeft"/>
            </w:pPr>
            <w:r w:rsidRPr="00A96216">
              <w:t>Haemodynamic oedema, effusions and fluid overload</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54A91940" w14:textId="77777777" w:rsidR="00A96216" w:rsidRPr="00A96216" w:rsidRDefault="00A96216" w:rsidP="00A96216">
            <w:pPr>
              <w:pStyle w:val="CDITable-RowCentre"/>
            </w:pPr>
            <w:r w:rsidRPr="00A96216">
              <w:t>277 (7.6)</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763A7FDE" w14:textId="77777777" w:rsidR="00A96216" w:rsidRPr="00A96216" w:rsidRDefault="00A96216" w:rsidP="00A96216">
            <w:pPr>
              <w:pStyle w:val="CDITable-RowCentre"/>
            </w:pPr>
            <w:r w:rsidRPr="00A96216">
              <w:t>54 (19.5)</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3D485CC3" w14:textId="77777777" w:rsidR="00A96216" w:rsidRPr="00A96216" w:rsidRDefault="00A96216" w:rsidP="00A96216">
            <w:pPr>
              <w:pStyle w:val="CDITable-RowCentre"/>
            </w:pPr>
            <w:r w:rsidRPr="00A96216">
              <w:t>22 (7.9)</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1C1B7B16" w14:textId="77777777" w:rsidR="00A96216" w:rsidRPr="00A96216" w:rsidRDefault="00A96216" w:rsidP="00A96216">
            <w:pPr>
              <w:pStyle w:val="CDITable-RowCentre"/>
            </w:pPr>
            <w:r w:rsidRPr="00A96216">
              <w:t>172 (62.1)</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654DB117" w14:textId="77777777" w:rsidR="00A96216" w:rsidRPr="00A96216" w:rsidRDefault="00A96216" w:rsidP="00A96216">
            <w:pPr>
              <w:pStyle w:val="CDITable-RowCentre"/>
            </w:pPr>
            <w:r w:rsidRPr="00A96216">
              <w:t>98 (35.4)</w:t>
            </w:r>
          </w:p>
        </w:tc>
      </w:tr>
      <w:tr w:rsidR="00A96216" w:rsidRPr="00A96216" w14:paraId="338628D1"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50C99B44" w14:textId="77777777" w:rsidR="00A96216" w:rsidRPr="00A96216" w:rsidRDefault="00A96216" w:rsidP="00A96216">
            <w:pPr>
              <w:pStyle w:val="CDITable-RowLeft"/>
            </w:pPr>
            <w:r w:rsidRPr="00A96216">
              <w:t>Headache</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61565B0A" w14:textId="77777777" w:rsidR="00A96216" w:rsidRPr="00A96216" w:rsidRDefault="00A96216" w:rsidP="00A96216">
            <w:pPr>
              <w:pStyle w:val="CDITable-RowCentre"/>
            </w:pPr>
            <w:r w:rsidRPr="00A96216">
              <w:t>259 (7.1)</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48EF7895" w14:textId="77777777" w:rsidR="00A96216" w:rsidRPr="00A96216" w:rsidRDefault="00A96216" w:rsidP="00A96216">
            <w:pPr>
              <w:pStyle w:val="CDITable-RowCentre"/>
            </w:pPr>
            <w:r w:rsidRPr="00A96216">
              <w:t>1 (0.4)</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25F1BFD3" w14:textId="77777777" w:rsidR="00A96216" w:rsidRPr="00A96216" w:rsidRDefault="00A96216" w:rsidP="00A96216">
            <w:pPr>
              <w:pStyle w:val="CDITable-RowCentre"/>
            </w:pPr>
            <w:r w:rsidRPr="00A96216">
              <w:t>23 (8.9)</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4658D75F" w14:textId="77777777" w:rsidR="00A96216" w:rsidRPr="00A96216" w:rsidRDefault="00A96216" w:rsidP="00A96216">
            <w:pPr>
              <w:pStyle w:val="CDITable-RowCentre"/>
            </w:pPr>
            <w:r w:rsidRPr="00A96216">
              <w:t>15 (5.8)</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594B298F" w14:textId="77777777" w:rsidR="00A96216" w:rsidRPr="00A96216" w:rsidRDefault="00A96216" w:rsidP="00A96216">
            <w:pPr>
              <w:pStyle w:val="CDITable-RowCentre"/>
            </w:pPr>
            <w:r w:rsidRPr="00A96216">
              <w:t>235 (90.7)</w:t>
            </w:r>
          </w:p>
        </w:tc>
      </w:tr>
      <w:tr w:rsidR="00A96216" w:rsidRPr="00A96216" w14:paraId="3085630E"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3CD8B9E9" w14:textId="77777777" w:rsidR="00A96216" w:rsidRPr="00A96216" w:rsidRDefault="00A96216" w:rsidP="00A96216">
            <w:pPr>
              <w:pStyle w:val="CDITable-RowLeft"/>
            </w:pPr>
            <w:r w:rsidRPr="00A96216">
              <w:t>Fatigue</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6160ED45" w14:textId="77777777" w:rsidR="00A96216" w:rsidRPr="00A96216" w:rsidRDefault="00A96216" w:rsidP="00A96216">
            <w:pPr>
              <w:pStyle w:val="CDITable-RowCentre"/>
            </w:pPr>
            <w:r w:rsidRPr="00A96216">
              <w:t>237 (6.5)</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5E7B50CC" w14:textId="77777777" w:rsidR="00A96216" w:rsidRPr="00A96216" w:rsidRDefault="00A96216" w:rsidP="00A96216">
            <w:pPr>
              <w:pStyle w:val="CDITable-RowCentre"/>
            </w:pPr>
            <w:r w:rsidRPr="00A96216">
              <w:t>2 (0.8)</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3BD78F0E" w14:textId="77777777" w:rsidR="00A96216" w:rsidRPr="00A96216" w:rsidRDefault="00A96216" w:rsidP="00A96216">
            <w:pPr>
              <w:pStyle w:val="CDITable-RowCentre"/>
            </w:pPr>
            <w:r w:rsidRPr="00A96216">
              <w:t>16 (6.8)</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5797E9F8" w14:textId="77777777" w:rsidR="00A96216" w:rsidRPr="00A96216" w:rsidRDefault="00A96216" w:rsidP="00A96216">
            <w:pPr>
              <w:pStyle w:val="CDITable-RowCentre"/>
            </w:pPr>
            <w:r w:rsidRPr="00A96216">
              <w:t>52 (21.9)</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79F7BFC8" w14:textId="77777777" w:rsidR="00A96216" w:rsidRPr="00A96216" w:rsidRDefault="00A96216" w:rsidP="00A96216">
            <w:pPr>
              <w:pStyle w:val="CDITable-RowCentre"/>
            </w:pPr>
            <w:r w:rsidRPr="00A96216">
              <w:t>179 (75.5)</w:t>
            </w:r>
          </w:p>
        </w:tc>
      </w:tr>
      <w:tr w:rsidR="00A96216" w:rsidRPr="00A96216" w14:paraId="47321318"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0835CC42" w14:textId="77777777" w:rsidR="00A96216" w:rsidRPr="00A96216" w:rsidRDefault="00A96216" w:rsidP="00A96216">
            <w:pPr>
              <w:pStyle w:val="CDITable-RowLeft"/>
            </w:pPr>
            <w:r w:rsidRPr="00A96216">
              <w:t>Myalgia</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12E9ADFC" w14:textId="77777777" w:rsidR="00A96216" w:rsidRPr="00A96216" w:rsidRDefault="00A96216" w:rsidP="00A96216">
            <w:pPr>
              <w:pStyle w:val="CDITable-RowCentre"/>
            </w:pPr>
            <w:r w:rsidRPr="00A96216">
              <w:t>187 (5.1)</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29C46441" w14:textId="77777777" w:rsidR="00A96216" w:rsidRPr="00A96216" w:rsidRDefault="00A96216" w:rsidP="00A96216">
            <w:pPr>
              <w:pStyle w:val="CDITable-RowCentre"/>
            </w:pPr>
            <w:r w:rsidRPr="00A96216">
              <w:t>2 (1.1)</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6E46E4EE" w14:textId="77777777" w:rsidR="00A96216" w:rsidRPr="00A96216" w:rsidRDefault="00A96216" w:rsidP="00A96216">
            <w:pPr>
              <w:pStyle w:val="CDITable-RowCentre"/>
            </w:pPr>
            <w:r w:rsidRPr="00A96216">
              <w:t>6 (3.2)</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30C97E11" w14:textId="77777777" w:rsidR="00A96216" w:rsidRPr="00A96216" w:rsidRDefault="00A96216" w:rsidP="00A96216">
            <w:pPr>
              <w:pStyle w:val="CDITable-RowCentre"/>
            </w:pPr>
            <w:r w:rsidRPr="00A96216">
              <w:t>16 (8.6)</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3CF6128A" w14:textId="77777777" w:rsidR="00A96216" w:rsidRPr="00A96216" w:rsidRDefault="00A96216" w:rsidP="00A96216">
            <w:pPr>
              <w:pStyle w:val="CDITable-RowCentre"/>
            </w:pPr>
            <w:r w:rsidRPr="00A96216">
              <w:t>169 (90.4)</w:t>
            </w:r>
          </w:p>
        </w:tc>
      </w:tr>
      <w:tr w:rsidR="00A96216" w:rsidRPr="00A96216" w14:paraId="6B4EEFE1"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67136D30" w14:textId="77777777" w:rsidR="00A96216" w:rsidRPr="00A96216" w:rsidRDefault="00A96216" w:rsidP="00A96216">
            <w:pPr>
              <w:pStyle w:val="CDITable-RowLeft"/>
            </w:pPr>
            <w:r w:rsidRPr="00A96216">
              <w:t>Dyspnoea</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6F50B2BC" w14:textId="77777777" w:rsidR="00A96216" w:rsidRPr="00A96216" w:rsidRDefault="00A96216" w:rsidP="00A96216">
            <w:pPr>
              <w:pStyle w:val="CDITable-RowCentre"/>
            </w:pPr>
            <w:r w:rsidRPr="00A96216">
              <w:t>165 (4.5)</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05E5D082" w14:textId="77777777" w:rsidR="00A96216" w:rsidRPr="00A96216" w:rsidRDefault="00A96216" w:rsidP="00A96216">
            <w:pPr>
              <w:pStyle w:val="CDITable-RowCentre"/>
            </w:pPr>
            <w:r w:rsidRPr="00A96216">
              <w:t>3 (1.8)</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5C7CC897" w14:textId="77777777" w:rsidR="00A96216" w:rsidRPr="00A96216" w:rsidRDefault="00A96216" w:rsidP="00A96216">
            <w:pPr>
              <w:pStyle w:val="CDITable-RowCentre"/>
            </w:pPr>
            <w:r w:rsidRPr="00A96216">
              <w:t>17 (10.3)</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3A283FFE" w14:textId="77777777" w:rsidR="00A96216" w:rsidRPr="00A96216" w:rsidRDefault="00A96216" w:rsidP="00A96216">
            <w:pPr>
              <w:pStyle w:val="CDITable-RowCentre"/>
            </w:pPr>
            <w:r w:rsidRPr="00A96216">
              <w:t>33 (20.0)</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352BC5C5" w14:textId="77777777" w:rsidR="00A96216" w:rsidRPr="00A96216" w:rsidRDefault="00A96216" w:rsidP="00A96216">
            <w:pPr>
              <w:pStyle w:val="CDITable-RowCentre"/>
            </w:pPr>
            <w:r w:rsidRPr="00A96216">
              <w:t>130 (78.8)</w:t>
            </w:r>
          </w:p>
        </w:tc>
      </w:tr>
      <w:tr w:rsidR="00A96216" w:rsidRPr="00A96216" w14:paraId="1A928662" w14:textId="77777777" w:rsidTr="00A96216">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4E55785C" w14:textId="77777777" w:rsidR="00A96216" w:rsidRPr="00A96216" w:rsidRDefault="00A96216" w:rsidP="00A96216">
            <w:pPr>
              <w:pStyle w:val="CDITable-RowLeft"/>
            </w:pPr>
            <w:r w:rsidRPr="00A96216">
              <w:t>Lethargy</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3FF7315F" w14:textId="77777777" w:rsidR="00A96216" w:rsidRPr="00A96216" w:rsidRDefault="00A96216" w:rsidP="00A96216">
            <w:pPr>
              <w:pStyle w:val="CDITable-RowCentre"/>
            </w:pPr>
            <w:r w:rsidRPr="00A96216">
              <w:t>157 (4.3)</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092DDC16" w14:textId="77777777" w:rsidR="00A96216" w:rsidRPr="00A96216" w:rsidRDefault="00A96216" w:rsidP="00A96216">
            <w:pPr>
              <w:pStyle w:val="CDITable-RowCentre"/>
            </w:pPr>
            <w:r w:rsidRPr="00A96216">
              <w:t>0 (0)</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3F60F1EA" w14:textId="77777777" w:rsidR="00A96216" w:rsidRPr="00A96216" w:rsidRDefault="00A96216" w:rsidP="00A96216">
            <w:pPr>
              <w:pStyle w:val="CDITable-RowCentre"/>
            </w:pPr>
            <w:r w:rsidRPr="00A96216">
              <w:t>16 (10.2)</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052D6126" w14:textId="77777777" w:rsidR="00A96216" w:rsidRPr="00A96216" w:rsidRDefault="00A96216" w:rsidP="00A96216">
            <w:pPr>
              <w:pStyle w:val="CDITable-RowCentre"/>
            </w:pPr>
            <w:r w:rsidRPr="00A96216">
              <w:t>74 (47.1)</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38F498B1" w14:textId="77777777" w:rsidR="00A96216" w:rsidRPr="00A96216" w:rsidRDefault="00A96216" w:rsidP="00A96216">
            <w:pPr>
              <w:pStyle w:val="CDITable-RowCentre"/>
            </w:pPr>
            <w:r w:rsidRPr="00A96216">
              <w:t>83 (52.9)</w:t>
            </w:r>
          </w:p>
        </w:tc>
      </w:tr>
      <w:tr w:rsidR="00A96216" w:rsidRPr="00A96216" w14:paraId="1826EA1A" w14:textId="77777777" w:rsidTr="00152BEE">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023A2D67" w14:textId="77777777" w:rsidR="00A96216" w:rsidRPr="00A96216" w:rsidRDefault="00A96216" w:rsidP="00A96216">
            <w:pPr>
              <w:pStyle w:val="CDITable-RowLeft"/>
            </w:pPr>
            <w:r w:rsidRPr="00A96216">
              <w:t>Arthralgia</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0CEC8D0E" w14:textId="77777777" w:rsidR="00A96216" w:rsidRPr="00A96216" w:rsidRDefault="00A96216" w:rsidP="00A96216">
            <w:pPr>
              <w:pStyle w:val="CDITable-RowCentre"/>
            </w:pPr>
            <w:r w:rsidRPr="00A96216">
              <w:t>142 (3.9)</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69EC143F" w14:textId="77777777" w:rsidR="00A96216" w:rsidRPr="00A96216" w:rsidRDefault="00A96216" w:rsidP="00A96216">
            <w:pPr>
              <w:pStyle w:val="CDITable-RowCentre"/>
            </w:pPr>
            <w:r w:rsidRPr="00A96216">
              <w:t>1 (0.7)</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20D1B4A2" w14:textId="77777777" w:rsidR="00A96216" w:rsidRPr="00A96216" w:rsidRDefault="00A96216" w:rsidP="00A96216">
            <w:pPr>
              <w:pStyle w:val="CDITable-RowCentre"/>
            </w:pPr>
            <w:r w:rsidRPr="00A96216">
              <w:t>11 (7.7)</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280B69CB" w14:textId="77777777" w:rsidR="00A96216" w:rsidRPr="00A96216" w:rsidRDefault="00A96216" w:rsidP="00A96216">
            <w:pPr>
              <w:pStyle w:val="CDITable-RowCentre"/>
            </w:pPr>
            <w:r w:rsidRPr="00A96216">
              <w:t>5 (3.5)</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58E65A66" w14:textId="77777777" w:rsidR="00A96216" w:rsidRPr="00A96216" w:rsidRDefault="00A96216" w:rsidP="00A96216">
            <w:pPr>
              <w:pStyle w:val="CDITable-RowCentre"/>
            </w:pPr>
            <w:r w:rsidRPr="00A96216">
              <w:t>134 (94.4)</w:t>
            </w:r>
          </w:p>
        </w:tc>
      </w:tr>
      <w:tr w:rsidR="00A96216" w:rsidRPr="00A96216" w14:paraId="47334C36" w14:textId="77777777" w:rsidTr="00152BEE">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27EFA244" w14:textId="77777777" w:rsidR="00A96216" w:rsidRPr="00A96216" w:rsidRDefault="00A96216" w:rsidP="00A96216">
            <w:pPr>
              <w:pStyle w:val="CDITable-RowLeft"/>
            </w:pPr>
            <w:r w:rsidRPr="00A96216">
              <w:t>Pain</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2F30D4BC" w14:textId="77777777" w:rsidR="00A96216" w:rsidRPr="00A96216" w:rsidRDefault="00A96216" w:rsidP="00A96216">
            <w:pPr>
              <w:pStyle w:val="CDITable-RowCentre"/>
            </w:pPr>
            <w:r w:rsidRPr="00A96216">
              <w:t>131 (3.6)</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7F5DF574" w14:textId="77777777" w:rsidR="00A96216" w:rsidRPr="00A96216" w:rsidRDefault="00A96216" w:rsidP="00A96216">
            <w:pPr>
              <w:pStyle w:val="CDITable-RowCentre"/>
            </w:pPr>
            <w:r w:rsidRPr="00A96216">
              <w:t>2 (1.5)</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529E5614" w14:textId="77777777" w:rsidR="00A96216" w:rsidRPr="00A96216" w:rsidRDefault="00A96216" w:rsidP="00A96216">
            <w:pPr>
              <w:pStyle w:val="CDITable-RowCentre"/>
            </w:pPr>
            <w:r w:rsidRPr="00A96216">
              <w:t>90 (68.7)</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1F592FAF" w14:textId="77777777" w:rsidR="00A96216" w:rsidRPr="00A96216" w:rsidRDefault="00A96216" w:rsidP="00A96216">
            <w:pPr>
              <w:pStyle w:val="CDITable-RowCentre"/>
            </w:pPr>
            <w:r w:rsidRPr="00A96216">
              <w:t>8 (6.1)</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3B870E10" w14:textId="77777777" w:rsidR="00A96216" w:rsidRPr="00A96216" w:rsidRDefault="00A96216" w:rsidP="00A96216">
            <w:pPr>
              <w:pStyle w:val="CDITable-RowCentre"/>
            </w:pPr>
            <w:r w:rsidRPr="00A96216">
              <w:t>48 (36.6)</w:t>
            </w:r>
          </w:p>
        </w:tc>
      </w:tr>
      <w:tr w:rsidR="00A96216" w:rsidRPr="00A96216" w14:paraId="295DA0DF" w14:textId="77777777" w:rsidTr="00152BEE">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15FF89A3" w14:textId="77777777" w:rsidR="00A96216" w:rsidRPr="00A96216" w:rsidRDefault="00A96216" w:rsidP="00A96216">
            <w:pPr>
              <w:pStyle w:val="CDITable-RowLeft"/>
            </w:pPr>
            <w:r w:rsidRPr="00A96216">
              <w:t>Injection site erythema</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074FF9C6" w14:textId="77777777" w:rsidR="00A96216" w:rsidRPr="00A96216" w:rsidRDefault="00A96216" w:rsidP="00A96216">
            <w:pPr>
              <w:pStyle w:val="CDITable-RowCentre"/>
            </w:pPr>
            <w:r w:rsidRPr="00A96216">
              <w:t>112 (3.1)</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222DE651" w14:textId="77777777" w:rsidR="00A96216" w:rsidRPr="00A96216" w:rsidRDefault="00A96216" w:rsidP="00A96216">
            <w:pPr>
              <w:pStyle w:val="CDITable-RowCentre"/>
            </w:pPr>
            <w:r w:rsidRPr="00A96216">
              <w:t>9 (8.0)</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55E96C8B" w14:textId="77777777" w:rsidR="00A96216" w:rsidRPr="00A96216" w:rsidRDefault="00A96216" w:rsidP="00A96216">
            <w:pPr>
              <w:pStyle w:val="CDITable-RowCentre"/>
            </w:pPr>
            <w:r w:rsidRPr="00A96216">
              <w:t>6 (5.4)</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76F5F665" w14:textId="77777777" w:rsidR="00A96216" w:rsidRPr="00A96216" w:rsidRDefault="00A96216" w:rsidP="00A96216">
            <w:pPr>
              <w:pStyle w:val="CDITable-RowCentre"/>
            </w:pPr>
            <w:r w:rsidRPr="00A96216">
              <w:t>74 (66.1)</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54FA8217" w14:textId="77777777" w:rsidR="00A96216" w:rsidRPr="00A96216" w:rsidRDefault="00A96216" w:rsidP="00A96216">
            <w:pPr>
              <w:pStyle w:val="CDITable-RowCentre"/>
            </w:pPr>
            <w:r w:rsidRPr="00A96216">
              <w:t>36 (32.1)</w:t>
            </w:r>
          </w:p>
        </w:tc>
      </w:tr>
      <w:tr w:rsidR="00A96216" w:rsidRPr="00A96216" w14:paraId="17D21636" w14:textId="77777777" w:rsidTr="00152BEE">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07F14FCD" w14:textId="77777777" w:rsidR="00A96216" w:rsidRPr="00A96216" w:rsidRDefault="00A96216" w:rsidP="00A96216">
            <w:pPr>
              <w:pStyle w:val="CDITable-RowLeft"/>
            </w:pPr>
            <w:r w:rsidRPr="00A96216">
              <w:t>Injection site pain</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4F8F1535" w14:textId="77777777" w:rsidR="00A96216" w:rsidRPr="00A96216" w:rsidRDefault="00A96216" w:rsidP="00A96216">
            <w:pPr>
              <w:pStyle w:val="CDITable-RowCentre"/>
            </w:pPr>
            <w:r w:rsidRPr="00A96216">
              <w:t>112 (3.1)</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3F2D72C3" w14:textId="77777777" w:rsidR="00A96216" w:rsidRPr="00A96216" w:rsidRDefault="00A96216" w:rsidP="00A96216">
            <w:pPr>
              <w:pStyle w:val="CDITable-RowCentre"/>
            </w:pPr>
            <w:r w:rsidRPr="00A96216">
              <w:t>15 (13.4)</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4D987AE1" w14:textId="77777777" w:rsidR="00A96216" w:rsidRPr="00A96216" w:rsidRDefault="00A96216" w:rsidP="00A96216">
            <w:pPr>
              <w:pStyle w:val="CDITable-RowCentre"/>
            </w:pPr>
            <w:r w:rsidRPr="00A96216">
              <w:t>5 (4.5)</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6DAEF3FC" w14:textId="77777777" w:rsidR="00A96216" w:rsidRPr="00A96216" w:rsidRDefault="00A96216" w:rsidP="00A96216">
            <w:pPr>
              <w:pStyle w:val="CDITable-RowCentre"/>
            </w:pPr>
            <w:r w:rsidRPr="00A96216">
              <w:t>15 (13.4)</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6BD2FA1D" w14:textId="77777777" w:rsidR="00A96216" w:rsidRPr="00A96216" w:rsidRDefault="00A96216" w:rsidP="00A96216">
            <w:pPr>
              <w:pStyle w:val="CDITable-RowCentre"/>
            </w:pPr>
            <w:r w:rsidRPr="00A96216">
              <w:t>93 (83.0)</w:t>
            </w:r>
          </w:p>
        </w:tc>
      </w:tr>
      <w:tr w:rsidR="00A96216" w:rsidRPr="00A96216" w14:paraId="4DBB60C9" w14:textId="77777777" w:rsidTr="00152BEE">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71AAC9D7" w14:textId="77777777" w:rsidR="00A96216" w:rsidRPr="00A96216" w:rsidRDefault="00A96216" w:rsidP="00A96216">
            <w:pPr>
              <w:pStyle w:val="CDITable-RowLeft"/>
            </w:pPr>
            <w:r w:rsidRPr="00A96216">
              <w:t>Cough</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400E2E19" w14:textId="77777777" w:rsidR="00A96216" w:rsidRPr="00A96216" w:rsidRDefault="00A96216" w:rsidP="00A96216">
            <w:pPr>
              <w:pStyle w:val="CDITable-RowCentre"/>
            </w:pPr>
            <w:r w:rsidRPr="00A96216">
              <w:t>111 (3.0)</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7B0B4B9F" w14:textId="77777777" w:rsidR="00A96216" w:rsidRPr="00A96216" w:rsidRDefault="00A96216" w:rsidP="00A96216">
            <w:pPr>
              <w:pStyle w:val="CDITable-RowCentre"/>
            </w:pPr>
            <w:r w:rsidRPr="00A96216">
              <w:t>1 (0.9)</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7B610B18" w14:textId="77777777" w:rsidR="00A96216" w:rsidRPr="00A96216" w:rsidRDefault="00A96216" w:rsidP="00A96216">
            <w:pPr>
              <w:pStyle w:val="CDITable-RowCentre"/>
            </w:pPr>
            <w:r w:rsidRPr="00A96216">
              <w:t>5 (4.5)</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54F38D21" w14:textId="77777777" w:rsidR="00A96216" w:rsidRPr="00A96216" w:rsidRDefault="00A96216" w:rsidP="00A96216">
            <w:pPr>
              <w:pStyle w:val="CDITable-RowCentre"/>
            </w:pPr>
            <w:r w:rsidRPr="00A96216">
              <w:t>50 (45.0)</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1E7A1D1B" w14:textId="77777777" w:rsidR="00A96216" w:rsidRPr="00A96216" w:rsidRDefault="00A96216" w:rsidP="00A96216">
            <w:pPr>
              <w:pStyle w:val="CDITable-RowCentre"/>
            </w:pPr>
            <w:r w:rsidRPr="00A96216">
              <w:t>61 (55.0)</w:t>
            </w:r>
          </w:p>
        </w:tc>
      </w:tr>
      <w:tr w:rsidR="00A96216" w:rsidRPr="00A96216" w14:paraId="3C24641F" w14:textId="77777777" w:rsidTr="00152BEE">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287CDFE7" w14:textId="77777777" w:rsidR="00A96216" w:rsidRPr="00A96216" w:rsidRDefault="00A96216" w:rsidP="00A96216">
            <w:pPr>
              <w:pStyle w:val="CDITable-RowLeft"/>
            </w:pPr>
            <w:r w:rsidRPr="00A96216">
              <w:t>Convulsions</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59A67570" w14:textId="77777777" w:rsidR="00A96216" w:rsidRPr="00A96216" w:rsidRDefault="00A96216" w:rsidP="00A96216">
            <w:pPr>
              <w:pStyle w:val="CDITable-RowCentre"/>
            </w:pPr>
            <w:r w:rsidRPr="00A96216">
              <w:t>108 (3.0)</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61F41F54" w14:textId="77777777" w:rsidR="00A96216" w:rsidRPr="00A96216" w:rsidRDefault="00A96216" w:rsidP="00A96216">
            <w:pPr>
              <w:pStyle w:val="CDITable-RowCentre"/>
            </w:pPr>
            <w:r w:rsidRPr="00A96216">
              <w:t>41 (38.0)</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6D62CAF4" w14:textId="77777777" w:rsidR="00A96216" w:rsidRPr="00A96216" w:rsidRDefault="00A96216" w:rsidP="00A96216">
            <w:pPr>
              <w:pStyle w:val="CDITable-RowCentre"/>
            </w:pPr>
            <w:r w:rsidRPr="00A96216">
              <w:t>34 (31.5)</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0210F2FF" w14:textId="77777777" w:rsidR="00A96216" w:rsidRPr="00A96216" w:rsidRDefault="00A96216" w:rsidP="00A96216">
            <w:pPr>
              <w:pStyle w:val="CDITable-RowCentre"/>
            </w:pPr>
            <w:r w:rsidRPr="00A96216">
              <w:t>67 (62.0)</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5F46D9F5" w14:textId="77777777" w:rsidR="00A96216" w:rsidRPr="00A96216" w:rsidRDefault="00A96216" w:rsidP="00A96216">
            <w:pPr>
              <w:pStyle w:val="CDITable-RowCentre"/>
            </w:pPr>
            <w:r w:rsidRPr="00A96216">
              <w:t>27 (25.0)</w:t>
            </w:r>
          </w:p>
        </w:tc>
      </w:tr>
      <w:tr w:rsidR="00A96216" w:rsidRPr="00A96216" w14:paraId="521A8034" w14:textId="77777777" w:rsidTr="00152BEE">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5B21DB1E" w14:textId="77777777" w:rsidR="00A96216" w:rsidRPr="00A96216" w:rsidRDefault="00A96216" w:rsidP="00A96216">
            <w:pPr>
              <w:pStyle w:val="CDITable-RowLeft"/>
            </w:pPr>
            <w:r w:rsidRPr="00A96216">
              <w:t>Chills</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3CDFF048" w14:textId="77777777" w:rsidR="00A96216" w:rsidRPr="00A96216" w:rsidRDefault="00A96216" w:rsidP="00A96216">
            <w:pPr>
              <w:pStyle w:val="CDITable-RowCentre"/>
            </w:pPr>
            <w:r w:rsidRPr="00A96216">
              <w:t>105 (2.9)</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7611C096" w14:textId="77777777" w:rsidR="00A96216" w:rsidRPr="00A96216" w:rsidRDefault="00A96216" w:rsidP="00A96216">
            <w:pPr>
              <w:pStyle w:val="CDITable-RowCentre"/>
            </w:pPr>
            <w:r w:rsidRPr="00A96216">
              <w:t>0 (0)</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221630CE" w14:textId="77777777" w:rsidR="00A96216" w:rsidRPr="00A96216" w:rsidRDefault="00A96216" w:rsidP="00A96216">
            <w:pPr>
              <w:pStyle w:val="CDITable-RowCentre"/>
            </w:pPr>
            <w:r w:rsidRPr="00A96216">
              <w:t>3 (2.9)</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485B217B" w14:textId="77777777" w:rsidR="00A96216" w:rsidRPr="00A96216" w:rsidRDefault="00A96216" w:rsidP="00A96216">
            <w:pPr>
              <w:pStyle w:val="CDITable-RowCentre"/>
            </w:pPr>
            <w:r w:rsidRPr="00A96216">
              <w:t>18 (17.1)</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6B2052EF" w14:textId="77777777" w:rsidR="00A96216" w:rsidRPr="00A96216" w:rsidRDefault="00A96216" w:rsidP="00A96216">
            <w:pPr>
              <w:pStyle w:val="CDITable-RowCentre"/>
            </w:pPr>
            <w:r w:rsidRPr="00A96216">
              <w:t>86 (81.9)</w:t>
            </w:r>
          </w:p>
        </w:tc>
      </w:tr>
      <w:tr w:rsidR="00A96216" w:rsidRPr="00A96216" w14:paraId="719EFBA9" w14:textId="77777777" w:rsidTr="00152BEE">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5DB51B96" w14:textId="77777777" w:rsidR="00A96216" w:rsidRPr="00A96216" w:rsidRDefault="00A96216" w:rsidP="00A96216">
            <w:pPr>
              <w:pStyle w:val="CDITable-RowLeft"/>
            </w:pPr>
            <w:r w:rsidRPr="00A96216">
              <w:t>Chest pain</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07F03B63" w14:textId="77777777" w:rsidR="00A96216" w:rsidRPr="00A96216" w:rsidRDefault="00A96216" w:rsidP="00A96216">
            <w:pPr>
              <w:pStyle w:val="CDITable-RowCentre"/>
            </w:pPr>
            <w:r w:rsidRPr="00A96216">
              <w:t>98 (2.7)</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2622FC0A" w14:textId="77777777" w:rsidR="00A96216" w:rsidRPr="00A96216" w:rsidRDefault="00A96216" w:rsidP="00A96216">
            <w:pPr>
              <w:pStyle w:val="CDITable-RowCentre"/>
            </w:pPr>
            <w:r w:rsidRPr="00A96216">
              <w:t>8 (8.2)</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272BD284" w14:textId="77777777" w:rsidR="00A96216" w:rsidRPr="00A96216" w:rsidRDefault="00A96216" w:rsidP="00A96216">
            <w:pPr>
              <w:pStyle w:val="CDITable-RowCentre"/>
            </w:pPr>
            <w:r w:rsidRPr="00A96216">
              <w:t>9 (9.2)</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5737E559" w14:textId="77777777" w:rsidR="00A96216" w:rsidRPr="00A96216" w:rsidRDefault="00A96216" w:rsidP="00A96216">
            <w:pPr>
              <w:pStyle w:val="CDITable-RowCentre"/>
            </w:pPr>
            <w:r w:rsidRPr="00A96216">
              <w:t>0 (0)</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1666678B" w14:textId="77777777" w:rsidR="00A96216" w:rsidRPr="00A96216" w:rsidRDefault="00A96216" w:rsidP="00A96216">
            <w:pPr>
              <w:pStyle w:val="CDITable-RowCentre"/>
            </w:pPr>
            <w:r w:rsidRPr="00A96216">
              <w:t>96 (98.0)</w:t>
            </w:r>
          </w:p>
        </w:tc>
      </w:tr>
      <w:tr w:rsidR="00A96216" w:rsidRPr="00A96216" w14:paraId="6F6DA786" w14:textId="77777777" w:rsidTr="00152BEE">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7B297D20" w14:textId="77777777" w:rsidR="00A96216" w:rsidRPr="00A96216" w:rsidRDefault="00A96216" w:rsidP="00A96216">
            <w:pPr>
              <w:pStyle w:val="CDITable-RowLeft"/>
            </w:pPr>
            <w:r w:rsidRPr="00A96216">
              <w:t>Oropharyngeal conditions (excl neoplasms, infections and allergies)</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01B222D9" w14:textId="77777777" w:rsidR="00A96216" w:rsidRPr="00A96216" w:rsidRDefault="00A96216" w:rsidP="00A96216">
            <w:pPr>
              <w:pStyle w:val="CDITable-RowCentre"/>
            </w:pPr>
            <w:r w:rsidRPr="00A96216">
              <w:t>95 (2.6)</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29EF99CD" w14:textId="77777777" w:rsidR="00A96216" w:rsidRPr="00A96216" w:rsidRDefault="00A96216" w:rsidP="00A96216">
            <w:pPr>
              <w:pStyle w:val="CDITable-RowCentre"/>
            </w:pPr>
            <w:r w:rsidRPr="00A96216">
              <w:t>4 (4.2)</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67EC2570" w14:textId="77777777" w:rsidR="00A96216" w:rsidRPr="00A96216" w:rsidRDefault="00A96216" w:rsidP="00A96216">
            <w:pPr>
              <w:pStyle w:val="CDITable-RowCentre"/>
            </w:pPr>
            <w:r w:rsidRPr="00A96216">
              <w:t>6 (6.3)</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696533F8" w14:textId="77777777" w:rsidR="00A96216" w:rsidRPr="00A96216" w:rsidRDefault="00A96216" w:rsidP="00A96216">
            <w:pPr>
              <w:pStyle w:val="CDITable-RowCentre"/>
            </w:pPr>
            <w:r w:rsidRPr="00A96216">
              <w:t>16 (16.8)</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6A879BB7" w14:textId="77777777" w:rsidR="00A96216" w:rsidRPr="00A96216" w:rsidRDefault="00A96216" w:rsidP="00A96216">
            <w:pPr>
              <w:pStyle w:val="CDITable-RowCentre"/>
            </w:pPr>
            <w:r w:rsidRPr="00A96216">
              <w:t>76 (80.0)</w:t>
            </w:r>
          </w:p>
        </w:tc>
      </w:tr>
      <w:tr w:rsidR="00A96216" w:rsidRPr="00A96216" w14:paraId="224EE219" w14:textId="77777777" w:rsidTr="00152BEE">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5CC0BD09" w14:textId="77777777" w:rsidR="00A96216" w:rsidRPr="00A96216" w:rsidRDefault="00A96216" w:rsidP="00A96216">
            <w:pPr>
              <w:pStyle w:val="CDITable-RowLeft"/>
            </w:pPr>
            <w:r w:rsidRPr="00A96216">
              <w:lastRenderedPageBreak/>
              <w:t>Angioedema</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6920D7C3" w14:textId="77777777" w:rsidR="00A96216" w:rsidRPr="00A96216" w:rsidRDefault="00A96216" w:rsidP="00A96216">
            <w:pPr>
              <w:pStyle w:val="CDITable-RowCentre"/>
            </w:pPr>
            <w:r w:rsidRPr="00A96216">
              <w:t>89 (2.4)</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2C023759" w14:textId="77777777" w:rsidR="00A96216" w:rsidRPr="00A96216" w:rsidRDefault="00A96216" w:rsidP="00A96216">
            <w:pPr>
              <w:pStyle w:val="CDITable-RowCentre"/>
            </w:pPr>
            <w:r w:rsidRPr="00A96216">
              <w:t>9 (10.1)</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6C120D33" w14:textId="77777777" w:rsidR="00A96216" w:rsidRPr="00A96216" w:rsidRDefault="00A96216" w:rsidP="00A96216">
            <w:pPr>
              <w:pStyle w:val="CDITable-RowCentre"/>
            </w:pPr>
            <w:r w:rsidRPr="00A96216">
              <w:t>6 (6.7)</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0B913C64" w14:textId="77777777" w:rsidR="00A96216" w:rsidRPr="00A96216" w:rsidRDefault="00A96216" w:rsidP="00A96216">
            <w:pPr>
              <w:pStyle w:val="CDITable-RowCentre"/>
            </w:pPr>
            <w:r w:rsidRPr="00A96216">
              <w:t>44 (49.4)</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5DC67A4E" w14:textId="77777777" w:rsidR="00A96216" w:rsidRPr="00A96216" w:rsidRDefault="00A96216" w:rsidP="00A96216">
            <w:pPr>
              <w:pStyle w:val="CDITable-RowCentre"/>
            </w:pPr>
            <w:r w:rsidRPr="00A96216">
              <w:t>43 (48.3)</w:t>
            </w:r>
          </w:p>
        </w:tc>
      </w:tr>
      <w:tr w:rsidR="00A96216" w:rsidRPr="00A96216" w14:paraId="75B07D05" w14:textId="77777777" w:rsidTr="00152BEE">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474491CD" w14:textId="77777777" w:rsidR="00A96216" w:rsidRPr="00A96216" w:rsidRDefault="00A96216" w:rsidP="00A96216">
            <w:pPr>
              <w:pStyle w:val="CDITable-RowLeft"/>
            </w:pPr>
            <w:r w:rsidRPr="00A96216">
              <w:t>Erythema</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2C9A5292" w14:textId="77777777" w:rsidR="00A96216" w:rsidRPr="00A96216" w:rsidRDefault="00A96216" w:rsidP="00A96216">
            <w:pPr>
              <w:pStyle w:val="CDITable-RowCentre"/>
            </w:pPr>
            <w:r w:rsidRPr="00A96216">
              <w:t>85 (2.3)</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375E7080" w14:textId="77777777" w:rsidR="00A96216" w:rsidRPr="00A96216" w:rsidRDefault="00A96216" w:rsidP="00A96216">
            <w:pPr>
              <w:pStyle w:val="CDITable-RowCentre"/>
            </w:pPr>
            <w:r w:rsidRPr="00A96216">
              <w:t>1 (1.2)</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3D0EA096" w14:textId="77777777" w:rsidR="00A96216" w:rsidRPr="00A96216" w:rsidRDefault="00A96216" w:rsidP="00A96216">
            <w:pPr>
              <w:pStyle w:val="CDITable-RowCentre"/>
            </w:pPr>
            <w:r w:rsidRPr="00A96216">
              <w:t>6 (7.1)</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75337C45" w14:textId="77777777" w:rsidR="00A96216" w:rsidRPr="00A96216" w:rsidRDefault="00A96216" w:rsidP="00A96216">
            <w:pPr>
              <w:pStyle w:val="CDITable-RowCentre"/>
            </w:pPr>
            <w:r w:rsidRPr="00A96216">
              <w:t>48 (56.5)</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533364D7" w14:textId="77777777" w:rsidR="00A96216" w:rsidRPr="00A96216" w:rsidRDefault="00A96216" w:rsidP="00A96216">
            <w:pPr>
              <w:pStyle w:val="CDITable-RowCentre"/>
            </w:pPr>
            <w:r w:rsidRPr="00A96216">
              <w:t>36 (42.4)</w:t>
            </w:r>
          </w:p>
        </w:tc>
      </w:tr>
      <w:tr w:rsidR="00A96216" w:rsidRPr="00A96216" w14:paraId="12252A89" w14:textId="77777777" w:rsidTr="00152BEE">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0EB91EC2" w14:textId="77777777" w:rsidR="00A96216" w:rsidRPr="00A96216" w:rsidRDefault="00A96216" w:rsidP="00A96216">
            <w:pPr>
              <w:pStyle w:val="CDITable-RowLeft"/>
            </w:pPr>
            <w:r w:rsidRPr="00A96216">
              <w:t>Dizziness</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6EDDA85A" w14:textId="77777777" w:rsidR="00A96216" w:rsidRPr="00A96216" w:rsidRDefault="00A96216" w:rsidP="00A96216">
            <w:pPr>
              <w:pStyle w:val="CDITable-RowCentre"/>
            </w:pPr>
            <w:r w:rsidRPr="00A96216">
              <w:t>83 (2.3)</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48908785" w14:textId="77777777" w:rsidR="00A96216" w:rsidRPr="00A96216" w:rsidRDefault="00A96216" w:rsidP="00A96216">
            <w:pPr>
              <w:pStyle w:val="CDITable-RowCentre"/>
            </w:pPr>
            <w:r w:rsidRPr="00A96216">
              <w:t>2 (2.4)</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6BABD8D9" w14:textId="77777777" w:rsidR="00A96216" w:rsidRPr="00A96216" w:rsidRDefault="00A96216" w:rsidP="00A96216">
            <w:pPr>
              <w:pStyle w:val="CDITable-RowCentre"/>
            </w:pPr>
            <w:r w:rsidRPr="00A96216">
              <w:t>10 (12.0)</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3AAAED60" w14:textId="77777777" w:rsidR="00A96216" w:rsidRPr="00A96216" w:rsidRDefault="00A96216" w:rsidP="00A96216">
            <w:pPr>
              <w:pStyle w:val="CDITable-RowCentre"/>
            </w:pPr>
            <w:r w:rsidRPr="00A96216">
              <w:t>1 (1.2)</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4A614F1F" w14:textId="77777777" w:rsidR="00A96216" w:rsidRPr="00A96216" w:rsidRDefault="00A96216" w:rsidP="00A96216">
            <w:pPr>
              <w:pStyle w:val="CDITable-RowCentre"/>
            </w:pPr>
            <w:r w:rsidRPr="00A96216">
              <w:t>78 (94.0)</w:t>
            </w:r>
          </w:p>
        </w:tc>
      </w:tr>
      <w:tr w:rsidR="00A96216" w:rsidRPr="00A96216" w14:paraId="5CD6D066" w14:textId="77777777" w:rsidTr="00152BEE">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36DD8E2E" w14:textId="77777777" w:rsidR="00A96216" w:rsidRPr="00A96216" w:rsidRDefault="00A96216" w:rsidP="00A96216">
            <w:pPr>
              <w:pStyle w:val="CDITable-RowLeft"/>
            </w:pPr>
            <w:r w:rsidRPr="00A96216">
              <w:t>Syncope</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6CA44E54" w14:textId="77777777" w:rsidR="00A96216" w:rsidRPr="00A96216" w:rsidRDefault="00A96216" w:rsidP="00A96216">
            <w:pPr>
              <w:pStyle w:val="CDITable-RowCentre"/>
            </w:pPr>
            <w:r w:rsidRPr="00A96216">
              <w:t>76 (2.1)</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765DE1A0" w14:textId="77777777" w:rsidR="00A96216" w:rsidRPr="00A96216" w:rsidRDefault="00A96216" w:rsidP="00A96216">
            <w:pPr>
              <w:pStyle w:val="CDITable-RowCentre"/>
            </w:pPr>
            <w:r w:rsidRPr="00A96216">
              <w:t>29 (38.2)</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0AA5B3BC" w14:textId="77777777" w:rsidR="00A96216" w:rsidRPr="00A96216" w:rsidRDefault="00A96216" w:rsidP="00A96216">
            <w:pPr>
              <w:pStyle w:val="CDITable-RowCentre"/>
            </w:pPr>
            <w:r w:rsidRPr="00A96216">
              <w:t>10 (13.2)</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11ECE979" w14:textId="77777777" w:rsidR="00A96216" w:rsidRPr="00A96216" w:rsidRDefault="00A96216" w:rsidP="00A96216">
            <w:pPr>
              <w:pStyle w:val="CDITable-RowCentre"/>
            </w:pPr>
            <w:r w:rsidRPr="00A96216">
              <w:t>6 (7.9)</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48C586F2" w14:textId="77777777" w:rsidR="00A96216" w:rsidRPr="00A96216" w:rsidRDefault="00A96216" w:rsidP="00A96216">
            <w:pPr>
              <w:pStyle w:val="CDITable-RowCentre"/>
            </w:pPr>
            <w:r w:rsidRPr="00A96216">
              <w:t>69 (90.8)</w:t>
            </w:r>
          </w:p>
        </w:tc>
      </w:tr>
      <w:tr w:rsidR="00A96216" w:rsidRPr="00A96216" w14:paraId="37BB5479" w14:textId="77777777" w:rsidTr="00152BEE">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3805B4C5" w14:textId="77777777" w:rsidR="00A96216" w:rsidRPr="00A96216" w:rsidRDefault="00A96216" w:rsidP="00A96216">
            <w:pPr>
              <w:pStyle w:val="CDITable-RowLeft"/>
            </w:pPr>
            <w:r w:rsidRPr="00A96216">
              <w:t>Malaise</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4DF4A9A1" w14:textId="77777777" w:rsidR="00A96216" w:rsidRPr="00A96216" w:rsidRDefault="00A96216" w:rsidP="00A96216">
            <w:pPr>
              <w:pStyle w:val="CDITable-RowCentre"/>
            </w:pPr>
            <w:r w:rsidRPr="00A96216">
              <w:t>73 (2.0)</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3E1C6AF1" w14:textId="77777777" w:rsidR="00A96216" w:rsidRPr="00A96216" w:rsidRDefault="00A96216" w:rsidP="00A96216">
            <w:pPr>
              <w:pStyle w:val="CDITable-RowCentre"/>
            </w:pPr>
            <w:r w:rsidRPr="00A96216">
              <w:t>0 (0)</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633F7724" w14:textId="77777777" w:rsidR="00A96216" w:rsidRPr="00A96216" w:rsidRDefault="00A96216" w:rsidP="00A96216">
            <w:pPr>
              <w:pStyle w:val="CDITable-RowCentre"/>
            </w:pPr>
            <w:r w:rsidRPr="00A96216">
              <w:t>8 (11.0)</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14CA86E2" w14:textId="77777777" w:rsidR="00A96216" w:rsidRPr="00A96216" w:rsidRDefault="00A96216" w:rsidP="00A96216">
            <w:pPr>
              <w:pStyle w:val="CDITable-RowCentre"/>
            </w:pPr>
            <w:r w:rsidRPr="00A96216">
              <w:t>7 (9.6)</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38A547AC" w14:textId="77777777" w:rsidR="00A96216" w:rsidRPr="00A96216" w:rsidRDefault="00A96216" w:rsidP="00A96216">
            <w:pPr>
              <w:pStyle w:val="CDITable-RowCentre"/>
            </w:pPr>
            <w:r w:rsidRPr="00A96216">
              <w:t>65 (89.0)</w:t>
            </w:r>
          </w:p>
        </w:tc>
      </w:tr>
      <w:tr w:rsidR="00A96216" w:rsidRPr="00A96216" w14:paraId="4944728A" w14:textId="77777777" w:rsidTr="00152BEE">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28A46845" w14:textId="77777777" w:rsidR="00A96216" w:rsidRPr="00A96216" w:rsidRDefault="00A96216" w:rsidP="00A96216">
            <w:pPr>
              <w:pStyle w:val="CDITable-RowLeft"/>
            </w:pPr>
            <w:r w:rsidRPr="00A96216">
              <w:t>Pain in extremity</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4640EF64" w14:textId="77777777" w:rsidR="00A96216" w:rsidRPr="00A96216" w:rsidRDefault="00A96216" w:rsidP="00A96216">
            <w:pPr>
              <w:pStyle w:val="CDITable-RowCentre"/>
            </w:pPr>
            <w:r w:rsidRPr="00A96216">
              <w:t>73 (2.0)</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442C9E61" w14:textId="77777777" w:rsidR="00A96216" w:rsidRPr="00A96216" w:rsidRDefault="00A96216" w:rsidP="00A96216">
            <w:pPr>
              <w:pStyle w:val="CDITable-RowCentre"/>
            </w:pPr>
            <w:r w:rsidRPr="00A96216">
              <w:t>4 (5.5)</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7EC4BAEA" w14:textId="77777777" w:rsidR="00A96216" w:rsidRPr="00A96216" w:rsidRDefault="00A96216" w:rsidP="00A96216">
            <w:pPr>
              <w:pStyle w:val="CDITable-RowCentre"/>
            </w:pPr>
            <w:r w:rsidRPr="00A96216">
              <w:t>4 (5.5)</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5C438E61" w14:textId="77777777" w:rsidR="00A96216" w:rsidRPr="00A96216" w:rsidRDefault="00A96216" w:rsidP="00A96216">
            <w:pPr>
              <w:pStyle w:val="CDITable-RowCentre"/>
            </w:pPr>
            <w:r w:rsidRPr="00A96216">
              <w:t>15 (20.5)</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26BA0452" w14:textId="77777777" w:rsidR="00A96216" w:rsidRPr="00A96216" w:rsidRDefault="00A96216" w:rsidP="00A96216">
            <w:pPr>
              <w:pStyle w:val="CDITable-RowCentre"/>
            </w:pPr>
            <w:r w:rsidRPr="00A96216">
              <w:t>55 (75.3)</w:t>
            </w:r>
          </w:p>
        </w:tc>
      </w:tr>
      <w:tr w:rsidR="00A96216" w:rsidRPr="00A96216" w14:paraId="7FB31EE0" w14:textId="77777777" w:rsidTr="00152BEE">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61EAED2D" w14:textId="77777777" w:rsidR="00A96216" w:rsidRPr="00A96216" w:rsidRDefault="00A96216" w:rsidP="00A96216">
            <w:pPr>
              <w:pStyle w:val="CDITable-RowLeft"/>
            </w:pPr>
            <w:r w:rsidRPr="00A96216">
              <w:t>Palpitations</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0C99B769" w14:textId="77777777" w:rsidR="00A96216" w:rsidRPr="00A96216" w:rsidRDefault="00A96216" w:rsidP="00A96216">
            <w:pPr>
              <w:pStyle w:val="CDITable-RowCentre"/>
            </w:pPr>
            <w:r w:rsidRPr="00A96216">
              <w:t>71 (1.9)</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001DE561" w14:textId="77777777" w:rsidR="00A96216" w:rsidRPr="00A96216" w:rsidRDefault="00A96216" w:rsidP="00A96216">
            <w:pPr>
              <w:pStyle w:val="CDITable-RowCentre"/>
            </w:pPr>
            <w:r w:rsidRPr="00A96216">
              <w:t>2 (2.8)</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15F5707D" w14:textId="77777777" w:rsidR="00A96216" w:rsidRPr="00A96216" w:rsidRDefault="00A96216" w:rsidP="00A96216">
            <w:pPr>
              <w:pStyle w:val="CDITable-RowCentre"/>
            </w:pPr>
            <w:r w:rsidRPr="00A96216">
              <w:t>4 (5.6)</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03E9325F" w14:textId="77777777" w:rsidR="00A96216" w:rsidRPr="00A96216" w:rsidRDefault="00A96216" w:rsidP="00A96216">
            <w:pPr>
              <w:pStyle w:val="CDITable-RowCentre"/>
            </w:pPr>
            <w:r w:rsidRPr="00A96216">
              <w:t>0 (0)</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243E28E2" w14:textId="77777777" w:rsidR="00A96216" w:rsidRPr="00A96216" w:rsidRDefault="00A96216" w:rsidP="00A96216">
            <w:pPr>
              <w:pStyle w:val="CDITable-RowCentre"/>
            </w:pPr>
            <w:r w:rsidRPr="00A96216">
              <w:t>70 (98.6)</w:t>
            </w:r>
          </w:p>
        </w:tc>
      </w:tr>
      <w:tr w:rsidR="00A96216" w:rsidRPr="00A96216" w14:paraId="24ACB2B6" w14:textId="77777777" w:rsidTr="00152BEE">
        <w:tblPrEx>
          <w:tblCellMar>
            <w:top w:w="0" w:type="dxa"/>
            <w:left w:w="0" w:type="dxa"/>
            <w:bottom w:w="0" w:type="dxa"/>
            <w:right w:w="0" w:type="dxa"/>
          </w:tblCellMar>
        </w:tblPrEx>
        <w:trPr>
          <w:trHeight w:val="60"/>
        </w:trPr>
        <w:tc>
          <w:tcPr>
            <w:tcW w:w="2778"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15B4734F" w14:textId="77777777" w:rsidR="00A96216" w:rsidRPr="00A96216" w:rsidRDefault="00A96216" w:rsidP="00A96216">
            <w:pPr>
              <w:pStyle w:val="CDITable-RowLeft"/>
            </w:pPr>
            <w:r w:rsidRPr="00A96216">
              <w:t>Influenza like illness</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46B861F5" w14:textId="77777777" w:rsidR="00A96216" w:rsidRPr="00A96216" w:rsidRDefault="00A96216" w:rsidP="00A96216">
            <w:pPr>
              <w:pStyle w:val="CDITable-RowCentre"/>
            </w:pPr>
            <w:r w:rsidRPr="00A96216">
              <w:t>67 (1.8)</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2A92E00D" w14:textId="77777777" w:rsidR="00A96216" w:rsidRPr="00A96216" w:rsidRDefault="00A96216" w:rsidP="00A96216">
            <w:pPr>
              <w:pStyle w:val="CDITable-RowCentre"/>
            </w:pPr>
            <w:r w:rsidRPr="00A96216">
              <w:t>13 (19.4)</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5FAA29B6" w14:textId="77777777" w:rsidR="00A96216" w:rsidRPr="00A96216" w:rsidRDefault="00A96216" w:rsidP="00A96216">
            <w:pPr>
              <w:pStyle w:val="CDITable-RowCentre"/>
            </w:pPr>
            <w:r w:rsidRPr="00A96216">
              <w:t>5 (7.5)</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1E0F26E7" w14:textId="77777777" w:rsidR="00A96216" w:rsidRPr="00A96216" w:rsidRDefault="00A96216" w:rsidP="00A96216">
            <w:pPr>
              <w:pStyle w:val="CDITable-RowCentre"/>
            </w:pPr>
            <w:r w:rsidRPr="00A96216">
              <w:t>16 (23.9)</w:t>
            </w:r>
          </w:p>
        </w:tc>
        <w:tc>
          <w:tcPr>
            <w:tcW w:w="1372" w:type="dxa"/>
            <w:tcBorders>
              <w:top w:val="single" w:sz="6" w:space="0" w:color="1E4496" w:themeColor="text2"/>
              <w:bottom w:val="single" w:sz="6" w:space="0" w:color="1E4496" w:themeColor="text2"/>
            </w:tcBorders>
            <w:tcMar>
              <w:top w:w="128" w:type="dxa"/>
              <w:left w:w="113" w:type="dxa"/>
              <w:bottom w:w="128" w:type="dxa"/>
              <w:right w:w="113" w:type="dxa"/>
            </w:tcMar>
            <w:vAlign w:val="center"/>
          </w:tcPr>
          <w:p w14:paraId="46542217" w14:textId="77777777" w:rsidR="00A96216" w:rsidRPr="00A96216" w:rsidRDefault="00A96216" w:rsidP="00A96216">
            <w:pPr>
              <w:pStyle w:val="CDITable-RowCentre"/>
            </w:pPr>
            <w:r w:rsidRPr="00A96216">
              <w:t>44 (65.7)</w:t>
            </w:r>
          </w:p>
        </w:tc>
      </w:tr>
    </w:tbl>
    <w:p w14:paraId="64E25A6A" w14:textId="77777777" w:rsidR="002F48E5" w:rsidRPr="002F48E5" w:rsidRDefault="002F48E5" w:rsidP="002F48E5">
      <w:pPr>
        <w:pStyle w:val="CDITable-FirstFootnote"/>
        <w:rPr>
          <w:lang w:val="en-GB"/>
        </w:rPr>
      </w:pPr>
      <w:proofErr w:type="gramStart"/>
      <w:r w:rsidRPr="002F48E5">
        <w:rPr>
          <w:lang w:val="en-GB"/>
        </w:rPr>
        <w:t>a</w:t>
      </w:r>
      <w:r w:rsidRPr="002F48E5">
        <w:rPr>
          <w:lang w:val="en-GB"/>
        </w:rPr>
        <w:tab/>
        <w:t>Number of</w:t>
      </w:r>
      <w:proofErr w:type="gramEnd"/>
      <w:r w:rsidRPr="002F48E5">
        <w:rPr>
          <w:lang w:val="en-GB"/>
        </w:rPr>
        <w:t xml:space="preserve"> AEFI reports in which the PT or SMQ was reported. More than one PT/SMQ may be recorded on the same report.</w:t>
      </w:r>
    </w:p>
    <w:p w14:paraId="5AB3753D" w14:textId="77777777" w:rsidR="002F48E5" w:rsidRPr="002F48E5" w:rsidRDefault="002F48E5" w:rsidP="002F48E5">
      <w:pPr>
        <w:pStyle w:val="CDITable-Footnote"/>
        <w:rPr>
          <w:lang w:val="en-GB"/>
        </w:rPr>
      </w:pPr>
      <w:r w:rsidRPr="002F48E5">
        <w:rPr>
          <w:lang w:val="en-GB"/>
        </w:rPr>
        <w:t>b</w:t>
      </w:r>
      <w:r w:rsidRPr="002F48E5">
        <w:rPr>
          <w:lang w:val="en-GB"/>
        </w:rPr>
        <w:tab/>
        <w:t>AEFI reports where only one PT or SMQ was reported.</w:t>
      </w:r>
    </w:p>
    <w:p w14:paraId="31A5921B" w14:textId="77777777" w:rsidR="002F48E5" w:rsidRPr="002F48E5" w:rsidRDefault="002F48E5" w:rsidP="002F48E5">
      <w:pPr>
        <w:pStyle w:val="CDITable-Footnote"/>
        <w:rPr>
          <w:lang w:val="en-GB"/>
        </w:rPr>
      </w:pPr>
      <w:r w:rsidRPr="002F48E5">
        <w:rPr>
          <w:lang w:val="en-GB"/>
        </w:rPr>
        <w:t>c</w:t>
      </w:r>
      <w:r w:rsidRPr="002F48E5">
        <w:rPr>
          <w:lang w:val="en-GB"/>
        </w:rPr>
        <w:tab/>
        <w:t>Percentages are calculated for the number of AEFI reports where the PT or SMQ was reported.</w:t>
      </w:r>
    </w:p>
    <w:p w14:paraId="37E2F3B2" w14:textId="77777777" w:rsidR="002F48E5" w:rsidRPr="002F48E5" w:rsidRDefault="002F48E5" w:rsidP="002F48E5">
      <w:pPr>
        <w:pStyle w:val="CDITable-Footnote"/>
        <w:rPr>
          <w:lang w:val="en-GB"/>
        </w:rPr>
      </w:pPr>
      <w:r w:rsidRPr="002F48E5">
        <w:rPr>
          <w:lang w:val="en-GB"/>
        </w:rPr>
        <w:t>d</w:t>
      </w:r>
      <w:r w:rsidRPr="002F48E5">
        <w:rPr>
          <w:lang w:val="en-GB"/>
        </w:rPr>
        <w:tab/>
      </w:r>
      <w:proofErr w:type="gramStart"/>
      <w:r w:rsidRPr="002F48E5">
        <w:rPr>
          <w:lang w:val="en-GB"/>
        </w:rPr>
        <w:t>An</w:t>
      </w:r>
      <w:proofErr w:type="gramEnd"/>
      <w:r w:rsidRPr="002F48E5">
        <w:rPr>
          <w:lang w:val="en-GB"/>
        </w:rPr>
        <w:t xml:space="preserve"> adverse event report is defined as ‘</w:t>
      </w:r>
      <w:proofErr w:type="spellStart"/>
      <w:r w:rsidRPr="002F48E5">
        <w:rPr>
          <w:lang w:val="en-GB"/>
        </w:rPr>
        <w:t>serious’</w:t>
      </w:r>
      <w:proofErr w:type="spellEnd"/>
      <w:r w:rsidRPr="002F48E5">
        <w:rPr>
          <w:lang w:val="en-GB"/>
        </w:rPr>
        <w:t xml:space="preserve"> if it involves one or more of the following outcomes: (1) fatal or life-threatening condition(s); (2) new or prolonged hospitalisation; (3) persistent or significant disability; (4) congenital anomaly or birth defect; and (5) any medical event that requires an intervention to prevent the above outcomes. For AEFI reports submitted by sponsors (vaccine companies), the seriousness classification is applied by sponsors to ensure they meet legislated requirements. For other AEFI reports submitted to the TGA, the seriousness classification either reflects the view of the reporter or may have been applied by the TGA following review.</w:t>
      </w:r>
    </w:p>
    <w:p w14:paraId="22CF081C" w14:textId="5C1E0F42" w:rsidR="00152BEE" w:rsidRDefault="002F48E5" w:rsidP="00152BEE">
      <w:pPr>
        <w:pStyle w:val="CDITable-Footnote"/>
        <w:rPr>
          <w:lang w:val="en-GB"/>
        </w:rPr>
      </w:pPr>
      <w:r w:rsidRPr="002F48E5">
        <w:rPr>
          <w:lang w:val="en-GB"/>
        </w:rPr>
        <w:t>e</w:t>
      </w:r>
      <w:r w:rsidRPr="002F48E5">
        <w:rPr>
          <w:lang w:val="en-GB"/>
        </w:rPr>
        <w:tab/>
        <w:t>Includes only AEFI reports where an age or date of birth has been reported.</w:t>
      </w:r>
      <w:r w:rsidR="00152BEE">
        <w:rPr>
          <w:lang w:val="en-GB"/>
        </w:rPr>
        <w:br w:type="page"/>
      </w:r>
    </w:p>
    <w:p w14:paraId="640F5CBD" w14:textId="77777777" w:rsidR="00152BEE" w:rsidRPr="00152BEE" w:rsidRDefault="00152BEE" w:rsidP="00152BEE">
      <w:pPr>
        <w:pStyle w:val="CDIFigure-Title"/>
        <w:rPr>
          <w:lang w:val="en-GB"/>
        </w:rPr>
      </w:pPr>
      <w:bookmarkStart w:id="34" w:name="_Toc215491334"/>
      <w:r w:rsidRPr="00152BEE">
        <w:rPr>
          <w:lang w:val="en-GB"/>
        </w:rPr>
        <w:lastRenderedPageBreak/>
        <w:t xml:space="preserve">Figure 3: Adverse event following immunisation reports for selected </w:t>
      </w:r>
      <w:proofErr w:type="spellStart"/>
      <w:r w:rsidRPr="00152BEE">
        <w:rPr>
          <w:lang w:val="en-GB"/>
        </w:rPr>
        <w:t>vaccines,</w:t>
      </w:r>
      <w:r w:rsidRPr="00152BEE">
        <w:rPr>
          <w:vertAlign w:val="superscript"/>
          <w:lang w:val="en-GB"/>
        </w:rPr>
        <w:t>a,b</w:t>
      </w:r>
      <w:proofErr w:type="spellEnd"/>
      <w:r w:rsidRPr="00152BEE">
        <w:rPr>
          <w:lang w:val="en-GB"/>
        </w:rPr>
        <w:t xml:space="preserve"> for children aged &lt; 7 years in the Adverse Event Management System database from 2000 to 2022, by year and vaccine – vaccines with first National Immunisation Program (NIP)-funded primary dose administered at under 6 months of age, for (a) pneumococcal, </w:t>
      </w:r>
      <w:proofErr w:type="spellStart"/>
      <w:r w:rsidRPr="00152BEE">
        <w:rPr>
          <w:lang w:val="en-GB"/>
        </w:rPr>
        <w:t>dipththeria</w:t>
      </w:r>
      <w:proofErr w:type="spellEnd"/>
      <w:r w:rsidRPr="00152BEE">
        <w:rPr>
          <w:lang w:val="en-GB"/>
        </w:rPr>
        <w:t>-tetanus-pertussis, Hib and rotavirus vaccines and (b) meningococcal and measles-mumps-rubella/varicella vaccines</w:t>
      </w:r>
      <w:bookmarkEnd w:id="34"/>
    </w:p>
    <w:p w14:paraId="0EC4E524" w14:textId="350AFD20" w:rsidR="00C65F41" w:rsidRDefault="0073458A" w:rsidP="00152BEE">
      <w:pPr>
        <w:pStyle w:val="CDIFigure-Placeholder"/>
        <w:rPr>
          <w:lang w:val="en-GB"/>
        </w:rPr>
      </w:pPr>
      <w:r>
        <w:rPr>
          <w:noProof/>
          <w:lang w:val="en-GB"/>
          <w14:ligatures w14:val="none"/>
        </w:rPr>
        <w:drawing>
          <wp:inline distT="0" distB="0" distL="0" distR="0" wp14:anchorId="019D8D92" wp14:editId="0D74A291">
            <wp:extent cx="5997600" cy="6012000"/>
            <wp:effectExtent l="0" t="0" r="3175" b="8255"/>
            <wp:docPr id="1958335688" name="Picture 3" descr="Figure 3 comprises two line graphs showing the number of adverse event reports received each year for the &lt; 7 age group. Figure 3a includes reports following NIP vaccines where the primary course was commenced in the six months of life in the Australian schedule, namely PCV, DTP-containing vaccines, and Hib and rotavirus vaccines. Figure 3b shows adverse event reports following NIP vaccines where the primary course was commenced in the first year of life in the Australian schedule, namely meningococcal vaccines, measles-containing vaccines, and varicella vaccines. Superimposed on these graphs are descriptions of relevant important events in Australian immunisation policy, showing that in most cases, there were clear temporal relationships between these events and expected changes in the number of reports received for the vaccine(s) affected by each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335688" name="Picture 3" descr="Figure 3 comprises two line graphs showing the number of adverse event reports received each year for the &lt; 7 age group. Figure 3a includes reports following NIP vaccines where the primary course was commenced in the six months of life in the Australian schedule, namely PCV, DTP-containing vaccines, and Hib and rotavirus vaccines. Figure 3b shows adverse event reports following NIP vaccines where the primary course was commenced in the first year of life in the Australian schedule, namely meningococcal vaccines, measles-containing vaccines, and varicella vaccines. Superimposed on these graphs are descriptions of relevant important events in Australian immunisation policy, showing that in most cases, there were clear temporal relationships between these events and expected changes in the number of reports received for the vaccine(s) affected by each event."/>
                    <pic:cNvPicPr/>
                  </pic:nvPicPr>
                  <pic:blipFill>
                    <a:blip r:embed="rId20">
                      <a:extLst>
                        <a:ext uri="{28A0092B-C50C-407E-A947-70E740481C1C}">
                          <a14:useLocalDpi xmlns:a14="http://schemas.microsoft.com/office/drawing/2010/main" val="0"/>
                        </a:ext>
                      </a:extLst>
                    </a:blip>
                    <a:stretch>
                      <a:fillRect/>
                    </a:stretch>
                  </pic:blipFill>
                  <pic:spPr>
                    <a:xfrm>
                      <a:off x="0" y="0"/>
                      <a:ext cx="5997600" cy="6012000"/>
                    </a:xfrm>
                    <a:prstGeom prst="rect">
                      <a:avLst/>
                    </a:prstGeom>
                  </pic:spPr>
                </pic:pic>
              </a:graphicData>
            </a:graphic>
          </wp:inline>
        </w:drawing>
      </w:r>
    </w:p>
    <w:p w14:paraId="03769E7B" w14:textId="77777777" w:rsidR="00152BEE" w:rsidRPr="00152BEE" w:rsidRDefault="00152BEE" w:rsidP="00152BEE">
      <w:pPr>
        <w:pStyle w:val="CDITable-FirstFootnote"/>
        <w:rPr>
          <w:lang w:val="en-GB"/>
        </w:rPr>
      </w:pPr>
      <w:r w:rsidRPr="00152BEE">
        <w:rPr>
          <w:lang w:val="en-GB"/>
        </w:rPr>
        <w:t>a</w:t>
      </w:r>
      <w:r w:rsidRPr="00152BEE">
        <w:rPr>
          <w:lang w:val="en-GB"/>
        </w:rPr>
        <w:tab/>
        <w:t>Vaccines are selected for inclusion in figure 3 overall if they have been in use in the selected age group for ≥ 2 consecutive years, and if they are a) funded under the NIP for any population subgroup within the selected age group in 2022; b) one of the five most common vaccines associated with spontaneous AEFI reports in 2022; or c) have been implicated in a vaccine safety event of note from year 2000 onwards and/or have been implicated in a large proportion of historical spontaneous AEFI reports. For reports where the date of vaccination was not recorded, the date of symptom onset or the received date (when the event was reported to the sender of the case) was used. For more details on changes to immunisation programs (including the National Immunisation Program), please see Appendix A, Table A.1.</w:t>
      </w:r>
    </w:p>
    <w:p w14:paraId="65F66A26" w14:textId="150114E6" w:rsidR="00152BEE" w:rsidRDefault="00152BEE" w:rsidP="00152BEE">
      <w:pPr>
        <w:pStyle w:val="CDITable-Footnote"/>
        <w:rPr>
          <w:lang w:val="en-GB"/>
        </w:rPr>
      </w:pPr>
      <w:r w:rsidRPr="00152BEE">
        <w:rPr>
          <w:lang w:val="en-GB"/>
        </w:rPr>
        <w:t>b</w:t>
      </w:r>
      <w:r w:rsidRPr="00152BEE">
        <w:rPr>
          <w:lang w:val="en-GB"/>
        </w:rPr>
        <w:tab/>
        <w:t>Event markers shown represent the following events: A: 7vPCV and catch-up programs commenced; B: DTPa-IPV booster programs commenced; C: national rotavirus program commenced; D: 13vPCV and catch-up program commenced; E: DTPa booster program commenced; F: monovalent Hib booster program com</w:t>
      </w:r>
      <w:r>
        <w:rPr>
          <w:lang w:val="en-GB"/>
        </w:rPr>
        <w:t>m</w:t>
      </w:r>
      <w:r w:rsidRPr="00152BEE">
        <w:rPr>
          <w:lang w:val="en-GB"/>
        </w:rPr>
        <w:t>enced; G: MenC and catch-up program commenced; H: varicella program commenced; I: MMRV program commenced; J: Hib-MenC program commenced; K:</w:t>
      </w:r>
      <w:r w:rsidR="0073458A">
        <w:rPr>
          <w:lang w:val="en-GB"/>
        </w:rPr>
        <w:t> </w:t>
      </w:r>
      <w:r w:rsidRPr="00152BEE">
        <w:rPr>
          <w:lang w:val="en-GB"/>
        </w:rPr>
        <w:t>MenACWY program commenced.</w:t>
      </w:r>
      <w:r>
        <w:rPr>
          <w:lang w:val="en-GB"/>
        </w:rPr>
        <w:br w:type="page"/>
      </w:r>
    </w:p>
    <w:p w14:paraId="56F226A3" w14:textId="77777777" w:rsidR="00152BEE" w:rsidRPr="00152BEE" w:rsidRDefault="00152BEE" w:rsidP="00152BEE">
      <w:pPr>
        <w:pStyle w:val="CDIFigure-Title"/>
        <w:rPr>
          <w:lang w:val="en-GB"/>
        </w:rPr>
      </w:pPr>
      <w:bookmarkStart w:id="35" w:name="_Toc215491335"/>
      <w:r w:rsidRPr="00152BEE">
        <w:rPr>
          <w:lang w:val="en-GB"/>
        </w:rPr>
        <w:lastRenderedPageBreak/>
        <w:t xml:space="preserve">Figure 4: Adverse event following immunisation reports for selected </w:t>
      </w:r>
      <w:proofErr w:type="spellStart"/>
      <w:proofErr w:type="gramStart"/>
      <w:r w:rsidRPr="00152BEE">
        <w:rPr>
          <w:lang w:val="en-GB"/>
        </w:rPr>
        <w:t>vaccines,</w:t>
      </w:r>
      <w:r w:rsidRPr="00152BEE">
        <w:rPr>
          <w:vertAlign w:val="superscript"/>
          <w:lang w:val="en-GB"/>
        </w:rPr>
        <w:t>a</w:t>
      </w:r>
      <w:proofErr w:type="gramEnd"/>
      <w:r w:rsidRPr="00152BEE">
        <w:rPr>
          <w:vertAlign w:val="superscript"/>
          <w:lang w:val="en-GB"/>
        </w:rPr>
        <w:t>,b</w:t>
      </w:r>
      <w:proofErr w:type="spellEnd"/>
      <w:r w:rsidRPr="00152BEE">
        <w:rPr>
          <w:lang w:val="en-GB"/>
        </w:rPr>
        <w:t xml:space="preserve"> for children aged &lt; 7 years in the Adverse Event Management System database from 2000 to 2022, by year and vaccine, for (a) vaccines funded under National Immunisation Program (NIP) for specific population subgroups only and (b) influenza vaccines</w:t>
      </w:r>
      <w:bookmarkEnd w:id="35"/>
    </w:p>
    <w:p w14:paraId="278A16E6" w14:textId="3429154F" w:rsidR="00152BEE" w:rsidRPr="00152BEE" w:rsidRDefault="0073458A" w:rsidP="00152BEE">
      <w:pPr>
        <w:pStyle w:val="CDIFigure-Placeholder"/>
        <w:rPr>
          <w:lang w:val="en-GB"/>
        </w:rPr>
      </w:pPr>
      <w:r>
        <w:rPr>
          <w:noProof/>
          <w:lang w:val="en-GB"/>
          <w14:ligatures w14:val="none"/>
        </w:rPr>
        <w:drawing>
          <wp:inline distT="0" distB="0" distL="0" distR="0" wp14:anchorId="27233F2F" wp14:editId="47E5F72A">
            <wp:extent cx="5875200" cy="6397200"/>
            <wp:effectExtent l="0" t="0" r="0" b="3810"/>
            <wp:docPr id="662282852" name="Picture 4" descr="Figure 4 comprises two line graphs showing the number of adverse event reports received each year for the &lt; 7 age group. Figure 4a shows adverse event reports for vaccines that have been NIP funded for children in specific risk categories. Figure 4b includes adverse event reports for influenza vaccines. Superimposed on these graphs are descriptions of relevant important events in Australian immunisation policy, showing that in most cases, there were clear temporal relationships between these events and expected changes in the number of reports received for the vaccine(s) affected by each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282852" name="Picture 4" descr="Figure 4 comprises two line graphs showing the number of adverse event reports received each year for the &lt; 7 age group. Figure 4a shows adverse event reports for vaccines that have been NIP funded for children in specific risk categories. Figure 4b includes adverse event reports for influenza vaccines. Superimposed on these graphs are descriptions of relevant important events in Australian immunisation policy, showing that in most cases, there were clear temporal relationships between these events and expected changes in the number of reports received for the vaccine(s) affected by each event."/>
                    <pic:cNvPicPr/>
                  </pic:nvPicPr>
                  <pic:blipFill>
                    <a:blip r:embed="rId21">
                      <a:extLst>
                        <a:ext uri="{28A0092B-C50C-407E-A947-70E740481C1C}">
                          <a14:useLocalDpi xmlns:a14="http://schemas.microsoft.com/office/drawing/2010/main" val="0"/>
                        </a:ext>
                      </a:extLst>
                    </a:blip>
                    <a:stretch>
                      <a:fillRect/>
                    </a:stretch>
                  </pic:blipFill>
                  <pic:spPr>
                    <a:xfrm>
                      <a:off x="0" y="0"/>
                      <a:ext cx="5875200" cy="6397200"/>
                    </a:xfrm>
                    <a:prstGeom prst="rect">
                      <a:avLst/>
                    </a:prstGeom>
                  </pic:spPr>
                </pic:pic>
              </a:graphicData>
            </a:graphic>
          </wp:inline>
        </w:drawing>
      </w:r>
    </w:p>
    <w:p w14:paraId="019309CE" w14:textId="77777777" w:rsidR="00152BEE" w:rsidRPr="00152BEE" w:rsidRDefault="00152BEE" w:rsidP="00152BEE">
      <w:pPr>
        <w:pStyle w:val="CDITable-FirstFootnote"/>
        <w:rPr>
          <w:lang w:val="en-GB"/>
        </w:rPr>
      </w:pPr>
      <w:r w:rsidRPr="00152BEE">
        <w:rPr>
          <w:lang w:val="en-GB"/>
        </w:rPr>
        <w:t>a</w:t>
      </w:r>
      <w:r w:rsidRPr="00152BEE">
        <w:rPr>
          <w:lang w:val="en-GB"/>
        </w:rPr>
        <w:tab/>
        <w:t>Vaccines are selected for inclusion in figure 4 overall if they have been in use in the selected age group for ≥ 2 consecutive years, and if they are a) funded under the NIP for any population subgroup within the selected age group in 2022; b) one of the five most common vaccines associated with spontaneous AEFI reports in 2022; or c) have been implicated in a vaccine safety event of note from year 2000 onwards and/or have been implicated in a large proportion of historical spontaneous AEFI reports. For reports where the date of vaccination was not recorded, the date of symptom onset or the received date (when the event was reported to the sender of the case) was used. For more details on changes to immunisation programs (including the National Immunisation Program), please see Appendix A, Table A.1.</w:t>
      </w:r>
    </w:p>
    <w:p w14:paraId="00EBD6CB" w14:textId="7121F4D8" w:rsidR="00152BEE" w:rsidRPr="00152BEE" w:rsidRDefault="00152BEE" w:rsidP="00152BEE">
      <w:pPr>
        <w:pStyle w:val="CDITable-Footnote"/>
        <w:rPr>
          <w:lang w:val="en-GB"/>
        </w:rPr>
      </w:pPr>
      <w:r w:rsidRPr="00152BEE">
        <w:rPr>
          <w:lang w:val="en-GB"/>
        </w:rPr>
        <w:t>b</w:t>
      </w:r>
      <w:r w:rsidRPr="00152BEE">
        <w:rPr>
          <w:lang w:val="en-GB"/>
        </w:rPr>
        <w:tab/>
        <w:t xml:space="preserve">Event markers shown represent the following events: A: </w:t>
      </w:r>
      <w:proofErr w:type="spellStart"/>
      <w:r w:rsidRPr="00152BEE">
        <w:rPr>
          <w:lang w:val="en-GB"/>
        </w:rPr>
        <w:t>HepA</w:t>
      </w:r>
      <w:proofErr w:type="spellEnd"/>
      <w:r w:rsidRPr="00152BEE">
        <w:rPr>
          <w:lang w:val="en-GB"/>
        </w:rPr>
        <w:t xml:space="preserve"> program, for Aboriginal and Torres Strait Islander children in specific jurisdictions, co</w:t>
      </w:r>
      <w:r>
        <w:rPr>
          <w:lang w:val="en-GB"/>
        </w:rPr>
        <w:t>m</w:t>
      </w:r>
      <w:r w:rsidRPr="00152BEE">
        <w:rPr>
          <w:lang w:val="en-GB"/>
        </w:rPr>
        <w:t>menced; B: South Australian MenB program commenced; C: MenB program for Aboriginal and Torres Strait Islander children commenced; D: pandemic H1N1 influenza program commenced; E: temporary seasonal influenza vaccine suspension in children due to safety concern; F: state/territory seasonal influenza programs commenced.</w:t>
      </w:r>
    </w:p>
    <w:p w14:paraId="03E3B156" w14:textId="0AF3FFB4" w:rsidR="00152BEE" w:rsidRDefault="00152BEE" w:rsidP="00152BEE">
      <w:pPr>
        <w:pStyle w:val="CDITable-Footnote"/>
        <w:rPr>
          <w:lang w:val="en-GB"/>
        </w:rPr>
      </w:pPr>
      <w:r w:rsidRPr="00152BEE">
        <w:rPr>
          <w:lang w:val="en-GB"/>
        </w:rPr>
        <w:t>c</w:t>
      </w:r>
      <w:r w:rsidRPr="00152BEE">
        <w:rPr>
          <w:lang w:val="en-GB"/>
        </w:rPr>
        <w:tab/>
        <w:t>Seasonal std: standard formulation of the seasonal influenza vaccine.</w:t>
      </w:r>
      <w:r>
        <w:rPr>
          <w:lang w:val="en-GB"/>
        </w:rPr>
        <w:br w:type="page"/>
      </w:r>
    </w:p>
    <w:p w14:paraId="26D9F769" w14:textId="77777777" w:rsidR="00152BEE" w:rsidRPr="00152BEE" w:rsidRDefault="00152BEE" w:rsidP="00152BEE">
      <w:pPr>
        <w:pStyle w:val="CDIFigure-Title"/>
        <w:rPr>
          <w:lang w:val="en-GB"/>
        </w:rPr>
      </w:pPr>
      <w:bookmarkStart w:id="36" w:name="_Toc215491336"/>
      <w:r w:rsidRPr="00152BEE">
        <w:rPr>
          <w:lang w:val="en-GB"/>
        </w:rPr>
        <w:lastRenderedPageBreak/>
        <w:t xml:space="preserve">Figure 5: Adverse event following immunisation reports for selected vaccines </w:t>
      </w:r>
      <w:proofErr w:type="spellStart"/>
      <w:proofErr w:type="gramStart"/>
      <w:r w:rsidRPr="00152BEE">
        <w:rPr>
          <w:lang w:val="en-GB"/>
        </w:rPr>
        <w:t>only,</w:t>
      </w:r>
      <w:r w:rsidRPr="00152BEE">
        <w:rPr>
          <w:vertAlign w:val="superscript"/>
          <w:lang w:val="en-GB"/>
        </w:rPr>
        <w:t>a</w:t>
      </w:r>
      <w:proofErr w:type="gramEnd"/>
      <w:r w:rsidRPr="00152BEE">
        <w:rPr>
          <w:vertAlign w:val="superscript"/>
          <w:lang w:val="en-GB"/>
        </w:rPr>
        <w:t>,b</w:t>
      </w:r>
      <w:proofErr w:type="spellEnd"/>
      <w:r w:rsidRPr="00152BEE">
        <w:rPr>
          <w:lang w:val="en-GB"/>
        </w:rPr>
        <w:t xml:space="preserve"> for people aged 7 to 17 years in the Adverse Event Management System database from 2000 to 2022, by year and vaccine</w:t>
      </w:r>
      <w:bookmarkEnd w:id="36"/>
    </w:p>
    <w:p w14:paraId="66D23B56" w14:textId="3569FABE" w:rsidR="00152BEE" w:rsidRDefault="0073458A" w:rsidP="00152BEE">
      <w:pPr>
        <w:pStyle w:val="CDIFigure-Placeholder"/>
      </w:pPr>
      <w:r>
        <w:rPr>
          <w:noProof/>
          <w14:ligatures w14:val="none"/>
        </w:rPr>
        <w:drawing>
          <wp:inline distT="0" distB="0" distL="0" distR="0" wp14:anchorId="3DC51F18" wp14:editId="3F0D054E">
            <wp:extent cx="6120765" cy="4319905"/>
            <wp:effectExtent l="0" t="0" r="0" b="4445"/>
            <wp:docPr id="295823664" name="Picture 6" descr="Figure 5 is a line graph showing the number of adverse event reports received each year for the 7-17 age group, for each of the most frequently reported vaccines in this age group. Superimposed on this graph are descriptions of relevant important events in Australian immunisation policy, showing that in most cases, there were clear temporal relationships between these events and expected changes in the number of reports received for the vaccine(s) affected by each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3664" name="Picture 6" descr="Figure 5 is a line graph showing the number of adverse event reports received each year for the 7-17 age group, for each of the most frequently reported vaccines in this age group. Superimposed on this graph are descriptions of relevant important events in Australian immunisation policy, showing that in most cases, there were clear temporal relationships between these events and expected changes in the number of reports received for the vaccine(s) affected by each event."/>
                    <pic:cNvPicPr/>
                  </pic:nvPicPr>
                  <pic:blipFill>
                    <a:blip r:embed="rId22">
                      <a:extLst>
                        <a:ext uri="{28A0092B-C50C-407E-A947-70E740481C1C}">
                          <a14:useLocalDpi xmlns:a14="http://schemas.microsoft.com/office/drawing/2010/main" val="0"/>
                        </a:ext>
                      </a:extLst>
                    </a:blip>
                    <a:stretch>
                      <a:fillRect/>
                    </a:stretch>
                  </pic:blipFill>
                  <pic:spPr>
                    <a:xfrm>
                      <a:off x="0" y="0"/>
                      <a:ext cx="6120765" cy="4319905"/>
                    </a:xfrm>
                    <a:prstGeom prst="rect">
                      <a:avLst/>
                    </a:prstGeom>
                  </pic:spPr>
                </pic:pic>
              </a:graphicData>
            </a:graphic>
          </wp:inline>
        </w:drawing>
      </w:r>
    </w:p>
    <w:p w14:paraId="7D3CD06E" w14:textId="77777777" w:rsidR="00152BEE" w:rsidRPr="00152BEE" w:rsidRDefault="00152BEE" w:rsidP="00152BEE">
      <w:pPr>
        <w:pStyle w:val="CDITable-FirstFootnote"/>
        <w:rPr>
          <w:lang w:val="en-GB"/>
        </w:rPr>
      </w:pPr>
      <w:r w:rsidRPr="00152BEE">
        <w:rPr>
          <w:lang w:val="en-GB"/>
        </w:rPr>
        <w:t>a</w:t>
      </w:r>
      <w:r w:rsidRPr="00152BEE">
        <w:rPr>
          <w:lang w:val="en-GB"/>
        </w:rPr>
        <w:tab/>
        <w:t>Vaccines are selected for inclusion in figure 5 overall if they have been in use in the selected age group for ≥ 2 consecutive years, and if they are a) funded under the NIP for any population subgroup within the selected age group in 2022; b) one of the five most common vaccines associated with spontaneous AEFI reports in 2022; or c) have been implicated in a vaccine safety event of note from year 2000 onwards and/or have been implicated in a large proportion of historical spontaneous AEFI reports. For reports where the date of vaccination was not recorded, the date of symptom onset or the received date (when the event was reported to the sender of the case) was used. For more details on changes to immunisation programs (including the National Immunisation Program), please see Appendix A, Table A.1.</w:t>
      </w:r>
    </w:p>
    <w:p w14:paraId="21151562" w14:textId="77777777" w:rsidR="00152BEE" w:rsidRPr="00152BEE" w:rsidRDefault="00152BEE" w:rsidP="00152BEE">
      <w:pPr>
        <w:pStyle w:val="CDITable-Footnote"/>
        <w:rPr>
          <w:lang w:val="en-GB"/>
        </w:rPr>
      </w:pPr>
      <w:r w:rsidRPr="00152BEE">
        <w:rPr>
          <w:lang w:val="en-GB"/>
        </w:rPr>
        <w:t>b</w:t>
      </w:r>
      <w:r w:rsidRPr="00152BEE">
        <w:rPr>
          <w:lang w:val="en-GB"/>
        </w:rPr>
        <w:tab/>
        <w:t>Event markers shown represent the following events: A: MenC child/adolescent catch-up program commenced; B: HPV adolescent and catch-up programs commenced; C: HPV adolescent program (and catch-up) extended to males; D: state/territory MenACWY adolescent school-based programs commenced.</w:t>
      </w:r>
    </w:p>
    <w:p w14:paraId="2E4EA367" w14:textId="40D3B51E" w:rsidR="00152BEE" w:rsidRDefault="00152BEE" w:rsidP="00152BEE">
      <w:pPr>
        <w:pStyle w:val="CDITable-Footnote"/>
        <w:rPr>
          <w:lang w:val="en-GB"/>
        </w:rPr>
      </w:pPr>
      <w:r w:rsidRPr="00152BEE">
        <w:rPr>
          <w:lang w:val="en-GB"/>
        </w:rPr>
        <w:t>c</w:t>
      </w:r>
      <w:r w:rsidRPr="00152BEE">
        <w:rPr>
          <w:lang w:val="en-GB"/>
        </w:rPr>
        <w:tab/>
        <w:t>Seasonal std: standard formulation of the seasonal influenza vaccine.</w:t>
      </w:r>
      <w:r>
        <w:rPr>
          <w:lang w:val="en-GB"/>
        </w:rPr>
        <w:br w:type="page"/>
      </w:r>
    </w:p>
    <w:p w14:paraId="5DE52C03" w14:textId="77777777" w:rsidR="004C4762" w:rsidRPr="004C4762" w:rsidRDefault="004C4762" w:rsidP="004C4762">
      <w:pPr>
        <w:pStyle w:val="CDIFigure-Title"/>
        <w:rPr>
          <w:lang w:val="en-GB"/>
        </w:rPr>
      </w:pPr>
      <w:bookmarkStart w:id="37" w:name="_Toc215491337"/>
      <w:r w:rsidRPr="004C4762">
        <w:rPr>
          <w:lang w:val="en-GB"/>
        </w:rPr>
        <w:lastRenderedPageBreak/>
        <w:t xml:space="preserve">Figure 6: Adverse event following immunisation reports for selected vaccines </w:t>
      </w:r>
      <w:proofErr w:type="spellStart"/>
      <w:proofErr w:type="gramStart"/>
      <w:r w:rsidRPr="004C4762">
        <w:rPr>
          <w:lang w:val="en-GB"/>
        </w:rPr>
        <w:t>only,</w:t>
      </w:r>
      <w:r w:rsidRPr="004C4762">
        <w:rPr>
          <w:vertAlign w:val="superscript"/>
          <w:lang w:val="en-GB"/>
        </w:rPr>
        <w:t>a</w:t>
      </w:r>
      <w:proofErr w:type="gramEnd"/>
      <w:r w:rsidRPr="004C4762">
        <w:rPr>
          <w:vertAlign w:val="superscript"/>
          <w:lang w:val="en-GB"/>
        </w:rPr>
        <w:t>,b</w:t>
      </w:r>
      <w:proofErr w:type="spellEnd"/>
      <w:r w:rsidRPr="004C4762">
        <w:rPr>
          <w:lang w:val="en-GB"/>
        </w:rPr>
        <w:t xml:space="preserve"> for people aged 18 to 64 years in the Adverse Event Management System database from 2000 to 2022, by year and vaccine</w:t>
      </w:r>
      <w:bookmarkEnd w:id="37"/>
    </w:p>
    <w:p w14:paraId="0883D408" w14:textId="1F9A65F0" w:rsidR="00152BEE" w:rsidRPr="00152BEE" w:rsidRDefault="0073458A" w:rsidP="004C4762">
      <w:pPr>
        <w:pStyle w:val="CDIFigure-Placeholder"/>
        <w:rPr>
          <w:lang w:val="en-GB"/>
        </w:rPr>
      </w:pPr>
      <w:r>
        <w:rPr>
          <w:noProof/>
          <w:lang w:val="en-GB"/>
          <w14:ligatures w14:val="none"/>
        </w:rPr>
        <w:drawing>
          <wp:inline distT="0" distB="0" distL="0" distR="0" wp14:anchorId="01456376" wp14:editId="69DB5411">
            <wp:extent cx="6120765" cy="4319905"/>
            <wp:effectExtent l="0" t="0" r="0" b="4445"/>
            <wp:docPr id="1313830012" name="Picture 7" descr="Figure 6 is a line graph showing the number of adverse event reports received each year for the 18-64 age group, for each of the most frequently reported vaccines in this age group. In this age group, the number of adverse event reports following influenza vaccines far outnumber those for other vaccines. Superimposed on this graph are descriptions of relevant important events in Australian immunisation policy, showing a clear temporal relationship between these events and an expected change in the number of reports received for the vaccine(s) affected by each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830012" name="Picture 7" descr="Figure 6 is a line graph showing the number of adverse event reports received each year for the 18-64 age group, for each of the most frequently reported vaccines in this age group. In this age group, the number of adverse event reports following influenza vaccines far outnumber those for other vaccines. Superimposed on this graph are descriptions of relevant important events in Australian immunisation policy, showing a clear temporal relationship between these events and an expected change in the number of reports received for the vaccine(s) affected by each event."/>
                    <pic:cNvPicPr/>
                  </pic:nvPicPr>
                  <pic:blipFill>
                    <a:blip r:embed="rId23">
                      <a:extLst>
                        <a:ext uri="{28A0092B-C50C-407E-A947-70E740481C1C}">
                          <a14:useLocalDpi xmlns:a14="http://schemas.microsoft.com/office/drawing/2010/main" val="0"/>
                        </a:ext>
                      </a:extLst>
                    </a:blip>
                    <a:stretch>
                      <a:fillRect/>
                    </a:stretch>
                  </pic:blipFill>
                  <pic:spPr>
                    <a:xfrm>
                      <a:off x="0" y="0"/>
                      <a:ext cx="6120765" cy="4319905"/>
                    </a:xfrm>
                    <a:prstGeom prst="rect">
                      <a:avLst/>
                    </a:prstGeom>
                  </pic:spPr>
                </pic:pic>
              </a:graphicData>
            </a:graphic>
          </wp:inline>
        </w:drawing>
      </w:r>
    </w:p>
    <w:p w14:paraId="02151CA5" w14:textId="77777777" w:rsidR="004C4762" w:rsidRPr="004C4762" w:rsidRDefault="004C4762" w:rsidP="004C4762">
      <w:pPr>
        <w:pStyle w:val="CDITable-FirstFootnote"/>
        <w:rPr>
          <w:lang w:val="en-GB"/>
        </w:rPr>
      </w:pPr>
      <w:r w:rsidRPr="004C4762">
        <w:rPr>
          <w:lang w:val="en-GB"/>
        </w:rPr>
        <w:t>a</w:t>
      </w:r>
      <w:r w:rsidRPr="004C4762">
        <w:rPr>
          <w:lang w:val="en-GB"/>
        </w:rPr>
        <w:tab/>
        <w:t>Vaccines are selected for inclusion in figure 6 overall if they have been in use in the selected age group for ≥ 2 consecutive years, and if they are a) funded under the NIP for any population subgroup within the selected age group in 2022; b) one of the five most common vaccines associated with spontaneous AEFI reports in 2022; c) have been implicated in a vaccine safety event of note from year 2000 onwards and/or have been implicated in a large proportion of historical spontaneous AEFI reports; or d) provides useful information as a comparator to another vaccine included in the figure (for example: RZV as a comparator to ZVL). For reports where the date of vaccination was not recorded, the date of symptom onset or the received date (when the event was reported to the sender of the case) was used. For more details on changes to immunisation programs (including the National Immunisation Program), please see Appendix A, Table A.1.</w:t>
      </w:r>
    </w:p>
    <w:p w14:paraId="7EF88DF3" w14:textId="77777777" w:rsidR="004C4762" w:rsidRPr="004C4762" w:rsidRDefault="004C4762" w:rsidP="004C4762">
      <w:pPr>
        <w:pStyle w:val="CDITable-Footnote"/>
        <w:rPr>
          <w:lang w:val="en-GB"/>
        </w:rPr>
      </w:pPr>
      <w:r w:rsidRPr="004C4762">
        <w:rPr>
          <w:lang w:val="en-GB"/>
        </w:rPr>
        <w:t>b</w:t>
      </w:r>
      <w:r w:rsidRPr="004C4762">
        <w:rPr>
          <w:lang w:val="en-GB"/>
        </w:rPr>
        <w:tab/>
        <w:t>Event markers shown represent the following events: A: HPV adult catch-up program commenced; B: pandemic H1N1 influenza program commenced; C: older adult 13vPCV program commenced.</w:t>
      </w:r>
    </w:p>
    <w:p w14:paraId="206AA356" w14:textId="77777777" w:rsidR="004C4762" w:rsidRPr="004C4762" w:rsidRDefault="004C4762" w:rsidP="004C4762">
      <w:pPr>
        <w:pStyle w:val="CDITable-Footnote"/>
        <w:rPr>
          <w:lang w:val="en-GB"/>
        </w:rPr>
      </w:pPr>
      <w:r w:rsidRPr="004C4762">
        <w:rPr>
          <w:lang w:val="en-GB"/>
        </w:rPr>
        <w:t>c</w:t>
      </w:r>
      <w:r w:rsidRPr="004C4762">
        <w:rPr>
          <w:lang w:val="en-GB"/>
        </w:rPr>
        <w:tab/>
        <w:t>Seasonal std: standard formulation of the seasonal influenza vaccine.</w:t>
      </w:r>
    </w:p>
    <w:p w14:paraId="2EBECDF5" w14:textId="682D0744" w:rsidR="004C4762" w:rsidRDefault="004C4762" w:rsidP="004C4762">
      <w:pPr>
        <w:pStyle w:val="CDITable-Footnote"/>
        <w:rPr>
          <w:lang w:val="en-GB"/>
        </w:rPr>
      </w:pPr>
      <w:r w:rsidRPr="004C4762">
        <w:rPr>
          <w:lang w:val="en-GB"/>
        </w:rPr>
        <w:t>d</w:t>
      </w:r>
      <w:r w:rsidRPr="004C4762">
        <w:rPr>
          <w:lang w:val="en-GB"/>
        </w:rPr>
        <w:tab/>
        <w:t xml:space="preserve">Seasonal </w:t>
      </w:r>
      <w:proofErr w:type="spellStart"/>
      <w:r w:rsidRPr="004C4762">
        <w:rPr>
          <w:lang w:val="en-GB"/>
        </w:rPr>
        <w:t>hd</w:t>
      </w:r>
      <w:proofErr w:type="spellEnd"/>
      <w:r w:rsidRPr="004C4762">
        <w:rPr>
          <w:lang w:val="en-GB"/>
        </w:rPr>
        <w:t>: high-dose or adjuvanted formulation of the seasonal influenza vaccine.</w:t>
      </w:r>
      <w:r>
        <w:rPr>
          <w:lang w:val="en-GB"/>
        </w:rPr>
        <w:br w:type="page"/>
      </w:r>
    </w:p>
    <w:p w14:paraId="386A1C08" w14:textId="77777777" w:rsidR="004C4762" w:rsidRPr="004C4762" w:rsidRDefault="004C4762" w:rsidP="004C4762">
      <w:pPr>
        <w:pStyle w:val="CDIFigure-Title"/>
        <w:rPr>
          <w:lang w:val="en-GB"/>
        </w:rPr>
      </w:pPr>
      <w:bookmarkStart w:id="38" w:name="_Toc215491338"/>
      <w:r w:rsidRPr="004C4762">
        <w:rPr>
          <w:lang w:val="en-GB"/>
        </w:rPr>
        <w:lastRenderedPageBreak/>
        <w:t xml:space="preserve">Figure 7: Adverse event following immunisation reports, for selected vaccines </w:t>
      </w:r>
      <w:proofErr w:type="spellStart"/>
      <w:proofErr w:type="gramStart"/>
      <w:r w:rsidRPr="004C4762">
        <w:rPr>
          <w:lang w:val="en-GB"/>
        </w:rPr>
        <w:t>only,</w:t>
      </w:r>
      <w:r w:rsidRPr="004C4762">
        <w:rPr>
          <w:vertAlign w:val="superscript"/>
          <w:lang w:val="en-GB"/>
        </w:rPr>
        <w:t>a</w:t>
      </w:r>
      <w:proofErr w:type="gramEnd"/>
      <w:r w:rsidRPr="004C4762">
        <w:rPr>
          <w:vertAlign w:val="superscript"/>
          <w:lang w:val="en-GB"/>
        </w:rPr>
        <w:t>,b</w:t>
      </w:r>
      <w:proofErr w:type="spellEnd"/>
      <w:r w:rsidRPr="004C4762">
        <w:rPr>
          <w:lang w:val="en-GB"/>
        </w:rPr>
        <w:t xml:space="preserve"> for people aged ≥ 65 years in the Adverse Event Management System database from 2000 to 2022, by year and vaccine</w:t>
      </w:r>
      <w:bookmarkEnd w:id="38"/>
    </w:p>
    <w:p w14:paraId="07CC18FC" w14:textId="366F1B02" w:rsidR="004C4762" w:rsidRPr="004C4762" w:rsidRDefault="0073458A" w:rsidP="004C4762">
      <w:pPr>
        <w:pStyle w:val="CDIFigure-Placeholder"/>
        <w:rPr>
          <w:lang w:val="en-GB"/>
        </w:rPr>
      </w:pPr>
      <w:r>
        <w:rPr>
          <w:noProof/>
          <w:lang w:val="en-GB"/>
          <w14:ligatures w14:val="none"/>
        </w:rPr>
        <w:drawing>
          <wp:inline distT="0" distB="0" distL="0" distR="0" wp14:anchorId="5F6BFFAE" wp14:editId="28B2C13D">
            <wp:extent cx="6120765" cy="4274185"/>
            <wp:effectExtent l="0" t="0" r="0" b="0"/>
            <wp:docPr id="921955427" name="Picture 8" descr="Figure 7 is a line graph showing the number of adverse event reports received each year for the ≥65 age group, for each of the most frequently reported vaccines in this age group. Superimposed on this graph are descriptions of relevant important events in Australian immunisation policy, showing a clear temporal relationship between these events and an expected change in the number of reports received for the vaccine(s) affected by each event. In particular, new population-based vaccination programs have been associated with a transient rise in the number of AEFI reports for the introduced vac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55427" name="Picture 8" descr="Figure 7 is a line graph showing the number of adverse event reports received each year for the ≥65 age group, for each of the most frequently reported vaccines in this age group. Superimposed on this graph are descriptions of relevant important events in Australian immunisation policy, showing a clear temporal relationship between these events and an expected change in the number of reports received for the vaccine(s) affected by each event. In particular, new population-based vaccination programs have been associated with a transient rise in the number of AEFI reports for the introduced vaccine."/>
                    <pic:cNvPicPr/>
                  </pic:nvPicPr>
                  <pic:blipFill>
                    <a:blip r:embed="rId24">
                      <a:extLst>
                        <a:ext uri="{28A0092B-C50C-407E-A947-70E740481C1C}">
                          <a14:useLocalDpi xmlns:a14="http://schemas.microsoft.com/office/drawing/2010/main" val="0"/>
                        </a:ext>
                      </a:extLst>
                    </a:blip>
                    <a:stretch>
                      <a:fillRect/>
                    </a:stretch>
                  </pic:blipFill>
                  <pic:spPr>
                    <a:xfrm>
                      <a:off x="0" y="0"/>
                      <a:ext cx="6120765" cy="4274185"/>
                    </a:xfrm>
                    <a:prstGeom prst="rect">
                      <a:avLst/>
                    </a:prstGeom>
                  </pic:spPr>
                </pic:pic>
              </a:graphicData>
            </a:graphic>
          </wp:inline>
        </w:drawing>
      </w:r>
    </w:p>
    <w:p w14:paraId="0E94F883" w14:textId="77777777" w:rsidR="004C4762" w:rsidRPr="004C4762" w:rsidRDefault="004C4762" w:rsidP="004C4762">
      <w:pPr>
        <w:pStyle w:val="CDITable-Footnote"/>
        <w:rPr>
          <w:lang w:val="en-GB"/>
        </w:rPr>
      </w:pPr>
      <w:r w:rsidRPr="004C4762">
        <w:rPr>
          <w:lang w:val="en-GB"/>
        </w:rPr>
        <w:t>a</w:t>
      </w:r>
      <w:r w:rsidRPr="004C4762">
        <w:rPr>
          <w:lang w:val="en-GB"/>
        </w:rPr>
        <w:tab/>
        <w:t>Vaccines are selected for inclusion in figure 7 overall if they have been in use in the selected age group for ≥ 2 consecutive years, and if they are a) funded under the NIP for any population subgroup within the selected age group in 2022; b) one of the five most common vaccines associated with spontaneous AEFI reports in 2022; c) have been implicated in a vaccine safety event of note from year 2000 onwards and/or have been implicated in a large proportion of historical spontaneous AEFI reports; or d) provides useful information as a comparator to another vaccine included in the figure (for example: RZV as a comparator to ZVL). For reports where the date of vaccination was not recorded, the date of symptom onset or the received date (when the event was reported to the sender of the case) was used. For more details on changes to immunisation programs (including the National Immunisation Program), please see Appendix A, Table A.1.</w:t>
      </w:r>
    </w:p>
    <w:p w14:paraId="040E6FD8" w14:textId="77777777" w:rsidR="004C4762" w:rsidRPr="004C4762" w:rsidRDefault="004C4762" w:rsidP="004C4762">
      <w:pPr>
        <w:pStyle w:val="CDITable-Footnote"/>
        <w:rPr>
          <w:lang w:val="en-GB"/>
        </w:rPr>
      </w:pPr>
      <w:r w:rsidRPr="004C4762">
        <w:rPr>
          <w:lang w:val="en-GB"/>
        </w:rPr>
        <w:t>b</w:t>
      </w:r>
      <w:r w:rsidRPr="004C4762">
        <w:rPr>
          <w:lang w:val="en-GB"/>
        </w:rPr>
        <w:tab/>
        <w:t>Event markers shown represent the following events: A: pandemic H1N1 influenza program commenced; B: TGA issued recall for 23vPPV batch N3336; C: zoster (ZVL) and catch-up programs commenced; D: high-dose and adjuvanted formulations added to seasonal influenza program; E: older adult 13vPCV program commenced, changes made to 23vPPV program.</w:t>
      </w:r>
    </w:p>
    <w:p w14:paraId="38E55210" w14:textId="77777777" w:rsidR="004C4762" w:rsidRPr="004C4762" w:rsidRDefault="004C4762" w:rsidP="004C4762">
      <w:pPr>
        <w:pStyle w:val="CDITable-Footnote"/>
        <w:rPr>
          <w:lang w:val="en-GB"/>
        </w:rPr>
      </w:pPr>
      <w:r w:rsidRPr="004C4762">
        <w:rPr>
          <w:lang w:val="en-GB"/>
        </w:rPr>
        <w:t>c</w:t>
      </w:r>
      <w:r w:rsidRPr="004C4762">
        <w:rPr>
          <w:lang w:val="en-GB"/>
        </w:rPr>
        <w:tab/>
        <w:t>Seasonal std: standard formulation of the seasonal influenza vaccine.</w:t>
      </w:r>
    </w:p>
    <w:p w14:paraId="4B8AA501" w14:textId="568B4CC7" w:rsidR="004C4762" w:rsidRDefault="004C4762" w:rsidP="004C4762">
      <w:pPr>
        <w:pStyle w:val="CDITable-Footnote"/>
        <w:rPr>
          <w:lang w:val="en-GB"/>
        </w:rPr>
      </w:pPr>
      <w:r w:rsidRPr="004C4762">
        <w:rPr>
          <w:lang w:val="en-GB"/>
        </w:rPr>
        <w:t>d</w:t>
      </w:r>
      <w:r w:rsidRPr="004C4762">
        <w:rPr>
          <w:lang w:val="en-GB"/>
        </w:rPr>
        <w:tab/>
        <w:t xml:space="preserve">Seasonal </w:t>
      </w:r>
      <w:proofErr w:type="spellStart"/>
      <w:r w:rsidRPr="004C4762">
        <w:rPr>
          <w:lang w:val="en-GB"/>
        </w:rPr>
        <w:t>hd</w:t>
      </w:r>
      <w:proofErr w:type="spellEnd"/>
      <w:r w:rsidRPr="004C4762">
        <w:rPr>
          <w:lang w:val="en-GB"/>
        </w:rPr>
        <w:t>: high-dose or adjuvanted formulation of the seasonal influenza vaccine.</w:t>
      </w:r>
      <w:r>
        <w:rPr>
          <w:lang w:val="en-GB"/>
        </w:rPr>
        <w:br w:type="page"/>
      </w:r>
    </w:p>
    <w:p w14:paraId="09B9B209" w14:textId="77777777" w:rsidR="004C4762" w:rsidRPr="004C4762" w:rsidRDefault="004C4762" w:rsidP="004C4762">
      <w:pPr>
        <w:pStyle w:val="Heading2"/>
        <w:rPr>
          <w:lang w:val="en-GB"/>
        </w:rPr>
      </w:pPr>
      <w:r w:rsidRPr="004C4762">
        <w:rPr>
          <w:lang w:val="en-GB"/>
        </w:rPr>
        <w:lastRenderedPageBreak/>
        <w:t>Serious adverse events</w:t>
      </w:r>
    </w:p>
    <w:p w14:paraId="33EFC0A3" w14:textId="77777777" w:rsidR="004C4762" w:rsidRPr="004C4762" w:rsidRDefault="004C4762" w:rsidP="004C4762">
      <w:pPr>
        <w:rPr>
          <w:lang w:val="en-GB"/>
        </w:rPr>
      </w:pPr>
      <w:r w:rsidRPr="004C4762">
        <w:rPr>
          <w:lang w:val="en-GB"/>
        </w:rPr>
        <w:t>Most AEFI reports in 2022 (2,983 reports; 81.9%) were coded as non-serious (Figure 1). However, the remaining 659 (18.1%) AEFI reports, classified as serious, represented an increase compared to 2021, where 6.5% of all AEFI reports received a serious designation.</w:t>
      </w:r>
      <w:r w:rsidRPr="004C4762">
        <w:rPr>
          <w:vertAlign w:val="superscript"/>
          <w:lang w:val="en-GB"/>
        </w:rPr>
        <w:t>5</w:t>
      </w:r>
      <w:r w:rsidRPr="004C4762">
        <w:rPr>
          <w:lang w:val="en-GB"/>
        </w:rPr>
        <w:t xml:space="preserve"> </w:t>
      </w:r>
    </w:p>
    <w:p w14:paraId="0FBDFDFE" w14:textId="08CBF0C1" w:rsidR="004C4762" w:rsidRPr="004C4762" w:rsidRDefault="004C4762" w:rsidP="004C4762">
      <w:pPr>
        <w:rPr>
          <w:lang w:val="en-GB"/>
        </w:rPr>
      </w:pPr>
      <w:r w:rsidRPr="004C4762">
        <w:rPr>
          <w:lang w:val="en-GB"/>
        </w:rPr>
        <w:t>Vaccines with the highest counts of serious reports were unspecified zoster (278 serious reports; 99.6% for vaccine; Table 3), standard-formulation seasonal influenza (74; 9.4%), rotavirus (67;</w:t>
      </w:r>
      <w:r w:rsidR="0073458A">
        <w:rPr>
          <w:lang w:val="en-GB"/>
        </w:rPr>
        <w:t> </w:t>
      </w:r>
      <w:r w:rsidRPr="004C4762">
        <w:rPr>
          <w:lang w:val="en-GB"/>
        </w:rPr>
        <w:t>16.5%), varicella (58; 71.6%) and 13vPCV (50; 11.0%; Table 3). Of note, all 278 reports of serious adverse events following an unspecified zoster vaccine were reported by a pharmaceutical company, with the accompanying free text case narrative nominating a social media page as the source of information. This was also the case for 54 of the 58 serious adverse events following varicella vaccine.</w:t>
      </w:r>
    </w:p>
    <w:p w14:paraId="06C5A569" w14:textId="77777777" w:rsidR="004C4762" w:rsidRPr="004C4762" w:rsidRDefault="004C4762" w:rsidP="004C4762">
      <w:pPr>
        <w:rPr>
          <w:lang w:val="en-GB"/>
        </w:rPr>
      </w:pPr>
      <w:r w:rsidRPr="004C4762">
        <w:rPr>
          <w:lang w:val="en-GB"/>
        </w:rPr>
        <w:t>The PT/SMQ associated with the highest count of serious adverse events was ‘lack of efficacy / effect’ (370 serious reports, 98.7% of reports for this PT/SMQ; Table 4). Notably, 341 of these reports also contained the term ‘herpes zoster</w:t>
      </w:r>
      <w:proofErr w:type="gramStart"/>
      <w:r w:rsidRPr="004C4762">
        <w:rPr>
          <w:lang w:val="en-GB"/>
        </w:rPr>
        <w:t>’, and</w:t>
      </w:r>
      <w:proofErr w:type="gramEnd"/>
      <w:r w:rsidRPr="004C4762">
        <w:rPr>
          <w:lang w:val="en-GB"/>
        </w:rPr>
        <w:t xml:space="preserve"> were submitted by the same pharmaceutical company as above, with the source of information attributed to social media. </w:t>
      </w:r>
    </w:p>
    <w:p w14:paraId="67676018" w14:textId="77777777" w:rsidR="004C4762" w:rsidRPr="004C4762" w:rsidRDefault="004C4762" w:rsidP="004C4762">
      <w:pPr>
        <w:rPr>
          <w:lang w:val="en-GB"/>
        </w:rPr>
      </w:pPr>
      <w:r w:rsidRPr="004C4762">
        <w:rPr>
          <w:lang w:val="en-GB"/>
        </w:rPr>
        <w:t>When all reports with a social media source were excluded, the remaining 293 serious AEFI reports represented 8.0% of all AEFI reported in 2022, which was more closely aligned with the 2021 findings. The standard-formulation seasonal influenza vaccine then became the vaccine associated with the highest count of serious adverse event reports (73 reports). With the exclusion of reports originating from social media, the PT/SMQ associated with the highest count of serious adverse events was the MedDRA SMQ grouping of ‘gastrointestinal non-specific symptoms and therapeutic procedures’ (54 serious reports; 11.0% of reports for this PT/SMQ) followed by pyrexia (49 serious reports; 9.6% for this PT/SMQ), reflecting both the total number of AEFI reported (both serious and non-serious) for each PT/SMQ in 2022, and the trends observed in 2021.</w:t>
      </w:r>
    </w:p>
    <w:p w14:paraId="03DE6658" w14:textId="77777777" w:rsidR="004C4762" w:rsidRPr="004C4762" w:rsidRDefault="004C4762" w:rsidP="004C4762">
      <w:pPr>
        <w:rPr>
          <w:lang w:val="en-GB"/>
        </w:rPr>
      </w:pPr>
      <w:r w:rsidRPr="004C4762">
        <w:rPr>
          <w:lang w:val="en-GB"/>
        </w:rPr>
        <w:t>Thirteen adverse events with a fatal outcome were reported to the TGA following a non-COVID-19 vaccine in 2022. The reports involved a range of combinations of child and adult vaccines. Five deaths occurred in infants (all aged less than 12 months), five deaths occurred in adults (age range 55 to 78 years, median age 74 years), and three deaths occurred in individuals whose age and date of birth were not known. None of the 13 deaths were determined, following detailed TGA review, to be causally related to the vaccine(s) received.</w:t>
      </w:r>
    </w:p>
    <w:p w14:paraId="0608E77C" w14:textId="77777777" w:rsidR="004C4762" w:rsidRPr="004C4762" w:rsidRDefault="004C4762" w:rsidP="004C4762">
      <w:pPr>
        <w:rPr>
          <w:lang w:val="en-GB"/>
        </w:rPr>
      </w:pPr>
      <w:r w:rsidRPr="004C4762">
        <w:rPr>
          <w:lang w:val="en-GB"/>
        </w:rPr>
        <w:t xml:space="preserve">Of the five reports with a fatal outcome in infants, three were referred to the coroner, who did not identify a link to vaccination. The fourth case was reported as having occurred in the 1980s, with insufficient information available for further assessment by the TGA. The final case was submitted by a pharmaceutical sponsor, with the cited source being a case report published in the academic </w:t>
      </w:r>
      <w:proofErr w:type="gramStart"/>
      <w:r w:rsidRPr="004C4762">
        <w:rPr>
          <w:lang w:val="en-GB"/>
        </w:rPr>
        <w:t>literature, and</w:t>
      </w:r>
      <w:proofErr w:type="gramEnd"/>
      <w:r w:rsidRPr="004C4762">
        <w:rPr>
          <w:lang w:val="en-GB"/>
        </w:rPr>
        <w:t xml:space="preserve"> occurred in a child with medical comorbidities that were already listed within the ‘Special warnings and precautions for use’ section of the product information (PI) for the vaccine that was nominated in the adverse event report.</w:t>
      </w:r>
    </w:p>
    <w:p w14:paraId="1EA5254A" w14:textId="77777777" w:rsidR="004C4762" w:rsidRPr="004C4762" w:rsidRDefault="004C4762" w:rsidP="004C4762">
      <w:pPr>
        <w:rPr>
          <w:lang w:val="en-GB"/>
        </w:rPr>
      </w:pPr>
      <w:r w:rsidRPr="004C4762">
        <w:rPr>
          <w:lang w:val="en-GB"/>
        </w:rPr>
        <w:t>Of the five reports with a fatal outcome in adults, two described deaths from conditions not associated with the vaccine(s) administered, two described deaths from conditions with other possible causes for the event, and one contained insufficient information to fully assess the case and determine an association with the vaccine.</w:t>
      </w:r>
    </w:p>
    <w:p w14:paraId="409445EC" w14:textId="77777777" w:rsidR="004C4762" w:rsidRPr="004C4762" w:rsidRDefault="004C4762" w:rsidP="004C4762">
      <w:pPr>
        <w:rPr>
          <w:lang w:val="en-GB"/>
        </w:rPr>
      </w:pPr>
      <w:r w:rsidRPr="004C4762">
        <w:rPr>
          <w:lang w:val="en-GB"/>
        </w:rPr>
        <w:t>All three of the reports involving individuals without a documented age or date of birth were identified from a social media service and contained insufficient information to fully assess the case and determine an association with the vaccine.</w:t>
      </w:r>
    </w:p>
    <w:p w14:paraId="134B57DD" w14:textId="77777777" w:rsidR="004C4762" w:rsidRPr="004C4762" w:rsidRDefault="004C4762" w:rsidP="004C4762">
      <w:pPr>
        <w:rPr>
          <w:lang w:val="en-GB"/>
        </w:rPr>
      </w:pPr>
      <w:r w:rsidRPr="004C4762">
        <w:rPr>
          <w:lang w:val="en-GB"/>
        </w:rPr>
        <w:lastRenderedPageBreak/>
        <w:t xml:space="preserve">Reporting of a death to the TGA does not mean that the vaccine caused the death, or that the individual completing the report considers that the death was caused by a vaccine. The TGA strongly encourages consumers and health professionals to report suspected adverse events, particularly serious or fatal events, regardless of the likelihood that the vaccine was the cause of an individual’s death. The TGA reviews all AEFI reports where a fatal outcome is reported (additional details in Methods section). </w:t>
      </w:r>
    </w:p>
    <w:p w14:paraId="2AEEBBF7" w14:textId="72ACF680" w:rsidR="00953BC9" w:rsidRPr="00953BC9" w:rsidRDefault="004C4762" w:rsidP="00953BC9">
      <w:r w:rsidRPr="004C4762">
        <w:rPr>
          <w:lang w:val="en-GB"/>
        </w:rPr>
        <w:t xml:space="preserve">All reports, including fatal reports, are de-identified and published in the </w:t>
      </w:r>
      <w:r w:rsidRPr="004C4762">
        <w:rPr>
          <w:i/>
          <w:iCs/>
          <w:lang w:val="en-GB"/>
        </w:rPr>
        <w:t>Database of Adverse Event Notification (DAEN)—medicines</w:t>
      </w:r>
      <w:r w:rsidRPr="004C4762">
        <w:rPr>
          <w:lang w:val="en-GB"/>
        </w:rPr>
        <w:t>.</w:t>
      </w:r>
      <w:r w:rsidRPr="004C4762">
        <w:rPr>
          <w:vertAlign w:val="superscript"/>
          <w:lang w:val="en-GB"/>
        </w:rPr>
        <w:t>21</w:t>
      </w:r>
      <w:r w:rsidRPr="004C4762">
        <w:rPr>
          <w:lang w:val="en-GB"/>
        </w:rPr>
        <w:t xml:space="preserve"> Publication of a report in the DAEN—medicines </w:t>
      </w:r>
      <w:proofErr w:type="gramStart"/>
      <w:r w:rsidRPr="004C4762">
        <w:rPr>
          <w:lang w:val="en-GB"/>
        </w:rPr>
        <w:t>does</w:t>
      </w:r>
      <w:proofErr w:type="gramEnd"/>
      <w:r w:rsidRPr="004C4762">
        <w:rPr>
          <w:lang w:val="en-GB"/>
        </w:rPr>
        <w:t xml:space="preserve"> not mean that the vaccine caused the adverse event. All reports of death are also included in the TGA safety monitoring data, even if a coroner or expert panel has concluded that the death is unrelated to vaccination. </w:t>
      </w:r>
    </w:p>
    <w:p w14:paraId="10447B6F" w14:textId="77777777" w:rsidR="006E0B0E" w:rsidRDefault="008017B6" w:rsidP="008017B6">
      <w:pPr>
        <w:pStyle w:val="Heading1"/>
      </w:pPr>
      <w:bookmarkStart w:id="39" w:name="_Toc195519590"/>
      <w:bookmarkStart w:id="40" w:name="_Toc195522359"/>
      <w:bookmarkStart w:id="41" w:name="_Toc215477405"/>
      <w:r>
        <w:lastRenderedPageBreak/>
        <w:t>Discussion</w:t>
      </w:r>
      <w:bookmarkEnd w:id="41"/>
    </w:p>
    <w:p w14:paraId="029821E9" w14:textId="77777777" w:rsidR="0073458A" w:rsidRPr="0073458A" w:rsidRDefault="0073458A" w:rsidP="0073458A">
      <w:pPr>
        <w:rPr>
          <w:lang w:val="en-GB"/>
        </w:rPr>
      </w:pPr>
      <w:r w:rsidRPr="0073458A">
        <w:rPr>
          <w:lang w:val="en-GB"/>
        </w:rPr>
        <w:t xml:space="preserve">In 2022, the annual AEFI reporting rate for non-COVID-19 vaccines was 14.0 per 100,000 population. This population-based rate represented a slight increase from </w:t>
      </w:r>
      <w:proofErr w:type="gramStart"/>
      <w:r w:rsidRPr="0073458A">
        <w:rPr>
          <w:lang w:val="en-GB"/>
        </w:rPr>
        <w:t>2021, but</w:t>
      </w:r>
      <w:proofErr w:type="gramEnd"/>
      <w:r w:rsidRPr="0073458A">
        <w:rPr>
          <w:lang w:val="en-GB"/>
        </w:rPr>
        <w:t xml:space="preserve"> remained below the rates observed in the years immediately preceding the COVID-19 pandemic.</w:t>
      </w:r>
    </w:p>
    <w:p w14:paraId="21599368" w14:textId="77777777" w:rsidR="0073458A" w:rsidRPr="0073458A" w:rsidRDefault="0073458A" w:rsidP="0073458A">
      <w:pPr>
        <w:rPr>
          <w:lang w:val="en-GB"/>
        </w:rPr>
      </w:pPr>
      <w:r w:rsidRPr="0073458A">
        <w:rPr>
          <w:lang w:val="en-GB"/>
        </w:rPr>
        <w:t xml:space="preserve">As was the case in previous years, the highest AEFI reporting rate per 100,000 population was observed in children &lt; 7 years of age, reflecting the fact that more doses of vaccines are typically administered to </w:t>
      </w:r>
      <w:proofErr w:type="gramStart"/>
      <w:r w:rsidRPr="0073458A">
        <w:rPr>
          <w:lang w:val="en-GB"/>
        </w:rPr>
        <w:t>each individual</w:t>
      </w:r>
      <w:proofErr w:type="gramEnd"/>
      <w:r w:rsidRPr="0073458A">
        <w:rPr>
          <w:lang w:val="en-GB"/>
        </w:rPr>
        <w:t xml:space="preserve"> in this age group.</w:t>
      </w:r>
    </w:p>
    <w:p w14:paraId="0478CA42" w14:textId="77777777" w:rsidR="0073458A" w:rsidRPr="0073458A" w:rsidRDefault="0073458A" w:rsidP="0073458A">
      <w:pPr>
        <w:rPr>
          <w:lang w:val="en-GB"/>
        </w:rPr>
      </w:pPr>
      <w:r w:rsidRPr="0073458A">
        <w:rPr>
          <w:lang w:val="en-GB"/>
        </w:rPr>
        <w:t>The vaccines with the highest counts of AEFI reports in each age group remained the same in 2022 as in 2021. However, the reporting rates per 100,000 doses were lower in 2022 for most vaccines. This may be related to more doses of vaccines being administered in the ≥ 7 years age groups. Additionally, there were larger than usual numbers of reports where the vaccine was not clearly identified (such as unspecified zoster, pneumococcal and tetanus-containing vaccines), which do not correspond to specific dose count denominators from the AIR to allow calculation of reliable reporting rates per 100,000 doses.</w:t>
      </w:r>
    </w:p>
    <w:p w14:paraId="28F3EAC5" w14:textId="77777777" w:rsidR="0073458A" w:rsidRPr="0073458A" w:rsidRDefault="0073458A" w:rsidP="0073458A">
      <w:pPr>
        <w:rPr>
          <w:lang w:val="en-GB"/>
        </w:rPr>
      </w:pPr>
      <w:r w:rsidRPr="0073458A">
        <w:rPr>
          <w:lang w:val="en-GB"/>
        </w:rPr>
        <w:t>Many of the reports of unspecified vaccines arose from pharmaceutical sponsors, where sources such as consumer self-reports on social media channels monitored by the sponsor may have led to onward AEFI reporting to the TGA. All reports sourced in this manner in 2022 were classified as serious, however, this was based on limited information which was generally unable to be further verified. Reporting from social media sources resulted in an inflation of serious adverse events for specific vaccines and MedDRA terms. While pharmaceutical companies are required to report any AEFI detected through their surveillance mechanisms, including social media channels, to the TGA, reports from social media sources tend to be of lower quality as they often contain limited information, and it is not possible to identify and contact either the patient or a treating clinician to obtain missing information.</w:t>
      </w:r>
    </w:p>
    <w:p w14:paraId="30824229" w14:textId="77777777" w:rsidR="0073458A" w:rsidRPr="0073458A" w:rsidRDefault="0073458A" w:rsidP="0073458A">
      <w:pPr>
        <w:rPr>
          <w:lang w:val="en-GB"/>
        </w:rPr>
      </w:pPr>
      <w:r w:rsidRPr="0073458A">
        <w:rPr>
          <w:lang w:val="en-GB"/>
        </w:rPr>
        <w:t>The events of 2022 also included two outbreaks of vaccine-preventable diseases (VPDs) that had not previously had significant circulation in Australia: mpox and Japanese encephalitis. Vaccination was used as a prevention and control strategy for both outbreaks, resulting in the introduction of the MVA-BN vaccine to Australia, and an increased use of existing Japanese encephalitis vaccines. The rollout of MVA-BN vaccination programs was reflected in the adverse event reporting observed in the age groups where most vaccine doses were administered. The most frequently reported adverse events for the MVA-BN vaccine were injection site reaction, headache, chest pain, dyspnoea, and nonspecific gastrointestinal symptoms. Of these, injection site reaction, headache, and nonspecific gastrointestinal symptoms were identified as very common in clinical trial data and included in the PI for MVA-BN.</w:t>
      </w:r>
      <w:r w:rsidRPr="0073458A">
        <w:rPr>
          <w:vertAlign w:val="superscript"/>
          <w:lang w:val="en-GB"/>
        </w:rPr>
        <w:t>23</w:t>
      </w:r>
      <w:r w:rsidRPr="0073458A">
        <w:rPr>
          <w:lang w:val="en-GB"/>
        </w:rPr>
        <w:t xml:space="preserve"> Chest pain and dyspnoea were not listed in the PI as pre-licensure adverse events. A review of global post-marketing data undertaken by the pharmaceutical sponsor showed that with more than 1.7 million doses of vaccine administered worldwide, the frequencies of acute myocardial infarction, myocarditis, and pericarditis were each lower than 1 event per 100,000 doses, which was consistent with rates observed in clinical trials.</w:t>
      </w:r>
      <w:r w:rsidRPr="0073458A">
        <w:rPr>
          <w:vertAlign w:val="superscript"/>
          <w:lang w:val="en-GB"/>
        </w:rPr>
        <w:t>24</w:t>
      </w:r>
      <w:r w:rsidRPr="0073458A">
        <w:rPr>
          <w:lang w:val="en-GB"/>
        </w:rPr>
        <w:t xml:space="preserve"> </w:t>
      </w:r>
    </w:p>
    <w:p w14:paraId="1030FA63" w14:textId="77777777" w:rsidR="0073458A" w:rsidRPr="0073458A" w:rsidRDefault="0073458A" w:rsidP="0073458A">
      <w:pPr>
        <w:rPr>
          <w:lang w:val="en-GB"/>
        </w:rPr>
      </w:pPr>
      <w:r w:rsidRPr="0073458A">
        <w:rPr>
          <w:lang w:val="en-GB"/>
        </w:rPr>
        <w:t>While there was a slight increase in the number of AEFI reports for the live and inactivated Japanese encephalitis vaccines compared to previous years, there were insufficient reports for either vaccine for useful analysis of the frequencies of each reported adverse event. Additionally in 2022, there was an expansion in jurisdictional eligibility for funded influenza vaccines.</w:t>
      </w:r>
      <w:r w:rsidRPr="0073458A">
        <w:rPr>
          <w:vertAlign w:val="superscript"/>
          <w:lang w:val="en-GB"/>
        </w:rPr>
        <w:t>7,25</w:t>
      </w:r>
      <w:r w:rsidRPr="0073458A">
        <w:rPr>
          <w:lang w:val="en-GB"/>
        </w:rPr>
        <w:t xml:space="preserve"> This change was reflected in corresponding increases, both in the number of influenza vaccine doses </w:t>
      </w:r>
      <w:r w:rsidRPr="0073458A">
        <w:rPr>
          <w:lang w:val="en-GB"/>
        </w:rPr>
        <w:lastRenderedPageBreak/>
        <w:t>administered, and in AEFI reports following influenza vaccines, resulting in similar or lower AEFI reporting rates per 100,000 doses administered in each age group (Table 1).</w:t>
      </w:r>
    </w:p>
    <w:p w14:paraId="42025320" w14:textId="77777777" w:rsidR="0073458A" w:rsidRPr="0073458A" w:rsidRDefault="0073458A" w:rsidP="0073458A">
      <w:pPr>
        <w:rPr>
          <w:lang w:val="en-GB"/>
        </w:rPr>
      </w:pPr>
      <w:r w:rsidRPr="0073458A">
        <w:rPr>
          <w:lang w:val="en-GB"/>
        </w:rPr>
        <w:t xml:space="preserve">Hypersensitivity was the most frequently reported non-COVID-19 AEFI in 2022 (19.0% of all AEFI reports), moving from being second most frequent in 2021. Notably, medication (vaccination) errors were in second place, featuring in 18.6% of all non-COVID-19 AEFI reports, and relatively evenly spread across the &lt; 7 years and ≥ 7 years age groups. Most vaccine error reports were not associated with reports of accompanying adverse events, potentially indicating that most errors did not result in adverse outcomes at the time of reporting the vaccination error (we note nonetheless that this does not preclude AEFI developing subsequently; it is possible to update a previously submitted report with emerging developments, and health professionals are encouraged to do so). State and territory health departments investigate and address vaccination error reports where necessary. </w:t>
      </w:r>
    </w:p>
    <w:p w14:paraId="6E3BBE13" w14:textId="77777777" w:rsidR="0073458A" w:rsidRPr="0073458A" w:rsidRDefault="0073458A" w:rsidP="0073458A">
      <w:pPr>
        <w:rPr>
          <w:lang w:val="en-GB"/>
        </w:rPr>
      </w:pPr>
      <w:r w:rsidRPr="0073458A">
        <w:rPr>
          <w:lang w:val="en-GB"/>
        </w:rPr>
        <w:t>The increase in both the number and proportion of vaccination error reports may represent an increased general awareness among health professionals to be alert to vaccination errors, and to report errors to the TGA either directly or indirectly via jurisdictional health departments. Additionally, during the COVID-19 vaccination rollout, the TGA conducted awareness campaigns (including the use of several social media channels) targeting health professionals and the public, with the aim of reminding and encouraging reporting of all AEFI, which may have also indirectly contributed to an increase in AEFI reporting for non-COVID-19 vaccines.</w:t>
      </w:r>
      <w:r w:rsidRPr="0073458A">
        <w:rPr>
          <w:vertAlign w:val="superscript"/>
          <w:lang w:val="en-GB"/>
        </w:rPr>
        <w:t>26,27</w:t>
      </w:r>
      <w:r w:rsidRPr="0073458A">
        <w:rPr>
          <w:lang w:val="en-GB"/>
        </w:rPr>
        <w:t xml:space="preserve"> While the vaccines associated with the most vaccination error reports were the standard formulation and the high dose or adjuvanted formulation influenza vaccines, this finding likely represented that in 2022, these two groups of vaccines were the most frequently and second most frequently administered vaccines respectively (excluding COVID-19 vaccines; Table 1). Potential additional challenges with the influenza vaccine were that the lower registered ages for the </w:t>
      </w:r>
      <w:proofErr w:type="spellStart"/>
      <w:r w:rsidRPr="0073458A">
        <w:rPr>
          <w:lang w:val="en-GB"/>
        </w:rPr>
        <w:t>Influvac</w:t>
      </w:r>
      <w:proofErr w:type="spellEnd"/>
      <w:r w:rsidRPr="0073458A">
        <w:rPr>
          <w:lang w:val="en-GB"/>
        </w:rPr>
        <w:t xml:space="preserve"> Tetra and Flucelvax Quad vaccines were extended in 2022, and the </w:t>
      </w:r>
      <w:proofErr w:type="spellStart"/>
      <w:r w:rsidRPr="0073458A">
        <w:rPr>
          <w:lang w:val="en-GB"/>
        </w:rPr>
        <w:t>Fluzone</w:t>
      </w:r>
      <w:proofErr w:type="spellEnd"/>
      <w:r w:rsidRPr="0073458A">
        <w:rPr>
          <w:lang w:val="en-GB"/>
        </w:rPr>
        <w:t xml:space="preserve"> </w:t>
      </w:r>
      <w:proofErr w:type="gramStart"/>
      <w:r w:rsidRPr="0073458A">
        <w:rPr>
          <w:lang w:val="en-GB"/>
        </w:rPr>
        <w:t>high-dose</w:t>
      </w:r>
      <w:proofErr w:type="gramEnd"/>
      <w:r w:rsidRPr="0073458A">
        <w:rPr>
          <w:lang w:val="en-GB"/>
        </w:rPr>
        <w:t xml:space="preserve"> quadrivalent influenza vaccine formulation was introduced as a privately available vaccine for older adults.</w:t>
      </w:r>
      <w:r w:rsidRPr="0073458A">
        <w:rPr>
          <w:vertAlign w:val="superscript"/>
          <w:lang w:val="en-GB"/>
        </w:rPr>
        <w:t>28</w:t>
      </w:r>
      <w:r w:rsidRPr="0073458A">
        <w:rPr>
          <w:lang w:val="en-GB"/>
        </w:rPr>
        <w:t xml:space="preserve"> However, the latter vaccine was not implicated in any reports of vaccination error.</w:t>
      </w:r>
    </w:p>
    <w:p w14:paraId="04F7DBBD" w14:textId="77777777" w:rsidR="0073458A" w:rsidRPr="0073458A" w:rsidRDefault="0073458A" w:rsidP="0073458A">
      <w:pPr>
        <w:rPr>
          <w:lang w:val="en-GB"/>
        </w:rPr>
      </w:pPr>
      <w:r w:rsidRPr="0073458A">
        <w:rPr>
          <w:lang w:val="en-GB"/>
        </w:rPr>
        <w:t xml:space="preserve">Safety data for influenza and NIP vaccines were also collected throughout 2022 by </w:t>
      </w:r>
      <w:proofErr w:type="spellStart"/>
      <w:r w:rsidRPr="0073458A">
        <w:rPr>
          <w:lang w:val="en-GB"/>
        </w:rPr>
        <w:t>AusVaxSafety</w:t>
      </w:r>
      <w:proofErr w:type="spellEnd"/>
      <w:r w:rsidRPr="0073458A">
        <w:rPr>
          <w:lang w:val="en-GB"/>
        </w:rPr>
        <w:t>, the national active participant-based surveillance system for AEFI using digital survey methods.</w:t>
      </w:r>
      <w:r w:rsidRPr="0073458A">
        <w:rPr>
          <w:vertAlign w:val="superscript"/>
          <w:lang w:val="en-GB"/>
        </w:rPr>
        <w:t>29</w:t>
      </w:r>
      <w:r w:rsidRPr="0073458A">
        <w:rPr>
          <w:lang w:val="en-GB"/>
        </w:rPr>
        <w:t xml:space="preserve"> </w:t>
      </w:r>
      <w:proofErr w:type="spellStart"/>
      <w:r w:rsidRPr="0073458A">
        <w:rPr>
          <w:lang w:val="en-GB"/>
        </w:rPr>
        <w:t>AusVaxSafety</w:t>
      </w:r>
      <w:proofErr w:type="spellEnd"/>
      <w:r w:rsidRPr="0073458A">
        <w:rPr>
          <w:lang w:val="en-GB"/>
        </w:rPr>
        <w:t xml:space="preserve"> surveillance also commenced during 2022 for the MVA-BN vaccine, concurrent with its initial availability in Australia.</w:t>
      </w:r>
      <w:r w:rsidRPr="0073458A">
        <w:rPr>
          <w:vertAlign w:val="superscript"/>
          <w:lang w:val="en-GB"/>
        </w:rPr>
        <w:t>30</w:t>
      </w:r>
      <w:r w:rsidRPr="0073458A">
        <w:rPr>
          <w:lang w:val="en-GB"/>
        </w:rPr>
        <w:t xml:space="preserve"> The differences in TGA and </w:t>
      </w:r>
      <w:proofErr w:type="spellStart"/>
      <w:r w:rsidRPr="0073458A">
        <w:rPr>
          <w:lang w:val="en-GB"/>
        </w:rPr>
        <w:t>AusVaxSafety</w:t>
      </w:r>
      <w:proofErr w:type="spellEnd"/>
      <w:r w:rsidRPr="0073458A">
        <w:rPr>
          <w:lang w:val="en-GB"/>
        </w:rPr>
        <w:t xml:space="preserve"> methodology preclude direct comparison of findings between the two systems. However, </w:t>
      </w:r>
      <w:proofErr w:type="spellStart"/>
      <w:r w:rsidRPr="0073458A">
        <w:rPr>
          <w:lang w:val="en-GB"/>
        </w:rPr>
        <w:t>AusVaxSafety</w:t>
      </w:r>
      <w:proofErr w:type="spellEnd"/>
      <w:r w:rsidRPr="0073458A">
        <w:rPr>
          <w:lang w:val="en-GB"/>
        </w:rPr>
        <w:t xml:space="preserve"> data has generally corroborated TGA spontaneous surveillance findings throughout this </w:t>
      </w:r>
      <w:proofErr w:type="gramStart"/>
      <w:r w:rsidRPr="0073458A">
        <w:rPr>
          <w:lang w:val="en-GB"/>
        </w:rPr>
        <w:t>period, and</w:t>
      </w:r>
      <w:proofErr w:type="gramEnd"/>
      <w:r w:rsidRPr="0073458A">
        <w:rPr>
          <w:lang w:val="en-GB"/>
        </w:rPr>
        <w:t xml:space="preserve"> reported a high level of safety for these vaccines, consistent with known profiles.</w:t>
      </w:r>
    </w:p>
    <w:p w14:paraId="33B58673" w14:textId="77777777" w:rsidR="0073458A" w:rsidRPr="0073458A" w:rsidRDefault="0073458A" w:rsidP="0073458A">
      <w:pPr>
        <w:rPr>
          <w:lang w:val="en-GB"/>
        </w:rPr>
      </w:pPr>
      <w:r w:rsidRPr="0073458A">
        <w:rPr>
          <w:lang w:val="en-GB"/>
        </w:rPr>
        <w:t>As is the case with any spontaneous surveillance system, vaccine safety monitoring by the TGA relies on adverse events being reported. Therefore, a limitation to this analysis is underreporting, which also means that AEFI reporting rates cannot be used as proxy for AEFI incidence rates.</w:t>
      </w:r>
      <w:r w:rsidRPr="0073458A">
        <w:rPr>
          <w:vertAlign w:val="superscript"/>
          <w:lang w:val="en-GB"/>
        </w:rPr>
        <w:t>10,31</w:t>
      </w:r>
      <w:r w:rsidRPr="0073458A">
        <w:rPr>
          <w:lang w:val="en-GB"/>
        </w:rPr>
        <w:t xml:space="preserve"> Reporting rates may also be affected by external factors, such as media or social media attention. AEFI reports may vary significantly in completeness and quality of </w:t>
      </w:r>
      <w:proofErr w:type="gramStart"/>
      <w:r w:rsidRPr="0073458A">
        <w:rPr>
          <w:lang w:val="en-GB"/>
        </w:rPr>
        <w:t>information, and</w:t>
      </w:r>
      <w:proofErr w:type="gramEnd"/>
      <w:r w:rsidRPr="0073458A">
        <w:rPr>
          <w:lang w:val="en-GB"/>
        </w:rPr>
        <w:t xml:space="preserve"> are not always verified against verifiable clinical data. Each AEFI report can include multiple vaccines, vaccination dates, AEFI, and AEFI onset dates. Therefore, it is not always possible to associate specific vaccines to specific AEFI and AEFI onset dates. Seriousness criteria may be applied inconsistently by different </w:t>
      </w:r>
      <w:proofErr w:type="gramStart"/>
      <w:r w:rsidRPr="0073458A">
        <w:rPr>
          <w:lang w:val="en-GB"/>
        </w:rPr>
        <w:t>reporters, and</w:t>
      </w:r>
      <w:proofErr w:type="gramEnd"/>
      <w:r w:rsidRPr="0073458A">
        <w:rPr>
          <w:lang w:val="en-GB"/>
        </w:rPr>
        <w:t xml:space="preserve"> is therefore not necessarily a reliable guide to the safety profile of a vaccine. Additionally, the analytical decision to include 121 adverse event reports where both COVID-19 and non-COVID-19 vaccines were nominated in the companion COVID-19 vaccines report, and not this report for all other vaccines, would have led to a decrease, albeit nominal, in AEFI reporting rates for specific vaccines in this report.</w:t>
      </w:r>
      <w:r w:rsidRPr="0073458A">
        <w:rPr>
          <w:vertAlign w:val="superscript"/>
          <w:lang w:val="en-GB"/>
        </w:rPr>
        <w:t>11</w:t>
      </w:r>
    </w:p>
    <w:p w14:paraId="55F3CABC" w14:textId="77777777" w:rsidR="0073458A" w:rsidRPr="0073458A" w:rsidRDefault="0073458A" w:rsidP="0073458A">
      <w:pPr>
        <w:rPr>
          <w:lang w:val="en-GB"/>
        </w:rPr>
      </w:pPr>
      <w:r w:rsidRPr="0073458A">
        <w:rPr>
          <w:lang w:val="en-GB"/>
        </w:rPr>
        <w:lastRenderedPageBreak/>
        <w:t>In addition, vaccination data from the AIR, used to calculate AEFI rates per 100,000 vaccine doses, may not be comprehensive, in that the legal requirement for vaccination providers to report vaccines administered was only applicable to NIP, influenza, and COVID-19 vaccines throughout 2022, and to JE vaccines from 21 December 2022.</w:t>
      </w:r>
      <w:r w:rsidRPr="0073458A">
        <w:rPr>
          <w:vertAlign w:val="superscript"/>
          <w:lang w:val="en-GB"/>
        </w:rPr>
        <w:t>18,32</w:t>
      </w:r>
      <w:r w:rsidRPr="0073458A">
        <w:rPr>
          <w:lang w:val="en-GB"/>
        </w:rPr>
        <w:t xml:space="preserve"> The AIR is also limited in its capture of demographic and clinical detail, meaning that it may not be possible to calculate dose-based AEFI reporting rates for specific subgroups. </w:t>
      </w:r>
    </w:p>
    <w:p w14:paraId="2E3FFB5C" w14:textId="12DFD330" w:rsidR="0001020A" w:rsidRDefault="0073458A" w:rsidP="00830AEA">
      <w:r w:rsidRPr="0073458A">
        <w:rPr>
          <w:lang w:val="en-GB"/>
        </w:rPr>
        <w:t xml:space="preserve">Finally, it is essential to reiterate that the AEFI reported here are not necessarily causally related to vaccination, as only a temporal, not causal, association is necessary for an AEFI to be reported. The TGA strongly encourages consumers and health professionals to report suspected adverse events, even if in their view, there is only a very small chance the event was caused by a vaccine. </w:t>
      </w:r>
    </w:p>
    <w:p w14:paraId="679ACE70" w14:textId="77777777" w:rsidR="00FE2847" w:rsidRDefault="008017B6" w:rsidP="008017B6">
      <w:pPr>
        <w:pStyle w:val="Heading1"/>
      </w:pPr>
      <w:bookmarkStart w:id="42" w:name="_Toc215477406"/>
      <w:bookmarkEnd w:id="39"/>
      <w:bookmarkEnd w:id="40"/>
      <w:r>
        <w:lastRenderedPageBreak/>
        <w:t>Conclusion</w:t>
      </w:r>
      <w:bookmarkEnd w:id="42"/>
    </w:p>
    <w:p w14:paraId="38EE8C9C" w14:textId="28749138" w:rsidR="008017B6" w:rsidRPr="008017B6" w:rsidRDefault="0073458A" w:rsidP="008017B6">
      <w:r w:rsidRPr="0073458A">
        <w:rPr>
          <w:lang w:val="en-GB"/>
        </w:rPr>
        <w:t xml:space="preserve">Trends observed in spontaneous AEFI reporting in Australia in 2022 were </w:t>
      </w:r>
      <w:proofErr w:type="gramStart"/>
      <w:r w:rsidRPr="0073458A">
        <w:rPr>
          <w:lang w:val="en-GB"/>
        </w:rPr>
        <w:t>similar to</w:t>
      </w:r>
      <w:proofErr w:type="gramEnd"/>
      <w:r w:rsidRPr="0073458A">
        <w:rPr>
          <w:lang w:val="en-GB"/>
        </w:rPr>
        <w:t xml:space="preserve"> those in 2021. The slight increases in some overall reporting rates, and rates within </w:t>
      </w:r>
      <w:proofErr w:type="gramStart"/>
      <w:r w:rsidRPr="0073458A">
        <w:rPr>
          <w:lang w:val="en-GB"/>
        </w:rPr>
        <w:t>particular age</w:t>
      </w:r>
      <w:proofErr w:type="gramEnd"/>
      <w:r w:rsidRPr="0073458A">
        <w:rPr>
          <w:lang w:val="en-GB"/>
        </w:rPr>
        <w:t xml:space="preserve"> groups, may be due to a combination of increased pharmaceutical sponsor reporting, additional vaccines administered in response to novel outbreaks of VPDs (mpox and Japanese encephalitis), and as part of a gradual return to pre-pandemic AEFI reporting patterns. Overall, the 2022 spontaneous AEFI reports demonstrate a high level of safety of non-COVID-19 vaccines, including vaccines in the NIP schedule.</w:t>
      </w:r>
    </w:p>
    <w:p w14:paraId="3295020E" w14:textId="77777777" w:rsidR="00F216F0" w:rsidRDefault="00F216F0" w:rsidP="00F216F0">
      <w:pPr>
        <w:pStyle w:val="Heading1"/>
      </w:pPr>
      <w:bookmarkStart w:id="43" w:name="_Toc195530510"/>
      <w:bookmarkStart w:id="44" w:name="_Toc195530508"/>
      <w:bookmarkStart w:id="45" w:name="_Toc215477407"/>
      <w:r>
        <w:lastRenderedPageBreak/>
        <w:t>Acknowledgments</w:t>
      </w:r>
      <w:bookmarkEnd w:id="43"/>
      <w:bookmarkEnd w:id="45"/>
    </w:p>
    <w:p w14:paraId="5DB5C169" w14:textId="77777777" w:rsidR="0073458A" w:rsidRPr="0073458A" w:rsidRDefault="0073458A" w:rsidP="0073458A">
      <w:pPr>
        <w:rPr>
          <w:lang w:val="en-GB"/>
        </w:rPr>
      </w:pPr>
      <w:r w:rsidRPr="0073458A">
        <w:rPr>
          <w:lang w:val="en-GB"/>
        </w:rPr>
        <w:t>We would like to acknowledge and thank Alexandra Hendry and Tristan Franks at NCIRS for providing historical context and code and vaccine dose data from the Australian Immunisation Register.</w:t>
      </w:r>
    </w:p>
    <w:p w14:paraId="197CB492" w14:textId="5EF57A5E" w:rsidR="00F216F0" w:rsidRPr="008017B6" w:rsidRDefault="0073458A" w:rsidP="00F216F0">
      <w:r w:rsidRPr="0073458A">
        <w:rPr>
          <w:lang w:val="en-GB"/>
        </w:rPr>
        <w:t>This report is a deliverable under contract with the Australian Government Department of Health, Disability and Ageing in relation to services for immunisation research and surveillance, and has been prepared by Yuanfei Anny Huang, Nicholas Wood, Lucy Deng, and Kristine Macartney at the National Centre for Immunisation Research and Surveillance (NCIRS), and Claire Larter, Megan</w:t>
      </w:r>
      <w:r>
        <w:rPr>
          <w:lang w:val="en-GB"/>
        </w:rPr>
        <w:t> </w:t>
      </w:r>
      <w:r w:rsidRPr="0073458A">
        <w:rPr>
          <w:lang w:val="en-GB"/>
        </w:rPr>
        <w:t>Hickie, Megan O’Moore, Belinda Jones, Sophie Russell, and Elspeth Kay at the Therapeutic Goods Administration.</w:t>
      </w:r>
    </w:p>
    <w:p w14:paraId="60280494" w14:textId="77777777" w:rsidR="008A0736" w:rsidRDefault="008A0736" w:rsidP="008A0736">
      <w:pPr>
        <w:pStyle w:val="Heading1"/>
      </w:pPr>
      <w:bookmarkStart w:id="46" w:name="_Toc215477408"/>
      <w:r>
        <w:lastRenderedPageBreak/>
        <w:t>Author details</w:t>
      </w:r>
      <w:bookmarkEnd w:id="44"/>
      <w:bookmarkEnd w:id="46"/>
    </w:p>
    <w:p w14:paraId="022B06E1" w14:textId="77777777" w:rsidR="0073458A" w:rsidRPr="0073458A" w:rsidRDefault="0073458A" w:rsidP="0073458A">
      <w:pPr>
        <w:rPr>
          <w:lang w:val="en-GB"/>
        </w:rPr>
      </w:pPr>
      <w:r w:rsidRPr="0073458A">
        <w:rPr>
          <w:lang w:val="en-GB"/>
        </w:rPr>
        <w:t>Yuanfei Anny Huang,</w:t>
      </w:r>
      <w:r w:rsidRPr="0073458A">
        <w:rPr>
          <w:vertAlign w:val="superscript"/>
          <w:lang w:val="en-GB"/>
        </w:rPr>
        <w:t>1</w:t>
      </w:r>
      <w:r w:rsidRPr="0073458A">
        <w:rPr>
          <w:lang w:val="en-GB"/>
        </w:rPr>
        <w:t xml:space="preserve"> </w:t>
      </w:r>
    </w:p>
    <w:p w14:paraId="47B3A9A0" w14:textId="77777777" w:rsidR="0073458A" w:rsidRPr="0073458A" w:rsidRDefault="0073458A" w:rsidP="0073458A">
      <w:pPr>
        <w:rPr>
          <w:lang w:val="en-GB"/>
        </w:rPr>
      </w:pPr>
      <w:r w:rsidRPr="0073458A">
        <w:rPr>
          <w:lang w:val="en-GB"/>
        </w:rPr>
        <w:t>Claire Larter,</w:t>
      </w:r>
      <w:r w:rsidRPr="0073458A">
        <w:rPr>
          <w:vertAlign w:val="superscript"/>
          <w:lang w:val="en-GB"/>
        </w:rPr>
        <w:t>2</w:t>
      </w:r>
      <w:r w:rsidRPr="0073458A">
        <w:rPr>
          <w:lang w:val="en-GB"/>
        </w:rPr>
        <w:t xml:space="preserve"> </w:t>
      </w:r>
    </w:p>
    <w:p w14:paraId="527F2855" w14:textId="77777777" w:rsidR="0073458A" w:rsidRPr="0073458A" w:rsidRDefault="0073458A" w:rsidP="0073458A">
      <w:pPr>
        <w:rPr>
          <w:lang w:val="en-GB"/>
        </w:rPr>
      </w:pPr>
      <w:r w:rsidRPr="0073458A">
        <w:rPr>
          <w:lang w:val="en-GB"/>
        </w:rPr>
        <w:t>Megan Hickie,</w:t>
      </w:r>
      <w:r w:rsidRPr="0073458A">
        <w:rPr>
          <w:vertAlign w:val="superscript"/>
          <w:lang w:val="en-GB"/>
        </w:rPr>
        <w:t>2</w:t>
      </w:r>
    </w:p>
    <w:p w14:paraId="733B211D" w14:textId="77777777" w:rsidR="0073458A" w:rsidRPr="0073458A" w:rsidRDefault="0073458A" w:rsidP="0073458A">
      <w:pPr>
        <w:rPr>
          <w:lang w:val="en-GB"/>
        </w:rPr>
      </w:pPr>
      <w:r w:rsidRPr="0073458A">
        <w:rPr>
          <w:lang w:val="en-GB"/>
        </w:rPr>
        <w:t>Megan O’Moore,</w:t>
      </w:r>
      <w:r w:rsidRPr="0073458A">
        <w:rPr>
          <w:vertAlign w:val="superscript"/>
          <w:lang w:val="en-GB"/>
        </w:rPr>
        <w:t>2</w:t>
      </w:r>
    </w:p>
    <w:p w14:paraId="3E724661" w14:textId="77777777" w:rsidR="0073458A" w:rsidRPr="0073458A" w:rsidRDefault="0073458A" w:rsidP="0073458A">
      <w:pPr>
        <w:rPr>
          <w:lang w:val="en-GB"/>
        </w:rPr>
      </w:pPr>
      <w:r w:rsidRPr="0073458A">
        <w:rPr>
          <w:lang w:val="en-GB"/>
        </w:rPr>
        <w:t>Belinda Jones,</w:t>
      </w:r>
      <w:r w:rsidRPr="0073458A">
        <w:rPr>
          <w:vertAlign w:val="superscript"/>
          <w:lang w:val="en-GB"/>
        </w:rPr>
        <w:t>2</w:t>
      </w:r>
    </w:p>
    <w:p w14:paraId="4102BFFE" w14:textId="77777777" w:rsidR="0073458A" w:rsidRPr="0073458A" w:rsidRDefault="0073458A" w:rsidP="0073458A">
      <w:pPr>
        <w:rPr>
          <w:lang w:val="en-GB"/>
        </w:rPr>
      </w:pPr>
      <w:r w:rsidRPr="0073458A">
        <w:rPr>
          <w:lang w:val="en-GB"/>
        </w:rPr>
        <w:t>Lucy Deng,</w:t>
      </w:r>
      <w:r w:rsidRPr="0073458A">
        <w:rPr>
          <w:vertAlign w:val="superscript"/>
          <w:lang w:val="en-GB"/>
        </w:rPr>
        <w:t>1</w:t>
      </w:r>
      <w:r w:rsidRPr="0073458A">
        <w:rPr>
          <w:lang w:val="en-GB"/>
        </w:rPr>
        <w:t xml:space="preserve"> </w:t>
      </w:r>
    </w:p>
    <w:p w14:paraId="218C5B6D" w14:textId="77777777" w:rsidR="0073458A" w:rsidRPr="0073458A" w:rsidRDefault="0073458A" w:rsidP="0073458A">
      <w:pPr>
        <w:rPr>
          <w:lang w:val="en-GB"/>
        </w:rPr>
      </w:pPr>
      <w:r w:rsidRPr="0073458A">
        <w:rPr>
          <w:lang w:val="en-GB"/>
        </w:rPr>
        <w:t>Sophie Russell,</w:t>
      </w:r>
      <w:r w:rsidRPr="0073458A">
        <w:rPr>
          <w:vertAlign w:val="superscript"/>
          <w:lang w:val="en-GB"/>
        </w:rPr>
        <w:t>2</w:t>
      </w:r>
    </w:p>
    <w:p w14:paraId="209C2A82" w14:textId="77777777" w:rsidR="0073458A" w:rsidRPr="0073458A" w:rsidRDefault="0073458A" w:rsidP="0073458A">
      <w:pPr>
        <w:rPr>
          <w:lang w:val="en-GB"/>
        </w:rPr>
      </w:pPr>
      <w:r w:rsidRPr="0073458A">
        <w:rPr>
          <w:lang w:val="en-GB"/>
        </w:rPr>
        <w:t>Elspeth Kay,</w:t>
      </w:r>
      <w:r w:rsidRPr="0073458A">
        <w:rPr>
          <w:vertAlign w:val="superscript"/>
          <w:lang w:val="en-GB"/>
        </w:rPr>
        <w:t>2</w:t>
      </w:r>
      <w:r w:rsidRPr="0073458A">
        <w:rPr>
          <w:lang w:val="en-GB"/>
        </w:rPr>
        <w:t xml:space="preserve"> </w:t>
      </w:r>
    </w:p>
    <w:p w14:paraId="221782C3" w14:textId="77777777" w:rsidR="0073458A" w:rsidRPr="0073458A" w:rsidRDefault="0073458A" w:rsidP="0073458A">
      <w:pPr>
        <w:rPr>
          <w:lang w:val="en-GB"/>
        </w:rPr>
      </w:pPr>
      <w:r w:rsidRPr="0073458A">
        <w:rPr>
          <w:lang w:val="en-GB"/>
        </w:rPr>
        <w:t>Kristine Macartney,</w:t>
      </w:r>
      <w:r w:rsidRPr="0073458A">
        <w:rPr>
          <w:vertAlign w:val="superscript"/>
          <w:lang w:val="en-GB"/>
        </w:rPr>
        <w:t>1</w:t>
      </w:r>
      <w:r w:rsidRPr="0073458A">
        <w:rPr>
          <w:lang w:val="en-GB"/>
        </w:rPr>
        <w:t xml:space="preserve"> </w:t>
      </w:r>
    </w:p>
    <w:p w14:paraId="7B003BE4" w14:textId="77777777" w:rsidR="0073458A" w:rsidRPr="0073458A" w:rsidRDefault="0073458A" w:rsidP="0073458A">
      <w:pPr>
        <w:rPr>
          <w:lang w:val="en-GB"/>
        </w:rPr>
      </w:pPr>
      <w:r w:rsidRPr="0073458A">
        <w:rPr>
          <w:lang w:val="en-GB"/>
        </w:rPr>
        <w:t>Nicholas Wood</w:t>
      </w:r>
      <w:r w:rsidRPr="0073458A">
        <w:rPr>
          <w:vertAlign w:val="superscript"/>
          <w:lang w:val="en-GB"/>
        </w:rPr>
        <w:t>1</w:t>
      </w:r>
    </w:p>
    <w:p w14:paraId="53069DDA" w14:textId="77777777" w:rsidR="0073458A" w:rsidRPr="0073458A" w:rsidRDefault="0073458A" w:rsidP="0073458A">
      <w:pPr>
        <w:pStyle w:val="CDINumberedList1L1"/>
        <w:numPr>
          <w:ilvl w:val="0"/>
          <w:numId w:val="11"/>
        </w:numPr>
        <w:rPr>
          <w:lang w:val="en-GB"/>
        </w:rPr>
      </w:pPr>
      <w:r w:rsidRPr="0073458A">
        <w:rPr>
          <w:lang w:val="en-GB"/>
        </w:rPr>
        <w:t>National Centre for Immunisation Research and Surveillance, The University of Sydney and The Children’s Hospital at Westmead, Sydney, Australia</w:t>
      </w:r>
    </w:p>
    <w:p w14:paraId="3FE29022" w14:textId="77777777" w:rsidR="0073458A" w:rsidRPr="0073458A" w:rsidRDefault="0073458A" w:rsidP="0073458A">
      <w:pPr>
        <w:pStyle w:val="CDINumberedList1L1"/>
        <w:rPr>
          <w:lang w:val="en-GB"/>
        </w:rPr>
      </w:pPr>
      <w:r w:rsidRPr="0073458A">
        <w:rPr>
          <w:lang w:val="en-GB"/>
        </w:rPr>
        <w:t>Pharmacovigilance Branch, Therapeutic Goods Administration, Department of Health, Disability and Ageing, Canberra, Australia</w:t>
      </w:r>
    </w:p>
    <w:p w14:paraId="3074B8EA" w14:textId="77777777" w:rsidR="00423436" w:rsidRDefault="00423436" w:rsidP="00423436">
      <w:pPr>
        <w:pStyle w:val="CDICorrespondingauthor"/>
      </w:pPr>
      <w:r>
        <w:t>Corresponding author</w:t>
      </w:r>
    </w:p>
    <w:p w14:paraId="478EA79F" w14:textId="77777777" w:rsidR="0073458A" w:rsidRPr="0073458A" w:rsidRDefault="0073458A" w:rsidP="0073458A">
      <w:pPr>
        <w:rPr>
          <w:lang w:val="en-GB"/>
        </w:rPr>
      </w:pPr>
      <w:r w:rsidRPr="0073458A">
        <w:rPr>
          <w:lang w:val="en-GB"/>
        </w:rPr>
        <w:t>Dr Yuanfei Anny Huang</w:t>
      </w:r>
    </w:p>
    <w:p w14:paraId="46C15C1F" w14:textId="77777777" w:rsidR="0073458A" w:rsidRPr="0073458A" w:rsidRDefault="0073458A" w:rsidP="0073458A">
      <w:pPr>
        <w:rPr>
          <w:lang w:val="en-GB"/>
        </w:rPr>
      </w:pPr>
      <w:r w:rsidRPr="0073458A">
        <w:rPr>
          <w:lang w:val="en-GB"/>
        </w:rPr>
        <w:t>National Centre for Immunisation Research and Surveillance, Locked Bag 4001, Westmead NSW 2145, Sydney, Australia</w:t>
      </w:r>
    </w:p>
    <w:p w14:paraId="02F7F78B" w14:textId="77777777" w:rsidR="0073458A" w:rsidRPr="0073458A" w:rsidRDefault="0073458A" w:rsidP="0073458A">
      <w:pPr>
        <w:rPr>
          <w:lang w:val="en-GB"/>
        </w:rPr>
      </w:pPr>
      <w:r w:rsidRPr="0073458A">
        <w:rPr>
          <w:lang w:val="en-GB"/>
        </w:rPr>
        <w:t>Phone: +61 2 9845 1416</w:t>
      </w:r>
    </w:p>
    <w:p w14:paraId="7DE040A5" w14:textId="77777777" w:rsidR="0073458A" w:rsidRPr="0073458A" w:rsidRDefault="0073458A" w:rsidP="0073458A">
      <w:pPr>
        <w:rPr>
          <w:lang w:val="en-GB"/>
        </w:rPr>
      </w:pPr>
      <w:r w:rsidRPr="0073458A">
        <w:rPr>
          <w:lang w:val="en-GB"/>
        </w:rPr>
        <w:t>Fax: +61 2 9845 1418</w:t>
      </w:r>
    </w:p>
    <w:p w14:paraId="08E6A6FA" w14:textId="35FD805C" w:rsidR="008A0736" w:rsidRDefault="0073458A" w:rsidP="00423436">
      <w:r w:rsidRPr="0073458A">
        <w:rPr>
          <w:lang w:val="en-GB"/>
        </w:rPr>
        <w:t xml:space="preserve">Email: </w:t>
      </w:r>
      <w:hyperlink r:id="rId25" w:history="1">
        <w:r w:rsidRPr="0073458A">
          <w:rPr>
            <w:rStyle w:val="Hyperlink"/>
            <w:lang w:val="en-GB"/>
          </w:rPr>
          <w:t>yuanfei.huang@health.nsw.gov.au</w:t>
        </w:r>
      </w:hyperlink>
      <w:r>
        <w:rPr>
          <w:lang w:val="en-GB"/>
        </w:rPr>
        <w:t xml:space="preserve"> </w:t>
      </w:r>
    </w:p>
    <w:p w14:paraId="13A0809E" w14:textId="77777777" w:rsidR="008A0736" w:rsidRDefault="008A0736" w:rsidP="00122ADA">
      <w:pPr>
        <w:pStyle w:val="Heading1"/>
      </w:pPr>
      <w:bookmarkStart w:id="47" w:name="_Toc195530511"/>
      <w:bookmarkStart w:id="48" w:name="_Toc215477409"/>
      <w:r>
        <w:lastRenderedPageBreak/>
        <w:t>References</w:t>
      </w:r>
      <w:bookmarkEnd w:id="47"/>
      <w:bookmarkEnd w:id="48"/>
    </w:p>
    <w:p w14:paraId="403A46C6" w14:textId="15C23FF8" w:rsidR="00542103" w:rsidRDefault="00542103" w:rsidP="00542103">
      <w:pPr>
        <w:pStyle w:val="CDINumberedList1L1"/>
        <w:numPr>
          <w:ilvl w:val="0"/>
          <w:numId w:val="12"/>
        </w:numPr>
        <w:ind w:left="397" w:hanging="397"/>
      </w:pPr>
      <w:r>
        <w:t xml:space="preserve">Council for International Organizations of Medical Sciences (CIOMS) c/o World Health Organization (WHO). </w:t>
      </w:r>
      <w:r w:rsidRPr="00542103">
        <w:rPr>
          <w:i/>
          <w:iCs/>
        </w:rPr>
        <w:t>Definition and Application of Terms for Vaccine Pharmacovigilance: Report of CIOMS/WHO Working Group on Vaccine Pharmacovigilance</w:t>
      </w:r>
      <w:r>
        <w:t xml:space="preserve">. Geneva: CIOMS; 2012. Available from: </w:t>
      </w:r>
      <w:hyperlink r:id="rId26" w:history="1">
        <w:r w:rsidRPr="00B76A8B">
          <w:rPr>
            <w:rStyle w:val="Hyperlink"/>
          </w:rPr>
          <w:t>https://www.who.int/publications/m/item/9789290360834</w:t>
        </w:r>
      </w:hyperlink>
      <w:r>
        <w:t>.</w:t>
      </w:r>
    </w:p>
    <w:p w14:paraId="16B9F2B9" w14:textId="57476D3E" w:rsidR="00542103" w:rsidRDefault="00542103" w:rsidP="00542103">
      <w:pPr>
        <w:pStyle w:val="CDINumberedList1L1"/>
        <w:ind w:left="397" w:hanging="397"/>
      </w:pPr>
      <w:r>
        <w:t xml:space="preserve">Therapeutic Goods Administration (TGA). Reporting adverse events. [Webpage.] Canberra: Australian Government Department of Health, Disability and Ageing, TGA; 2024. [Accessed during 2024.] Available from: </w:t>
      </w:r>
      <w:hyperlink r:id="rId27" w:history="1">
        <w:r w:rsidRPr="00B76A8B">
          <w:rPr>
            <w:rStyle w:val="Hyperlink"/>
          </w:rPr>
          <w:t>https://www.tga.gov.au/safety/reporting-problems/reporting-adverse-events</w:t>
        </w:r>
      </w:hyperlink>
      <w:r>
        <w:t>.</w:t>
      </w:r>
    </w:p>
    <w:p w14:paraId="76A1600C" w14:textId="30884C9F" w:rsidR="00542103" w:rsidRDefault="00542103" w:rsidP="00542103">
      <w:pPr>
        <w:pStyle w:val="CDINumberedList1L1"/>
        <w:ind w:left="397" w:hanging="397"/>
      </w:pPr>
      <w:r>
        <w:t xml:space="preserve">World Health Organization (WHO). </w:t>
      </w:r>
      <w:r w:rsidRPr="00542103">
        <w:rPr>
          <w:i/>
          <w:iCs/>
        </w:rPr>
        <w:t>Global manual on surveillance of adverse events following immunization: 2016 update</w:t>
      </w:r>
      <w:r>
        <w:t>. Geneva: WHO; 31 May 2016. Av</w:t>
      </w:r>
      <w:r>
        <w:t xml:space="preserve">ailable from: </w:t>
      </w:r>
      <w:hyperlink r:id="rId28" w:history="1">
        <w:r w:rsidRPr="00B76A8B">
          <w:rPr>
            <w:rStyle w:val="Hyperlink"/>
          </w:rPr>
          <w:t>https://www.who.int/publications/i/item/9789241507769</w:t>
        </w:r>
      </w:hyperlink>
      <w:r>
        <w:t>.</w:t>
      </w:r>
    </w:p>
    <w:p w14:paraId="27EE9915" w14:textId="77777777" w:rsidR="00542103" w:rsidRDefault="00542103" w:rsidP="00542103">
      <w:pPr>
        <w:pStyle w:val="CDINumberedList1L1"/>
        <w:ind w:left="397" w:hanging="397"/>
      </w:pPr>
      <w:r>
        <w:t xml:space="preserve">Lawrence G, Menzies R, Burgess M, McIntyre P, Wood N, Boyd I et al. Surveillance of adverse events following immunisation: Australia, 2000–2002. </w:t>
      </w:r>
      <w:r w:rsidRPr="00542103">
        <w:rPr>
          <w:i/>
          <w:iCs/>
        </w:rPr>
        <w:t>Commun Dis Intell Q Rep</w:t>
      </w:r>
      <w:r>
        <w:t>. 2003;27(3):307–23.</w:t>
      </w:r>
    </w:p>
    <w:p w14:paraId="077383B0" w14:textId="7AD19208" w:rsidR="00542103" w:rsidRDefault="00542103" w:rsidP="00542103">
      <w:pPr>
        <w:pStyle w:val="CDINumberedList1L1"/>
        <w:ind w:left="397" w:hanging="397"/>
      </w:pPr>
      <w:r>
        <w:t>Glover C, Deng L, Larter C, Brogan C</w:t>
      </w:r>
      <w:r>
        <w:t>,</w:t>
      </w:r>
      <w:r w:rsidR="00D7481B">
        <w:t xml:space="preserve"> </w:t>
      </w:r>
      <w:r>
        <w:t xml:space="preserve">Richardson O, Huang YA et al. Surveillance of adverse events following immunisation in Australia annual report, 2021. </w:t>
      </w:r>
      <w:r w:rsidRPr="00542103">
        <w:rPr>
          <w:i/>
          <w:iCs/>
        </w:rPr>
        <w:t>Commun Dis Intell (2018)</w:t>
      </w:r>
      <w:r>
        <w:t>. 2024;48. do</w:t>
      </w:r>
      <w:r>
        <w:t xml:space="preserve">i: </w:t>
      </w:r>
      <w:hyperlink r:id="rId29" w:history="1">
        <w:r w:rsidRPr="00B76A8B">
          <w:rPr>
            <w:rStyle w:val="Hyperlink"/>
          </w:rPr>
          <w:t>https://doi.org/10.33321/cdi.2024.48.1</w:t>
        </w:r>
      </w:hyperlink>
      <w:r>
        <w:t>.</w:t>
      </w:r>
    </w:p>
    <w:p w14:paraId="758FAE3B" w14:textId="7BA08D24" w:rsidR="00542103" w:rsidRDefault="00542103" w:rsidP="00542103">
      <w:pPr>
        <w:pStyle w:val="CDINumberedList1L1"/>
        <w:ind w:left="397" w:hanging="397"/>
      </w:pPr>
      <w:r>
        <w:t xml:space="preserve">National Centre for Immunisation Research and Surveillance (NCIRS). </w:t>
      </w:r>
      <w:r w:rsidRPr="00542103">
        <w:rPr>
          <w:i/>
          <w:iCs/>
        </w:rPr>
        <w:t>Significant events in Japanese encephalitis vaccination practice in Australia</w:t>
      </w:r>
      <w:r>
        <w:t xml:space="preserve">. Sydney: Sydney Children’s Hospital Network, NCIRS; March 2024. [Accessed during 2024.] Available from: </w:t>
      </w:r>
      <w:hyperlink r:id="rId30" w:history="1">
        <w:r w:rsidRPr="00B76A8B">
          <w:rPr>
            <w:rStyle w:val="Hyperlink"/>
          </w:rPr>
          <w:t>https://ncirs.org.au/sites/default/files/2024-03/Japanese%20encephalitis_History%20table.pdf</w:t>
        </w:r>
      </w:hyperlink>
      <w:r>
        <w:t>.</w:t>
      </w:r>
    </w:p>
    <w:p w14:paraId="241C0F96" w14:textId="5B556B2A" w:rsidR="00542103" w:rsidRDefault="00542103" w:rsidP="00542103">
      <w:pPr>
        <w:pStyle w:val="CDINumberedList1L1"/>
        <w:ind w:left="397" w:hanging="397"/>
      </w:pPr>
      <w:r>
        <w:t xml:space="preserve">Valeri M, Durrani S, Tran C, Chiu C, Macartney KK, Giles ML et al. ATAGI 2023 annual statement on immunisation. </w:t>
      </w:r>
      <w:r w:rsidRPr="00542103">
        <w:rPr>
          <w:i/>
          <w:iCs/>
        </w:rPr>
        <w:t>Commun Dis Intell (2018)</w:t>
      </w:r>
      <w:r>
        <w:t>. 2023; 47 doi:</w:t>
      </w:r>
      <w:r>
        <w:t> </w:t>
      </w:r>
      <w:hyperlink r:id="rId31" w:history="1">
        <w:r w:rsidRPr="00B76A8B">
          <w:rPr>
            <w:rStyle w:val="Hyperlink"/>
          </w:rPr>
          <w:t>https://doi.org/10.33321/cdi.2023.47.42</w:t>
        </w:r>
      </w:hyperlink>
      <w:r>
        <w:t>.</w:t>
      </w:r>
    </w:p>
    <w:p w14:paraId="638EB499" w14:textId="2EA84CD9" w:rsidR="00542103" w:rsidRDefault="00542103" w:rsidP="00542103">
      <w:pPr>
        <w:pStyle w:val="CDINumberedList1L1"/>
        <w:ind w:left="397" w:hanging="397"/>
      </w:pPr>
      <w:r>
        <w:t xml:space="preserve">Australian Government Federal Register of Legislation. </w:t>
      </w:r>
      <w:r w:rsidRPr="00542103">
        <w:rPr>
          <w:i/>
          <w:iCs/>
        </w:rPr>
        <w:t>Therapeutic Goods Act 1989</w:t>
      </w:r>
      <w:r>
        <w:t xml:space="preserve">. [Legislation.] Canberra: Australian Government; 2024. [Accessed during 2024.] Available from: </w:t>
      </w:r>
      <w:hyperlink r:id="rId32" w:history="1">
        <w:r w:rsidRPr="00B76A8B">
          <w:rPr>
            <w:rStyle w:val="Hyperlink"/>
          </w:rPr>
          <w:t>https://www.legislation.gov.au/C2004A03952/latest/versions</w:t>
        </w:r>
      </w:hyperlink>
      <w:r>
        <w:t>.</w:t>
      </w:r>
    </w:p>
    <w:p w14:paraId="74B339E1" w14:textId="77777777" w:rsidR="00542103" w:rsidRDefault="00542103" w:rsidP="00542103">
      <w:pPr>
        <w:pStyle w:val="CDINumberedList1L1"/>
        <w:ind w:left="397" w:hanging="397"/>
      </w:pPr>
      <w:r>
        <w:t xml:space="preserve">Lawrence G, Boyd I, McIntyre P, Isaacs D. Surveillance of adverse events following immunisation: Australia 2002 to 2003. </w:t>
      </w:r>
      <w:r w:rsidRPr="00542103">
        <w:rPr>
          <w:i/>
          <w:iCs/>
        </w:rPr>
        <w:t>Commun Dis Intell Q Rep</w:t>
      </w:r>
      <w:r>
        <w:t>. 2004;28(3):324–38.</w:t>
      </w:r>
    </w:p>
    <w:p w14:paraId="1AC066F3" w14:textId="26B96227" w:rsidR="00542103" w:rsidRDefault="00542103" w:rsidP="00542103">
      <w:pPr>
        <w:pStyle w:val="CDINumberedList1L1"/>
        <w:ind w:left="397" w:hanging="397"/>
      </w:pPr>
      <w:r>
        <w:t xml:space="preserve">O’Moore M, Jones B, Hickie M, Glover C, Deng L, Huang Y et al. National pharmacovigilance of seasonal influenza vaccines in Australia. </w:t>
      </w:r>
      <w:r w:rsidRPr="00542103">
        <w:rPr>
          <w:i/>
          <w:iCs/>
        </w:rPr>
        <w:t>Med J Aust</w:t>
      </w:r>
      <w:r>
        <w:t>. 2024;221(4):178–81. d</w:t>
      </w:r>
      <w:r>
        <w:t>oi: </w:t>
      </w:r>
      <w:hyperlink r:id="rId33" w:history="1">
        <w:r w:rsidRPr="00B76A8B">
          <w:rPr>
            <w:rStyle w:val="Hyperlink"/>
          </w:rPr>
          <w:t>https://doi.org/10.5694/mja2.52381</w:t>
        </w:r>
      </w:hyperlink>
      <w:r>
        <w:t>.</w:t>
      </w:r>
    </w:p>
    <w:p w14:paraId="623A35A4" w14:textId="07074B31" w:rsidR="00542103" w:rsidRDefault="00542103" w:rsidP="00542103">
      <w:pPr>
        <w:pStyle w:val="CDINumberedList1L1"/>
        <w:ind w:left="397" w:hanging="397"/>
      </w:pPr>
      <w:r>
        <w:t xml:space="preserve">Huang YA, Larter C, Hickie M, O’Moore M, Jones B, Deng L et al. Surveillance of adverse events following immunisation in Australia, COVID-19 vaccines, 2022. </w:t>
      </w:r>
      <w:r w:rsidRPr="00542103">
        <w:rPr>
          <w:i/>
          <w:iCs/>
        </w:rPr>
        <w:t>Commun Dis Intell (2018)</w:t>
      </w:r>
      <w:r>
        <w:t>. 2025;49. d</w:t>
      </w:r>
      <w:r>
        <w:t xml:space="preserve">oi: </w:t>
      </w:r>
      <w:hyperlink r:id="rId34" w:history="1">
        <w:r w:rsidRPr="00B76A8B">
          <w:rPr>
            <w:rStyle w:val="Hyperlink"/>
          </w:rPr>
          <w:t>https://doi.org/10.33321/cdi.2025.49.044</w:t>
        </w:r>
      </w:hyperlink>
      <w:r>
        <w:t>.</w:t>
      </w:r>
    </w:p>
    <w:p w14:paraId="6E28CBB6" w14:textId="16A7BF25" w:rsidR="00542103" w:rsidRDefault="00542103" w:rsidP="00542103">
      <w:pPr>
        <w:pStyle w:val="CDINumberedList1L1"/>
        <w:ind w:left="397" w:hanging="397"/>
      </w:pPr>
      <w:r>
        <w:t xml:space="preserve">International Council for Harmonisation of Technical Requirements for Pharmaceuticals for Human Use (ICH). Introductory Guide MedDRA Version 26.1. Brussels: ICH; September 2023. Available from: </w:t>
      </w:r>
      <w:hyperlink r:id="rId35" w:history="1">
        <w:r w:rsidRPr="00B76A8B">
          <w:rPr>
            <w:rStyle w:val="Hyperlink"/>
          </w:rPr>
          <w:t>https://admin.meddra.org/sites/default/files/guidance/file/intguide_26_1_English.pdf</w:t>
        </w:r>
      </w:hyperlink>
      <w:r>
        <w:t>.</w:t>
      </w:r>
    </w:p>
    <w:p w14:paraId="2E1BFDFA" w14:textId="4E455E63" w:rsidR="00542103" w:rsidRDefault="00542103" w:rsidP="00542103">
      <w:pPr>
        <w:pStyle w:val="CDINumberedList1L1"/>
        <w:ind w:left="397" w:hanging="397"/>
      </w:pPr>
      <w:r>
        <w:lastRenderedPageBreak/>
        <w:t xml:space="preserve">Medical Dictionary for Regulatory Activities (MedDRA). Standardised MedDRA Queries. [Webpage.] Herndon VA: MedDRA: 2023. [Accessed during 2024.] Available from: </w:t>
      </w:r>
      <w:hyperlink r:id="rId36" w:history="1">
        <w:r w:rsidRPr="00B76A8B">
          <w:rPr>
            <w:rStyle w:val="Hyperlink"/>
          </w:rPr>
          <w:t>https://www.meddra.org/standardised-meddra-queries</w:t>
        </w:r>
      </w:hyperlink>
      <w:r>
        <w:t>.</w:t>
      </w:r>
    </w:p>
    <w:p w14:paraId="02EB3937" w14:textId="0F0DAB3A" w:rsidR="00542103" w:rsidRDefault="00542103" w:rsidP="00542103">
      <w:pPr>
        <w:pStyle w:val="CDINumberedList1L1"/>
        <w:ind w:left="397" w:hanging="397"/>
      </w:pPr>
      <w:r>
        <w:t xml:space="preserve">MedDRA. </w:t>
      </w:r>
      <w:r w:rsidRPr="00542103">
        <w:rPr>
          <w:i/>
          <w:iCs/>
        </w:rPr>
        <w:t>Introductory Guide for Standardised MedDRA Queries (SMQs) (Version 26.1)</w:t>
      </w:r>
      <w:r>
        <w:t xml:space="preserve">. Geneva: International Council for Harmonisation of Technical Requirements for Pharmaceuticals for Human Use, MedDRA; September 2023. Available from: </w:t>
      </w:r>
      <w:hyperlink r:id="rId37" w:history="1">
        <w:r w:rsidRPr="00B76A8B">
          <w:rPr>
            <w:rStyle w:val="Hyperlink"/>
          </w:rPr>
          <w:t>https://admin.meddra.org/sites/default/files/guidance/file/SMQ_intguide_26_1_English.pdf</w:t>
        </w:r>
      </w:hyperlink>
      <w:r>
        <w:t>.</w:t>
      </w:r>
    </w:p>
    <w:p w14:paraId="14FE9AD8" w14:textId="7A2CC4BB" w:rsidR="00542103" w:rsidRDefault="00542103" w:rsidP="00542103">
      <w:pPr>
        <w:pStyle w:val="CDINumberedList1L1"/>
        <w:ind w:left="397" w:hanging="397"/>
      </w:pPr>
      <w:r>
        <w:t xml:space="preserve">WHO. </w:t>
      </w:r>
      <w:r w:rsidRPr="00542103">
        <w:rPr>
          <w:i/>
          <w:iCs/>
        </w:rPr>
        <w:t>Causality assessment of an adverse event following immunization (AEFI): user manual for the revised WHO classification, 2nd ed., 2019 update</w:t>
      </w:r>
      <w:r>
        <w:t xml:space="preserve">. Geneva: WHO; 16 April 2021. Available from: </w:t>
      </w:r>
      <w:hyperlink r:id="rId38" w:history="1">
        <w:r w:rsidRPr="00B76A8B">
          <w:rPr>
            <w:rStyle w:val="Hyperlink"/>
          </w:rPr>
          <w:t>https://www.who.int/publications/i/item/9789241516990</w:t>
        </w:r>
      </w:hyperlink>
      <w:r>
        <w:t>.</w:t>
      </w:r>
    </w:p>
    <w:p w14:paraId="06871C3A" w14:textId="78DD4601" w:rsidR="00542103" w:rsidRDefault="00542103" w:rsidP="00542103">
      <w:pPr>
        <w:pStyle w:val="CDINumberedList1L1"/>
        <w:ind w:left="397" w:hanging="397"/>
      </w:pPr>
      <w:r>
        <w:t xml:space="preserve">Australian Bureau of Statistics. National, state and territory population. Reference period: June 2022. [Webpage.] Canberra: Australian Bureau of Statistics; 15 December 2022. [Accessed during 2023.] Available from: </w:t>
      </w:r>
      <w:hyperlink r:id="rId39" w:history="1">
        <w:r w:rsidRPr="00B76A8B">
          <w:rPr>
            <w:rStyle w:val="Hyperlink"/>
          </w:rPr>
          <w:t>https://www.abs.gov.au/statistics/people/population/national-state-and-territory-population/jun-2022</w:t>
        </w:r>
      </w:hyperlink>
      <w:r>
        <w:t>.</w:t>
      </w:r>
    </w:p>
    <w:p w14:paraId="085299B1" w14:textId="52CFD827" w:rsidR="00542103" w:rsidRDefault="00542103" w:rsidP="00542103">
      <w:pPr>
        <w:pStyle w:val="CDINumberedList1L1"/>
        <w:ind w:left="397" w:hanging="397"/>
      </w:pPr>
      <w:r>
        <w:t xml:space="preserve">Australian Government: Services Australia. Australian Immunisation Register. [Webpage.] Canberra: Services Australia; 2024. [Accessed during 2024.] Available from: </w:t>
      </w:r>
      <w:hyperlink r:id="rId40" w:history="1">
        <w:r w:rsidRPr="00B76A8B">
          <w:rPr>
            <w:rStyle w:val="Hyperlink"/>
          </w:rPr>
          <w:t>https://www.servicesaustralia.gov.au/australian-immunisation-register</w:t>
        </w:r>
      </w:hyperlink>
      <w:r>
        <w:t>.</w:t>
      </w:r>
    </w:p>
    <w:p w14:paraId="63DECCC0" w14:textId="633AD671" w:rsidR="00542103" w:rsidRDefault="00542103" w:rsidP="00542103">
      <w:pPr>
        <w:pStyle w:val="CDINumberedList1L1"/>
        <w:ind w:left="397" w:hanging="397"/>
      </w:pPr>
      <w:r>
        <w:t xml:space="preserve">Australian Government Department of Health, Disability and Ageing. Mandatory reporting of Japanese encephalitis virus vaccines to the Australian Immunisation Register began on 21 December 2022. [Webpage.] Canberra: Australian Government Department of Health, Disability and Ageing; 13 January 2022. [Accessed during 2024.] Available from: </w:t>
      </w:r>
      <w:hyperlink r:id="rId41" w:history="1">
        <w:r w:rsidRPr="00B76A8B">
          <w:rPr>
            <w:rStyle w:val="Hyperlink"/>
          </w:rPr>
          <w:t>https://www.health.gov.au/news/mandatory-reporting-of-japanese-encephalitis-virus-vaccines-to-the-australian-immunisation-register-began-on-21-december-2022</w:t>
        </w:r>
      </w:hyperlink>
      <w:r>
        <w:t>.</w:t>
      </w:r>
    </w:p>
    <w:p w14:paraId="7561DD74" w14:textId="09AC22DF" w:rsidR="00542103" w:rsidRDefault="00542103" w:rsidP="00542103">
      <w:pPr>
        <w:pStyle w:val="CDINumberedList1L1"/>
        <w:ind w:left="397" w:hanging="397"/>
      </w:pPr>
      <w:r>
        <w:t xml:space="preserve">Hull B, Hendry A, Dey A, Brotherton J, Macartney K, Beard F. </w:t>
      </w:r>
      <w:r w:rsidRPr="00542103">
        <w:rPr>
          <w:i/>
          <w:iCs/>
        </w:rPr>
        <w:t>Annual Immunisation Coverage Report 2022</w:t>
      </w:r>
      <w:r>
        <w:t xml:space="preserve">. </w:t>
      </w:r>
      <w:r w:rsidRPr="00542103">
        <w:rPr>
          <w:i/>
          <w:iCs/>
        </w:rPr>
        <w:t>Commun Dis Intell (2018)</w:t>
      </w:r>
      <w:r>
        <w:t>. 2025;49. doi:</w:t>
      </w:r>
      <w:r>
        <w:t> </w:t>
      </w:r>
      <w:hyperlink r:id="rId42" w:history="1">
        <w:r w:rsidR="00D7481B" w:rsidRPr="00B76A8B">
          <w:rPr>
            <w:rStyle w:val="Hyperlink"/>
          </w:rPr>
          <w:t>https://doi.org/10.33321/cdi.2025.49.023</w:t>
        </w:r>
      </w:hyperlink>
      <w:r>
        <w:t>.</w:t>
      </w:r>
    </w:p>
    <w:p w14:paraId="4679A712" w14:textId="0D6A715B" w:rsidR="00542103" w:rsidRDefault="00542103" w:rsidP="00542103">
      <w:pPr>
        <w:pStyle w:val="CDINumberedList1L1"/>
        <w:ind w:left="397" w:hanging="397"/>
      </w:pPr>
      <w:r>
        <w:t xml:space="preserve">R Core Team. R: A Language and Environment for Statistical Computing. [Application.] Vienna: R Foundation for Statistical Computing; 2020. Available from: </w:t>
      </w:r>
      <w:hyperlink r:id="rId43" w:history="1">
        <w:r w:rsidR="00D7481B" w:rsidRPr="00B76A8B">
          <w:rPr>
            <w:rStyle w:val="Hyperlink"/>
          </w:rPr>
          <w:t>https://www.R-project.org/</w:t>
        </w:r>
      </w:hyperlink>
      <w:r>
        <w:t>.</w:t>
      </w:r>
    </w:p>
    <w:p w14:paraId="440B4829" w14:textId="01D3EBE9" w:rsidR="00542103" w:rsidRDefault="00542103" w:rsidP="00542103">
      <w:pPr>
        <w:pStyle w:val="CDINumberedList1L1"/>
        <w:ind w:left="397" w:hanging="397"/>
      </w:pPr>
      <w:r>
        <w:t xml:space="preserve">TGA. Database of Adverse Event Notifications (DAEN). [Webpage.] Canberra: Australian Government Department of Health, Disability and Ageing, TGA; 2023. [Accessed during 2024.] Available from: </w:t>
      </w:r>
      <w:hyperlink r:id="rId44" w:history="1">
        <w:r w:rsidR="00D7481B" w:rsidRPr="00B76A8B">
          <w:rPr>
            <w:rStyle w:val="Hyperlink"/>
          </w:rPr>
          <w:t>https://www.tga.gov.au/safety/database-adverse-event-notifications-daen</w:t>
        </w:r>
      </w:hyperlink>
      <w:r>
        <w:t>.</w:t>
      </w:r>
    </w:p>
    <w:p w14:paraId="7FDC38F0" w14:textId="26564843" w:rsidR="00542103" w:rsidRDefault="00542103" w:rsidP="00542103">
      <w:pPr>
        <w:pStyle w:val="CDINumberedList1L1"/>
        <w:ind w:left="397" w:hanging="397"/>
      </w:pPr>
      <w:r>
        <w:t xml:space="preserve">TGA. DAEN – medicines: Information for consumers. [Webpage.] Canberra: Australian Government Department of Health, Disability and Ageing, TGA; 2023. [Accessed during 2025.] Available from: </w:t>
      </w:r>
      <w:hyperlink r:id="rId45" w:history="1">
        <w:r w:rsidR="00D7481B" w:rsidRPr="00B76A8B">
          <w:rPr>
            <w:rStyle w:val="Hyperlink"/>
          </w:rPr>
          <w:t>https://www.tga.gov.au/resources/resource/reference-material/daen-medicines-information-consumers#what-the-tga-does-with-information-in-the-database</w:t>
        </w:r>
      </w:hyperlink>
      <w:r>
        <w:t>.</w:t>
      </w:r>
    </w:p>
    <w:p w14:paraId="3E814C8B" w14:textId="0FBE71D7" w:rsidR="00542103" w:rsidRDefault="00542103" w:rsidP="00542103">
      <w:pPr>
        <w:pStyle w:val="CDINumberedList1L1"/>
        <w:ind w:left="397" w:hanging="397"/>
      </w:pPr>
      <w:r>
        <w:t xml:space="preserve">European Medicines Agency (EMA). </w:t>
      </w:r>
      <w:proofErr w:type="spellStart"/>
      <w:r>
        <w:t>Imvanex</w:t>
      </w:r>
      <w:proofErr w:type="spellEnd"/>
      <w:r>
        <w:t xml:space="preserve">: smallpox and monkeypox vaccine (Live Modified Vaccinia Virus Ankara). [Webpage.] Amsterdam: EMA; 2024. [Accessed during 2024.] Available from: </w:t>
      </w:r>
      <w:hyperlink r:id="rId46" w:history="1">
        <w:r w:rsidR="00D7481B" w:rsidRPr="00B76A8B">
          <w:rPr>
            <w:rStyle w:val="Hyperlink"/>
          </w:rPr>
          <w:t>https://www.ema.europa.eu/en/medicines/human/EPAR/imvanex</w:t>
        </w:r>
      </w:hyperlink>
      <w:r>
        <w:t>.</w:t>
      </w:r>
    </w:p>
    <w:p w14:paraId="016245FE" w14:textId="4DC64C83" w:rsidR="00542103" w:rsidRDefault="00542103" w:rsidP="00542103">
      <w:pPr>
        <w:pStyle w:val="CDINumberedList1L1"/>
        <w:ind w:left="397" w:hanging="397"/>
      </w:pPr>
      <w:proofErr w:type="spellStart"/>
      <w:r>
        <w:t>Weidenthaler</w:t>
      </w:r>
      <w:proofErr w:type="spellEnd"/>
      <w:r>
        <w:t xml:space="preserve"> H, </w:t>
      </w:r>
      <w:proofErr w:type="spellStart"/>
      <w:r>
        <w:t>Vidojkovic</w:t>
      </w:r>
      <w:proofErr w:type="spellEnd"/>
      <w:r>
        <w:t xml:space="preserve"> S, Martin BK, De Moerlooze L. Real-world safety data for MVA-BN: increased frequency of syncope following intradermal administration for immunization against mpox disease. </w:t>
      </w:r>
      <w:r w:rsidRPr="00542103">
        <w:rPr>
          <w:i/>
          <w:iCs/>
        </w:rPr>
        <w:t>Vaccine</w:t>
      </w:r>
      <w:r>
        <w:t>. 2024;42(22):126024. doi:</w:t>
      </w:r>
      <w:r w:rsidR="00D7481B">
        <w:t> </w:t>
      </w:r>
      <w:hyperlink r:id="rId47" w:history="1">
        <w:r w:rsidR="00D7481B" w:rsidRPr="00B76A8B">
          <w:rPr>
            <w:rStyle w:val="Hyperlink"/>
          </w:rPr>
          <w:t>https://doi.org/10.1016/j.vaccine.2024.05.072</w:t>
        </w:r>
      </w:hyperlink>
      <w:r>
        <w:t>.</w:t>
      </w:r>
    </w:p>
    <w:p w14:paraId="3223DE6B" w14:textId="659B2D42" w:rsidR="00542103" w:rsidRDefault="00542103" w:rsidP="00542103">
      <w:pPr>
        <w:pStyle w:val="CDINumberedList1L1"/>
        <w:ind w:left="397" w:hanging="397"/>
      </w:pPr>
      <w:r>
        <w:lastRenderedPageBreak/>
        <w:t xml:space="preserve">NCIRS. History of immunisation in Australia. [Webpage.] Sydney: Sydney Children’s Hospital Network, NCIRS; </w:t>
      </w:r>
      <w:proofErr w:type="gramStart"/>
      <w:r>
        <w:t>2024.[</w:t>
      </w:r>
      <w:proofErr w:type="gramEnd"/>
      <w:r>
        <w:t xml:space="preserve">Accessed during 2024.] Available from: </w:t>
      </w:r>
      <w:hyperlink r:id="rId48" w:history="1">
        <w:r w:rsidR="00D7481B" w:rsidRPr="00B76A8B">
          <w:rPr>
            <w:rStyle w:val="Hyperlink"/>
          </w:rPr>
          <w:t>https://ncirs.org.au/health-professionals/history-immunisation-australia</w:t>
        </w:r>
      </w:hyperlink>
      <w:r>
        <w:t>.</w:t>
      </w:r>
    </w:p>
    <w:p w14:paraId="25186ABE" w14:textId="6F4CC84F" w:rsidR="00542103" w:rsidRDefault="00542103" w:rsidP="00542103">
      <w:pPr>
        <w:pStyle w:val="CDINumberedList1L1"/>
        <w:ind w:left="397" w:hanging="397"/>
      </w:pPr>
      <w:r>
        <w:t xml:space="preserve">Therapeutic Goods Administration - TGA. [‘Facebook’ social media post.] Facebook; 5 October 2021. Available from: </w:t>
      </w:r>
      <w:hyperlink r:id="rId49" w:history="1">
        <w:r w:rsidR="00D7481B" w:rsidRPr="00B76A8B">
          <w:rPr>
            <w:rStyle w:val="Hyperlink"/>
          </w:rPr>
          <w:t>https://www.facebook.com/TGAgovau/posts/pfbid0SUHvJqCSfi1tTNJTWjgVnasjVeDmgL6MzrSHPrH6M32zZXSFVn2rncDmjsaHNxBcl</w:t>
        </w:r>
      </w:hyperlink>
      <w:r>
        <w:t>.</w:t>
      </w:r>
    </w:p>
    <w:p w14:paraId="34C3BF06" w14:textId="6FEAA167" w:rsidR="00542103" w:rsidRDefault="00542103" w:rsidP="00542103">
      <w:pPr>
        <w:pStyle w:val="CDINumberedList1L1"/>
        <w:ind w:left="397" w:hanging="397"/>
      </w:pPr>
      <w:r>
        <w:t xml:space="preserve">Therapeutic Goods Administration - TGA. [‘Facebook’ social media post.] Facebook; 1 March 2022. Available from: </w:t>
      </w:r>
      <w:hyperlink r:id="rId50" w:history="1">
        <w:r w:rsidR="00D7481B" w:rsidRPr="00B76A8B">
          <w:rPr>
            <w:rStyle w:val="Hyperlink"/>
          </w:rPr>
          <w:t>https://www.facebook.com/TGAgovau/posts/pfbid02t48T1Ft8zoetjAkvUt6o8mK7TqUt4bf3vfE1S6oagGPhc2W1swftEgCa1jtRTbC1l</w:t>
        </w:r>
      </w:hyperlink>
      <w:r>
        <w:t>.</w:t>
      </w:r>
    </w:p>
    <w:p w14:paraId="548409A8" w14:textId="381DF8F2" w:rsidR="00542103" w:rsidRDefault="00542103" w:rsidP="00542103">
      <w:pPr>
        <w:pStyle w:val="CDINumberedList1L1"/>
        <w:ind w:left="397" w:hanging="397"/>
      </w:pPr>
      <w:r>
        <w:t xml:space="preserve">Australian Government Department of Health, Disability and Ageing. </w:t>
      </w:r>
      <w:r w:rsidRPr="00542103">
        <w:rPr>
          <w:i/>
          <w:iCs/>
        </w:rPr>
        <w:t>Australian Technical Advisory Group on Immunisation (ATAGI) Clinical Advice. Statement on the administration of seasonal influenza vaccines in 2022</w:t>
      </w:r>
      <w:r>
        <w:t xml:space="preserve">. Canberra: Australian Government Department of Health, Disability and Ageing; March 2022. [Accessed during 2024.] Available from: </w:t>
      </w:r>
      <w:hyperlink r:id="rId51" w:history="1">
        <w:r w:rsidR="00D7481B" w:rsidRPr="00B76A8B">
          <w:rPr>
            <w:rStyle w:val="Hyperlink"/>
          </w:rPr>
          <w:t>https://www.health.gov.au/sites/default/files/documents/2022/02/atagi-advice-on-seasonal-influenza-vaccines-in-2022.pdf</w:t>
        </w:r>
      </w:hyperlink>
      <w:r>
        <w:t>.</w:t>
      </w:r>
    </w:p>
    <w:p w14:paraId="68734443" w14:textId="56F1F139" w:rsidR="00542103" w:rsidRDefault="00542103" w:rsidP="00542103">
      <w:pPr>
        <w:pStyle w:val="CDINumberedList1L1"/>
        <w:ind w:left="397" w:hanging="397"/>
      </w:pPr>
      <w:r>
        <w:t xml:space="preserve">Australian Government Department of Health, Disability and Ageing. </w:t>
      </w:r>
      <w:r w:rsidRPr="00542103">
        <w:rPr>
          <w:i/>
          <w:iCs/>
        </w:rPr>
        <w:t xml:space="preserve">Vaccine safety in Australia </w:t>
      </w:r>
      <w:proofErr w:type="spellStart"/>
      <w:r w:rsidRPr="00542103">
        <w:rPr>
          <w:i/>
          <w:iCs/>
        </w:rPr>
        <w:t>AusVaxSafety</w:t>
      </w:r>
      <w:proofErr w:type="spellEnd"/>
      <w:r w:rsidRPr="00542103">
        <w:rPr>
          <w:i/>
          <w:iCs/>
        </w:rPr>
        <w:t xml:space="preserve"> – Summary report 2022</w:t>
      </w:r>
      <w:r>
        <w:t xml:space="preserve">. Canberra: Australian Government Department of Health, Disability and Ageing; 23 February 2024. Available from: </w:t>
      </w:r>
      <w:hyperlink r:id="rId52" w:history="1">
        <w:r w:rsidR="00D7481B" w:rsidRPr="00B76A8B">
          <w:rPr>
            <w:rStyle w:val="Hyperlink"/>
          </w:rPr>
          <w:t>https://www.health.gov.au/resources/publications/vaccine-safety-in-australia-ausvaxsafety-summary-report-2022</w:t>
        </w:r>
      </w:hyperlink>
      <w:r>
        <w:t>.</w:t>
      </w:r>
    </w:p>
    <w:p w14:paraId="290EB8C6" w14:textId="73C7C92B" w:rsidR="00542103" w:rsidRDefault="00542103" w:rsidP="00542103">
      <w:pPr>
        <w:pStyle w:val="CDINumberedList1L1"/>
        <w:ind w:left="397" w:hanging="397"/>
      </w:pPr>
      <w:r>
        <w:t xml:space="preserve">Deng L, Lopez L, Glover C, et al. Short-term adverse events following immunization with modified vaccinia Ankara-Bavarian Nordic (MVA-BN) vaccine for Mpox. </w:t>
      </w:r>
      <w:r w:rsidRPr="00542103">
        <w:rPr>
          <w:i/>
          <w:iCs/>
        </w:rPr>
        <w:t>JAMA</w:t>
      </w:r>
      <w:r>
        <w:t>. 2023;329(23):2091–4. d</w:t>
      </w:r>
      <w:r>
        <w:t xml:space="preserve">oi: </w:t>
      </w:r>
      <w:hyperlink r:id="rId53" w:history="1">
        <w:r w:rsidR="00D7481B" w:rsidRPr="00B76A8B">
          <w:rPr>
            <w:rStyle w:val="Hyperlink"/>
          </w:rPr>
          <w:t>https://doi.org/10.1001/jama.2023.7683</w:t>
        </w:r>
      </w:hyperlink>
      <w:r>
        <w:t>.</w:t>
      </w:r>
    </w:p>
    <w:p w14:paraId="34D35621" w14:textId="665BA2EA" w:rsidR="00542103" w:rsidRDefault="00542103" w:rsidP="00542103">
      <w:pPr>
        <w:pStyle w:val="CDINumberedList1L1"/>
        <w:ind w:left="397" w:hanging="397"/>
      </w:pPr>
      <w:r>
        <w:t xml:space="preserve">Shimabukuro T, Nguyen M, Martin D, DeStefano F. Safety monitoring in the Vaccine Adverse Event Reporting System (VAERS). </w:t>
      </w:r>
      <w:r w:rsidRPr="00542103">
        <w:rPr>
          <w:i/>
          <w:iCs/>
        </w:rPr>
        <w:t>Vaccine</w:t>
      </w:r>
      <w:r>
        <w:t>. 2015;33(36):4398–405. do</w:t>
      </w:r>
      <w:r>
        <w:t>i:</w:t>
      </w:r>
      <w:r w:rsidR="00D7481B">
        <w:t> </w:t>
      </w:r>
      <w:hyperlink r:id="rId54" w:history="1">
        <w:r w:rsidR="00D7481B" w:rsidRPr="00B76A8B">
          <w:rPr>
            <w:rStyle w:val="Hyperlink"/>
          </w:rPr>
          <w:t>https://doi.org/10.1016/j.vaccine.2015.07.035</w:t>
        </w:r>
      </w:hyperlink>
      <w:r>
        <w:t>.</w:t>
      </w:r>
    </w:p>
    <w:p w14:paraId="0F72DEEE" w14:textId="7D24F8FB" w:rsidR="0058264F" w:rsidRPr="001E3ECB" w:rsidRDefault="00542103" w:rsidP="00542103">
      <w:pPr>
        <w:pStyle w:val="CDINumberedList1L1"/>
        <w:ind w:left="397" w:hanging="397"/>
      </w:pPr>
      <w:r>
        <w:t xml:space="preserve">Tuckerman J, Blyth CC, Beard FH, </w:t>
      </w:r>
      <w:proofErr w:type="spellStart"/>
      <w:r>
        <w:t>Danchin</w:t>
      </w:r>
      <w:proofErr w:type="spellEnd"/>
      <w:r>
        <w:t xml:space="preserve"> MH. COVID-19 and changes in the National Immunisation Program: a unique opportunity to optimise the Australian Immunisation Register (AIR). </w:t>
      </w:r>
      <w:r w:rsidRPr="00542103">
        <w:rPr>
          <w:i/>
          <w:iCs/>
        </w:rPr>
        <w:t>Med J Aust</w:t>
      </w:r>
      <w:r>
        <w:t xml:space="preserve">. 2021;214(6):247–9. doi: </w:t>
      </w:r>
      <w:hyperlink r:id="rId55" w:history="1">
        <w:r w:rsidR="00D7481B" w:rsidRPr="00B76A8B">
          <w:rPr>
            <w:rStyle w:val="Hyperlink"/>
          </w:rPr>
          <w:t>https://doi.org/10.5694/mja2.50971</w:t>
        </w:r>
      </w:hyperlink>
      <w:r>
        <w:t>.</w:t>
      </w:r>
    </w:p>
    <w:p w14:paraId="44DF0669" w14:textId="77777777" w:rsidR="004973B4" w:rsidRDefault="004973B4" w:rsidP="004973B4">
      <w:pPr>
        <w:pStyle w:val="Heading1-nospacebefore"/>
      </w:pPr>
      <w:bookmarkStart w:id="49" w:name="_Toc215477410"/>
      <w:r>
        <w:lastRenderedPageBreak/>
        <w:t>Appendix A</w:t>
      </w:r>
      <w:bookmarkEnd w:id="49"/>
    </w:p>
    <w:p w14:paraId="4C729019" w14:textId="77777777" w:rsidR="00D7481B" w:rsidRPr="00D7481B" w:rsidRDefault="00D7481B" w:rsidP="00D7481B">
      <w:pPr>
        <w:pStyle w:val="CDITable-Title"/>
        <w:rPr>
          <w:lang w:val="en-GB"/>
        </w:rPr>
      </w:pPr>
      <w:bookmarkStart w:id="50" w:name="_Toc215491393"/>
      <w:r w:rsidRPr="00D7481B">
        <w:rPr>
          <w:lang w:val="en-GB"/>
        </w:rPr>
        <w:t>Table A.1: Notable changes in national or jurisdictional immunisation policy, and in the National Immunisation Program (2005–2022), excluding COVID-19 vaccines</w:t>
      </w:r>
      <w:r w:rsidRPr="00D7481B">
        <w:rPr>
          <w:vertAlign w:val="superscript"/>
          <w:lang w:val="en-GB"/>
        </w:rPr>
        <w:t>18,25</w:t>
      </w:r>
      <w:bookmarkEnd w:id="50"/>
    </w:p>
    <w:tbl>
      <w:tblPr>
        <w:tblW w:w="0" w:type="auto"/>
        <w:tblLayout w:type="fixed"/>
        <w:tblCellMar>
          <w:left w:w="0" w:type="dxa"/>
          <w:right w:w="0" w:type="dxa"/>
        </w:tblCellMar>
        <w:tblLook w:val="0000" w:firstRow="0" w:lastRow="0" w:firstColumn="0" w:lastColumn="0" w:noHBand="0" w:noVBand="0"/>
        <w:tblCaption w:val="Table A.1: Notable changes in national or jurisdictional immunisation policy, and in the National Immunisation Program (2005–2022), excluding COVID-19 vaccines"/>
        <w:tblDescription w:val="Table A.1 describes changes to the National Immunisation Program (NIP), and significant changes to Australian or State/Territory immunisation policy for non-COVID-19 vaccines, that took place between 2005 and 2022."/>
      </w:tblPr>
      <w:tblGrid>
        <w:gridCol w:w="850"/>
        <w:gridCol w:w="8788"/>
      </w:tblGrid>
      <w:tr w:rsidR="0094255E" w:rsidRPr="0094255E" w14:paraId="0C960CC1" w14:textId="77777777" w:rsidTr="001D11E0">
        <w:tblPrEx>
          <w:tblCellMar>
            <w:top w:w="0" w:type="dxa"/>
            <w:left w:w="0" w:type="dxa"/>
            <w:bottom w:w="0" w:type="dxa"/>
            <w:right w:w="0" w:type="dxa"/>
          </w:tblCellMar>
        </w:tblPrEx>
        <w:trPr>
          <w:trHeight w:val="60"/>
          <w:tblHeader/>
        </w:trPr>
        <w:tc>
          <w:tcPr>
            <w:tcW w:w="850" w:type="dxa"/>
            <w:shd w:val="clear" w:color="auto" w:fill="1E4496" w:themeFill="text2"/>
            <w:tcMar>
              <w:top w:w="113" w:type="dxa"/>
              <w:left w:w="113" w:type="dxa"/>
              <w:bottom w:w="113" w:type="dxa"/>
              <w:right w:w="113" w:type="dxa"/>
            </w:tcMar>
            <w:vAlign w:val="bottom"/>
          </w:tcPr>
          <w:p w14:paraId="506C4B4A" w14:textId="77777777" w:rsidR="0094255E" w:rsidRPr="0094255E" w:rsidRDefault="0094255E" w:rsidP="0094255E">
            <w:pPr>
              <w:pStyle w:val="CDITable-HeaderRowLeft"/>
              <w:rPr>
                <w:lang w:val="en-GB"/>
              </w:rPr>
            </w:pPr>
            <w:r w:rsidRPr="0094255E">
              <w:rPr>
                <w:lang w:val="en-GB"/>
              </w:rPr>
              <w:t>Year</w:t>
            </w:r>
          </w:p>
        </w:tc>
        <w:tc>
          <w:tcPr>
            <w:tcW w:w="8788" w:type="dxa"/>
            <w:shd w:val="clear" w:color="auto" w:fill="1E4496" w:themeFill="text2"/>
            <w:tcMar>
              <w:top w:w="113" w:type="dxa"/>
              <w:left w:w="113" w:type="dxa"/>
              <w:bottom w:w="113" w:type="dxa"/>
              <w:right w:w="113" w:type="dxa"/>
            </w:tcMar>
            <w:vAlign w:val="bottom"/>
          </w:tcPr>
          <w:p w14:paraId="6591271A" w14:textId="77777777" w:rsidR="0094255E" w:rsidRPr="0094255E" w:rsidRDefault="0094255E" w:rsidP="0094255E">
            <w:pPr>
              <w:pStyle w:val="CDITable-HeaderRowLeft"/>
              <w:rPr>
                <w:lang w:val="en-GB"/>
              </w:rPr>
            </w:pPr>
            <w:r w:rsidRPr="0094255E">
              <w:t>Change</w:t>
            </w:r>
          </w:p>
        </w:tc>
      </w:tr>
      <w:tr w:rsidR="0094255E" w:rsidRPr="0094255E" w14:paraId="66A1D0E7" w14:textId="77777777" w:rsidTr="001D11E0">
        <w:tblPrEx>
          <w:tblCellMar>
            <w:top w:w="0" w:type="dxa"/>
            <w:left w:w="0" w:type="dxa"/>
            <w:bottom w:w="0" w:type="dxa"/>
            <w:right w:w="0" w:type="dxa"/>
          </w:tblCellMar>
        </w:tblPrEx>
        <w:trPr>
          <w:trHeight w:val="60"/>
        </w:trPr>
        <w:tc>
          <w:tcPr>
            <w:tcW w:w="850" w:type="dxa"/>
            <w:vMerge w:val="restart"/>
            <w:tcBorders>
              <w:bottom w:val="single" w:sz="6" w:space="0" w:color="1E4496" w:themeColor="text2"/>
            </w:tcBorders>
            <w:shd w:val="clear" w:color="auto" w:fill="DCF4FC" w:themeFill="background2" w:themeFillTint="33"/>
            <w:tcMar>
              <w:top w:w="113" w:type="dxa"/>
              <w:left w:w="113" w:type="dxa"/>
              <w:bottom w:w="113" w:type="dxa"/>
              <w:right w:w="113" w:type="dxa"/>
            </w:tcMar>
          </w:tcPr>
          <w:p w14:paraId="737408B3" w14:textId="77777777" w:rsidR="0094255E" w:rsidRPr="001D11E0" w:rsidRDefault="0094255E" w:rsidP="0094255E">
            <w:pPr>
              <w:pStyle w:val="CDITable-RowLeftless"/>
              <w:rPr>
                <w:b/>
                <w:bCs/>
                <w:lang w:val="en-GB"/>
              </w:rPr>
            </w:pPr>
            <w:r w:rsidRPr="001D11E0">
              <w:rPr>
                <w:rFonts w:eastAsiaTheme="majorEastAsia"/>
                <w:b/>
                <w:bCs/>
                <w:lang w:val="en-GB"/>
              </w:rPr>
              <w:t>2022</w:t>
            </w:r>
          </w:p>
        </w:tc>
        <w:tc>
          <w:tcPr>
            <w:tcW w:w="8788" w:type="dxa"/>
            <w:tcBorders>
              <w:bottom w:val="single" w:sz="6" w:space="0" w:color="1E4496" w:themeColor="text2"/>
            </w:tcBorders>
            <w:tcMar>
              <w:top w:w="113" w:type="dxa"/>
              <w:left w:w="113" w:type="dxa"/>
              <w:bottom w:w="113" w:type="dxa"/>
              <w:right w:w="113" w:type="dxa"/>
            </w:tcMar>
            <w:vAlign w:val="center"/>
          </w:tcPr>
          <w:p w14:paraId="457EAAE5" w14:textId="77777777" w:rsidR="0094255E" w:rsidRPr="001D11E0" w:rsidRDefault="0094255E" w:rsidP="0094255E">
            <w:pPr>
              <w:pStyle w:val="CDITable-RowLeftless"/>
              <w:rPr>
                <w:rFonts w:eastAsiaTheme="majorEastAsia"/>
                <w:b/>
                <w:bCs/>
                <w:lang w:val="en-GB"/>
              </w:rPr>
            </w:pPr>
            <w:r w:rsidRPr="001D11E0">
              <w:rPr>
                <w:rFonts w:eastAsiaTheme="majorEastAsia"/>
                <w:b/>
                <w:bCs/>
                <w:lang w:val="en-GB"/>
              </w:rPr>
              <w:t>December 2022</w:t>
            </w:r>
          </w:p>
          <w:p w14:paraId="276EF460" w14:textId="77777777" w:rsidR="0094255E" w:rsidRPr="0094255E" w:rsidRDefault="0094255E" w:rsidP="0094255E">
            <w:pPr>
              <w:pStyle w:val="CDITable-RowLeftless"/>
              <w:rPr>
                <w:lang w:val="en-GB"/>
              </w:rPr>
            </w:pPr>
            <w:r w:rsidRPr="0094255E">
              <w:rPr>
                <w:lang w:val="en-GB"/>
              </w:rPr>
              <w:t>Mandatory reporting to AIR for all JE vaccines administered.</w:t>
            </w:r>
          </w:p>
        </w:tc>
      </w:tr>
      <w:tr w:rsidR="0094255E" w:rsidRPr="0094255E" w14:paraId="2FB4E23E" w14:textId="77777777" w:rsidTr="001D11E0">
        <w:tblPrEx>
          <w:tblCellMar>
            <w:top w:w="0" w:type="dxa"/>
            <w:left w:w="0" w:type="dxa"/>
            <w:bottom w:w="0" w:type="dxa"/>
            <w:right w:w="0" w:type="dxa"/>
          </w:tblCellMar>
        </w:tblPrEx>
        <w:trPr>
          <w:trHeight w:val="60"/>
        </w:trPr>
        <w:tc>
          <w:tcPr>
            <w:tcW w:w="850" w:type="dxa"/>
            <w:vMerge/>
            <w:tcBorders>
              <w:top w:val="single" w:sz="6" w:space="0" w:color="1E4496" w:themeColor="text2"/>
              <w:bottom w:val="single" w:sz="6" w:space="0" w:color="1E4496" w:themeColor="text2"/>
            </w:tcBorders>
            <w:shd w:val="clear" w:color="auto" w:fill="DCF4FC" w:themeFill="background2" w:themeFillTint="33"/>
          </w:tcPr>
          <w:p w14:paraId="68D81970" w14:textId="77777777" w:rsidR="0094255E" w:rsidRPr="0094255E" w:rsidRDefault="0094255E" w:rsidP="0094255E">
            <w:pPr>
              <w:pStyle w:val="CDITable-RowLeftless"/>
            </w:pP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54D0A1" w14:textId="77777777" w:rsidR="0094255E" w:rsidRPr="001D11E0" w:rsidRDefault="0094255E" w:rsidP="0094255E">
            <w:pPr>
              <w:pStyle w:val="CDITable-RowLeftless"/>
              <w:rPr>
                <w:rFonts w:eastAsiaTheme="majorEastAsia"/>
                <w:b/>
                <w:bCs/>
                <w:lang w:val="en-GB"/>
              </w:rPr>
            </w:pPr>
            <w:r w:rsidRPr="001D11E0">
              <w:rPr>
                <w:rFonts w:eastAsiaTheme="majorEastAsia"/>
                <w:b/>
                <w:bCs/>
                <w:lang w:val="en-GB"/>
              </w:rPr>
              <w:t>August 2022</w:t>
            </w:r>
          </w:p>
          <w:p w14:paraId="61D47C64" w14:textId="77777777" w:rsidR="0094255E" w:rsidRPr="0094255E" w:rsidRDefault="0094255E" w:rsidP="0094255E">
            <w:pPr>
              <w:pStyle w:val="CDITable-RowLeftless"/>
              <w:rPr>
                <w:lang w:val="en-GB"/>
              </w:rPr>
            </w:pPr>
            <w:r w:rsidRPr="0094255E">
              <w:rPr>
                <w:lang w:val="en-GB"/>
              </w:rPr>
              <w:t>Intradermal administration of MVA-BN added to recommendations as an alternative route for pre-exposure prophylaxis.</w:t>
            </w:r>
          </w:p>
        </w:tc>
      </w:tr>
      <w:tr w:rsidR="0094255E" w:rsidRPr="0094255E" w14:paraId="4A892DB8" w14:textId="77777777" w:rsidTr="001D11E0">
        <w:tblPrEx>
          <w:tblCellMar>
            <w:top w:w="0" w:type="dxa"/>
            <w:left w:w="0" w:type="dxa"/>
            <w:bottom w:w="0" w:type="dxa"/>
            <w:right w:w="0" w:type="dxa"/>
          </w:tblCellMar>
        </w:tblPrEx>
        <w:trPr>
          <w:trHeight w:val="60"/>
        </w:trPr>
        <w:tc>
          <w:tcPr>
            <w:tcW w:w="850" w:type="dxa"/>
            <w:vMerge/>
            <w:tcBorders>
              <w:bottom w:val="single" w:sz="6" w:space="0" w:color="1E4496" w:themeColor="text2"/>
            </w:tcBorders>
            <w:shd w:val="clear" w:color="auto" w:fill="DCF4FC" w:themeFill="background2" w:themeFillTint="33"/>
          </w:tcPr>
          <w:p w14:paraId="49583D2A" w14:textId="77777777" w:rsidR="0094255E" w:rsidRPr="0094255E" w:rsidRDefault="0094255E" w:rsidP="0094255E">
            <w:pPr>
              <w:pStyle w:val="CDITable-RowLeftless"/>
            </w:pP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2F4986" w14:textId="77777777" w:rsidR="0094255E" w:rsidRPr="001D11E0" w:rsidRDefault="0094255E" w:rsidP="0094255E">
            <w:pPr>
              <w:pStyle w:val="CDITable-RowLeftless"/>
              <w:rPr>
                <w:rFonts w:eastAsiaTheme="majorEastAsia"/>
                <w:b/>
                <w:bCs/>
                <w:lang w:val="en-GB"/>
              </w:rPr>
            </w:pPr>
            <w:r w:rsidRPr="001D11E0">
              <w:rPr>
                <w:rFonts w:eastAsiaTheme="majorEastAsia"/>
                <w:b/>
                <w:bCs/>
                <w:lang w:val="en-GB"/>
              </w:rPr>
              <w:t>July 2022</w:t>
            </w:r>
          </w:p>
          <w:p w14:paraId="06248EA6" w14:textId="77777777" w:rsidR="0094255E" w:rsidRPr="0094255E" w:rsidRDefault="0094255E" w:rsidP="0094255E">
            <w:pPr>
              <w:pStyle w:val="CDITable-RowLeftless"/>
              <w:rPr>
                <w:lang w:val="en-GB"/>
              </w:rPr>
            </w:pPr>
            <w:r w:rsidRPr="0094255E">
              <w:rPr>
                <w:lang w:val="en-GB"/>
              </w:rPr>
              <w:t xml:space="preserve">First replication-deficient modified vaccinia Ankara–Bavarian Nordic, MVA-BN vaccine made available via a special emergency pathway under section 18A of the </w:t>
            </w:r>
            <w:r w:rsidRPr="001D11E0">
              <w:rPr>
                <w:i/>
                <w:iCs/>
                <w:lang w:val="en-GB"/>
              </w:rPr>
              <w:t>Therapeutic Goods Act 1989</w:t>
            </w:r>
            <w:r w:rsidRPr="0094255E">
              <w:rPr>
                <w:lang w:val="en-GB"/>
              </w:rPr>
              <w:t xml:space="preserve">. </w:t>
            </w:r>
          </w:p>
          <w:p w14:paraId="4381182C" w14:textId="77777777" w:rsidR="0094255E" w:rsidRPr="0094255E" w:rsidRDefault="0094255E" w:rsidP="0094255E">
            <w:pPr>
              <w:pStyle w:val="CDITable-RowLeftless"/>
              <w:rPr>
                <w:lang w:val="en-GB"/>
              </w:rPr>
            </w:pPr>
            <w:r w:rsidRPr="0094255E">
              <w:rPr>
                <w:lang w:val="en-GB"/>
              </w:rPr>
              <w:t>MVA-BN recommended for both pre-exposure and post-exposure prophylaxis against mpox.</w:t>
            </w:r>
          </w:p>
        </w:tc>
      </w:tr>
      <w:tr w:rsidR="0094255E" w:rsidRPr="0094255E" w14:paraId="6EAF1825" w14:textId="77777777" w:rsidTr="001D11E0">
        <w:tblPrEx>
          <w:tblCellMar>
            <w:top w:w="0" w:type="dxa"/>
            <w:left w:w="0" w:type="dxa"/>
            <w:bottom w:w="0" w:type="dxa"/>
            <w:right w:w="0" w:type="dxa"/>
          </w:tblCellMar>
        </w:tblPrEx>
        <w:trPr>
          <w:trHeight w:val="60"/>
        </w:trPr>
        <w:tc>
          <w:tcPr>
            <w:tcW w:w="850" w:type="dxa"/>
            <w:vMerge/>
            <w:tcBorders>
              <w:bottom w:val="single" w:sz="6" w:space="0" w:color="1E4496" w:themeColor="text2"/>
            </w:tcBorders>
            <w:shd w:val="clear" w:color="auto" w:fill="DCF4FC" w:themeFill="background2" w:themeFillTint="33"/>
          </w:tcPr>
          <w:p w14:paraId="0BABCE9A" w14:textId="77777777" w:rsidR="0094255E" w:rsidRPr="0094255E" w:rsidRDefault="0094255E" w:rsidP="0094255E">
            <w:pPr>
              <w:pStyle w:val="CDITable-RowLeftless"/>
            </w:pP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21ACDB" w14:textId="77777777" w:rsidR="0094255E" w:rsidRPr="001D11E0" w:rsidRDefault="0094255E" w:rsidP="0094255E">
            <w:pPr>
              <w:pStyle w:val="CDITable-RowLeftless"/>
              <w:rPr>
                <w:rFonts w:eastAsiaTheme="majorEastAsia"/>
                <w:b/>
                <w:bCs/>
                <w:lang w:val="en-GB"/>
              </w:rPr>
            </w:pPr>
            <w:r w:rsidRPr="001D11E0">
              <w:rPr>
                <w:rFonts w:eastAsiaTheme="majorEastAsia"/>
                <w:b/>
                <w:bCs/>
                <w:lang w:val="en-GB"/>
              </w:rPr>
              <w:t>June 2022</w:t>
            </w:r>
          </w:p>
          <w:p w14:paraId="7BF12F43" w14:textId="77777777" w:rsidR="0094255E" w:rsidRPr="0094255E" w:rsidRDefault="0094255E" w:rsidP="0094255E">
            <w:pPr>
              <w:pStyle w:val="CDITable-RowLeftless"/>
              <w:rPr>
                <w:lang w:val="en-GB"/>
              </w:rPr>
            </w:pPr>
            <w:r w:rsidRPr="0094255E">
              <w:rPr>
                <w:lang w:val="en-GB"/>
              </w:rPr>
              <w:t>NSW, Qld, Vic, SA and WA governments provided state-funded influenza vaccination program for all residents from 1 June – 30 June 2022.</w:t>
            </w:r>
          </w:p>
        </w:tc>
      </w:tr>
      <w:tr w:rsidR="0094255E" w:rsidRPr="0094255E" w14:paraId="056481B5" w14:textId="77777777" w:rsidTr="001D11E0">
        <w:tblPrEx>
          <w:tblCellMar>
            <w:top w:w="0" w:type="dxa"/>
            <w:left w:w="0" w:type="dxa"/>
            <w:bottom w:w="0" w:type="dxa"/>
            <w:right w:w="0" w:type="dxa"/>
          </w:tblCellMar>
        </w:tblPrEx>
        <w:trPr>
          <w:trHeight w:val="60"/>
        </w:trPr>
        <w:tc>
          <w:tcPr>
            <w:tcW w:w="850" w:type="dxa"/>
            <w:vMerge/>
            <w:tcBorders>
              <w:bottom w:val="single" w:sz="6" w:space="0" w:color="1E4496" w:themeColor="text2"/>
            </w:tcBorders>
            <w:shd w:val="clear" w:color="auto" w:fill="DCF4FC" w:themeFill="background2" w:themeFillTint="33"/>
          </w:tcPr>
          <w:p w14:paraId="4E3E388E" w14:textId="77777777" w:rsidR="0094255E" w:rsidRPr="0094255E" w:rsidRDefault="0094255E" w:rsidP="0094255E">
            <w:pPr>
              <w:pStyle w:val="CDITable-RowLeftless"/>
            </w:pP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0C75D4" w14:textId="77777777" w:rsidR="0094255E" w:rsidRPr="001D11E0" w:rsidRDefault="0094255E" w:rsidP="0094255E">
            <w:pPr>
              <w:pStyle w:val="CDITable-RowLeftless"/>
              <w:rPr>
                <w:rFonts w:eastAsiaTheme="majorEastAsia"/>
                <w:b/>
                <w:bCs/>
                <w:lang w:val="en-GB"/>
              </w:rPr>
            </w:pPr>
            <w:r w:rsidRPr="001D11E0">
              <w:rPr>
                <w:rFonts w:eastAsiaTheme="majorEastAsia"/>
                <w:b/>
                <w:bCs/>
                <w:lang w:val="en-GB"/>
              </w:rPr>
              <w:t>April 2022</w:t>
            </w:r>
          </w:p>
          <w:p w14:paraId="2D11227B" w14:textId="77777777" w:rsidR="0094255E" w:rsidRPr="0094255E" w:rsidRDefault="0094255E" w:rsidP="0094255E">
            <w:pPr>
              <w:pStyle w:val="CDITable-RowLeftless"/>
              <w:rPr>
                <w:lang w:val="en-GB"/>
              </w:rPr>
            </w:pPr>
            <w:r w:rsidRPr="0094255E">
              <w:rPr>
                <w:lang w:val="en-GB"/>
              </w:rPr>
              <w:t>The recombinant zoster vaccine is recommended for use in immunocompromised adults aged ≥ 18 years.</w:t>
            </w:r>
          </w:p>
        </w:tc>
      </w:tr>
      <w:tr w:rsidR="0094255E" w:rsidRPr="0094255E" w14:paraId="51734C59" w14:textId="77777777" w:rsidTr="001D11E0">
        <w:tblPrEx>
          <w:tblCellMar>
            <w:top w:w="0" w:type="dxa"/>
            <w:left w:w="0" w:type="dxa"/>
            <w:bottom w:w="0" w:type="dxa"/>
            <w:right w:w="0" w:type="dxa"/>
          </w:tblCellMar>
        </w:tblPrEx>
        <w:trPr>
          <w:trHeight w:val="60"/>
        </w:trPr>
        <w:tc>
          <w:tcPr>
            <w:tcW w:w="850" w:type="dxa"/>
            <w:vMerge/>
            <w:tcBorders>
              <w:bottom w:val="single" w:sz="6" w:space="0" w:color="1E4496" w:themeColor="text2"/>
            </w:tcBorders>
            <w:shd w:val="clear" w:color="auto" w:fill="DCF4FC" w:themeFill="background2" w:themeFillTint="33"/>
          </w:tcPr>
          <w:p w14:paraId="7BD0B8FE" w14:textId="77777777" w:rsidR="0094255E" w:rsidRPr="0094255E" w:rsidRDefault="0094255E" w:rsidP="0094255E">
            <w:pPr>
              <w:pStyle w:val="CDITable-RowLeftless"/>
            </w:pP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55E9FA" w14:textId="77777777" w:rsidR="0094255E" w:rsidRPr="001D11E0" w:rsidRDefault="0094255E" w:rsidP="0094255E">
            <w:pPr>
              <w:pStyle w:val="CDITable-RowLeftless"/>
              <w:rPr>
                <w:rFonts w:eastAsiaTheme="majorEastAsia"/>
                <w:b/>
                <w:bCs/>
                <w:lang w:val="en-GB"/>
              </w:rPr>
            </w:pPr>
            <w:r w:rsidRPr="001D11E0">
              <w:rPr>
                <w:rFonts w:eastAsiaTheme="majorEastAsia"/>
                <w:b/>
                <w:bCs/>
                <w:lang w:val="en-GB"/>
              </w:rPr>
              <w:t>March 2022</w:t>
            </w:r>
          </w:p>
          <w:p w14:paraId="27FDDF7B" w14:textId="50535820" w:rsidR="0094255E" w:rsidRPr="0094255E" w:rsidRDefault="0094255E" w:rsidP="0094255E">
            <w:pPr>
              <w:pStyle w:val="CDITable-RowLeftless"/>
              <w:rPr>
                <w:lang w:val="en-GB"/>
              </w:rPr>
            </w:pPr>
            <w:r w:rsidRPr="0094255E">
              <w:rPr>
                <w:lang w:val="en-GB"/>
              </w:rPr>
              <w:t>Due to changes in the epidemiology of JE in Australia, JE vaccination recommended in individuals aged ≥</w:t>
            </w:r>
            <w:r w:rsidR="001D11E0">
              <w:rPr>
                <w:lang w:val="en-GB"/>
              </w:rPr>
              <w:t> </w:t>
            </w:r>
            <w:r w:rsidRPr="0094255E">
              <w:rPr>
                <w:lang w:val="en-GB"/>
              </w:rPr>
              <w:t>2</w:t>
            </w:r>
            <w:r w:rsidR="001D11E0">
              <w:rPr>
                <w:lang w:val="en-GB"/>
              </w:rPr>
              <w:t> </w:t>
            </w:r>
            <w:r w:rsidRPr="0094255E">
              <w:rPr>
                <w:lang w:val="en-GB"/>
              </w:rPr>
              <w:t>months in high-risk settings (as advised by jurisdictional public health authorities).</w:t>
            </w:r>
          </w:p>
        </w:tc>
      </w:tr>
      <w:tr w:rsidR="0094255E" w:rsidRPr="0094255E" w14:paraId="0F812229" w14:textId="77777777" w:rsidTr="001D11E0">
        <w:tblPrEx>
          <w:tblCellMar>
            <w:top w:w="0" w:type="dxa"/>
            <w:left w:w="0" w:type="dxa"/>
            <w:bottom w:w="0" w:type="dxa"/>
            <w:right w:w="0" w:type="dxa"/>
          </w:tblCellMar>
        </w:tblPrEx>
        <w:trPr>
          <w:trHeight w:val="60"/>
        </w:trPr>
        <w:tc>
          <w:tcPr>
            <w:tcW w:w="850"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tcPr>
          <w:p w14:paraId="4F44C3EE" w14:textId="77777777" w:rsidR="0094255E" w:rsidRPr="001D11E0" w:rsidRDefault="0094255E" w:rsidP="0094255E">
            <w:pPr>
              <w:pStyle w:val="CDITable-RowLeftless"/>
              <w:rPr>
                <w:b/>
                <w:bCs/>
                <w:lang w:val="en-GB"/>
              </w:rPr>
            </w:pPr>
            <w:r w:rsidRPr="001D11E0">
              <w:rPr>
                <w:rFonts w:eastAsiaTheme="majorEastAsia"/>
                <w:b/>
                <w:bCs/>
                <w:lang w:val="en-GB"/>
              </w:rPr>
              <w:t>2021</w:t>
            </w: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1D53E2" w14:textId="77777777" w:rsidR="0094255E" w:rsidRPr="001D11E0" w:rsidRDefault="0094255E" w:rsidP="0094255E">
            <w:pPr>
              <w:pStyle w:val="CDITable-RowLeftless"/>
              <w:rPr>
                <w:rFonts w:eastAsiaTheme="majorEastAsia"/>
                <w:b/>
                <w:bCs/>
                <w:lang w:val="en-GB"/>
              </w:rPr>
            </w:pPr>
            <w:r w:rsidRPr="001D11E0">
              <w:rPr>
                <w:rFonts w:eastAsiaTheme="majorEastAsia"/>
                <w:b/>
                <w:bCs/>
                <w:lang w:val="en-GB"/>
              </w:rPr>
              <w:t>July 2021</w:t>
            </w:r>
          </w:p>
          <w:p w14:paraId="2C27D773" w14:textId="77777777" w:rsidR="0094255E" w:rsidRPr="0094255E" w:rsidRDefault="0094255E" w:rsidP="0094255E">
            <w:pPr>
              <w:pStyle w:val="CDITable-RowLeftless"/>
              <w:rPr>
                <w:lang w:val="en-GB"/>
              </w:rPr>
            </w:pPr>
            <w:r w:rsidRPr="0094255E">
              <w:rPr>
                <w:lang w:val="en-GB"/>
              </w:rPr>
              <w:t>Mandatory reporting to AIR for all NIP vaccines administered.</w:t>
            </w:r>
          </w:p>
        </w:tc>
      </w:tr>
      <w:tr w:rsidR="0094255E" w:rsidRPr="0094255E" w14:paraId="76DA3379" w14:textId="77777777" w:rsidTr="001D11E0">
        <w:tblPrEx>
          <w:tblCellMar>
            <w:top w:w="0" w:type="dxa"/>
            <w:left w:w="0" w:type="dxa"/>
            <w:bottom w:w="0" w:type="dxa"/>
            <w:right w:w="0" w:type="dxa"/>
          </w:tblCellMar>
        </w:tblPrEx>
        <w:trPr>
          <w:trHeight w:val="60"/>
        </w:trPr>
        <w:tc>
          <w:tcPr>
            <w:tcW w:w="850" w:type="dxa"/>
            <w:vMerge/>
            <w:tcBorders>
              <w:top w:val="single" w:sz="6" w:space="0" w:color="1E4496" w:themeColor="text2"/>
              <w:bottom w:val="single" w:sz="6" w:space="0" w:color="1E4496" w:themeColor="text2"/>
            </w:tcBorders>
            <w:shd w:val="clear" w:color="auto" w:fill="DCF4FC" w:themeFill="background2" w:themeFillTint="33"/>
          </w:tcPr>
          <w:p w14:paraId="68082807" w14:textId="77777777" w:rsidR="0094255E" w:rsidRPr="0094255E" w:rsidRDefault="0094255E" w:rsidP="0094255E">
            <w:pPr>
              <w:pStyle w:val="CDITable-RowLeftless"/>
            </w:pP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F48A08" w14:textId="77777777" w:rsidR="0094255E" w:rsidRPr="001D11E0" w:rsidRDefault="0094255E" w:rsidP="0094255E">
            <w:pPr>
              <w:pStyle w:val="CDITable-RowLeftless"/>
              <w:rPr>
                <w:rFonts w:eastAsiaTheme="majorEastAsia"/>
                <w:b/>
                <w:bCs/>
                <w:lang w:val="en-GB"/>
              </w:rPr>
            </w:pPr>
            <w:r w:rsidRPr="001D11E0">
              <w:rPr>
                <w:rFonts w:eastAsiaTheme="majorEastAsia"/>
                <w:b/>
                <w:bCs/>
                <w:lang w:val="en-GB"/>
              </w:rPr>
              <w:t>March 2021</w:t>
            </w:r>
          </w:p>
          <w:p w14:paraId="0F60278E" w14:textId="77777777" w:rsidR="0094255E" w:rsidRPr="0094255E" w:rsidRDefault="0094255E" w:rsidP="0094255E">
            <w:pPr>
              <w:pStyle w:val="CDITable-RowLeftless"/>
              <w:rPr>
                <w:lang w:val="en-GB"/>
              </w:rPr>
            </w:pPr>
            <w:r w:rsidRPr="0094255E">
              <w:rPr>
                <w:lang w:val="en-GB"/>
              </w:rPr>
              <w:t>Mandatory reporting to AIR for all influenza vaccines administered.</w:t>
            </w:r>
          </w:p>
        </w:tc>
      </w:tr>
      <w:tr w:rsidR="0094255E" w:rsidRPr="0094255E" w14:paraId="47F068DC" w14:textId="77777777" w:rsidTr="001D11E0">
        <w:tblPrEx>
          <w:tblCellMar>
            <w:top w:w="0" w:type="dxa"/>
            <w:left w:w="0" w:type="dxa"/>
            <w:bottom w:w="0" w:type="dxa"/>
            <w:right w:w="0" w:type="dxa"/>
          </w:tblCellMar>
        </w:tblPrEx>
        <w:trPr>
          <w:trHeight w:val="60"/>
        </w:trPr>
        <w:tc>
          <w:tcPr>
            <w:tcW w:w="850"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tcPr>
          <w:p w14:paraId="2BF58E56" w14:textId="77777777" w:rsidR="0094255E" w:rsidRPr="001D11E0" w:rsidRDefault="0094255E" w:rsidP="0094255E">
            <w:pPr>
              <w:pStyle w:val="CDITable-RowLeftless"/>
              <w:rPr>
                <w:b/>
                <w:bCs/>
                <w:lang w:val="en-GB"/>
              </w:rPr>
            </w:pPr>
            <w:r w:rsidRPr="001D11E0">
              <w:rPr>
                <w:rFonts w:eastAsiaTheme="majorEastAsia"/>
                <w:b/>
                <w:bCs/>
                <w:lang w:val="en-GB"/>
              </w:rPr>
              <w:t>2020</w:t>
            </w: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6249F2" w14:textId="77777777" w:rsidR="0094255E" w:rsidRPr="001D11E0" w:rsidRDefault="0094255E" w:rsidP="0094255E">
            <w:pPr>
              <w:pStyle w:val="CDITable-RowLeftless"/>
              <w:rPr>
                <w:rFonts w:eastAsiaTheme="majorEastAsia"/>
                <w:b/>
                <w:bCs/>
                <w:lang w:val="en-GB"/>
              </w:rPr>
            </w:pPr>
            <w:r w:rsidRPr="001D11E0">
              <w:rPr>
                <w:rFonts w:eastAsiaTheme="majorEastAsia"/>
                <w:b/>
                <w:bCs/>
                <w:lang w:val="en-GB"/>
              </w:rPr>
              <w:t xml:space="preserve">July 2020 </w:t>
            </w:r>
          </w:p>
          <w:p w14:paraId="03BB6E15" w14:textId="77777777" w:rsidR="0094255E" w:rsidRPr="0094255E" w:rsidRDefault="0094255E" w:rsidP="0094255E">
            <w:pPr>
              <w:pStyle w:val="CDITable-RowLeftless"/>
              <w:rPr>
                <w:lang w:val="en-GB"/>
              </w:rPr>
            </w:pPr>
            <w:r w:rsidRPr="0094255E">
              <w:rPr>
                <w:lang w:val="en-GB"/>
              </w:rPr>
              <w:t>Funded schedule expanded for Aboriginal and Torres Strait Islander children living in the NT, SA, QLD and WA from 13vPCV at 2, 4, 6 and 12 months (3+1) to include an additional dose of 23vPPV at 4 years of age and a second dose 5–10 years later.</w:t>
            </w:r>
          </w:p>
          <w:p w14:paraId="487AD2B3" w14:textId="511A2824" w:rsidR="0094255E" w:rsidRPr="0094255E" w:rsidRDefault="0094255E" w:rsidP="0094255E">
            <w:pPr>
              <w:pStyle w:val="CDITable-RowLeftless"/>
              <w:rPr>
                <w:lang w:val="en-GB"/>
              </w:rPr>
            </w:pPr>
            <w:r w:rsidRPr="0094255E">
              <w:rPr>
                <w:lang w:val="en-GB"/>
              </w:rPr>
              <w:t>A single dose of 13vPCV is recommended and funded for Aboriginal and Torres Strait Islander adults at 50</w:t>
            </w:r>
            <w:r w:rsidR="001D11E0">
              <w:rPr>
                <w:lang w:val="en-GB"/>
              </w:rPr>
              <w:t> </w:t>
            </w:r>
            <w:r w:rsidRPr="0094255E">
              <w:rPr>
                <w:lang w:val="en-GB"/>
              </w:rPr>
              <w:t>years of age, followed by a dose of 23vPPV 12 months later and a second dose of 23vPPV 5–10 years after that.</w:t>
            </w:r>
          </w:p>
          <w:p w14:paraId="2AF20A46" w14:textId="77777777" w:rsidR="0094255E" w:rsidRPr="0094255E" w:rsidRDefault="0094255E" w:rsidP="0094255E">
            <w:pPr>
              <w:pStyle w:val="CDITable-RowLeftless"/>
              <w:rPr>
                <w:lang w:val="en-GB"/>
              </w:rPr>
            </w:pPr>
            <w:r w:rsidRPr="0094255E">
              <w:rPr>
                <w:lang w:val="en-GB"/>
              </w:rPr>
              <w:t>A single dose of 13vPCV is recommended and funded for non-Aboriginal and Torres Strait Islander adults at 70 years of age, replacing the previously funded dose of 23vPPV at 65 years of age.</w:t>
            </w:r>
          </w:p>
          <w:p w14:paraId="2280F2D4" w14:textId="77777777" w:rsidR="0094255E" w:rsidRPr="0094255E" w:rsidRDefault="0094255E" w:rsidP="0094255E">
            <w:pPr>
              <w:pStyle w:val="CDITable-RowLeftless"/>
              <w:rPr>
                <w:lang w:val="en-GB"/>
              </w:rPr>
            </w:pPr>
            <w:r w:rsidRPr="0094255E">
              <w:rPr>
                <w:lang w:val="en-GB"/>
              </w:rPr>
              <w:t>Meningococcal B vaccine funded for all Aboriginal and Torres Strait Islander children (age &lt; 12 months) and individuals of any age with specified high risk medical conditions. Catch-up available for all Aboriginal and Torres Strait Islander children &lt; 2 years of age (up to 23 months) for three years – until 30 June 2023.</w:t>
            </w:r>
          </w:p>
        </w:tc>
      </w:tr>
      <w:tr w:rsidR="0094255E" w:rsidRPr="0094255E" w14:paraId="5560B67B" w14:textId="77777777" w:rsidTr="001D11E0">
        <w:tblPrEx>
          <w:tblCellMar>
            <w:top w:w="0" w:type="dxa"/>
            <w:left w:w="0" w:type="dxa"/>
            <w:bottom w:w="0" w:type="dxa"/>
            <w:right w:w="0" w:type="dxa"/>
          </w:tblCellMar>
        </w:tblPrEx>
        <w:trPr>
          <w:trHeight w:val="60"/>
        </w:trPr>
        <w:tc>
          <w:tcPr>
            <w:tcW w:w="850" w:type="dxa"/>
            <w:vMerge/>
            <w:tcBorders>
              <w:bottom w:val="single" w:sz="6" w:space="0" w:color="1E4496" w:themeColor="text2"/>
            </w:tcBorders>
            <w:shd w:val="clear" w:color="auto" w:fill="DCF4FC" w:themeFill="background2" w:themeFillTint="33"/>
          </w:tcPr>
          <w:p w14:paraId="6CF3A273" w14:textId="77777777" w:rsidR="0094255E" w:rsidRPr="0094255E" w:rsidRDefault="0094255E" w:rsidP="0094255E">
            <w:pPr>
              <w:pStyle w:val="CDITable-RowLeft"/>
            </w:pP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AC1082" w14:textId="77777777" w:rsidR="0094255E" w:rsidRPr="001D11E0" w:rsidRDefault="0094255E" w:rsidP="0094255E">
            <w:pPr>
              <w:pStyle w:val="CDITable-RowLeftless"/>
              <w:rPr>
                <w:rFonts w:eastAsiaTheme="majorEastAsia"/>
                <w:b/>
                <w:bCs/>
                <w:lang w:val="en-GB"/>
              </w:rPr>
            </w:pPr>
            <w:r w:rsidRPr="001D11E0">
              <w:rPr>
                <w:rFonts w:eastAsiaTheme="majorEastAsia"/>
                <w:b/>
                <w:bCs/>
                <w:lang w:val="en-GB"/>
              </w:rPr>
              <w:t>March 2020</w:t>
            </w:r>
          </w:p>
          <w:p w14:paraId="39023972" w14:textId="77777777" w:rsidR="0094255E" w:rsidRPr="0094255E" w:rsidRDefault="0094255E" w:rsidP="0094255E">
            <w:pPr>
              <w:pStyle w:val="CDITable-RowLeftless"/>
              <w:rPr>
                <w:lang w:val="en-GB"/>
              </w:rPr>
            </w:pPr>
            <w:r w:rsidRPr="0094255E">
              <w:rPr>
                <w:lang w:val="en-GB"/>
              </w:rPr>
              <w:t>All children aged 6 months to &lt; 5 years funded for influenza vaccine under NIP.</w:t>
            </w:r>
          </w:p>
          <w:p w14:paraId="2562ABAC" w14:textId="77777777" w:rsidR="0094255E" w:rsidRPr="0094255E" w:rsidRDefault="0094255E" w:rsidP="0094255E">
            <w:pPr>
              <w:pStyle w:val="CDITable-RowLeftless"/>
              <w:rPr>
                <w:lang w:val="en-GB"/>
              </w:rPr>
            </w:pPr>
            <w:r w:rsidRPr="0094255E">
              <w:rPr>
                <w:lang w:val="en-GB"/>
              </w:rPr>
              <w:t>First enhanced quadrivalent influenza vaccine (adjuvanted) funded nationally for adults aged 65 years and over.</w:t>
            </w:r>
          </w:p>
        </w:tc>
      </w:tr>
      <w:tr w:rsidR="001D11E0" w:rsidRPr="0094255E" w14:paraId="0F0A80CB" w14:textId="77777777" w:rsidTr="001D11E0">
        <w:tblPrEx>
          <w:tblCellMar>
            <w:top w:w="0" w:type="dxa"/>
            <w:left w:w="0" w:type="dxa"/>
            <w:bottom w:w="0" w:type="dxa"/>
            <w:right w:w="0" w:type="dxa"/>
          </w:tblCellMar>
        </w:tblPrEx>
        <w:trPr>
          <w:trHeight w:val="60"/>
        </w:trPr>
        <w:tc>
          <w:tcPr>
            <w:tcW w:w="850"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tcPr>
          <w:p w14:paraId="7A457415" w14:textId="77777777" w:rsidR="001D11E0" w:rsidRPr="001D11E0" w:rsidRDefault="001D11E0" w:rsidP="0094255E">
            <w:pPr>
              <w:pStyle w:val="CDITable-RowLeftless"/>
              <w:rPr>
                <w:b/>
                <w:bCs/>
                <w:lang w:val="en-GB"/>
              </w:rPr>
            </w:pPr>
            <w:r w:rsidRPr="001D11E0">
              <w:rPr>
                <w:rFonts w:eastAsiaTheme="majorEastAsia"/>
                <w:b/>
                <w:bCs/>
                <w:lang w:val="en-GB"/>
              </w:rPr>
              <w:lastRenderedPageBreak/>
              <w:t>2019</w:t>
            </w: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833CF1" w14:textId="77777777" w:rsidR="001D11E0" w:rsidRPr="001D11E0" w:rsidRDefault="001D11E0" w:rsidP="0094255E">
            <w:pPr>
              <w:pStyle w:val="CDITable-RowLeftless"/>
              <w:rPr>
                <w:rFonts w:eastAsiaTheme="majorEastAsia"/>
                <w:b/>
                <w:bCs/>
                <w:lang w:val="en-GB"/>
              </w:rPr>
            </w:pPr>
            <w:r w:rsidRPr="001D11E0">
              <w:rPr>
                <w:rFonts w:eastAsiaTheme="majorEastAsia"/>
                <w:b/>
                <w:bCs/>
                <w:lang w:val="en-GB"/>
              </w:rPr>
              <w:t xml:space="preserve">December 2019 </w:t>
            </w:r>
          </w:p>
          <w:p w14:paraId="26C5D85F" w14:textId="300C3159" w:rsidR="001D11E0" w:rsidRPr="0094255E" w:rsidRDefault="001D11E0" w:rsidP="0094255E">
            <w:pPr>
              <w:pStyle w:val="CDITable-RowLeftless"/>
              <w:rPr>
                <w:lang w:val="en-GB"/>
              </w:rPr>
            </w:pPr>
            <w:r w:rsidRPr="0094255E">
              <w:rPr>
                <w:lang w:val="en-GB"/>
              </w:rPr>
              <w:t>In SA, multicomponent recombinant meningococcal B vaccine catch-up for children from 12 months to &lt;</w:t>
            </w:r>
            <w:r>
              <w:rPr>
                <w:lang w:val="en-GB"/>
              </w:rPr>
              <w:t> </w:t>
            </w:r>
            <w:r w:rsidRPr="0094255E">
              <w:rPr>
                <w:lang w:val="en-GB"/>
              </w:rPr>
              <w:t>4</w:t>
            </w:r>
            <w:r>
              <w:rPr>
                <w:lang w:val="en-GB"/>
              </w:rPr>
              <w:t> </w:t>
            </w:r>
            <w:r w:rsidRPr="0094255E">
              <w:rPr>
                <w:lang w:val="en-GB"/>
              </w:rPr>
              <w:t>years of age ceased on 31 December 2019.</w:t>
            </w:r>
          </w:p>
        </w:tc>
      </w:tr>
      <w:tr w:rsidR="001D11E0" w:rsidRPr="0094255E" w14:paraId="5FC07676" w14:textId="77777777" w:rsidTr="001D11E0">
        <w:tblPrEx>
          <w:tblCellMar>
            <w:top w:w="0" w:type="dxa"/>
            <w:left w:w="0" w:type="dxa"/>
            <w:bottom w:w="0" w:type="dxa"/>
            <w:right w:w="0" w:type="dxa"/>
          </w:tblCellMar>
        </w:tblPrEx>
        <w:trPr>
          <w:trHeight w:val="60"/>
        </w:trPr>
        <w:tc>
          <w:tcPr>
            <w:tcW w:w="850" w:type="dxa"/>
            <w:vMerge/>
            <w:tcBorders>
              <w:top w:val="single" w:sz="6" w:space="0" w:color="1E4496" w:themeColor="text2"/>
              <w:bottom w:val="single" w:sz="6" w:space="0" w:color="1E4496" w:themeColor="text2"/>
            </w:tcBorders>
            <w:shd w:val="clear" w:color="auto" w:fill="DCF4FC" w:themeFill="background2" w:themeFillTint="33"/>
          </w:tcPr>
          <w:p w14:paraId="20FB9BC7" w14:textId="77777777" w:rsidR="001D11E0" w:rsidRPr="0094255E" w:rsidRDefault="001D11E0" w:rsidP="0094255E">
            <w:pPr>
              <w:pStyle w:val="CDITable-RowLeftless"/>
            </w:pP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93E553" w14:textId="77777777" w:rsidR="001D11E0" w:rsidRPr="001D11E0" w:rsidRDefault="001D11E0" w:rsidP="0094255E">
            <w:pPr>
              <w:pStyle w:val="CDITable-RowLeftless"/>
              <w:rPr>
                <w:rFonts w:eastAsiaTheme="majorEastAsia"/>
                <w:b/>
                <w:bCs/>
                <w:lang w:val="en-GB"/>
              </w:rPr>
            </w:pPr>
            <w:r w:rsidRPr="001D11E0">
              <w:rPr>
                <w:rFonts w:eastAsiaTheme="majorEastAsia"/>
                <w:b/>
                <w:bCs/>
                <w:lang w:val="en-GB"/>
              </w:rPr>
              <w:t>April 2019</w:t>
            </w:r>
          </w:p>
          <w:p w14:paraId="17D19EA9" w14:textId="77777777" w:rsidR="001D11E0" w:rsidRPr="0094255E" w:rsidRDefault="001D11E0" w:rsidP="0094255E">
            <w:pPr>
              <w:pStyle w:val="CDITable-RowLeftless"/>
              <w:rPr>
                <w:lang w:val="en-GB"/>
              </w:rPr>
            </w:pPr>
            <w:r w:rsidRPr="0094255E">
              <w:rPr>
                <w:lang w:val="en-GB"/>
              </w:rPr>
              <w:t>Meningococcal ACWY conjugate vaccine funded under the NIP for adolescents aged 14–16 years delivered through a school-based program and adolescents aged 15 to 19 years delivered through primary care providers as part of an ongoing catch-up program.</w:t>
            </w:r>
          </w:p>
        </w:tc>
      </w:tr>
      <w:tr w:rsidR="001D11E0" w:rsidRPr="0094255E" w14:paraId="7C0978DB" w14:textId="77777777" w:rsidTr="001D11E0">
        <w:tblPrEx>
          <w:tblCellMar>
            <w:top w:w="0" w:type="dxa"/>
            <w:left w:w="0" w:type="dxa"/>
            <w:bottom w:w="0" w:type="dxa"/>
            <w:right w:w="0" w:type="dxa"/>
          </w:tblCellMar>
        </w:tblPrEx>
        <w:trPr>
          <w:trHeight w:val="60"/>
        </w:trPr>
        <w:tc>
          <w:tcPr>
            <w:tcW w:w="850" w:type="dxa"/>
            <w:vMerge/>
            <w:tcBorders>
              <w:bottom w:val="single" w:sz="6" w:space="0" w:color="1E4496" w:themeColor="text2"/>
            </w:tcBorders>
            <w:shd w:val="clear" w:color="auto" w:fill="DCF4FC" w:themeFill="background2" w:themeFillTint="33"/>
            <w:tcMar>
              <w:top w:w="113" w:type="dxa"/>
              <w:left w:w="113" w:type="dxa"/>
              <w:bottom w:w="113" w:type="dxa"/>
              <w:right w:w="113" w:type="dxa"/>
            </w:tcMar>
          </w:tcPr>
          <w:p w14:paraId="758D6820" w14:textId="77777777" w:rsidR="001D11E0" w:rsidRPr="0094255E" w:rsidRDefault="001D11E0" w:rsidP="0094255E">
            <w:pPr>
              <w:pStyle w:val="CDITable-RowLeftless"/>
            </w:pP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E09CF8" w14:textId="77777777" w:rsidR="001D11E0" w:rsidRPr="001D11E0" w:rsidRDefault="001D11E0" w:rsidP="0094255E">
            <w:pPr>
              <w:pStyle w:val="CDITable-RowLeftless"/>
              <w:rPr>
                <w:rFonts w:eastAsiaTheme="majorEastAsia"/>
                <w:b/>
                <w:bCs/>
                <w:lang w:val="en-GB"/>
              </w:rPr>
            </w:pPr>
            <w:r w:rsidRPr="001D11E0">
              <w:rPr>
                <w:rFonts w:eastAsiaTheme="majorEastAsia"/>
                <w:b/>
                <w:bCs/>
                <w:lang w:val="en-GB"/>
              </w:rPr>
              <w:t>March 2019</w:t>
            </w:r>
          </w:p>
          <w:p w14:paraId="5FF2ADFC" w14:textId="77777777" w:rsidR="001D11E0" w:rsidRPr="0094255E" w:rsidRDefault="001D11E0" w:rsidP="0094255E">
            <w:pPr>
              <w:pStyle w:val="CDITable-RowLeftless"/>
              <w:rPr>
                <w:lang w:val="en-GB"/>
              </w:rPr>
            </w:pPr>
            <w:r w:rsidRPr="0094255E">
              <w:rPr>
                <w:lang w:val="en-GB"/>
              </w:rPr>
              <w:t>NT: annual seasonal influenza vaccination program funded for all children aged 6 months to &lt; 5 years.</w:t>
            </w:r>
          </w:p>
        </w:tc>
      </w:tr>
      <w:tr w:rsidR="001D11E0" w:rsidRPr="0094255E" w14:paraId="17D432C6" w14:textId="77777777" w:rsidTr="00687AF3">
        <w:tblPrEx>
          <w:tblCellMar>
            <w:top w:w="0" w:type="dxa"/>
            <w:left w:w="0" w:type="dxa"/>
            <w:bottom w:w="0" w:type="dxa"/>
            <w:right w:w="0" w:type="dxa"/>
          </w:tblCellMar>
        </w:tblPrEx>
        <w:trPr>
          <w:trHeight w:val="60"/>
        </w:trPr>
        <w:tc>
          <w:tcPr>
            <w:tcW w:w="850" w:type="dxa"/>
            <w:vMerge/>
            <w:tcBorders>
              <w:bottom w:val="single" w:sz="6" w:space="0" w:color="1E4496" w:themeColor="text2"/>
            </w:tcBorders>
            <w:shd w:val="clear" w:color="auto" w:fill="DCF4FC" w:themeFill="background2" w:themeFillTint="33"/>
          </w:tcPr>
          <w:p w14:paraId="126E615F" w14:textId="77777777" w:rsidR="001D11E0" w:rsidRPr="0094255E" w:rsidRDefault="001D11E0" w:rsidP="0094255E">
            <w:pPr>
              <w:pStyle w:val="CDITable-RowLeftless"/>
            </w:pP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9A3E13" w14:textId="77777777" w:rsidR="001D11E0" w:rsidRPr="001D11E0" w:rsidRDefault="001D11E0" w:rsidP="0094255E">
            <w:pPr>
              <w:pStyle w:val="CDITable-RowLeftless"/>
              <w:rPr>
                <w:rFonts w:eastAsiaTheme="majorEastAsia"/>
                <w:b/>
                <w:bCs/>
                <w:lang w:val="en-GB"/>
              </w:rPr>
            </w:pPr>
            <w:r w:rsidRPr="001D11E0">
              <w:rPr>
                <w:rFonts w:eastAsiaTheme="majorEastAsia"/>
                <w:b/>
                <w:bCs/>
                <w:lang w:val="en-GB"/>
              </w:rPr>
              <w:t>February 2019</w:t>
            </w:r>
          </w:p>
          <w:p w14:paraId="4B4C1A18" w14:textId="77777777" w:rsidR="001D11E0" w:rsidRPr="0094255E" w:rsidRDefault="001D11E0" w:rsidP="0094255E">
            <w:pPr>
              <w:pStyle w:val="CDITable-RowLeftless"/>
              <w:rPr>
                <w:lang w:val="en-GB"/>
              </w:rPr>
            </w:pPr>
            <w:r w:rsidRPr="0094255E">
              <w:rPr>
                <w:lang w:val="en-GB"/>
              </w:rPr>
              <w:t xml:space="preserve">Annual seasonal influenza vaccination funded on the national childhood vaccination schedule for all Australian children aged 6 months – &lt; 5 years. </w:t>
            </w:r>
          </w:p>
          <w:p w14:paraId="4191F797" w14:textId="77777777" w:rsidR="001D11E0" w:rsidRPr="0094255E" w:rsidRDefault="001D11E0" w:rsidP="0094255E">
            <w:pPr>
              <w:pStyle w:val="CDITable-RowLeftless"/>
              <w:rPr>
                <w:lang w:val="en-GB"/>
              </w:rPr>
            </w:pPr>
            <w:r w:rsidRPr="0094255E">
              <w:rPr>
                <w:lang w:val="en-GB"/>
              </w:rPr>
              <w:t>Aboriginal and Torres Strait Islander children and adolescents aged 5–14 years of age funded for influenza vaccine under NIP.</w:t>
            </w:r>
          </w:p>
        </w:tc>
      </w:tr>
      <w:tr w:rsidR="0094255E" w:rsidRPr="0094255E" w14:paraId="32EDF3B4" w14:textId="77777777" w:rsidTr="00687AF3">
        <w:tblPrEx>
          <w:tblCellMar>
            <w:top w:w="0" w:type="dxa"/>
            <w:left w:w="0" w:type="dxa"/>
            <w:bottom w:w="0" w:type="dxa"/>
            <w:right w:w="0" w:type="dxa"/>
          </w:tblCellMar>
        </w:tblPrEx>
        <w:trPr>
          <w:trHeight w:val="60"/>
        </w:trPr>
        <w:tc>
          <w:tcPr>
            <w:tcW w:w="850"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tcPr>
          <w:p w14:paraId="42ACA461" w14:textId="77777777" w:rsidR="0094255E" w:rsidRPr="001D11E0" w:rsidRDefault="0094255E" w:rsidP="0094255E">
            <w:pPr>
              <w:pStyle w:val="CDITable-RowLeftless"/>
              <w:rPr>
                <w:b/>
                <w:bCs/>
                <w:lang w:val="en-GB"/>
              </w:rPr>
            </w:pPr>
            <w:r w:rsidRPr="001D11E0">
              <w:rPr>
                <w:rFonts w:eastAsiaTheme="majorEastAsia"/>
                <w:b/>
                <w:bCs/>
                <w:lang w:val="en-GB"/>
              </w:rPr>
              <w:t>2018</w:t>
            </w: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2AFDE5" w14:textId="77777777" w:rsidR="0094255E" w:rsidRPr="001D11E0" w:rsidRDefault="0094255E" w:rsidP="0094255E">
            <w:pPr>
              <w:pStyle w:val="CDITable-RowLeftless"/>
              <w:rPr>
                <w:rFonts w:eastAsiaTheme="majorEastAsia"/>
                <w:b/>
                <w:bCs/>
                <w:lang w:val="en-GB"/>
              </w:rPr>
            </w:pPr>
            <w:r w:rsidRPr="001D11E0">
              <w:rPr>
                <w:rFonts w:eastAsiaTheme="majorEastAsia"/>
                <w:b/>
                <w:bCs/>
                <w:lang w:val="en-GB"/>
              </w:rPr>
              <w:t>October 2018</w:t>
            </w:r>
          </w:p>
          <w:p w14:paraId="305B202C" w14:textId="77777777" w:rsidR="0094255E" w:rsidRPr="0094255E" w:rsidRDefault="0094255E" w:rsidP="0094255E">
            <w:pPr>
              <w:pStyle w:val="CDITable-RowLeftless"/>
              <w:rPr>
                <w:lang w:val="en-GB"/>
              </w:rPr>
            </w:pPr>
            <w:r w:rsidRPr="0094255E">
              <w:rPr>
                <w:lang w:val="en-GB"/>
              </w:rPr>
              <w:t>Multicomponent recombinant meningococcal B vaccine funded by SA for children 6 weeks to 12 months of age, with catch-up for children from 12 months to &lt; 4 years of age.</w:t>
            </w:r>
          </w:p>
        </w:tc>
      </w:tr>
      <w:tr w:rsidR="0094255E" w:rsidRPr="0094255E" w14:paraId="36E3C7F7" w14:textId="77777777" w:rsidTr="00687AF3">
        <w:tblPrEx>
          <w:tblCellMar>
            <w:top w:w="0" w:type="dxa"/>
            <w:left w:w="0" w:type="dxa"/>
            <w:bottom w:w="0" w:type="dxa"/>
            <w:right w:w="0" w:type="dxa"/>
          </w:tblCellMar>
        </w:tblPrEx>
        <w:trPr>
          <w:trHeight w:val="60"/>
        </w:trPr>
        <w:tc>
          <w:tcPr>
            <w:tcW w:w="850" w:type="dxa"/>
            <w:vMerge/>
            <w:tcBorders>
              <w:top w:val="single" w:sz="6" w:space="0" w:color="1E4496" w:themeColor="text2"/>
              <w:bottom w:val="single" w:sz="6" w:space="0" w:color="1E4496" w:themeColor="text2"/>
            </w:tcBorders>
            <w:shd w:val="clear" w:color="auto" w:fill="DCF4FC" w:themeFill="background2" w:themeFillTint="33"/>
          </w:tcPr>
          <w:p w14:paraId="6DAB1150" w14:textId="77777777" w:rsidR="0094255E" w:rsidRPr="0094255E" w:rsidRDefault="0094255E" w:rsidP="0094255E">
            <w:pPr>
              <w:pStyle w:val="CDITable-RowLeftless"/>
            </w:pP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C40A7F" w14:textId="77777777" w:rsidR="0094255E" w:rsidRPr="001D11E0" w:rsidRDefault="0094255E" w:rsidP="0094255E">
            <w:pPr>
              <w:pStyle w:val="CDITable-RowLeftless"/>
              <w:rPr>
                <w:rFonts w:eastAsiaTheme="majorEastAsia"/>
                <w:b/>
                <w:bCs/>
                <w:lang w:val="en-GB"/>
              </w:rPr>
            </w:pPr>
            <w:r w:rsidRPr="001D11E0">
              <w:rPr>
                <w:rFonts w:eastAsiaTheme="majorEastAsia"/>
                <w:b/>
                <w:bCs/>
                <w:lang w:val="en-GB"/>
              </w:rPr>
              <w:t>July 2018</w:t>
            </w:r>
          </w:p>
          <w:p w14:paraId="39D37B49" w14:textId="77777777" w:rsidR="0094255E" w:rsidRPr="0094255E" w:rsidRDefault="0094255E" w:rsidP="0094255E">
            <w:pPr>
              <w:pStyle w:val="CDITable-RowLeftless"/>
              <w:rPr>
                <w:lang w:val="en-GB"/>
              </w:rPr>
            </w:pPr>
            <w:r w:rsidRPr="0094255E">
              <w:rPr>
                <w:lang w:val="en-GB"/>
              </w:rPr>
              <w:t>Meningococcal ACWY conjugate vaccine funded for all children at 12 months of age, replacing combined Hib and meningococcal C-containing vaccine.</w:t>
            </w:r>
          </w:p>
          <w:p w14:paraId="012D6E80" w14:textId="77777777" w:rsidR="0094255E" w:rsidRPr="0094255E" w:rsidRDefault="0094255E" w:rsidP="0094255E">
            <w:pPr>
              <w:pStyle w:val="CDITable-RowLeftless"/>
              <w:rPr>
                <w:lang w:val="en-GB"/>
              </w:rPr>
            </w:pPr>
            <w:r w:rsidRPr="0094255E">
              <w:rPr>
                <w:lang w:val="en-GB"/>
              </w:rPr>
              <w:t>Hib dose moved to 18 months and given as monovalent Hib vaccine.</w:t>
            </w:r>
          </w:p>
          <w:p w14:paraId="46F4C2D9" w14:textId="77777777" w:rsidR="0094255E" w:rsidRPr="0094255E" w:rsidRDefault="0094255E" w:rsidP="0094255E">
            <w:pPr>
              <w:pStyle w:val="CDITable-RowLeftless"/>
              <w:rPr>
                <w:lang w:val="en-GB"/>
              </w:rPr>
            </w:pPr>
            <w:r w:rsidRPr="0094255E">
              <w:rPr>
                <w:lang w:val="en-GB"/>
              </w:rPr>
              <w:t>Schedule for routine childhood vaccination with 13vPCV changed from 2, 4 and 6 months of age to 2, 4 and 12 months of age.</w:t>
            </w:r>
          </w:p>
        </w:tc>
      </w:tr>
      <w:tr w:rsidR="0094255E" w:rsidRPr="0094255E" w14:paraId="57858B48" w14:textId="77777777" w:rsidTr="00687AF3">
        <w:tblPrEx>
          <w:tblCellMar>
            <w:top w:w="0" w:type="dxa"/>
            <w:left w:w="0" w:type="dxa"/>
            <w:bottom w:w="0" w:type="dxa"/>
            <w:right w:w="0" w:type="dxa"/>
          </w:tblCellMar>
        </w:tblPrEx>
        <w:trPr>
          <w:trHeight w:val="60"/>
        </w:trPr>
        <w:tc>
          <w:tcPr>
            <w:tcW w:w="850" w:type="dxa"/>
            <w:vMerge/>
            <w:tcBorders>
              <w:top w:val="single" w:sz="6" w:space="0" w:color="1E4496" w:themeColor="text2"/>
              <w:bottom w:val="single" w:sz="6" w:space="0" w:color="1E4496" w:themeColor="text2"/>
            </w:tcBorders>
            <w:shd w:val="clear" w:color="auto" w:fill="DCF4FC" w:themeFill="background2" w:themeFillTint="33"/>
          </w:tcPr>
          <w:p w14:paraId="5B7B1875" w14:textId="77777777" w:rsidR="0094255E" w:rsidRPr="0094255E" w:rsidRDefault="0094255E" w:rsidP="0094255E">
            <w:pPr>
              <w:pStyle w:val="CDITable-RowLeftless"/>
            </w:pP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663685" w14:textId="77777777" w:rsidR="0094255E" w:rsidRPr="001D11E0" w:rsidRDefault="0094255E" w:rsidP="0094255E">
            <w:pPr>
              <w:pStyle w:val="CDITable-RowLeftless"/>
              <w:rPr>
                <w:rFonts w:eastAsiaTheme="majorEastAsia"/>
                <w:b/>
                <w:bCs/>
                <w:lang w:val="en-GB"/>
              </w:rPr>
            </w:pPr>
            <w:r w:rsidRPr="001D11E0">
              <w:rPr>
                <w:rFonts w:eastAsiaTheme="majorEastAsia"/>
                <w:b/>
                <w:bCs/>
                <w:lang w:val="en-GB"/>
              </w:rPr>
              <w:t>April 2018</w:t>
            </w:r>
          </w:p>
          <w:p w14:paraId="18464304" w14:textId="3CACA7A7" w:rsidR="0094255E" w:rsidRPr="0094255E" w:rsidRDefault="0094255E" w:rsidP="0094255E">
            <w:pPr>
              <w:pStyle w:val="CDITable-RowLeftless"/>
              <w:rPr>
                <w:lang w:val="en-GB"/>
              </w:rPr>
            </w:pPr>
            <w:r w:rsidRPr="0094255E">
              <w:rPr>
                <w:lang w:val="en-GB"/>
              </w:rPr>
              <w:t>Enhanced trivalent influenza vaccines (high-dose and adjuvanted) funded nationally for all adults aged ≥</w:t>
            </w:r>
            <w:r w:rsidR="001D11E0">
              <w:rPr>
                <w:lang w:val="en-GB"/>
              </w:rPr>
              <w:t> </w:t>
            </w:r>
            <w:r w:rsidRPr="0094255E">
              <w:rPr>
                <w:lang w:val="en-GB"/>
              </w:rPr>
              <w:t>65</w:t>
            </w:r>
            <w:r w:rsidR="001D11E0">
              <w:rPr>
                <w:lang w:val="en-GB"/>
              </w:rPr>
              <w:t> </w:t>
            </w:r>
            <w:r w:rsidRPr="0094255E">
              <w:rPr>
                <w:lang w:val="en-GB"/>
              </w:rPr>
              <w:t>years.</w:t>
            </w:r>
          </w:p>
          <w:p w14:paraId="5A85BADB" w14:textId="4B1F4A59" w:rsidR="0094255E" w:rsidRPr="0094255E" w:rsidRDefault="0094255E" w:rsidP="0094255E">
            <w:pPr>
              <w:pStyle w:val="CDITable-RowLeftless"/>
              <w:rPr>
                <w:lang w:val="en-GB"/>
              </w:rPr>
            </w:pPr>
            <w:r w:rsidRPr="0094255E">
              <w:rPr>
                <w:lang w:val="en-GB"/>
              </w:rPr>
              <w:t>Annual seasonal influenza vaccination funded by ACT, NSW, QLD, SA, TAS and VIC for all children aged 6</w:t>
            </w:r>
            <w:r w:rsidR="001D11E0">
              <w:rPr>
                <w:lang w:val="en-GB"/>
              </w:rPr>
              <w:t> </w:t>
            </w:r>
            <w:r w:rsidRPr="0094255E">
              <w:rPr>
                <w:lang w:val="en-GB"/>
              </w:rPr>
              <w:t>months – &lt; 5 years.</w:t>
            </w:r>
          </w:p>
          <w:p w14:paraId="575E4B8F" w14:textId="77777777" w:rsidR="0094255E" w:rsidRPr="0094255E" w:rsidRDefault="0094255E" w:rsidP="0094255E">
            <w:pPr>
              <w:pStyle w:val="CDITable-RowLeftless"/>
              <w:rPr>
                <w:lang w:val="en-GB"/>
              </w:rPr>
            </w:pPr>
            <w:r w:rsidRPr="0094255E">
              <w:rPr>
                <w:lang w:val="en-GB"/>
              </w:rPr>
              <w:t>Meningococcal A, C, Y, W-135 conjugate vaccine funded by SA for Aboriginal and Torres Strait Islander children and adolescents aged 12 months to 19 years living in the Eyre and Far North, and Flinders and Upper North regions.</w:t>
            </w:r>
          </w:p>
        </w:tc>
      </w:tr>
      <w:tr w:rsidR="0094255E" w:rsidRPr="0094255E" w14:paraId="5239C466" w14:textId="77777777" w:rsidTr="00687AF3">
        <w:tblPrEx>
          <w:tblCellMar>
            <w:top w:w="0" w:type="dxa"/>
            <w:left w:w="0" w:type="dxa"/>
            <w:bottom w:w="0" w:type="dxa"/>
            <w:right w:w="0" w:type="dxa"/>
          </w:tblCellMar>
        </w:tblPrEx>
        <w:trPr>
          <w:trHeight w:val="60"/>
        </w:trPr>
        <w:tc>
          <w:tcPr>
            <w:tcW w:w="850" w:type="dxa"/>
            <w:vMerge/>
            <w:tcBorders>
              <w:top w:val="single" w:sz="6" w:space="0" w:color="1E4496" w:themeColor="text2"/>
              <w:bottom w:val="single" w:sz="6" w:space="0" w:color="1E4496" w:themeColor="text2"/>
            </w:tcBorders>
            <w:shd w:val="clear" w:color="auto" w:fill="DCF4FC" w:themeFill="background2" w:themeFillTint="33"/>
          </w:tcPr>
          <w:p w14:paraId="393D3D4C" w14:textId="77777777" w:rsidR="0094255E" w:rsidRPr="0094255E" w:rsidRDefault="0094255E" w:rsidP="0094255E">
            <w:pPr>
              <w:pStyle w:val="CDITable-RowLeftless"/>
            </w:pP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6554E9" w14:textId="77777777" w:rsidR="0094255E" w:rsidRPr="001D11E0" w:rsidRDefault="0094255E" w:rsidP="0094255E">
            <w:pPr>
              <w:pStyle w:val="CDITable-RowLeftless"/>
              <w:rPr>
                <w:rFonts w:eastAsiaTheme="majorEastAsia"/>
                <w:b/>
                <w:bCs/>
                <w:lang w:val="en-GB"/>
              </w:rPr>
            </w:pPr>
            <w:r w:rsidRPr="001D11E0">
              <w:rPr>
                <w:rFonts w:eastAsiaTheme="majorEastAsia"/>
                <w:b/>
                <w:bCs/>
                <w:lang w:val="en-GB"/>
              </w:rPr>
              <w:t>February 2018</w:t>
            </w:r>
          </w:p>
          <w:p w14:paraId="337779B6" w14:textId="77777777" w:rsidR="0094255E" w:rsidRPr="0094255E" w:rsidRDefault="0094255E" w:rsidP="0094255E">
            <w:pPr>
              <w:pStyle w:val="CDITable-RowLeftless"/>
              <w:rPr>
                <w:lang w:val="en-GB"/>
              </w:rPr>
            </w:pPr>
            <w:r w:rsidRPr="0094255E">
              <w:rPr>
                <w:lang w:val="en-GB"/>
              </w:rPr>
              <w:t>Meningococcal A, C, W, Y-135 conjugate vaccine funded by ACT for grade 10 students and persons aged 16–19 years who no longer attend school.</w:t>
            </w:r>
          </w:p>
          <w:p w14:paraId="098519C1" w14:textId="77777777" w:rsidR="0094255E" w:rsidRPr="0094255E" w:rsidRDefault="0094255E" w:rsidP="0094255E">
            <w:pPr>
              <w:pStyle w:val="CDITable-RowLeftless"/>
              <w:rPr>
                <w:lang w:val="en-GB"/>
              </w:rPr>
            </w:pPr>
            <w:r w:rsidRPr="0094255E">
              <w:rPr>
                <w:lang w:val="en-GB"/>
              </w:rPr>
              <w:t>A 2-dose schedule of 9vHPV funded for adolescents aged 12–14 years, delivered through a school-based program; 4vHPV ceased to be used in the program.</w:t>
            </w:r>
          </w:p>
        </w:tc>
      </w:tr>
      <w:tr w:rsidR="0094255E" w:rsidRPr="0094255E" w14:paraId="1F522E0F" w14:textId="77777777" w:rsidTr="00687AF3">
        <w:tblPrEx>
          <w:tblCellMar>
            <w:top w:w="0" w:type="dxa"/>
            <w:left w:w="0" w:type="dxa"/>
            <w:bottom w:w="0" w:type="dxa"/>
            <w:right w:w="0" w:type="dxa"/>
          </w:tblCellMar>
        </w:tblPrEx>
        <w:trPr>
          <w:trHeight w:val="60"/>
        </w:trPr>
        <w:tc>
          <w:tcPr>
            <w:tcW w:w="850" w:type="dxa"/>
            <w:vMerge/>
            <w:tcBorders>
              <w:top w:val="single" w:sz="6" w:space="0" w:color="1E4496" w:themeColor="text2"/>
              <w:bottom w:val="single" w:sz="6" w:space="0" w:color="1E4496" w:themeColor="text2"/>
            </w:tcBorders>
            <w:shd w:val="clear" w:color="auto" w:fill="DCF4FC" w:themeFill="background2" w:themeFillTint="33"/>
          </w:tcPr>
          <w:p w14:paraId="0D305B3E" w14:textId="77777777" w:rsidR="0094255E" w:rsidRPr="0094255E" w:rsidRDefault="0094255E" w:rsidP="0094255E">
            <w:pPr>
              <w:pStyle w:val="CDITable-RowLeftless"/>
            </w:pP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29195E" w14:textId="77777777" w:rsidR="0094255E" w:rsidRPr="001D11E0" w:rsidRDefault="0094255E" w:rsidP="0094255E">
            <w:pPr>
              <w:pStyle w:val="CDITable-RowLeftless"/>
              <w:rPr>
                <w:rFonts w:eastAsiaTheme="majorEastAsia"/>
                <w:b/>
                <w:bCs/>
                <w:lang w:val="en-GB"/>
              </w:rPr>
            </w:pPr>
            <w:r w:rsidRPr="001D11E0">
              <w:rPr>
                <w:rFonts w:eastAsiaTheme="majorEastAsia"/>
                <w:b/>
                <w:bCs/>
                <w:lang w:val="en-GB"/>
              </w:rPr>
              <w:t>January 2018</w:t>
            </w:r>
          </w:p>
          <w:p w14:paraId="2ABED556" w14:textId="77777777" w:rsidR="0094255E" w:rsidRPr="0094255E" w:rsidRDefault="0094255E" w:rsidP="0094255E">
            <w:pPr>
              <w:pStyle w:val="CDITable-RowLeftless"/>
              <w:rPr>
                <w:lang w:val="en-GB"/>
              </w:rPr>
            </w:pPr>
            <w:r w:rsidRPr="0094255E">
              <w:rPr>
                <w:lang w:val="en-GB"/>
              </w:rPr>
              <w:t>Meningococcal A, C, Y, W-135 conjugate vaccine funded by WA for children aged 12 months to &lt;5 years.</w:t>
            </w:r>
          </w:p>
          <w:p w14:paraId="760B01D5" w14:textId="77777777" w:rsidR="0094255E" w:rsidRPr="0094255E" w:rsidRDefault="0094255E" w:rsidP="0094255E">
            <w:pPr>
              <w:pStyle w:val="CDITable-RowLeftless"/>
              <w:rPr>
                <w:lang w:val="en-GB"/>
              </w:rPr>
            </w:pPr>
            <w:r w:rsidRPr="0094255E">
              <w:rPr>
                <w:lang w:val="en-GB"/>
              </w:rPr>
              <w:t>Meningococcal ACWY school-based vaccination program funded for all NSW secondary school students in Years 10 and 11, as well as adolescents aged 15 to 19 years who have not received the vaccine at school.</w:t>
            </w:r>
          </w:p>
        </w:tc>
      </w:tr>
      <w:tr w:rsidR="0094255E" w:rsidRPr="0094255E" w14:paraId="7BB802EB" w14:textId="77777777" w:rsidTr="00687AF3">
        <w:tblPrEx>
          <w:tblCellMar>
            <w:top w:w="0" w:type="dxa"/>
            <w:left w:w="0" w:type="dxa"/>
            <w:bottom w:w="0" w:type="dxa"/>
            <w:right w:w="0" w:type="dxa"/>
          </w:tblCellMar>
        </w:tblPrEx>
        <w:trPr>
          <w:trHeight w:val="60"/>
        </w:trPr>
        <w:tc>
          <w:tcPr>
            <w:tcW w:w="850"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tcPr>
          <w:p w14:paraId="2EBDBBA9" w14:textId="77777777" w:rsidR="0094255E" w:rsidRPr="001D11E0" w:rsidRDefault="0094255E" w:rsidP="00687AF3">
            <w:pPr>
              <w:pStyle w:val="CDITable-RowLeftless"/>
              <w:keepNext/>
              <w:rPr>
                <w:b/>
                <w:bCs/>
                <w:lang w:val="en-GB"/>
              </w:rPr>
            </w:pPr>
            <w:r w:rsidRPr="001D11E0">
              <w:rPr>
                <w:rFonts w:eastAsiaTheme="majorEastAsia"/>
                <w:b/>
                <w:bCs/>
                <w:lang w:val="en-GB"/>
              </w:rPr>
              <w:lastRenderedPageBreak/>
              <w:t>2017</w:t>
            </w: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D4FD70" w14:textId="77777777" w:rsidR="0094255E" w:rsidRPr="001D11E0" w:rsidRDefault="0094255E" w:rsidP="00687AF3">
            <w:pPr>
              <w:pStyle w:val="CDITable-RowLeftless"/>
              <w:keepNext/>
              <w:rPr>
                <w:rFonts w:eastAsiaTheme="majorEastAsia"/>
                <w:b/>
                <w:bCs/>
                <w:lang w:val="en-GB"/>
              </w:rPr>
            </w:pPr>
            <w:r w:rsidRPr="001D11E0">
              <w:rPr>
                <w:rFonts w:eastAsiaTheme="majorEastAsia"/>
                <w:b/>
                <w:bCs/>
                <w:lang w:val="en-GB"/>
              </w:rPr>
              <w:t xml:space="preserve">April 2017 </w:t>
            </w:r>
          </w:p>
          <w:p w14:paraId="690B909F" w14:textId="77777777" w:rsidR="0094255E" w:rsidRPr="0094255E" w:rsidRDefault="0094255E" w:rsidP="00687AF3">
            <w:pPr>
              <w:pStyle w:val="CDITable-RowLeftless"/>
              <w:keepNext/>
              <w:rPr>
                <w:lang w:val="en-GB"/>
              </w:rPr>
            </w:pPr>
            <w:r w:rsidRPr="0094255E">
              <w:rPr>
                <w:lang w:val="en-GB"/>
              </w:rPr>
              <w:t>Meningococcal B vaccine study commenced in South Australia for grade 10–12 students at participating schools.</w:t>
            </w:r>
          </w:p>
        </w:tc>
      </w:tr>
      <w:tr w:rsidR="0094255E" w:rsidRPr="0094255E" w14:paraId="5DB57483" w14:textId="77777777" w:rsidTr="00687AF3">
        <w:tblPrEx>
          <w:tblCellMar>
            <w:top w:w="0" w:type="dxa"/>
            <w:left w:w="0" w:type="dxa"/>
            <w:bottom w:w="0" w:type="dxa"/>
            <w:right w:w="0" w:type="dxa"/>
          </w:tblCellMar>
        </w:tblPrEx>
        <w:trPr>
          <w:trHeight w:val="60"/>
        </w:trPr>
        <w:tc>
          <w:tcPr>
            <w:tcW w:w="850" w:type="dxa"/>
            <w:vMerge/>
            <w:tcBorders>
              <w:bottom w:val="single" w:sz="6" w:space="0" w:color="1E4496" w:themeColor="text2"/>
            </w:tcBorders>
            <w:shd w:val="clear" w:color="auto" w:fill="DCF4FC" w:themeFill="background2" w:themeFillTint="33"/>
          </w:tcPr>
          <w:p w14:paraId="5D54E56F" w14:textId="77777777" w:rsidR="0094255E" w:rsidRPr="0094255E" w:rsidRDefault="0094255E" w:rsidP="0094255E">
            <w:pPr>
              <w:pStyle w:val="CDITable-RowLeft"/>
            </w:pP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F2BB1A" w14:textId="77777777" w:rsidR="0094255E" w:rsidRPr="001D11E0" w:rsidRDefault="0094255E" w:rsidP="001D11E0">
            <w:pPr>
              <w:pStyle w:val="CDITable-RowLeftless"/>
              <w:keepNext/>
              <w:rPr>
                <w:rFonts w:eastAsiaTheme="majorEastAsia"/>
                <w:b/>
                <w:bCs/>
                <w:lang w:val="en-GB"/>
              </w:rPr>
            </w:pPr>
            <w:r w:rsidRPr="001D11E0">
              <w:rPr>
                <w:rFonts w:eastAsiaTheme="majorEastAsia"/>
                <w:b/>
                <w:bCs/>
                <w:lang w:val="en-GB"/>
              </w:rPr>
              <w:t>January 2017</w:t>
            </w:r>
          </w:p>
          <w:p w14:paraId="27009DE0" w14:textId="5947D742" w:rsidR="0094255E" w:rsidRPr="0094255E" w:rsidRDefault="0094255E" w:rsidP="0094255E">
            <w:pPr>
              <w:pStyle w:val="CDITable-RowLeftless"/>
              <w:rPr>
                <w:lang w:val="en-GB"/>
              </w:rPr>
            </w:pPr>
            <w:r w:rsidRPr="0094255E">
              <w:rPr>
                <w:lang w:val="en-GB"/>
              </w:rPr>
              <w:t xml:space="preserve">Meningococcal ACWY conjugate vaccine funded until December 2017in Western Australia, Victoria and Tasmania for grade 10-12 students; New South Wales for grade 11-12; Queensland grade 10 students and persons aged 15-19 years who no longer attend school. The Northern Territory introduced the vaccine for at-risk people aged 1–19 years living in specified remote regions and all children aged 12 months. For more details see the meningococcal vaccination history table at </w:t>
            </w:r>
            <w:hyperlink r:id="rId56" w:history="1">
              <w:r w:rsidR="001D11E0" w:rsidRPr="00B76A8B">
                <w:rPr>
                  <w:rStyle w:val="Hyperlink"/>
                  <w:rFonts w:eastAsiaTheme="majorEastAsia"/>
                  <w:lang w:val="en-GB"/>
                </w:rPr>
                <w:t>http://ncirs.org.au/sites/default/files/2019-04/Meningococcal-history-April-2019.pdf</w:t>
              </w:r>
            </w:hyperlink>
            <w:r w:rsidR="001D11E0">
              <w:rPr>
                <w:rFonts w:eastAsiaTheme="majorEastAsia"/>
                <w:lang w:val="en-GB"/>
              </w:rPr>
              <w:t xml:space="preserve"> </w:t>
            </w:r>
          </w:p>
        </w:tc>
      </w:tr>
      <w:tr w:rsidR="001D11E0" w:rsidRPr="0094255E" w14:paraId="081DAE14" w14:textId="77777777" w:rsidTr="00687AF3">
        <w:tblPrEx>
          <w:tblCellMar>
            <w:top w:w="0" w:type="dxa"/>
            <w:left w:w="0" w:type="dxa"/>
            <w:bottom w:w="0" w:type="dxa"/>
            <w:right w:w="0" w:type="dxa"/>
          </w:tblCellMar>
        </w:tblPrEx>
        <w:trPr>
          <w:trHeight w:val="60"/>
        </w:trPr>
        <w:tc>
          <w:tcPr>
            <w:tcW w:w="850"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tcPr>
          <w:p w14:paraId="1543B323" w14:textId="77777777" w:rsidR="001D11E0" w:rsidRPr="001D11E0" w:rsidRDefault="001D11E0" w:rsidP="0094255E">
            <w:pPr>
              <w:pStyle w:val="CDITable-RowLeftless"/>
              <w:rPr>
                <w:b/>
                <w:bCs/>
                <w:lang w:val="en-GB"/>
              </w:rPr>
            </w:pPr>
            <w:r w:rsidRPr="001D11E0">
              <w:rPr>
                <w:rFonts w:eastAsiaTheme="majorEastAsia"/>
                <w:b/>
                <w:bCs/>
                <w:lang w:val="en-GB"/>
              </w:rPr>
              <w:t>2016</w:t>
            </w: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3C0E9E" w14:textId="77777777" w:rsidR="001D11E0" w:rsidRPr="001D11E0" w:rsidRDefault="001D11E0" w:rsidP="0094255E">
            <w:pPr>
              <w:pStyle w:val="CDITable-RowLeftless"/>
              <w:rPr>
                <w:rFonts w:eastAsiaTheme="majorEastAsia"/>
                <w:b/>
                <w:bCs/>
                <w:lang w:val="en-GB"/>
              </w:rPr>
            </w:pPr>
            <w:r w:rsidRPr="001D11E0">
              <w:rPr>
                <w:rFonts w:eastAsiaTheme="majorEastAsia"/>
                <w:b/>
                <w:bCs/>
                <w:lang w:val="en-GB"/>
              </w:rPr>
              <w:t xml:space="preserve">November 2016 </w:t>
            </w:r>
          </w:p>
          <w:p w14:paraId="5809B97C" w14:textId="77777777" w:rsidR="001D11E0" w:rsidRPr="0094255E" w:rsidRDefault="001D11E0" w:rsidP="0094255E">
            <w:pPr>
              <w:pStyle w:val="CDITable-RowLeftless"/>
              <w:rPr>
                <w:lang w:val="en-GB"/>
              </w:rPr>
            </w:pPr>
            <w:r w:rsidRPr="0094255E">
              <w:rPr>
                <w:lang w:val="en-GB"/>
              </w:rPr>
              <w:t xml:space="preserve">Zoster vaccine (Zostavax®) provided free for people aged 70 years under the National Immunisation Program (NIP) with a </w:t>
            </w:r>
            <w:proofErr w:type="gramStart"/>
            <w:r w:rsidRPr="0094255E">
              <w:rPr>
                <w:lang w:val="en-GB"/>
              </w:rPr>
              <w:t>five year</w:t>
            </w:r>
            <w:proofErr w:type="gramEnd"/>
            <w:r w:rsidRPr="0094255E">
              <w:rPr>
                <w:lang w:val="en-GB"/>
              </w:rPr>
              <w:t xml:space="preserve"> catch-up program for people aged 71–79 years.</w:t>
            </w:r>
          </w:p>
        </w:tc>
      </w:tr>
      <w:tr w:rsidR="001D11E0" w:rsidRPr="0094255E" w14:paraId="68CCBA13" w14:textId="77777777" w:rsidTr="00687AF3">
        <w:tblPrEx>
          <w:tblCellMar>
            <w:top w:w="0" w:type="dxa"/>
            <w:left w:w="0" w:type="dxa"/>
            <w:bottom w:w="0" w:type="dxa"/>
            <w:right w:w="0" w:type="dxa"/>
          </w:tblCellMar>
        </w:tblPrEx>
        <w:trPr>
          <w:trHeight w:val="60"/>
        </w:trPr>
        <w:tc>
          <w:tcPr>
            <w:tcW w:w="850" w:type="dxa"/>
            <w:vMerge/>
            <w:tcBorders>
              <w:bottom w:val="single" w:sz="6" w:space="0" w:color="1E4496" w:themeColor="text2"/>
            </w:tcBorders>
            <w:shd w:val="clear" w:color="auto" w:fill="DCF4FC" w:themeFill="background2" w:themeFillTint="33"/>
          </w:tcPr>
          <w:p w14:paraId="75ABFB8C" w14:textId="77777777" w:rsidR="001D11E0" w:rsidRPr="0094255E" w:rsidRDefault="001D11E0" w:rsidP="0094255E">
            <w:pPr>
              <w:pStyle w:val="CDITable-RowLeftless"/>
            </w:pP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DE123C" w14:textId="77777777" w:rsidR="001D11E0" w:rsidRPr="001D11E0" w:rsidRDefault="001D11E0" w:rsidP="0094255E">
            <w:pPr>
              <w:pStyle w:val="CDITable-RowLeftless"/>
              <w:rPr>
                <w:rFonts w:eastAsiaTheme="majorEastAsia"/>
                <w:b/>
                <w:bCs/>
                <w:lang w:val="en-GB"/>
              </w:rPr>
            </w:pPr>
            <w:r w:rsidRPr="001D11E0">
              <w:rPr>
                <w:rFonts w:eastAsiaTheme="majorEastAsia"/>
                <w:b/>
                <w:bCs/>
                <w:lang w:val="en-GB"/>
              </w:rPr>
              <w:t>September 2016</w:t>
            </w:r>
          </w:p>
          <w:p w14:paraId="1F6E62B0" w14:textId="77777777" w:rsidR="001D11E0" w:rsidRPr="0094255E" w:rsidRDefault="001D11E0" w:rsidP="0094255E">
            <w:pPr>
              <w:pStyle w:val="CDITable-RowLeftless"/>
              <w:rPr>
                <w:lang w:val="en-GB"/>
              </w:rPr>
            </w:pPr>
            <w:r w:rsidRPr="0094255E">
              <w:rPr>
                <w:lang w:val="en-GB"/>
              </w:rPr>
              <w:t>The Australian Childhood Immunisation Register expands to become the Australian Immunisation Register (AIR).</w:t>
            </w:r>
          </w:p>
        </w:tc>
      </w:tr>
      <w:tr w:rsidR="001D11E0" w:rsidRPr="0094255E" w14:paraId="3BA1B5AC" w14:textId="77777777" w:rsidTr="00687AF3">
        <w:tblPrEx>
          <w:tblCellMar>
            <w:top w:w="0" w:type="dxa"/>
            <w:left w:w="0" w:type="dxa"/>
            <w:bottom w:w="0" w:type="dxa"/>
            <w:right w:w="0" w:type="dxa"/>
          </w:tblCellMar>
        </w:tblPrEx>
        <w:trPr>
          <w:trHeight w:val="60"/>
        </w:trPr>
        <w:tc>
          <w:tcPr>
            <w:tcW w:w="850" w:type="dxa"/>
            <w:vMerge/>
            <w:tcBorders>
              <w:bottom w:val="single" w:sz="6" w:space="0" w:color="1E4496" w:themeColor="text2"/>
            </w:tcBorders>
            <w:shd w:val="clear" w:color="auto" w:fill="DCF4FC" w:themeFill="background2" w:themeFillTint="33"/>
            <w:tcMar>
              <w:top w:w="113" w:type="dxa"/>
              <w:left w:w="113" w:type="dxa"/>
              <w:bottom w:w="113" w:type="dxa"/>
              <w:right w:w="113" w:type="dxa"/>
            </w:tcMar>
          </w:tcPr>
          <w:p w14:paraId="110B5754" w14:textId="2F99AECA" w:rsidR="001D11E0" w:rsidRPr="0094255E" w:rsidRDefault="001D11E0" w:rsidP="0094255E">
            <w:pPr>
              <w:pStyle w:val="CDITable-RowLeftless"/>
              <w:rPr>
                <w:lang w:val="en-GB"/>
              </w:rPr>
            </w:pP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21DE9F" w14:textId="77777777" w:rsidR="001D11E0" w:rsidRPr="001D11E0" w:rsidRDefault="001D11E0" w:rsidP="0094255E">
            <w:pPr>
              <w:pStyle w:val="CDITable-RowLeftless"/>
              <w:rPr>
                <w:rFonts w:eastAsiaTheme="majorEastAsia"/>
                <w:b/>
                <w:bCs/>
                <w:lang w:val="en-GB"/>
              </w:rPr>
            </w:pPr>
            <w:r w:rsidRPr="001D11E0">
              <w:rPr>
                <w:rFonts w:eastAsiaTheme="majorEastAsia"/>
                <w:b/>
                <w:bCs/>
                <w:lang w:val="en-GB"/>
              </w:rPr>
              <w:t>March 2016</w:t>
            </w:r>
          </w:p>
          <w:p w14:paraId="5D6660F0" w14:textId="522CD6CF" w:rsidR="001D11E0" w:rsidRPr="0094255E" w:rsidRDefault="001D11E0" w:rsidP="0094255E">
            <w:pPr>
              <w:pStyle w:val="CDITable-RowLeftless"/>
              <w:rPr>
                <w:lang w:val="en-GB"/>
              </w:rPr>
            </w:pPr>
            <w:r w:rsidRPr="0094255E">
              <w:rPr>
                <w:lang w:val="en-GB"/>
              </w:rPr>
              <w:t>Free booster dose of the diphtheria, tetanus, and acellular pertussis-containing vaccine (DTPa) at 18</w:t>
            </w:r>
            <w:r>
              <w:rPr>
                <w:lang w:val="en-GB"/>
              </w:rPr>
              <w:t> </w:t>
            </w:r>
            <w:r w:rsidRPr="0094255E">
              <w:rPr>
                <w:lang w:val="en-GB"/>
              </w:rPr>
              <w:t>months of age.</w:t>
            </w:r>
          </w:p>
        </w:tc>
      </w:tr>
      <w:tr w:rsidR="0094255E" w:rsidRPr="0094255E" w14:paraId="44E3CF71" w14:textId="77777777" w:rsidTr="00687AF3">
        <w:tblPrEx>
          <w:tblCellMar>
            <w:top w:w="0" w:type="dxa"/>
            <w:left w:w="0" w:type="dxa"/>
            <w:bottom w:w="0" w:type="dxa"/>
            <w:right w:w="0" w:type="dxa"/>
          </w:tblCellMar>
        </w:tblPrEx>
        <w:trPr>
          <w:trHeight w:val="60"/>
        </w:trPr>
        <w:tc>
          <w:tcPr>
            <w:tcW w:w="850"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tcPr>
          <w:p w14:paraId="45C36332" w14:textId="77777777" w:rsidR="0094255E" w:rsidRPr="001D11E0" w:rsidRDefault="0094255E" w:rsidP="0094255E">
            <w:pPr>
              <w:pStyle w:val="CDITable-RowLeftless"/>
              <w:rPr>
                <w:b/>
                <w:bCs/>
                <w:lang w:val="en-GB"/>
              </w:rPr>
            </w:pPr>
            <w:r w:rsidRPr="001D11E0">
              <w:rPr>
                <w:rFonts w:eastAsiaTheme="majorEastAsia"/>
                <w:b/>
                <w:bCs/>
                <w:lang w:val="en-GB"/>
              </w:rPr>
              <w:t>2015</w:t>
            </w: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C15B97" w14:textId="77777777" w:rsidR="0094255E" w:rsidRPr="001D11E0" w:rsidRDefault="0094255E" w:rsidP="0094255E">
            <w:pPr>
              <w:pStyle w:val="CDITable-RowLeftless"/>
              <w:rPr>
                <w:rFonts w:eastAsiaTheme="majorEastAsia"/>
                <w:b/>
                <w:bCs/>
                <w:lang w:val="en-GB"/>
              </w:rPr>
            </w:pPr>
            <w:r w:rsidRPr="001D11E0">
              <w:rPr>
                <w:rFonts w:eastAsiaTheme="majorEastAsia"/>
                <w:b/>
                <w:bCs/>
                <w:lang w:val="en-GB"/>
              </w:rPr>
              <w:t>April 2015</w:t>
            </w:r>
          </w:p>
          <w:p w14:paraId="5BE3954F" w14:textId="77777777" w:rsidR="0094255E" w:rsidRPr="0094255E" w:rsidRDefault="0094255E" w:rsidP="0094255E">
            <w:pPr>
              <w:pStyle w:val="CDITable-RowLeftless"/>
              <w:rPr>
                <w:lang w:val="en-GB"/>
              </w:rPr>
            </w:pPr>
            <w:r w:rsidRPr="0094255E">
              <w:rPr>
                <w:lang w:val="en-GB"/>
              </w:rPr>
              <w:t>New immunisation requirements for family assistance payments were announced by the federal government (the ‘No Jab, No Pay’ policy), to come into effect on 1 January 2016. Only parents of children (aged less than 20 years) who are ‘fully immunised’ or on a recognised catch-up schedule remain eligible to receive the Child Care Benefit, Child Care Rebate, and/or the Family Tax Benefit Part A end-of-year supplement.</w:t>
            </w:r>
          </w:p>
        </w:tc>
      </w:tr>
      <w:tr w:rsidR="0094255E" w:rsidRPr="0094255E" w14:paraId="620BEA99" w14:textId="77777777" w:rsidTr="00687AF3">
        <w:tblPrEx>
          <w:tblCellMar>
            <w:top w:w="0" w:type="dxa"/>
            <w:left w:w="0" w:type="dxa"/>
            <w:bottom w:w="0" w:type="dxa"/>
            <w:right w:w="0" w:type="dxa"/>
          </w:tblCellMar>
        </w:tblPrEx>
        <w:trPr>
          <w:trHeight w:val="60"/>
        </w:trPr>
        <w:tc>
          <w:tcPr>
            <w:tcW w:w="850" w:type="dxa"/>
            <w:vMerge/>
            <w:tcBorders>
              <w:bottom w:val="single" w:sz="6" w:space="0" w:color="1E4496" w:themeColor="text2"/>
            </w:tcBorders>
            <w:shd w:val="clear" w:color="auto" w:fill="DCF4FC" w:themeFill="background2" w:themeFillTint="33"/>
          </w:tcPr>
          <w:p w14:paraId="7299F06C" w14:textId="77777777" w:rsidR="0094255E" w:rsidRPr="0094255E" w:rsidRDefault="0094255E" w:rsidP="0094255E">
            <w:pPr>
              <w:pStyle w:val="CDITable-RowLeftless"/>
            </w:pP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A95F4A" w14:textId="77777777" w:rsidR="0094255E" w:rsidRPr="001D11E0" w:rsidRDefault="0094255E" w:rsidP="0094255E">
            <w:pPr>
              <w:pStyle w:val="CDITable-RowLeftless"/>
              <w:rPr>
                <w:rFonts w:eastAsiaTheme="majorEastAsia"/>
                <w:b/>
                <w:bCs/>
                <w:lang w:val="en-GB"/>
              </w:rPr>
            </w:pPr>
            <w:r w:rsidRPr="001D11E0">
              <w:rPr>
                <w:rFonts w:eastAsiaTheme="majorEastAsia"/>
                <w:b/>
                <w:bCs/>
                <w:lang w:val="en-GB"/>
              </w:rPr>
              <w:t>March 2015</w:t>
            </w:r>
          </w:p>
          <w:p w14:paraId="7AB95DB1" w14:textId="77777777" w:rsidR="0094255E" w:rsidRPr="0094255E" w:rsidRDefault="0094255E" w:rsidP="0094255E">
            <w:pPr>
              <w:pStyle w:val="CDITable-RowLeftless"/>
              <w:rPr>
                <w:lang w:val="en-GB"/>
              </w:rPr>
            </w:pPr>
            <w:r w:rsidRPr="0094255E">
              <w:rPr>
                <w:lang w:val="en-GB"/>
              </w:rPr>
              <w:t xml:space="preserve">Seasonal influenza vaccine funded for Aboriginal and Torres Strait Islander children aged 6 months to less than 5 years. </w:t>
            </w:r>
          </w:p>
          <w:p w14:paraId="344C37E7" w14:textId="77777777" w:rsidR="0094255E" w:rsidRPr="0094255E" w:rsidRDefault="0094255E" w:rsidP="0094255E">
            <w:pPr>
              <w:pStyle w:val="CDITable-RowLeftless"/>
              <w:rPr>
                <w:lang w:val="en-GB"/>
              </w:rPr>
            </w:pPr>
            <w:r w:rsidRPr="0094255E">
              <w:rPr>
                <w:lang w:val="en-GB"/>
              </w:rPr>
              <w:t>From March to June 2015, the dTpa vaccine for women during the third trimester of pregnancy was funded by New South Wales, South Australia, Western Australia, the Australian Capital Territory, Victoria and Tasmania. The Northern Territory had funded it since September 2013 and Queensland since July 2014.</w:t>
            </w:r>
          </w:p>
          <w:p w14:paraId="6B096245" w14:textId="77777777" w:rsidR="0094255E" w:rsidRPr="0094255E" w:rsidRDefault="0094255E" w:rsidP="0094255E">
            <w:pPr>
              <w:pStyle w:val="CDITable-RowLeftless"/>
              <w:rPr>
                <w:lang w:val="en-GB"/>
              </w:rPr>
            </w:pPr>
            <w:r w:rsidRPr="0094255E">
              <w:rPr>
                <w:lang w:val="en-GB"/>
              </w:rPr>
              <w:t>A booster dose of DTPa vaccine recommended at 18 months of age (funded in March 2016).</w:t>
            </w:r>
          </w:p>
        </w:tc>
      </w:tr>
      <w:tr w:rsidR="0094255E" w:rsidRPr="0094255E" w14:paraId="75FA8B55" w14:textId="77777777" w:rsidTr="00687AF3">
        <w:tblPrEx>
          <w:tblCellMar>
            <w:top w:w="0" w:type="dxa"/>
            <w:left w:w="0" w:type="dxa"/>
            <w:bottom w:w="0" w:type="dxa"/>
            <w:right w:w="0" w:type="dxa"/>
          </w:tblCellMar>
        </w:tblPrEx>
        <w:trPr>
          <w:trHeight w:val="60"/>
        </w:trPr>
        <w:tc>
          <w:tcPr>
            <w:tcW w:w="850"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tcPr>
          <w:p w14:paraId="7E33E165" w14:textId="77777777" w:rsidR="0094255E" w:rsidRPr="001D11E0" w:rsidRDefault="0094255E" w:rsidP="0094255E">
            <w:pPr>
              <w:pStyle w:val="CDITable-RowLeftless"/>
              <w:rPr>
                <w:b/>
                <w:bCs/>
                <w:lang w:val="en-GB"/>
              </w:rPr>
            </w:pPr>
            <w:r w:rsidRPr="001D11E0">
              <w:rPr>
                <w:rFonts w:eastAsiaTheme="majorEastAsia"/>
                <w:b/>
                <w:bCs/>
                <w:lang w:val="en-GB"/>
              </w:rPr>
              <w:t>2014</w:t>
            </w: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5ADC86" w14:textId="77777777" w:rsidR="0094255E" w:rsidRPr="001D11E0" w:rsidRDefault="0094255E" w:rsidP="0094255E">
            <w:pPr>
              <w:pStyle w:val="CDITable-RowLeftless"/>
              <w:rPr>
                <w:rFonts w:eastAsiaTheme="majorEastAsia"/>
                <w:b/>
                <w:bCs/>
                <w:lang w:val="en-GB"/>
              </w:rPr>
            </w:pPr>
            <w:r w:rsidRPr="001D11E0">
              <w:rPr>
                <w:rFonts w:eastAsiaTheme="majorEastAsia"/>
                <w:b/>
                <w:bCs/>
                <w:lang w:val="en-GB"/>
              </w:rPr>
              <w:t>December 2014</w:t>
            </w:r>
          </w:p>
          <w:p w14:paraId="63CACBD5" w14:textId="77777777" w:rsidR="0094255E" w:rsidRPr="0094255E" w:rsidRDefault="0094255E" w:rsidP="0094255E">
            <w:pPr>
              <w:pStyle w:val="CDITable-RowLeftless"/>
              <w:rPr>
                <w:lang w:val="en-GB"/>
              </w:rPr>
            </w:pPr>
            <w:r w:rsidRPr="0094255E">
              <w:rPr>
                <w:lang w:val="en-GB"/>
              </w:rPr>
              <w:t>4vHPV vaccine catch-up program for males aged 14–15 years ceased</w:t>
            </w:r>
          </w:p>
        </w:tc>
      </w:tr>
      <w:tr w:rsidR="0094255E" w:rsidRPr="0094255E" w14:paraId="04031E5E" w14:textId="77777777" w:rsidTr="00892AF1">
        <w:tblPrEx>
          <w:tblCellMar>
            <w:top w:w="0" w:type="dxa"/>
            <w:left w:w="0" w:type="dxa"/>
            <w:bottom w:w="0" w:type="dxa"/>
            <w:right w:w="0" w:type="dxa"/>
          </w:tblCellMar>
        </w:tblPrEx>
        <w:trPr>
          <w:trHeight w:val="60"/>
        </w:trPr>
        <w:tc>
          <w:tcPr>
            <w:tcW w:w="850" w:type="dxa"/>
            <w:vMerge/>
            <w:tcBorders>
              <w:bottom w:val="single" w:sz="6" w:space="0" w:color="1E4496" w:themeColor="text2"/>
            </w:tcBorders>
            <w:shd w:val="clear" w:color="auto" w:fill="DCF4FC" w:themeFill="background2" w:themeFillTint="33"/>
          </w:tcPr>
          <w:p w14:paraId="27C03DBB" w14:textId="77777777" w:rsidR="0094255E" w:rsidRPr="0094255E" w:rsidRDefault="0094255E" w:rsidP="0094255E">
            <w:pPr>
              <w:pStyle w:val="CDITable-RowLeftless"/>
            </w:pP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0D0089" w14:textId="77777777" w:rsidR="0094255E" w:rsidRPr="001D11E0" w:rsidRDefault="0094255E" w:rsidP="0094255E">
            <w:pPr>
              <w:pStyle w:val="CDITable-RowLeftless"/>
              <w:rPr>
                <w:rFonts w:eastAsiaTheme="majorEastAsia"/>
                <w:b/>
                <w:bCs/>
                <w:lang w:val="en-GB"/>
              </w:rPr>
            </w:pPr>
            <w:r w:rsidRPr="001D11E0">
              <w:rPr>
                <w:rFonts w:eastAsiaTheme="majorEastAsia"/>
                <w:b/>
                <w:bCs/>
                <w:lang w:val="en-GB"/>
              </w:rPr>
              <w:t>July 2014</w:t>
            </w:r>
          </w:p>
          <w:p w14:paraId="2EDA33D4" w14:textId="77777777" w:rsidR="0094255E" w:rsidRPr="0094255E" w:rsidRDefault="0094255E" w:rsidP="0094255E">
            <w:pPr>
              <w:pStyle w:val="CDITable-RowLeftless"/>
              <w:rPr>
                <w:lang w:val="en-GB"/>
              </w:rPr>
            </w:pPr>
            <w:r w:rsidRPr="0094255E">
              <w:rPr>
                <w:lang w:val="en-GB"/>
              </w:rPr>
              <w:t>dTpa vaccine was funded by Queensland for women during the third trimester of pregnancy.</w:t>
            </w:r>
          </w:p>
        </w:tc>
      </w:tr>
      <w:tr w:rsidR="0094255E" w:rsidRPr="0094255E" w14:paraId="452D3297" w14:textId="77777777" w:rsidTr="00892AF1">
        <w:tblPrEx>
          <w:tblCellMar>
            <w:top w:w="0" w:type="dxa"/>
            <w:left w:w="0" w:type="dxa"/>
            <w:bottom w:w="0" w:type="dxa"/>
            <w:right w:w="0" w:type="dxa"/>
          </w:tblCellMar>
        </w:tblPrEx>
        <w:trPr>
          <w:trHeight w:val="60"/>
        </w:trPr>
        <w:tc>
          <w:tcPr>
            <w:tcW w:w="850"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tcPr>
          <w:p w14:paraId="06B0A12B" w14:textId="77777777" w:rsidR="0094255E" w:rsidRPr="001D11E0" w:rsidRDefault="0094255E" w:rsidP="00687AF3">
            <w:pPr>
              <w:pStyle w:val="CDITable-RowLeftless"/>
              <w:keepNext/>
              <w:rPr>
                <w:b/>
                <w:bCs/>
                <w:lang w:val="en-GB"/>
              </w:rPr>
            </w:pPr>
            <w:r w:rsidRPr="001D11E0">
              <w:rPr>
                <w:rFonts w:eastAsiaTheme="majorEastAsia"/>
                <w:b/>
                <w:bCs/>
                <w:lang w:val="en-GB"/>
              </w:rPr>
              <w:lastRenderedPageBreak/>
              <w:t>2013</w:t>
            </w: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2397C2" w14:textId="77777777" w:rsidR="0094255E" w:rsidRPr="001D11E0" w:rsidRDefault="0094255E" w:rsidP="00687AF3">
            <w:pPr>
              <w:pStyle w:val="CDITable-RowLeftless"/>
              <w:keepNext/>
              <w:rPr>
                <w:rFonts w:eastAsiaTheme="majorEastAsia"/>
                <w:b/>
                <w:bCs/>
                <w:lang w:val="en-GB"/>
              </w:rPr>
            </w:pPr>
            <w:r w:rsidRPr="001D11E0">
              <w:rPr>
                <w:rFonts w:eastAsiaTheme="majorEastAsia"/>
                <w:b/>
                <w:bCs/>
                <w:lang w:val="en-GB"/>
              </w:rPr>
              <w:t>December 2013</w:t>
            </w:r>
          </w:p>
          <w:p w14:paraId="0D81BC9B" w14:textId="77777777" w:rsidR="0094255E" w:rsidRPr="0094255E" w:rsidRDefault="0094255E" w:rsidP="00687AF3">
            <w:pPr>
              <w:pStyle w:val="CDITable-RowLeftless"/>
              <w:keepNext/>
              <w:rPr>
                <w:lang w:val="en-GB"/>
              </w:rPr>
            </w:pPr>
            <w:r w:rsidRPr="0094255E">
              <w:rPr>
                <w:lang w:val="en-GB"/>
              </w:rPr>
              <w:t>Secondary school Year 7 hepatitis B vaccine catch-up program ceased, as all younger age cohorts were eligible for infant immunisation under the NIP (commenced 2000).</w:t>
            </w:r>
          </w:p>
        </w:tc>
      </w:tr>
      <w:tr w:rsidR="0094255E" w:rsidRPr="0094255E" w14:paraId="45D2773E" w14:textId="77777777" w:rsidTr="00892AF1">
        <w:tblPrEx>
          <w:tblCellMar>
            <w:top w:w="0" w:type="dxa"/>
            <w:left w:w="0" w:type="dxa"/>
            <w:bottom w:w="0" w:type="dxa"/>
            <w:right w:w="0" w:type="dxa"/>
          </w:tblCellMar>
        </w:tblPrEx>
        <w:trPr>
          <w:trHeight w:val="60"/>
        </w:trPr>
        <w:tc>
          <w:tcPr>
            <w:tcW w:w="850" w:type="dxa"/>
            <w:vMerge/>
            <w:tcBorders>
              <w:bottom w:val="single" w:sz="6" w:space="0" w:color="1E4496" w:themeColor="text2"/>
            </w:tcBorders>
            <w:shd w:val="clear" w:color="auto" w:fill="DCF4FC" w:themeFill="background2" w:themeFillTint="33"/>
          </w:tcPr>
          <w:p w14:paraId="71FAB21B" w14:textId="77777777" w:rsidR="0094255E" w:rsidRPr="0094255E" w:rsidRDefault="0094255E" w:rsidP="00687AF3">
            <w:pPr>
              <w:pStyle w:val="CDITable-RowLeft"/>
              <w:keepNext/>
            </w:pP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8F9B30" w14:textId="77777777" w:rsidR="0094255E" w:rsidRPr="001D11E0" w:rsidRDefault="0094255E" w:rsidP="00687AF3">
            <w:pPr>
              <w:pStyle w:val="CDITable-RowLeftless"/>
              <w:keepNext/>
              <w:rPr>
                <w:rFonts w:eastAsiaTheme="majorEastAsia"/>
                <w:b/>
                <w:bCs/>
                <w:lang w:val="en-GB"/>
              </w:rPr>
            </w:pPr>
            <w:r w:rsidRPr="001D11E0">
              <w:rPr>
                <w:rFonts w:eastAsiaTheme="majorEastAsia"/>
                <w:b/>
                <w:bCs/>
                <w:lang w:val="en-GB"/>
              </w:rPr>
              <w:t>September 2013</w:t>
            </w:r>
          </w:p>
          <w:p w14:paraId="55415122" w14:textId="77777777" w:rsidR="0094255E" w:rsidRPr="0094255E" w:rsidRDefault="0094255E" w:rsidP="00687AF3">
            <w:pPr>
              <w:pStyle w:val="CDITable-RowLeftless"/>
              <w:keepNext/>
              <w:rPr>
                <w:lang w:val="en-GB"/>
              </w:rPr>
            </w:pPr>
            <w:r w:rsidRPr="0094255E">
              <w:rPr>
                <w:lang w:val="en-GB"/>
              </w:rPr>
              <w:t>dTpa vaccine funded by NT for women during the third trimester of pregnancy and for parents of infants aged &lt; 7 months under cocoon strategy.</w:t>
            </w:r>
          </w:p>
        </w:tc>
      </w:tr>
      <w:tr w:rsidR="0094255E" w:rsidRPr="0094255E" w14:paraId="6B8DF655" w14:textId="77777777" w:rsidTr="00892AF1">
        <w:tblPrEx>
          <w:tblCellMar>
            <w:top w:w="0" w:type="dxa"/>
            <w:left w:w="0" w:type="dxa"/>
            <w:bottom w:w="0" w:type="dxa"/>
            <w:right w:w="0" w:type="dxa"/>
          </w:tblCellMar>
        </w:tblPrEx>
        <w:trPr>
          <w:trHeight w:val="60"/>
        </w:trPr>
        <w:tc>
          <w:tcPr>
            <w:tcW w:w="850" w:type="dxa"/>
            <w:vMerge/>
            <w:tcBorders>
              <w:bottom w:val="single" w:sz="6" w:space="0" w:color="1E4496" w:themeColor="text2"/>
            </w:tcBorders>
            <w:shd w:val="clear" w:color="auto" w:fill="DCF4FC" w:themeFill="background2" w:themeFillTint="33"/>
          </w:tcPr>
          <w:p w14:paraId="363562F6" w14:textId="77777777" w:rsidR="0094255E" w:rsidRPr="0094255E" w:rsidRDefault="0094255E" w:rsidP="00687AF3">
            <w:pPr>
              <w:pStyle w:val="CDITable-RowLeft"/>
              <w:keepNext/>
            </w:pP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223E40" w14:textId="77777777" w:rsidR="0094255E" w:rsidRPr="001D11E0" w:rsidRDefault="0094255E" w:rsidP="00687AF3">
            <w:pPr>
              <w:pStyle w:val="CDITable-RowLeftless"/>
              <w:keepNext/>
              <w:rPr>
                <w:rFonts w:eastAsiaTheme="majorEastAsia"/>
                <w:b/>
                <w:bCs/>
                <w:lang w:val="en-GB"/>
              </w:rPr>
            </w:pPr>
            <w:r w:rsidRPr="001D11E0">
              <w:rPr>
                <w:rFonts w:eastAsiaTheme="majorEastAsia"/>
                <w:b/>
                <w:bCs/>
                <w:lang w:val="en-GB"/>
              </w:rPr>
              <w:t>July 2013</w:t>
            </w:r>
          </w:p>
          <w:p w14:paraId="71BAF0A4" w14:textId="77777777" w:rsidR="0094255E" w:rsidRPr="0094255E" w:rsidRDefault="0094255E" w:rsidP="00687AF3">
            <w:pPr>
              <w:pStyle w:val="CDITable-RowLeftless"/>
              <w:keepNext/>
              <w:rPr>
                <w:lang w:val="en-GB"/>
              </w:rPr>
            </w:pPr>
            <w:r w:rsidRPr="0094255E">
              <w:rPr>
                <w:lang w:val="en-GB"/>
              </w:rPr>
              <w:t>Second dose of MMR vaccine, previously given at 4 years, was brought forward to 18 months of age and delivered as MMRV vaccine.</w:t>
            </w:r>
          </w:p>
          <w:p w14:paraId="2BAECA27" w14:textId="77777777" w:rsidR="0094255E" w:rsidRPr="0094255E" w:rsidRDefault="0094255E" w:rsidP="00687AF3">
            <w:pPr>
              <w:pStyle w:val="CDITable-RowLeftless"/>
              <w:keepNext/>
              <w:rPr>
                <w:lang w:val="en-GB"/>
              </w:rPr>
            </w:pPr>
            <w:r w:rsidRPr="0094255E">
              <w:rPr>
                <w:lang w:val="en-GB"/>
              </w:rPr>
              <w:t xml:space="preserve">Combined </w:t>
            </w:r>
            <w:r w:rsidRPr="00687AF3">
              <w:rPr>
                <w:i/>
                <w:iCs/>
                <w:lang w:val="en-GB"/>
              </w:rPr>
              <w:t>Haemophilus influenzae</w:t>
            </w:r>
            <w:r w:rsidRPr="0094255E">
              <w:rPr>
                <w:lang w:val="en-GB"/>
              </w:rPr>
              <w:t xml:space="preserve"> type b (Hib) and meningococcal serogroup C (MenC) vaccine, </w:t>
            </w:r>
            <w:proofErr w:type="spellStart"/>
            <w:r w:rsidRPr="0094255E">
              <w:rPr>
                <w:lang w:val="en-GB"/>
              </w:rPr>
              <w:t>Menitorix</w:t>
            </w:r>
            <w:proofErr w:type="spellEnd"/>
            <w:r w:rsidRPr="00687AF3">
              <w:rPr>
                <w:vertAlign w:val="superscript"/>
                <w:lang w:val="en-GB"/>
              </w:rPr>
              <w:t>®</w:t>
            </w:r>
            <w:r w:rsidRPr="0094255E">
              <w:rPr>
                <w:lang w:val="en-GB"/>
              </w:rPr>
              <w:t>, was funded for infants aged 12 months. This combination vaccine replaced the single dose of monovalent meningococcal C conjugate vaccine (</w:t>
            </w:r>
            <w:proofErr w:type="spellStart"/>
            <w:r w:rsidRPr="0094255E">
              <w:rPr>
                <w:lang w:val="en-GB"/>
              </w:rPr>
              <w:t>MenCCV</w:t>
            </w:r>
            <w:proofErr w:type="spellEnd"/>
            <w:r w:rsidRPr="0094255E">
              <w:rPr>
                <w:lang w:val="en-GB"/>
              </w:rPr>
              <w:t>) and booster dose of monovalent Hib vaccine previously scheduled at 12 months of age.</w:t>
            </w:r>
          </w:p>
        </w:tc>
      </w:tr>
      <w:tr w:rsidR="0094255E" w:rsidRPr="0094255E" w14:paraId="665F1FFD" w14:textId="77777777" w:rsidTr="00892AF1">
        <w:tblPrEx>
          <w:tblCellMar>
            <w:top w:w="0" w:type="dxa"/>
            <w:left w:w="0" w:type="dxa"/>
            <w:bottom w:w="0" w:type="dxa"/>
            <w:right w:w="0" w:type="dxa"/>
          </w:tblCellMar>
        </w:tblPrEx>
        <w:trPr>
          <w:trHeight w:val="60"/>
        </w:trPr>
        <w:tc>
          <w:tcPr>
            <w:tcW w:w="850" w:type="dxa"/>
            <w:vMerge/>
            <w:tcBorders>
              <w:bottom w:val="single" w:sz="6" w:space="0" w:color="1E4496" w:themeColor="text2"/>
            </w:tcBorders>
            <w:shd w:val="clear" w:color="auto" w:fill="DCF4FC" w:themeFill="background2" w:themeFillTint="33"/>
          </w:tcPr>
          <w:p w14:paraId="4030159D" w14:textId="77777777" w:rsidR="0094255E" w:rsidRPr="0094255E" w:rsidRDefault="0094255E" w:rsidP="0094255E">
            <w:pPr>
              <w:pStyle w:val="CDITable-RowLeft"/>
            </w:pP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B9EFE5" w14:textId="77777777" w:rsidR="0094255E" w:rsidRPr="00687AF3" w:rsidRDefault="0094255E" w:rsidP="0094255E">
            <w:pPr>
              <w:pStyle w:val="CDITable-RowLeftless"/>
              <w:rPr>
                <w:rFonts w:eastAsiaTheme="majorEastAsia"/>
                <w:b/>
                <w:bCs/>
                <w:lang w:val="en-GB"/>
              </w:rPr>
            </w:pPr>
            <w:r w:rsidRPr="00687AF3">
              <w:rPr>
                <w:rFonts w:eastAsiaTheme="majorEastAsia"/>
                <w:b/>
                <w:bCs/>
                <w:lang w:val="en-GB"/>
              </w:rPr>
              <w:t>February 2013</w:t>
            </w:r>
          </w:p>
          <w:p w14:paraId="6B34DF15" w14:textId="77777777" w:rsidR="0094255E" w:rsidRPr="0094255E" w:rsidRDefault="0094255E" w:rsidP="0094255E">
            <w:pPr>
              <w:pStyle w:val="CDITable-RowLeftless"/>
              <w:rPr>
                <w:lang w:val="en-GB"/>
              </w:rPr>
            </w:pPr>
            <w:r w:rsidRPr="0094255E">
              <w:rPr>
                <w:lang w:val="en-GB"/>
              </w:rPr>
              <w:t>4vHPV vaccine was extended to males aged 12–13 years, delivered through a school-based program, with a catch-up program for males aged 14–15 years in 2013 and 2014.</w:t>
            </w:r>
          </w:p>
        </w:tc>
      </w:tr>
      <w:tr w:rsidR="0094255E" w:rsidRPr="0094255E" w14:paraId="6FBB6240" w14:textId="77777777" w:rsidTr="00892AF1">
        <w:tblPrEx>
          <w:tblCellMar>
            <w:top w:w="0" w:type="dxa"/>
            <w:left w:w="0" w:type="dxa"/>
            <w:bottom w:w="0" w:type="dxa"/>
            <w:right w:w="0" w:type="dxa"/>
          </w:tblCellMar>
        </w:tblPrEx>
        <w:trPr>
          <w:trHeight w:val="60"/>
        </w:trPr>
        <w:tc>
          <w:tcPr>
            <w:tcW w:w="85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tcPr>
          <w:p w14:paraId="6A5B1462" w14:textId="77777777" w:rsidR="0094255E" w:rsidRPr="001D11E0" w:rsidRDefault="0094255E" w:rsidP="0094255E">
            <w:pPr>
              <w:pStyle w:val="CDITable-RowLeftless"/>
              <w:rPr>
                <w:b/>
                <w:bCs/>
                <w:lang w:val="en-GB"/>
              </w:rPr>
            </w:pPr>
            <w:r w:rsidRPr="001D11E0">
              <w:rPr>
                <w:rFonts w:eastAsiaTheme="majorEastAsia"/>
                <w:b/>
                <w:bCs/>
                <w:lang w:val="en-GB"/>
              </w:rPr>
              <w:t>2012</w:t>
            </w: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29EDE2" w14:textId="77777777" w:rsidR="0094255E" w:rsidRPr="00687AF3" w:rsidRDefault="0094255E" w:rsidP="0094255E">
            <w:pPr>
              <w:pStyle w:val="CDITable-RowLeftless"/>
              <w:rPr>
                <w:rFonts w:eastAsiaTheme="majorEastAsia"/>
                <w:b/>
                <w:bCs/>
                <w:lang w:val="en-GB"/>
              </w:rPr>
            </w:pPr>
            <w:r w:rsidRPr="00687AF3">
              <w:rPr>
                <w:rFonts w:eastAsiaTheme="majorEastAsia"/>
                <w:b/>
                <w:bCs/>
                <w:lang w:val="en-GB"/>
              </w:rPr>
              <w:t>October 2012</w:t>
            </w:r>
          </w:p>
          <w:p w14:paraId="3A97E1BA" w14:textId="79C16CBC" w:rsidR="0094255E" w:rsidRPr="0094255E" w:rsidRDefault="0094255E" w:rsidP="0094255E">
            <w:pPr>
              <w:pStyle w:val="CDITable-RowLeftless"/>
              <w:rPr>
                <w:lang w:val="en-GB"/>
              </w:rPr>
            </w:pPr>
            <w:r w:rsidRPr="0094255E">
              <w:rPr>
                <w:lang w:val="en-GB"/>
              </w:rPr>
              <w:t>A fourth dose of Prevenar 13</w:t>
            </w:r>
            <w:r w:rsidRPr="00687AF3">
              <w:rPr>
                <w:vertAlign w:val="superscript"/>
                <w:lang w:val="en-GB"/>
              </w:rPr>
              <w:t>®</w:t>
            </w:r>
            <w:r w:rsidRPr="0094255E">
              <w:rPr>
                <w:lang w:val="en-GB"/>
              </w:rPr>
              <w:t>, (13vPCV, a 13-valent pneumococcal conjugate vaccine) was listed on the National Immunisation Program (NIP) for Indigenous children, aged 12-18 months, residing in Queensland, South Australia, Western Australia and the Northern Territory. This replaced the booster dose of Pneumovax23</w:t>
            </w:r>
            <w:r w:rsidRPr="00687AF3">
              <w:rPr>
                <w:vertAlign w:val="superscript"/>
                <w:lang w:val="en-GB"/>
              </w:rPr>
              <w:t>®</w:t>
            </w:r>
            <w:r w:rsidRPr="0094255E">
              <w:rPr>
                <w:lang w:val="en-GB"/>
              </w:rPr>
              <w:t>, (23vPPV, a 23-valent pneumococcal polysaccharide vaccine) administered between 18</w:t>
            </w:r>
            <w:r w:rsidR="00892AF1">
              <w:rPr>
                <w:lang w:val="en-GB"/>
              </w:rPr>
              <w:t> </w:t>
            </w:r>
            <w:r w:rsidRPr="0094255E">
              <w:rPr>
                <w:lang w:val="en-GB"/>
              </w:rPr>
              <w:t>and 24 months of age for Indigenous children from these jurisdictions.</w:t>
            </w:r>
          </w:p>
        </w:tc>
      </w:tr>
      <w:tr w:rsidR="001D11E0" w:rsidRPr="0094255E" w14:paraId="15E86C22" w14:textId="77777777" w:rsidTr="00892AF1">
        <w:tblPrEx>
          <w:tblCellMar>
            <w:top w:w="0" w:type="dxa"/>
            <w:left w:w="0" w:type="dxa"/>
            <w:bottom w:w="0" w:type="dxa"/>
            <w:right w:w="0" w:type="dxa"/>
          </w:tblCellMar>
        </w:tblPrEx>
        <w:trPr>
          <w:trHeight w:val="60"/>
        </w:trPr>
        <w:tc>
          <w:tcPr>
            <w:tcW w:w="850"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tcPr>
          <w:p w14:paraId="02B52E9C" w14:textId="77777777" w:rsidR="001D11E0" w:rsidRPr="001D11E0" w:rsidRDefault="001D11E0" w:rsidP="0094255E">
            <w:pPr>
              <w:pStyle w:val="CDITable-RowLeftless"/>
              <w:rPr>
                <w:b/>
                <w:bCs/>
                <w:lang w:val="en-GB"/>
              </w:rPr>
            </w:pPr>
            <w:r w:rsidRPr="001D11E0">
              <w:rPr>
                <w:rFonts w:eastAsiaTheme="majorEastAsia"/>
                <w:b/>
                <w:bCs/>
                <w:lang w:val="en-GB"/>
              </w:rPr>
              <w:t>2011</w:t>
            </w: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C9C5CC" w14:textId="77777777" w:rsidR="001D11E0" w:rsidRPr="00687AF3" w:rsidRDefault="001D11E0" w:rsidP="0094255E">
            <w:pPr>
              <w:pStyle w:val="CDITable-RowLeftless"/>
              <w:rPr>
                <w:rFonts w:eastAsiaTheme="majorEastAsia"/>
                <w:b/>
                <w:bCs/>
                <w:lang w:val="en-GB"/>
              </w:rPr>
            </w:pPr>
            <w:r w:rsidRPr="00687AF3">
              <w:rPr>
                <w:rFonts w:eastAsiaTheme="majorEastAsia"/>
                <w:b/>
                <w:bCs/>
                <w:lang w:val="en-GB"/>
              </w:rPr>
              <w:t xml:space="preserve">1 October 2011 to 30 September 2012 </w:t>
            </w:r>
          </w:p>
          <w:p w14:paraId="06B62CFC" w14:textId="77777777" w:rsidR="001D11E0" w:rsidRPr="0094255E" w:rsidRDefault="001D11E0" w:rsidP="0094255E">
            <w:pPr>
              <w:pStyle w:val="CDITable-RowLeftless"/>
              <w:rPr>
                <w:lang w:val="en-GB"/>
              </w:rPr>
            </w:pPr>
            <w:r w:rsidRPr="0094255E">
              <w:rPr>
                <w:lang w:val="en-GB"/>
              </w:rPr>
              <w:t>All children aged between 12–35 months who had completed a primary pneumococcal vaccination course with 7vPCV were eligible to receive a free supplementary dose of Prevenar 13</w:t>
            </w:r>
            <w:r w:rsidRPr="00687AF3">
              <w:rPr>
                <w:vertAlign w:val="superscript"/>
                <w:lang w:val="en-GB"/>
              </w:rPr>
              <w:t>®</w:t>
            </w:r>
            <w:r w:rsidRPr="0094255E">
              <w:rPr>
                <w:lang w:val="en-GB"/>
              </w:rPr>
              <w:t xml:space="preserve">. </w:t>
            </w:r>
          </w:p>
        </w:tc>
      </w:tr>
      <w:tr w:rsidR="001D11E0" w:rsidRPr="0094255E" w14:paraId="1B543AA7" w14:textId="77777777" w:rsidTr="00892AF1">
        <w:tblPrEx>
          <w:tblCellMar>
            <w:top w:w="0" w:type="dxa"/>
            <w:left w:w="0" w:type="dxa"/>
            <w:bottom w:w="0" w:type="dxa"/>
            <w:right w:w="0" w:type="dxa"/>
          </w:tblCellMar>
        </w:tblPrEx>
        <w:trPr>
          <w:trHeight w:val="60"/>
        </w:trPr>
        <w:tc>
          <w:tcPr>
            <w:tcW w:w="850" w:type="dxa"/>
            <w:vMerge/>
            <w:tcBorders>
              <w:bottom w:val="single" w:sz="6" w:space="0" w:color="1E4496" w:themeColor="text2"/>
            </w:tcBorders>
            <w:shd w:val="clear" w:color="auto" w:fill="DCF4FC" w:themeFill="background2" w:themeFillTint="33"/>
          </w:tcPr>
          <w:p w14:paraId="10890AC1" w14:textId="77777777" w:rsidR="001D11E0" w:rsidRPr="0094255E" w:rsidRDefault="001D11E0" w:rsidP="0094255E">
            <w:pPr>
              <w:pStyle w:val="CDITable-RowLeftless"/>
            </w:pP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6E3CA4" w14:textId="77777777" w:rsidR="001D11E0" w:rsidRPr="00687AF3" w:rsidRDefault="001D11E0" w:rsidP="0094255E">
            <w:pPr>
              <w:pStyle w:val="CDITable-RowLeftless"/>
              <w:rPr>
                <w:rFonts w:eastAsiaTheme="majorEastAsia"/>
                <w:b/>
                <w:bCs/>
                <w:lang w:val="en-GB"/>
              </w:rPr>
            </w:pPr>
            <w:r w:rsidRPr="00687AF3">
              <w:rPr>
                <w:rFonts w:eastAsiaTheme="majorEastAsia"/>
                <w:b/>
                <w:bCs/>
                <w:lang w:val="en-GB"/>
              </w:rPr>
              <w:t>July 2011</w:t>
            </w:r>
          </w:p>
          <w:p w14:paraId="44195810" w14:textId="77777777" w:rsidR="001D11E0" w:rsidRPr="0094255E" w:rsidRDefault="001D11E0" w:rsidP="0094255E">
            <w:pPr>
              <w:pStyle w:val="CDITable-RowLeftless"/>
              <w:rPr>
                <w:lang w:val="en-GB"/>
              </w:rPr>
            </w:pPr>
            <w:r w:rsidRPr="0094255E">
              <w:rPr>
                <w:lang w:val="en-GB"/>
              </w:rPr>
              <w:t>Prevenar 13</w:t>
            </w:r>
            <w:r w:rsidRPr="00687AF3">
              <w:rPr>
                <w:vertAlign w:val="superscript"/>
                <w:lang w:val="en-GB"/>
              </w:rPr>
              <w:t>®</w:t>
            </w:r>
            <w:r w:rsidRPr="0094255E">
              <w:rPr>
                <w:lang w:val="en-GB"/>
              </w:rPr>
              <w:t xml:space="preserve"> replaced Prevenar</w:t>
            </w:r>
            <w:r w:rsidRPr="00687AF3">
              <w:rPr>
                <w:vertAlign w:val="superscript"/>
                <w:lang w:val="en-GB"/>
              </w:rPr>
              <w:t>®</w:t>
            </w:r>
            <w:r w:rsidRPr="0094255E">
              <w:rPr>
                <w:lang w:val="en-GB"/>
              </w:rPr>
              <w:t xml:space="preserve"> on the NIP for children at 2, 4 and 6 months of age in all states and territories except the Northern Territory which adopted 13vPCV from 1 October 2011.</w:t>
            </w:r>
          </w:p>
        </w:tc>
      </w:tr>
      <w:tr w:rsidR="001D11E0" w:rsidRPr="0094255E" w14:paraId="4BFB95CC" w14:textId="77777777" w:rsidTr="00892AF1">
        <w:tblPrEx>
          <w:tblCellMar>
            <w:top w:w="0" w:type="dxa"/>
            <w:left w:w="0" w:type="dxa"/>
            <w:bottom w:w="0" w:type="dxa"/>
            <w:right w:w="0" w:type="dxa"/>
          </w:tblCellMar>
        </w:tblPrEx>
        <w:trPr>
          <w:trHeight w:val="60"/>
        </w:trPr>
        <w:tc>
          <w:tcPr>
            <w:tcW w:w="850" w:type="dxa"/>
            <w:vMerge/>
            <w:tcBorders>
              <w:bottom w:val="single" w:sz="6" w:space="0" w:color="1E4496" w:themeColor="text2"/>
            </w:tcBorders>
            <w:shd w:val="clear" w:color="auto" w:fill="DCF4FC" w:themeFill="background2" w:themeFillTint="33"/>
            <w:tcMar>
              <w:top w:w="113" w:type="dxa"/>
              <w:left w:w="113" w:type="dxa"/>
              <w:bottom w:w="113" w:type="dxa"/>
              <w:right w:w="113" w:type="dxa"/>
            </w:tcMar>
          </w:tcPr>
          <w:p w14:paraId="095ACE2C" w14:textId="77777777" w:rsidR="001D11E0" w:rsidRPr="0094255E" w:rsidRDefault="001D11E0" w:rsidP="0094255E">
            <w:pPr>
              <w:pStyle w:val="CDITable-RowLeftless"/>
            </w:pP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A4159E" w14:textId="77777777" w:rsidR="001D11E0" w:rsidRPr="00687AF3" w:rsidRDefault="001D11E0" w:rsidP="0094255E">
            <w:pPr>
              <w:pStyle w:val="CDITable-RowLeftless"/>
              <w:rPr>
                <w:rFonts w:eastAsiaTheme="majorEastAsia"/>
                <w:b/>
                <w:bCs/>
                <w:lang w:val="en-GB"/>
              </w:rPr>
            </w:pPr>
            <w:r w:rsidRPr="00687AF3">
              <w:rPr>
                <w:rFonts w:eastAsiaTheme="majorEastAsia"/>
                <w:b/>
                <w:bCs/>
                <w:lang w:val="en-GB"/>
              </w:rPr>
              <w:t>25 March 2011</w:t>
            </w:r>
          </w:p>
          <w:p w14:paraId="60DE51F9" w14:textId="77777777" w:rsidR="001D11E0" w:rsidRPr="0094255E" w:rsidRDefault="001D11E0" w:rsidP="0094255E">
            <w:pPr>
              <w:pStyle w:val="CDITable-RowLeftless"/>
              <w:rPr>
                <w:lang w:val="en-GB"/>
              </w:rPr>
            </w:pPr>
            <w:r w:rsidRPr="0094255E">
              <w:rPr>
                <w:lang w:val="en-GB"/>
              </w:rPr>
              <w:t>TGA issued a recall of Batch N3336 of the 23-valent pneumococcal polysaccharide vaccine 23vPPV, Pneumovax23</w:t>
            </w:r>
            <w:r w:rsidRPr="00687AF3">
              <w:rPr>
                <w:vertAlign w:val="superscript"/>
                <w:lang w:val="en-GB"/>
              </w:rPr>
              <w:t>®</w:t>
            </w:r>
            <w:r w:rsidRPr="0094255E">
              <w:rPr>
                <w:lang w:val="en-GB"/>
              </w:rPr>
              <w:t>. April 2011: health professionals were advised not to administer a second or subsequent dose of Pneumovax23 vaccine. December 2011: revised recommendations regarding which patients should be re-vaccinated under the NIP were provided.</w:t>
            </w:r>
          </w:p>
        </w:tc>
      </w:tr>
      <w:tr w:rsidR="0094255E" w:rsidRPr="0094255E" w14:paraId="0D89945E" w14:textId="77777777" w:rsidTr="00892AF1">
        <w:tblPrEx>
          <w:tblCellMar>
            <w:top w:w="0" w:type="dxa"/>
            <w:left w:w="0" w:type="dxa"/>
            <w:bottom w:w="0" w:type="dxa"/>
            <w:right w:w="0" w:type="dxa"/>
          </w:tblCellMar>
        </w:tblPrEx>
        <w:trPr>
          <w:trHeight w:val="60"/>
        </w:trPr>
        <w:tc>
          <w:tcPr>
            <w:tcW w:w="85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tcPr>
          <w:p w14:paraId="0DAE92DF" w14:textId="77777777" w:rsidR="0094255E" w:rsidRPr="001D11E0" w:rsidRDefault="0094255E" w:rsidP="0094255E">
            <w:pPr>
              <w:pStyle w:val="CDITable-RowLeftless"/>
              <w:rPr>
                <w:b/>
                <w:bCs/>
                <w:lang w:val="en-GB"/>
              </w:rPr>
            </w:pPr>
            <w:r w:rsidRPr="001D11E0">
              <w:rPr>
                <w:rFonts w:eastAsiaTheme="majorEastAsia"/>
                <w:b/>
                <w:bCs/>
                <w:lang w:val="en-GB"/>
              </w:rPr>
              <w:t>2010</w:t>
            </w: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452DBB" w14:textId="08228AB9" w:rsidR="0094255E" w:rsidRPr="0094255E" w:rsidRDefault="0094255E" w:rsidP="0094255E">
            <w:pPr>
              <w:pStyle w:val="CDITable-RowLeftless"/>
              <w:rPr>
                <w:lang w:val="en-GB"/>
              </w:rPr>
            </w:pPr>
            <w:r w:rsidRPr="0094255E">
              <w:rPr>
                <w:lang w:val="en-GB"/>
              </w:rPr>
              <w:t>Annual vaccination with seasonal trivalent influenza vaccine (TIV, containing three influenza strains: A/H1N1, A/H3N2 and B) was funded under the NIP for people aged ≥ 6 months with medical risk factors (previously subsidised through the Pharmaceutical Benefits Scheme) and all Indigenous people aged ≥</w:t>
            </w:r>
            <w:r w:rsidR="00892AF1">
              <w:rPr>
                <w:lang w:val="en-GB"/>
              </w:rPr>
              <w:t> </w:t>
            </w:r>
            <w:r w:rsidRPr="0094255E">
              <w:rPr>
                <w:lang w:val="en-GB"/>
              </w:rPr>
              <w:t>15</w:t>
            </w:r>
            <w:r w:rsidR="00892AF1">
              <w:rPr>
                <w:lang w:val="en-GB"/>
              </w:rPr>
              <w:t> </w:t>
            </w:r>
            <w:r w:rsidRPr="0094255E">
              <w:rPr>
                <w:lang w:val="en-GB"/>
              </w:rPr>
              <w:t>years (previously all Indigenous adults ≥ 50 years and 15–49 years with medical risk factors).</w:t>
            </w:r>
          </w:p>
          <w:p w14:paraId="61F84C07" w14:textId="77777777" w:rsidR="0094255E" w:rsidRPr="0094255E" w:rsidRDefault="0094255E" w:rsidP="0094255E">
            <w:pPr>
              <w:pStyle w:val="CDITable-RowLeftless"/>
              <w:rPr>
                <w:lang w:val="en-GB"/>
              </w:rPr>
            </w:pPr>
            <w:r w:rsidRPr="0094255E">
              <w:rPr>
                <w:lang w:val="en-GB"/>
              </w:rPr>
              <w:t xml:space="preserve">On 23 April 2010, the use of the 2010 seasonal TIV in children &lt; 5 years of age was suspended by Australia’s Chief Medical Officer due to an increased number of reports of fever and febrile convulsions post vaccination. A subsequent investigation identified that </w:t>
            </w:r>
            <w:proofErr w:type="spellStart"/>
            <w:r w:rsidRPr="0094255E">
              <w:rPr>
                <w:lang w:val="en-GB"/>
              </w:rPr>
              <w:t>Fluvax</w:t>
            </w:r>
            <w:proofErr w:type="spellEnd"/>
            <w:r w:rsidRPr="00892AF1">
              <w:rPr>
                <w:vertAlign w:val="superscript"/>
                <w:lang w:val="en-GB"/>
              </w:rPr>
              <w:t>®</w:t>
            </w:r>
            <w:r w:rsidRPr="0094255E">
              <w:rPr>
                <w:lang w:val="en-GB"/>
              </w:rPr>
              <w:t xml:space="preserve"> and </w:t>
            </w:r>
            <w:proofErr w:type="spellStart"/>
            <w:r w:rsidRPr="0094255E">
              <w:rPr>
                <w:lang w:val="en-GB"/>
              </w:rPr>
              <w:t>Fluvax</w:t>
            </w:r>
            <w:proofErr w:type="spellEnd"/>
            <w:r w:rsidRPr="0094255E">
              <w:rPr>
                <w:lang w:val="en-GB"/>
              </w:rPr>
              <w:t xml:space="preserve"> junior</w:t>
            </w:r>
            <w:r w:rsidRPr="00892AF1">
              <w:rPr>
                <w:vertAlign w:val="superscript"/>
                <w:lang w:val="en-GB"/>
              </w:rPr>
              <w:t>®</w:t>
            </w:r>
            <w:r w:rsidRPr="0094255E">
              <w:rPr>
                <w:lang w:val="en-GB"/>
              </w:rPr>
              <w:t xml:space="preserve"> (CSL Biotherapies), but neither of the other two available brands registered for use in young children, were associated with an unacceptably high risk of febrile convulsions. The recommendation to resume the use of seasonal influenza vaccine in children aged 6 months to 5 years, using brands other than </w:t>
            </w:r>
            <w:proofErr w:type="spellStart"/>
            <w:r w:rsidRPr="0094255E">
              <w:rPr>
                <w:lang w:val="en-GB"/>
              </w:rPr>
              <w:t>Fluvax</w:t>
            </w:r>
            <w:proofErr w:type="spellEnd"/>
            <w:r w:rsidRPr="00892AF1">
              <w:rPr>
                <w:vertAlign w:val="superscript"/>
                <w:lang w:val="en-GB"/>
              </w:rPr>
              <w:t>®</w:t>
            </w:r>
            <w:r w:rsidRPr="0094255E">
              <w:rPr>
                <w:lang w:val="en-GB"/>
              </w:rPr>
              <w:t xml:space="preserve"> and </w:t>
            </w:r>
            <w:proofErr w:type="spellStart"/>
            <w:r w:rsidRPr="0094255E">
              <w:rPr>
                <w:lang w:val="en-GB"/>
              </w:rPr>
              <w:t>Fluvax</w:t>
            </w:r>
            <w:proofErr w:type="spellEnd"/>
            <w:r w:rsidRPr="0094255E">
              <w:rPr>
                <w:lang w:val="en-GB"/>
              </w:rPr>
              <w:t xml:space="preserve"> junior</w:t>
            </w:r>
            <w:r w:rsidRPr="00892AF1">
              <w:rPr>
                <w:vertAlign w:val="superscript"/>
                <w:lang w:val="en-GB"/>
              </w:rPr>
              <w:t>®</w:t>
            </w:r>
            <w:r w:rsidRPr="0094255E">
              <w:rPr>
                <w:lang w:val="en-GB"/>
              </w:rPr>
              <w:t>, was made in August 2010.</w:t>
            </w:r>
          </w:p>
        </w:tc>
      </w:tr>
      <w:tr w:rsidR="0094255E" w:rsidRPr="0094255E" w14:paraId="6519F722" w14:textId="77777777" w:rsidTr="00892AF1">
        <w:tblPrEx>
          <w:tblCellMar>
            <w:top w:w="0" w:type="dxa"/>
            <w:left w:w="0" w:type="dxa"/>
            <w:bottom w:w="0" w:type="dxa"/>
            <w:right w:w="0" w:type="dxa"/>
          </w:tblCellMar>
        </w:tblPrEx>
        <w:trPr>
          <w:trHeight w:val="60"/>
        </w:trPr>
        <w:tc>
          <w:tcPr>
            <w:tcW w:w="850"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tcPr>
          <w:p w14:paraId="720D9C3C" w14:textId="77777777" w:rsidR="0094255E" w:rsidRPr="001D11E0" w:rsidRDefault="0094255E" w:rsidP="00892AF1">
            <w:pPr>
              <w:pStyle w:val="CDITable-RowLeftless"/>
              <w:keepNext/>
              <w:rPr>
                <w:b/>
                <w:bCs/>
                <w:lang w:val="en-GB"/>
              </w:rPr>
            </w:pPr>
            <w:r w:rsidRPr="001D11E0">
              <w:rPr>
                <w:rFonts w:eastAsiaTheme="majorEastAsia"/>
                <w:b/>
                <w:bCs/>
                <w:lang w:val="en-GB"/>
              </w:rPr>
              <w:lastRenderedPageBreak/>
              <w:t>2009</w:t>
            </w:r>
          </w:p>
        </w:tc>
        <w:tc>
          <w:tcPr>
            <w:tcW w:w="8788" w:type="dxa"/>
            <w:tcBorders>
              <w:top w:val="single" w:sz="6" w:space="0" w:color="1E4496" w:themeColor="text2"/>
            </w:tcBorders>
            <w:tcMar>
              <w:top w:w="113" w:type="dxa"/>
              <w:left w:w="113" w:type="dxa"/>
              <w:bottom w:w="113" w:type="dxa"/>
              <w:right w:w="113" w:type="dxa"/>
            </w:tcMar>
            <w:vAlign w:val="center"/>
          </w:tcPr>
          <w:p w14:paraId="0F2F8B95" w14:textId="77777777" w:rsidR="0094255E" w:rsidRPr="00687AF3" w:rsidRDefault="0094255E" w:rsidP="0094255E">
            <w:pPr>
              <w:pStyle w:val="CDITable-RowLeftless"/>
              <w:rPr>
                <w:rFonts w:eastAsiaTheme="majorEastAsia"/>
                <w:b/>
                <w:bCs/>
                <w:lang w:val="en-GB"/>
              </w:rPr>
            </w:pPr>
            <w:r w:rsidRPr="00687AF3">
              <w:rPr>
                <w:rFonts w:eastAsiaTheme="majorEastAsia"/>
                <w:b/>
                <w:bCs/>
                <w:lang w:val="en-GB"/>
              </w:rPr>
              <w:t>Late 2009</w:t>
            </w:r>
          </w:p>
          <w:p w14:paraId="2E0A8841" w14:textId="77777777" w:rsidR="0094255E" w:rsidRPr="0094255E" w:rsidRDefault="0094255E" w:rsidP="0094255E">
            <w:pPr>
              <w:pStyle w:val="CDITable-RowLeftless"/>
              <w:rPr>
                <w:lang w:val="en-GB"/>
              </w:rPr>
            </w:pPr>
            <w:r w:rsidRPr="0094255E">
              <w:rPr>
                <w:lang w:val="en-GB"/>
              </w:rPr>
              <w:t xml:space="preserve">All states and territories were using the single hexavalent DTPa-IPV-Hib-HepB (Infanrix </w:t>
            </w:r>
            <w:proofErr w:type="spellStart"/>
            <w:r w:rsidRPr="0094255E">
              <w:rPr>
                <w:lang w:val="en-GB"/>
              </w:rPr>
              <w:t>hexa</w:t>
            </w:r>
            <w:proofErr w:type="spellEnd"/>
            <w:r w:rsidRPr="00892AF1">
              <w:rPr>
                <w:vertAlign w:val="superscript"/>
                <w:lang w:val="en-GB"/>
              </w:rPr>
              <w:t>®</w:t>
            </w:r>
            <w:r w:rsidRPr="0094255E">
              <w:rPr>
                <w:lang w:val="en-GB"/>
              </w:rPr>
              <w:t xml:space="preserve">) vaccine for all children at 2, 4 and 6 months of age, due to an international shortage of </w:t>
            </w:r>
            <w:r w:rsidRPr="00892AF1">
              <w:rPr>
                <w:i/>
                <w:iCs/>
                <w:lang w:val="en-GB"/>
              </w:rPr>
              <w:t>Haemophilus influenzae</w:t>
            </w:r>
            <w:r w:rsidRPr="0094255E">
              <w:rPr>
                <w:lang w:val="en-GB"/>
              </w:rPr>
              <w:t xml:space="preserve"> type b (Hib) (</w:t>
            </w:r>
            <w:proofErr w:type="spellStart"/>
            <w:r w:rsidRPr="0094255E">
              <w:rPr>
                <w:lang w:val="en-GB"/>
              </w:rPr>
              <w:t>PedvaxHib</w:t>
            </w:r>
            <w:proofErr w:type="spellEnd"/>
            <w:r w:rsidRPr="00892AF1">
              <w:rPr>
                <w:vertAlign w:val="superscript"/>
                <w:lang w:val="en-GB"/>
              </w:rPr>
              <w:t>®</w:t>
            </w:r>
            <w:r w:rsidRPr="0094255E">
              <w:rPr>
                <w:lang w:val="en-GB"/>
              </w:rPr>
              <w:t xml:space="preserve"> [monovalent] and </w:t>
            </w:r>
            <w:proofErr w:type="spellStart"/>
            <w:r w:rsidRPr="0094255E">
              <w:rPr>
                <w:lang w:val="en-GB"/>
              </w:rPr>
              <w:t>Comvax</w:t>
            </w:r>
            <w:proofErr w:type="spellEnd"/>
            <w:r w:rsidRPr="00892AF1">
              <w:rPr>
                <w:vertAlign w:val="superscript"/>
                <w:lang w:val="en-GB"/>
              </w:rPr>
              <w:t>®</w:t>
            </w:r>
            <w:r w:rsidRPr="0094255E">
              <w:rPr>
                <w:lang w:val="en-GB"/>
              </w:rPr>
              <w:t xml:space="preserve"> [Hib-HepB]) vaccines.</w:t>
            </w:r>
          </w:p>
        </w:tc>
      </w:tr>
      <w:tr w:rsidR="0094255E" w:rsidRPr="0094255E" w14:paraId="49182684" w14:textId="77777777" w:rsidTr="00892AF1">
        <w:tblPrEx>
          <w:tblCellMar>
            <w:top w:w="0" w:type="dxa"/>
            <w:left w:w="0" w:type="dxa"/>
            <w:bottom w:w="0" w:type="dxa"/>
            <w:right w:w="0" w:type="dxa"/>
          </w:tblCellMar>
        </w:tblPrEx>
        <w:trPr>
          <w:trHeight w:val="60"/>
        </w:trPr>
        <w:tc>
          <w:tcPr>
            <w:tcW w:w="850" w:type="dxa"/>
            <w:vMerge/>
            <w:tcBorders>
              <w:bottom w:val="single" w:sz="6" w:space="0" w:color="1E4496" w:themeColor="text2"/>
            </w:tcBorders>
            <w:shd w:val="clear" w:color="auto" w:fill="DCF4FC" w:themeFill="background2" w:themeFillTint="33"/>
          </w:tcPr>
          <w:p w14:paraId="302AC52B" w14:textId="77777777" w:rsidR="0094255E" w:rsidRPr="0094255E" w:rsidRDefault="0094255E" w:rsidP="0094255E">
            <w:pPr>
              <w:pStyle w:val="CDITable-RowLeftless"/>
            </w:pPr>
          </w:p>
        </w:tc>
        <w:tc>
          <w:tcPr>
            <w:tcW w:w="8788" w:type="dxa"/>
            <w:tcBorders>
              <w:bottom w:val="single" w:sz="6" w:space="0" w:color="1E4496" w:themeColor="text2"/>
            </w:tcBorders>
            <w:tcMar>
              <w:top w:w="113" w:type="dxa"/>
              <w:left w:w="113" w:type="dxa"/>
              <w:bottom w:w="113" w:type="dxa"/>
              <w:right w:w="113" w:type="dxa"/>
            </w:tcMar>
            <w:vAlign w:val="center"/>
          </w:tcPr>
          <w:p w14:paraId="73DAD916" w14:textId="77777777" w:rsidR="0094255E" w:rsidRPr="00687AF3" w:rsidRDefault="0094255E" w:rsidP="0094255E">
            <w:pPr>
              <w:pStyle w:val="CDITable-RowLeftless"/>
              <w:rPr>
                <w:rFonts w:eastAsiaTheme="majorEastAsia"/>
                <w:b/>
                <w:bCs/>
                <w:lang w:val="en-GB"/>
              </w:rPr>
            </w:pPr>
            <w:r w:rsidRPr="00687AF3">
              <w:rPr>
                <w:rFonts w:eastAsiaTheme="majorEastAsia"/>
                <w:b/>
                <w:bCs/>
                <w:lang w:val="en-GB"/>
              </w:rPr>
              <w:t>September 2009</w:t>
            </w:r>
          </w:p>
          <w:p w14:paraId="2DC7125C" w14:textId="69E32205" w:rsidR="0094255E" w:rsidRPr="0094255E" w:rsidRDefault="0094255E" w:rsidP="0094255E">
            <w:pPr>
              <w:pStyle w:val="CDITable-RowLeftless"/>
              <w:rPr>
                <w:lang w:val="en-GB"/>
              </w:rPr>
            </w:pPr>
            <w:r w:rsidRPr="0094255E">
              <w:rPr>
                <w:lang w:val="en-GB"/>
              </w:rPr>
              <w:t>Pandemic H1N1 2009 influenza vaccine (</w:t>
            </w:r>
            <w:proofErr w:type="spellStart"/>
            <w:r w:rsidRPr="0094255E">
              <w:rPr>
                <w:lang w:val="en-GB"/>
              </w:rPr>
              <w:t>Panvax</w:t>
            </w:r>
            <w:proofErr w:type="spellEnd"/>
            <w:r w:rsidRPr="00892AF1">
              <w:rPr>
                <w:vertAlign w:val="superscript"/>
                <w:lang w:val="en-GB"/>
              </w:rPr>
              <w:t>®</w:t>
            </w:r>
            <w:r w:rsidRPr="0094255E">
              <w:rPr>
                <w:lang w:val="en-GB"/>
              </w:rPr>
              <w:t>) was rolled out across Australia from 30 September 2009 for people aged ≥</w:t>
            </w:r>
            <w:r w:rsidR="00892AF1">
              <w:rPr>
                <w:lang w:val="en-GB"/>
              </w:rPr>
              <w:t xml:space="preserve"> </w:t>
            </w:r>
            <w:r w:rsidRPr="0094255E">
              <w:rPr>
                <w:lang w:val="en-GB"/>
              </w:rPr>
              <w:t>10 years. From December 2009, the pandemic vaccine was made available to children aged 6 months to 10 years.</w:t>
            </w:r>
          </w:p>
        </w:tc>
      </w:tr>
      <w:tr w:rsidR="0094255E" w:rsidRPr="0094255E" w14:paraId="449B8030" w14:textId="77777777" w:rsidTr="00892AF1">
        <w:tblPrEx>
          <w:tblCellMar>
            <w:top w:w="0" w:type="dxa"/>
            <w:left w:w="0" w:type="dxa"/>
            <w:bottom w:w="0" w:type="dxa"/>
            <w:right w:w="0" w:type="dxa"/>
          </w:tblCellMar>
        </w:tblPrEx>
        <w:trPr>
          <w:trHeight w:val="60"/>
        </w:trPr>
        <w:tc>
          <w:tcPr>
            <w:tcW w:w="850"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tcPr>
          <w:p w14:paraId="3E8A80A7" w14:textId="77777777" w:rsidR="0094255E" w:rsidRPr="001D11E0" w:rsidRDefault="0094255E" w:rsidP="0094255E">
            <w:pPr>
              <w:pStyle w:val="CDITable-RowLeftless"/>
              <w:rPr>
                <w:b/>
                <w:bCs/>
                <w:lang w:val="en-GB"/>
              </w:rPr>
            </w:pPr>
            <w:r w:rsidRPr="001D11E0">
              <w:rPr>
                <w:rFonts w:eastAsiaTheme="majorEastAsia"/>
                <w:b/>
                <w:bCs/>
                <w:lang w:val="en-GB"/>
              </w:rPr>
              <w:t>2008</w:t>
            </w: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765351" w14:textId="77777777" w:rsidR="0094255E" w:rsidRPr="00687AF3" w:rsidRDefault="0094255E" w:rsidP="0094255E">
            <w:pPr>
              <w:pStyle w:val="CDITable-RowLeftless"/>
              <w:rPr>
                <w:rFonts w:eastAsiaTheme="majorEastAsia"/>
                <w:b/>
                <w:bCs/>
                <w:lang w:val="en-GB"/>
              </w:rPr>
            </w:pPr>
            <w:r w:rsidRPr="00687AF3">
              <w:rPr>
                <w:rFonts w:eastAsiaTheme="majorEastAsia"/>
                <w:b/>
                <w:bCs/>
                <w:lang w:val="en-GB"/>
              </w:rPr>
              <w:t xml:space="preserve">April 2008 </w:t>
            </w:r>
          </w:p>
          <w:p w14:paraId="706743A8" w14:textId="77777777" w:rsidR="0094255E" w:rsidRPr="0094255E" w:rsidRDefault="0094255E" w:rsidP="0094255E">
            <w:pPr>
              <w:pStyle w:val="CDITable-RowLeftless"/>
              <w:rPr>
                <w:lang w:val="en-GB"/>
              </w:rPr>
            </w:pPr>
            <w:r w:rsidRPr="0094255E">
              <w:rPr>
                <w:lang w:val="en-GB"/>
              </w:rPr>
              <w:t>Western Australia commenced a seasonal influenza vaccination program for all children aged 6 months to &lt;5 years (born after 1 April 2003).</w:t>
            </w:r>
          </w:p>
        </w:tc>
      </w:tr>
      <w:tr w:rsidR="0094255E" w:rsidRPr="0094255E" w14:paraId="185E49F6" w14:textId="77777777" w:rsidTr="00687AF3">
        <w:tblPrEx>
          <w:tblCellMar>
            <w:top w:w="0" w:type="dxa"/>
            <w:left w:w="0" w:type="dxa"/>
            <w:bottom w:w="0" w:type="dxa"/>
            <w:right w:w="0" w:type="dxa"/>
          </w:tblCellMar>
        </w:tblPrEx>
        <w:trPr>
          <w:trHeight w:val="60"/>
        </w:trPr>
        <w:tc>
          <w:tcPr>
            <w:tcW w:w="850" w:type="dxa"/>
            <w:vMerge/>
            <w:tcBorders>
              <w:bottom w:val="single" w:sz="6" w:space="0" w:color="1E4496" w:themeColor="text2"/>
            </w:tcBorders>
            <w:shd w:val="clear" w:color="auto" w:fill="DCF4FC" w:themeFill="background2" w:themeFillTint="33"/>
          </w:tcPr>
          <w:p w14:paraId="1C918A88" w14:textId="77777777" w:rsidR="0094255E" w:rsidRPr="0094255E" w:rsidRDefault="0094255E" w:rsidP="0094255E">
            <w:pPr>
              <w:pStyle w:val="CDITable-RowLeftless"/>
            </w:pP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7C35C3" w14:textId="77777777" w:rsidR="0094255E" w:rsidRPr="00687AF3" w:rsidRDefault="0094255E" w:rsidP="0094255E">
            <w:pPr>
              <w:pStyle w:val="CDITable-RowLeftless"/>
              <w:rPr>
                <w:rFonts w:eastAsiaTheme="majorEastAsia"/>
                <w:b/>
                <w:bCs/>
                <w:lang w:val="en-GB"/>
              </w:rPr>
            </w:pPr>
            <w:r w:rsidRPr="00687AF3">
              <w:rPr>
                <w:rFonts w:eastAsiaTheme="majorEastAsia"/>
                <w:b/>
                <w:bCs/>
                <w:lang w:val="en-GB"/>
              </w:rPr>
              <w:t>March 2008</w:t>
            </w:r>
          </w:p>
          <w:p w14:paraId="36272FB7" w14:textId="77777777" w:rsidR="0094255E" w:rsidRPr="0094255E" w:rsidRDefault="0094255E" w:rsidP="0094255E">
            <w:pPr>
              <w:pStyle w:val="CDITable-RowLeftless"/>
              <w:rPr>
                <w:lang w:val="en-GB"/>
              </w:rPr>
            </w:pPr>
            <w:r w:rsidRPr="0094255E">
              <w:rPr>
                <w:lang w:val="en-GB"/>
              </w:rPr>
              <w:t>Queensland, South Australia and Victoria changed from using two combination vaccines (quadrivalent DTPa-IPV and Hib-HepB) to the single hexavalent DTPa-IPV-HepB-Hib vaccine.</w:t>
            </w:r>
          </w:p>
        </w:tc>
      </w:tr>
      <w:tr w:rsidR="0094255E" w:rsidRPr="0094255E" w14:paraId="2FBEC200" w14:textId="77777777" w:rsidTr="00687AF3">
        <w:tblPrEx>
          <w:tblCellMar>
            <w:top w:w="0" w:type="dxa"/>
            <w:left w:w="0" w:type="dxa"/>
            <w:bottom w:w="0" w:type="dxa"/>
            <w:right w:w="0" w:type="dxa"/>
          </w:tblCellMar>
        </w:tblPrEx>
        <w:trPr>
          <w:trHeight w:val="60"/>
        </w:trPr>
        <w:tc>
          <w:tcPr>
            <w:tcW w:w="850"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tcPr>
          <w:p w14:paraId="74482AF8" w14:textId="77777777" w:rsidR="0094255E" w:rsidRPr="001D11E0" w:rsidRDefault="0094255E" w:rsidP="0094255E">
            <w:pPr>
              <w:pStyle w:val="CDITable-RowLeftless"/>
              <w:rPr>
                <w:b/>
                <w:bCs/>
                <w:lang w:val="en-GB"/>
              </w:rPr>
            </w:pPr>
            <w:r w:rsidRPr="001D11E0">
              <w:rPr>
                <w:rFonts w:eastAsiaTheme="majorEastAsia"/>
                <w:b/>
                <w:bCs/>
                <w:lang w:val="en-GB"/>
              </w:rPr>
              <w:t>2007</w:t>
            </w: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A56CAD" w14:textId="77777777" w:rsidR="0094255E" w:rsidRPr="00687AF3" w:rsidRDefault="0094255E" w:rsidP="0094255E">
            <w:pPr>
              <w:pStyle w:val="CDITable-RowLeftless"/>
              <w:rPr>
                <w:rFonts w:eastAsiaTheme="majorEastAsia"/>
                <w:b/>
                <w:bCs/>
                <w:lang w:val="en-GB"/>
              </w:rPr>
            </w:pPr>
            <w:r w:rsidRPr="00687AF3">
              <w:rPr>
                <w:rFonts w:eastAsiaTheme="majorEastAsia"/>
                <w:b/>
                <w:bCs/>
                <w:lang w:val="en-GB"/>
              </w:rPr>
              <w:t>July 2007</w:t>
            </w:r>
          </w:p>
          <w:p w14:paraId="5846D0A2" w14:textId="281664DB" w:rsidR="0094255E" w:rsidRPr="0094255E" w:rsidRDefault="0094255E" w:rsidP="0094255E">
            <w:pPr>
              <w:pStyle w:val="CDITable-RowLeftless"/>
              <w:rPr>
                <w:lang w:val="en-GB"/>
              </w:rPr>
            </w:pPr>
            <w:r w:rsidRPr="0094255E">
              <w:rPr>
                <w:lang w:val="en-GB"/>
              </w:rPr>
              <w:t>Universal funded immunisation against rotavirus at 2 and 4 months of age (Rotarix®) or at 2, 4 and 6</w:t>
            </w:r>
            <w:r w:rsidR="00892AF1">
              <w:rPr>
                <w:lang w:val="en-GB"/>
              </w:rPr>
              <w:t> </w:t>
            </w:r>
            <w:r w:rsidRPr="0094255E">
              <w:rPr>
                <w:lang w:val="en-GB"/>
              </w:rPr>
              <w:t>months of age (</w:t>
            </w:r>
            <w:proofErr w:type="spellStart"/>
            <w:r w:rsidRPr="0094255E">
              <w:rPr>
                <w:lang w:val="en-GB"/>
              </w:rPr>
              <w:t>Rotateq</w:t>
            </w:r>
            <w:proofErr w:type="spellEnd"/>
            <w:r w:rsidRPr="00892AF1">
              <w:rPr>
                <w:vertAlign w:val="superscript"/>
                <w:lang w:val="en-GB"/>
              </w:rPr>
              <w:t>®</w:t>
            </w:r>
            <w:r w:rsidRPr="0094255E">
              <w:rPr>
                <w:lang w:val="en-GB"/>
              </w:rPr>
              <w:t>).</w:t>
            </w:r>
          </w:p>
        </w:tc>
      </w:tr>
      <w:tr w:rsidR="0094255E" w:rsidRPr="0094255E" w14:paraId="55DC1C70" w14:textId="77777777" w:rsidTr="00687AF3">
        <w:tblPrEx>
          <w:tblCellMar>
            <w:top w:w="0" w:type="dxa"/>
            <w:left w:w="0" w:type="dxa"/>
            <w:bottom w:w="0" w:type="dxa"/>
            <w:right w:w="0" w:type="dxa"/>
          </w:tblCellMar>
        </w:tblPrEx>
        <w:trPr>
          <w:trHeight w:val="60"/>
        </w:trPr>
        <w:tc>
          <w:tcPr>
            <w:tcW w:w="850" w:type="dxa"/>
            <w:vMerge/>
            <w:tcBorders>
              <w:bottom w:val="single" w:sz="6" w:space="0" w:color="1E4496" w:themeColor="text2"/>
            </w:tcBorders>
            <w:shd w:val="clear" w:color="auto" w:fill="DCF4FC" w:themeFill="background2" w:themeFillTint="33"/>
          </w:tcPr>
          <w:p w14:paraId="44254A19" w14:textId="77777777" w:rsidR="0094255E" w:rsidRPr="0094255E" w:rsidRDefault="0094255E" w:rsidP="0094255E">
            <w:pPr>
              <w:pStyle w:val="CDITable-RowLeft"/>
            </w:pP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988196" w14:textId="77777777" w:rsidR="0094255E" w:rsidRPr="00687AF3" w:rsidRDefault="0094255E" w:rsidP="0094255E">
            <w:pPr>
              <w:pStyle w:val="CDITable-RowLeftless"/>
              <w:rPr>
                <w:rFonts w:eastAsiaTheme="majorEastAsia"/>
                <w:b/>
                <w:bCs/>
                <w:lang w:val="en-GB"/>
              </w:rPr>
            </w:pPr>
            <w:r w:rsidRPr="00687AF3">
              <w:rPr>
                <w:rFonts w:eastAsiaTheme="majorEastAsia"/>
                <w:b/>
                <w:bCs/>
                <w:lang w:val="en-GB"/>
              </w:rPr>
              <w:t>April 2007</w:t>
            </w:r>
          </w:p>
          <w:p w14:paraId="26B055E6" w14:textId="77777777" w:rsidR="0094255E" w:rsidRPr="0094255E" w:rsidRDefault="0094255E" w:rsidP="0094255E">
            <w:pPr>
              <w:pStyle w:val="CDITable-RowLeftless"/>
              <w:rPr>
                <w:lang w:val="en-GB"/>
              </w:rPr>
            </w:pPr>
            <w:r w:rsidRPr="0094255E">
              <w:rPr>
                <w:lang w:val="en-GB"/>
              </w:rPr>
              <w:t>Funded immunisation against human papillomavirus for all Australian girls aged 12–13 years delivered through a school-based program from April 2007, with a temporary catch-up program through schools or primary care providers for females aged 13–26 years until December 2009.</w:t>
            </w:r>
          </w:p>
        </w:tc>
      </w:tr>
      <w:tr w:rsidR="0094255E" w:rsidRPr="0094255E" w14:paraId="17D434ED" w14:textId="77777777" w:rsidTr="00687AF3">
        <w:tblPrEx>
          <w:tblCellMar>
            <w:top w:w="0" w:type="dxa"/>
            <w:left w:w="0" w:type="dxa"/>
            <w:bottom w:w="0" w:type="dxa"/>
            <w:right w:w="0" w:type="dxa"/>
          </w:tblCellMar>
        </w:tblPrEx>
        <w:trPr>
          <w:trHeight w:val="60"/>
        </w:trPr>
        <w:tc>
          <w:tcPr>
            <w:tcW w:w="850"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tcPr>
          <w:p w14:paraId="783BE441" w14:textId="77777777" w:rsidR="0094255E" w:rsidRPr="001D11E0" w:rsidRDefault="0094255E" w:rsidP="0094255E">
            <w:pPr>
              <w:pStyle w:val="CDITable-RowLeftless"/>
              <w:rPr>
                <w:b/>
                <w:bCs/>
                <w:lang w:val="en-GB"/>
              </w:rPr>
            </w:pPr>
            <w:r w:rsidRPr="001D11E0">
              <w:rPr>
                <w:rFonts w:eastAsiaTheme="majorEastAsia"/>
                <w:b/>
                <w:bCs/>
                <w:lang w:val="en-GB"/>
              </w:rPr>
              <w:t>2005</w:t>
            </w:r>
          </w:p>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B07D36" w14:textId="77777777" w:rsidR="0094255E" w:rsidRPr="00687AF3" w:rsidRDefault="0094255E" w:rsidP="0094255E">
            <w:pPr>
              <w:pStyle w:val="CDITable-RowLeftless"/>
              <w:rPr>
                <w:rFonts w:eastAsiaTheme="majorEastAsia"/>
                <w:b/>
                <w:bCs/>
                <w:lang w:val="en-GB"/>
              </w:rPr>
            </w:pPr>
            <w:r w:rsidRPr="00687AF3">
              <w:rPr>
                <w:rFonts w:eastAsiaTheme="majorEastAsia"/>
                <w:b/>
                <w:bCs/>
                <w:lang w:val="en-GB"/>
              </w:rPr>
              <w:t>November 2005</w:t>
            </w:r>
          </w:p>
          <w:p w14:paraId="09C0542A" w14:textId="77777777" w:rsidR="0094255E" w:rsidRPr="0094255E" w:rsidRDefault="0094255E" w:rsidP="0094255E">
            <w:pPr>
              <w:pStyle w:val="CDITable-RowLeftless"/>
              <w:rPr>
                <w:lang w:val="en-GB"/>
              </w:rPr>
            </w:pPr>
            <w:r w:rsidRPr="0094255E">
              <w:rPr>
                <w:lang w:val="en-GB"/>
              </w:rPr>
              <w:t>Universal funded immunisation against varicella at 18 months of age with a school-based catch-up program for children at 10–13 years of age not previously vaccinated and without a history of varicella infection (no funded catch-up for children 2–10 years of age).</w:t>
            </w:r>
          </w:p>
          <w:p w14:paraId="3269970A" w14:textId="77777777" w:rsidR="0094255E" w:rsidRPr="0094255E" w:rsidRDefault="0094255E" w:rsidP="0094255E">
            <w:pPr>
              <w:pStyle w:val="CDITable-RowLeftless"/>
              <w:rPr>
                <w:lang w:val="en-GB"/>
              </w:rPr>
            </w:pPr>
            <w:r w:rsidRPr="0094255E">
              <w:rPr>
                <w:lang w:val="en-GB"/>
              </w:rPr>
              <w:t>IPV was funded to replace OPV, in combination vaccines.</w:t>
            </w:r>
          </w:p>
        </w:tc>
      </w:tr>
      <w:tr w:rsidR="0094255E" w:rsidRPr="0094255E" w14:paraId="58FCF676" w14:textId="77777777" w:rsidTr="00687AF3">
        <w:tblPrEx>
          <w:tblCellMar>
            <w:top w:w="0" w:type="dxa"/>
            <w:left w:w="0" w:type="dxa"/>
            <w:bottom w:w="0" w:type="dxa"/>
            <w:right w:w="0" w:type="dxa"/>
          </w:tblCellMar>
        </w:tblPrEx>
        <w:trPr>
          <w:trHeight w:val="60"/>
        </w:trPr>
        <w:tc>
          <w:tcPr>
            <w:tcW w:w="850" w:type="dxa"/>
            <w:vMerge/>
            <w:tcBorders>
              <w:bottom w:val="single" w:sz="6" w:space="0" w:color="1E4496" w:themeColor="text2"/>
            </w:tcBorders>
            <w:shd w:val="clear" w:color="auto" w:fill="DCF4FC" w:themeFill="background2" w:themeFillTint="33"/>
          </w:tcPr>
          <w:p w14:paraId="42FF16DA" w14:textId="77777777" w:rsidR="0094255E" w:rsidRPr="0094255E" w:rsidRDefault="0094255E" w:rsidP="0094255E"/>
        </w:tc>
        <w:tc>
          <w:tcPr>
            <w:tcW w:w="87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1C9039" w14:textId="77777777" w:rsidR="0094255E" w:rsidRPr="00687AF3" w:rsidRDefault="0094255E" w:rsidP="0094255E">
            <w:pPr>
              <w:pStyle w:val="CDITable-RowLeftless"/>
              <w:rPr>
                <w:rFonts w:eastAsiaTheme="majorEastAsia"/>
                <w:b/>
                <w:bCs/>
                <w:lang w:val="en-GB"/>
              </w:rPr>
            </w:pPr>
            <w:r w:rsidRPr="00687AF3">
              <w:rPr>
                <w:rFonts w:eastAsiaTheme="majorEastAsia"/>
                <w:b/>
                <w:bCs/>
                <w:lang w:val="en-GB"/>
              </w:rPr>
              <w:t>January 2005</w:t>
            </w:r>
          </w:p>
          <w:p w14:paraId="15D5AB2F" w14:textId="77777777" w:rsidR="0094255E" w:rsidRPr="0094255E" w:rsidRDefault="0094255E" w:rsidP="0094255E">
            <w:pPr>
              <w:pStyle w:val="CDITable-RowLeftless"/>
              <w:rPr>
                <w:lang w:val="en-GB"/>
              </w:rPr>
            </w:pPr>
            <w:r w:rsidRPr="0094255E">
              <w:rPr>
                <w:lang w:val="en-GB"/>
              </w:rPr>
              <w:t>Universal funded infant 7-valent pneumococcal conjugate vaccine (7vPCV) program replaced the previous targeted childhood program, with a catch-up program for children aged &lt; 2 years.</w:t>
            </w:r>
          </w:p>
          <w:p w14:paraId="4114E0B2" w14:textId="77777777" w:rsidR="0094255E" w:rsidRPr="0094255E" w:rsidRDefault="0094255E" w:rsidP="0094255E">
            <w:pPr>
              <w:pStyle w:val="CDITable-RowLeftless"/>
              <w:rPr>
                <w:lang w:val="en-GB"/>
              </w:rPr>
            </w:pPr>
            <w:r w:rsidRPr="0094255E">
              <w:rPr>
                <w:lang w:val="en-GB"/>
              </w:rPr>
              <w:t>Universal 23-valent pneumococcal polysaccharide vaccine (23vPPV) for adults aged ≥ 65 years replaced previous subsidy through the Pharmaceutical Benefits Scheme.</w:t>
            </w:r>
          </w:p>
        </w:tc>
      </w:tr>
    </w:tbl>
    <w:p w14:paraId="60450983" w14:textId="73C55B83" w:rsidR="00892AF1" w:rsidRDefault="00841C3A" w:rsidP="00892AF1">
      <w:pPr>
        <w:pStyle w:val="CDITable-FirstFootnote"/>
        <w:rPr>
          <w:lang w:val="en-GB"/>
        </w:rPr>
      </w:pPr>
      <w:r w:rsidRPr="00841C3A">
        <w:rPr>
          <w:lang w:val="en-GB"/>
        </w:rPr>
        <w:t>a</w:t>
      </w:r>
      <w:r w:rsidRPr="00841C3A">
        <w:rPr>
          <w:lang w:val="en-GB"/>
        </w:rPr>
        <w:tab/>
        <w:t>Includes immunisation-related policy and key recommendations from the Australian Technical Advisory Group on Immunisation (ATAGI).</w:t>
      </w:r>
      <w:r w:rsidR="00892AF1">
        <w:rPr>
          <w:lang w:val="en-GB"/>
        </w:rPr>
        <w:br w:type="page"/>
      </w:r>
    </w:p>
    <w:p w14:paraId="0F47AAB1" w14:textId="77777777" w:rsidR="00841C3A" w:rsidRPr="00841C3A" w:rsidRDefault="00841C3A" w:rsidP="00841C3A">
      <w:pPr>
        <w:pStyle w:val="CDITable-Title"/>
        <w:rPr>
          <w:lang w:val="en-GB"/>
        </w:rPr>
      </w:pPr>
      <w:bookmarkStart w:id="51" w:name="_Toc215491394"/>
      <w:r w:rsidRPr="00841C3A">
        <w:rPr>
          <w:lang w:val="en-GB"/>
        </w:rPr>
        <w:lastRenderedPageBreak/>
        <w:t>Table A.2: Description of preferred term (PT) to standardised MedDRA query (SMQ) mapping</w:t>
      </w:r>
      <w:bookmarkEnd w:id="51"/>
    </w:p>
    <w:tbl>
      <w:tblPr>
        <w:tblW w:w="0" w:type="auto"/>
        <w:tblLayout w:type="fixed"/>
        <w:tblCellMar>
          <w:left w:w="0" w:type="dxa"/>
          <w:right w:w="0" w:type="dxa"/>
        </w:tblCellMar>
        <w:tblLook w:val="0000" w:firstRow="0" w:lastRow="0" w:firstColumn="0" w:lastColumn="0" w:noHBand="0" w:noVBand="0"/>
        <w:tblCaption w:val="Table A.2: Description of preferred term (PT) to standardised MedDRA query (SMQ) mapping"/>
        <w:tblDescription w:val="Table A.2 describes the procedure for determining the MedDRA term used in this article to describe a reported adverse event, when zero, one, or more than one standardised MedDRA queries (SMQ) were retrieved for the event."/>
      </w:tblPr>
      <w:tblGrid>
        <w:gridCol w:w="3685"/>
        <w:gridCol w:w="5953"/>
      </w:tblGrid>
      <w:tr w:rsidR="00892AF1" w:rsidRPr="00892AF1" w14:paraId="4844AF0B" w14:textId="77777777" w:rsidTr="00892AF1">
        <w:tblPrEx>
          <w:tblCellMar>
            <w:top w:w="0" w:type="dxa"/>
            <w:left w:w="0" w:type="dxa"/>
            <w:bottom w:w="0" w:type="dxa"/>
            <w:right w:w="0" w:type="dxa"/>
          </w:tblCellMar>
        </w:tblPrEx>
        <w:trPr>
          <w:trHeight w:val="60"/>
          <w:tblHeader/>
        </w:trPr>
        <w:tc>
          <w:tcPr>
            <w:tcW w:w="3685" w:type="dxa"/>
            <w:shd w:val="clear" w:color="auto" w:fill="1E4496" w:themeFill="text2"/>
            <w:tcMar>
              <w:top w:w="113" w:type="dxa"/>
              <w:left w:w="113" w:type="dxa"/>
              <w:bottom w:w="113" w:type="dxa"/>
              <w:right w:w="113" w:type="dxa"/>
            </w:tcMar>
            <w:vAlign w:val="bottom"/>
          </w:tcPr>
          <w:p w14:paraId="334EC72E" w14:textId="77777777" w:rsidR="00892AF1" w:rsidRPr="00892AF1" w:rsidRDefault="00892AF1" w:rsidP="00892AF1">
            <w:pPr>
              <w:pStyle w:val="CDITable-HeaderRowCentre"/>
            </w:pPr>
            <w:r w:rsidRPr="00892AF1">
              <w:t>Number of SMQ mapped</w:t>
            </w:r>
          </w:p>
        </w:tc>
        <w:tc>
          <w:tcPr>
            <w:tcW w:w="5953" w:type="dxa"/>
            <w:shd w:val="clear" w:color="auto" w:fill="1E4496" w:themeFill="text2"/>
            <w:tcMar>
              <w:top w:w="113" w:type="dxa"/>
              <w:left w:w="113" w:type="dxa"/>
              <w:bottom w:w="113" w:type="dxa"/>
              <w:right w:w="113" w:type="dxa"/>
            </w:tcMar>
            <w:vAlign w:val="bottom"/>
          </w:tcPr>
          <w:p w14:paraId="703BFC23" w14:textId="77777777" w:rsidR="00892AF1" w:rsidRPr="00892AF1" w:rsidRDefault="00892AF1" w:rsidP="00892AF1">
            <w:pPr>
              <w:pStyle w:val="CDITable-HeaderRowCentre"/>
            </w:pPr>
            <w:r w:rsidRPr="00892AF1">
              <w:t>Term reported</w:t>
            </w:r>
          </w:p>
        </w:tc>
      </w:tr>
      <w:tr w:rsidR="00892AF1" w:rsidRPr="00892AF1" w14:paraId="651FA8A6" w14:textId="77777777" w:rsidTr="00892AF1">
        <w:tblPrEx>
          <w:tblCellMar>
            <w:top w:w="0" w:type="dxa"/>
            <w:left w:w="0" w:type="dxa"/>
            <w:bottom w:w="0" w:type="dxa"/>
            <w:right w:w="0" w:type="dxa"/>
          </w:tblCellMar>
        </w:tblPrEx>
        <w:trPr>
          <w:trHeight w:val="60"/>
        </w:trPr>
        <w:tc>
          <w:tcPr>
            <w:tcW w:w="3685" w:type="dxa"/>
            <w:tcBorders>
              <w:bottom w:val="single" w:sz="6" w:space="0" w:color="1E4496" w:themeColor="text2"/>
            </w:tcBorders>
            <w:tcMar>
              <w:top w:w="113" w:type="dxa"/>
              <w:left w:w="113" w:type="dxa"/>
              <w:bottom w:w="113" w:type="dxa"/>
              <w:right w:w="113" w:type="dxa"/>
            </w:tcMar>
            <w:vAlign w:val="center"/>
          </w:tcPr>
          <w:p w14:paraId="0DFC1B3B" w14:textId="77777777" w:rsidR="00892AF1" w:rsidRPr="00892AF1" w:rsidRDefault="00892AF1" w:rsidP="00892AF1">
            <w:pPr>
              <w:pStyle w:val="CDITable-RowCentre"/>
            </w:pPr>
            <w:r w:rsidRPr="00892AF1">
              <w:t>0</w:t>
            </w:r>
          </w:p>
        </w:tc>
        <w:tc>
          <w:tcPr>
            <w:tcW w:w="5953" w:type="dxa"/>
            <w:tcBorders>
              <w:bottom w:val="single" w:sz="6" w:space="0" w:color="1E4496" w:themeColor="text2"/>
            </w:tcBorders>
            <w:tcMar>
              <w:top w:w="113" w:type="dxa"/>
              <w:left w:w="113" w:type="dxa"/>
              <w:bottom w:w="113" w:type="dxa"/>
              <w:right w:w="113" w:type="dxa"/>
            </w:tcMar>
            <w:vAlign w:val="center"/>
          </w:tcPr>
          <w:p w14:paraId="1BAD5EEF" w14:textId="77777777" w:rsidR="00892AF1" w:rsidRPr="00892AF1" w:rsidRDefault="00892AF1" w:rsidP="00892AF1">
            <w:pPr>
              <w:pStyle w:val="CDITable-RowCentre"/>
            </w:pPr>
            <w:r w:rsidRPr="00892AF1">
              <w:t>PT</w:t>
            </w:r>
          </w:p>
        </w:tc>
      </w:tr>
      <w:tr w:rsidR="00892AF1" w:rsidRPr="00892AF1" w14:paraId="3DBFD2A5" w14:textId="77777777" w:rsidTr="00892AF1">
        <w:tblPrEx>
          <w:tblCellMar>
            <w:top w:w="0" w:type="dxa"/>
            <w:left w:w="0" w:type="dxa"/>
            <w:bottom w:w="0" w:type="dxa"/>
            <w:right w:w="0" w:type="dxa"/>
          </w:tblCellMar>
        </w:tblPrEx>
        <w:trPr>
          <w:trHeight w:val="6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95E07E" w14:textId="77777777" w:rsidR="00892AF1" w:rsidRPr="00892AF1" w:rsidRDefault="00892AF1" w:rsidP="00892AF1">
            <w:pPr>
              <w:pStyle w:val="CDITable-RowCentre"/>
            </w:pPr>
            <w:r w:rsidRPr="00892AF1">
              <w:t>1</w:t>
            </w:r>
          </w:p>
        </w:tc>
        <w:tc>
          <w:tcPr>
            <w:tcW w:w="595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D202BD" w14:textId="77777777" w:rsidR="00892AF1" w:rsidRPr="00892AF1" w:rsidRDefault="00892AF1" w:rsidP="00892AF1">
            <w:pPr>
              <w:pStyle w:val="CDITable-RowCentre"/>
            </w:pPr>
            <w:r w:rsidRPr="00892AF1">
              <w:t>SMQ</w:t>
            </w:r>
          </w:p>
        </w:tc>
      </w:tr>
      <w:tr w:rsidR="00892AF1" w:rsidRPr="00892AF1" w14:paraId="0881B660" w14:textId="77777777" w:rsidTr="00892AF1">
        <w:tblPrEx>
          <w:tblCellMar>
            <w:top w:w="0" w:type="dxa"/>
            <w:left w:w="0" w:type="dxa"/>
            <w:bottom w:w="0" w:type="dxa"/>
            <w:right w:w="0" w:type="dxa"/>
          </w:tblCellMar>
        </w:tblPrEx>
        <w:trPr>
          <w:trHeight w:val="6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00D072" w14:textId="77777777" w:rsidR="00892AF1" w:rsidRPr="00892AF1" w:rsidRDefault="00892AF1" w:rsidP="00892AF1">
            <w:pPr>
              <w:pStyle w:val="CDITable-RowCentre"/>
            </w:pPr>
            <w:r w:rsidRPr="00892AF1">
              <w:t>&gt; 1</w:t>
            </w:r>
          </w:p>
        </w:tc>
        <w:tc>
          <w:tcPr>
            <w:tcW w:w="595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496A59" w14:textId="77777777" w:rsidR="00892AF1" w:rsidRPr="00892AF1" w:rsidRDefault="00892AF1" w:rsidP="00892AF1">
            <w:pPr>
              <w:pStyle w:val="CDITable-RowCentre"/>
            </w:pPr>
            <w:r w:rsidRPr="00892AF1">
              <w:t xml:space="preserve">SMQ chosen by clinician, or PT if preferred SMQ could not be chosen </w:t>
            </w:r>
          </w:p>
        </w:tc>
      </w:tr>
    </w:tbl>
    <w:p w14:paraId="61D0937A" w14:textId="77777777" w:rsidR="00841C3A" w:rsidRPr="00841C3A" w:rsidRDefault="00841C3A" w:rsidP="00841C3A">
      <w:pPr>
        <w:pStyle w:val="CDITable-Title"/>
        <w:rPr>
          <w:lang w:val="en-GB"/>
        </w:rPr>
      </w:pPr>
      <w:bookmarkStart w:id="52" w:name="_Toc215491395"/>
      <w:r w:rsidRPr="00841C3A">
        <w:rPr>
          <w:lang w:val="en-GB"/>
        </w:rPr>
        <w:t>Table A.3: Preferred terms (PTs) mapped to specific standardised MedDRA queries (SMQs)</w:t>
      </w:r>
      <w:r w:rsidRPr="00841C3A">
        <w:rPr>
          <w:vertAlign w:val="superscript"/>
          <w:lang w:val="en-GB"/>
        </w:rPr>
        <w:t>a</w:t>
      </w:r>
      <w:bookmarkEnd w:id="52"/>
    </w:p>
    <w:tbl>
      <w:tblPr>
        <w:tblW w:w="0" w:type="auto"/>
        <w:tblLayout w:type="fixed"/>
        <w:tblCellMar>
          <w:left w:w="0" w:type="dxa"/>
          <w:right w:w="0" w:type="dxa"/>
        </w:tblCellMar>
        <w:tblLook w:val="0000" w:firstRow="0" w:lastRow="0" w:firstColumn="0" w:lastColumn="0" w:noHBand="0" w:noVBand="0"/>
        <w:tblCaption w:val="Table A.3: Preferred terms (PTs) mapped to specific standardised MedDRA queries (SMQs)"/>
        <w:tblDescription w:val="Table A.3 features two specific standardised MedDRA query (SMQ) terms, “gastrointestinal nonspecific symptoms and therapeutic procedures” and “medication errors”. It then lists the MedDRA preferred terms (PT) that are covered under each SMQ."/>
      </w:tblPr>
      <w:tblGrid>
        <w:gridCol w:w="1871"/>
        <w:gridCol w:w="7767"/>
      </w:tblGrid>
      <w:tr w:rsidR="00892AF1" w:rsidRPr="00892AF1" w14:paraId="73658761" w14:textId="77777777" w:rsidTr="00892AF1">
        <w:tblPrEx>
          <w:tblCellMar>
            <w:top w:w="0" w:type="dxa"/>
            <w:left w:w="0" w:type="dxa"/>
            <w:bottom w:w="0" w:type="dxa"/>
            <w:right w:w="0" w:type="dxa"/>
          </w:tblCellMar>
        </w:tblPrEx>
        <w:trPr>
          <w:trHeight w:val="60"/>
          <w:tblHeader/>
        </w:trPr>
        <w:tc>
          <w:tcPr>
            <w:tcW w:w="1871" w:type="dxa"/>
            <w:shd w:val="clear" w:color="auto" w:fill="1E4496" w:themeFill="text2"/>
            <w:tcMar>
              <w:top w:w="113" w:type="dxa"/>
              <w:left w:w="113" w:type="dxa"/>
              <w:bottom w:w="113" w:type="dxa"/>
              <w:right w:w="113" w:type="dxa"/>
            </w:tcMar>
            <w:vAlign w:val="bottom"/>
          </w:tcPr>
          <w:p w14:paraId="2B1C4E08" w14:textId="77777777" w:rsidR="00892AF1" w:rsidRPr="00892AF1" w:rsidRDefault="00892AF1" w:rsidP="00892AF1">
            <w:pPr>
              <w:pStyle w:val="CDITable-HeaderRowLeft"/>
            </w:pPr>
            <w:r w:rsidRPr="00892AF1">
              <w:t>SMQ</w:t>
            </w:r>
          </w:p>
        </w:tc>
        <w:tc>
          <w:tcPr>
            <w:tcW w:w="7767" w:type="dxa"/>
            <w:shd w:val="clear" w:color="auto" w:fill="1E4496" w:themeFill="text2"/>
            <w:tcMar>
              <w:top w:w="113" w:type="dxa"/>
              <w:left w:w="113" w:type="dxa"/>
              <w:bottom w:w="113" w:type="dxa"/>
              <w:right w:w="113" w:type="dxa"/>
            </w:tcMar>
            <w:vAlign w:val="bottom"/>
          </w:tcPr>
          <w:p w14:paraId="77EA5255" w14:textId="77777777" w:rsidR="00892AF1" w:rsidRPr="00892AF1" w:rsidRDefault="00892AF1" w:rsidP="00892AF1">
            <w:pPr>
              <w:pStyle w:val="CDITable-HeaderRowLeft"/>
            </w:pPr>
            <w:r w:rsidRPr="00892AF1">
              <w:t>PTs mapped</w:t>
            </w:r>
          </w:p>
        </w:tc>
      </w:tr>
      <w:tr w:rsidR="00892AF1" w:rsidRPr="00892AF1" w14:paraId="367AD195" w14:textId="77777777" w:rsidTr="00892AF1">
        <w:tblPrEx>
          <w:tblCellMar>
            <w:top w:w="0" w:type="dxa"/>
            <w:left w:w="0" w:type="dxa"/>
            <w:bottom w:w="0" w:type="dxa"/>
            <w:right w:w="0" w:type="dxa"/>
          </w:tblCellMar>
        </w:tblPrEx>
        <w:trPr>
          <w:trHeight w:val="60"/>
        </w:trPr>
        <w:tc>
          <w:tcPr>
            <w:tcW w:w="1871" w:type="dxa"/>
            <w:tcBorders>
              <w:bottom w:val="single" w:sz="6" w:space="0" w:color="1E4496" w:themeColor="text2"/>
            </w:tcBorders>
            <w:tcMar>
              <w:top w:w="113" w:type="dxa"/>
              <w:left w:w="113" w:type="dxa"/>
              <w:bottom w:w="113" w:type="dxa"/>
              <w:right w:w="113" w:type="dxa"/>
            </w:tcMar>
            <w:vAlign w:val="center"/>
          </w:tcPr>
          <w:p w14:paraId="190781DC" w14:textId="77777777" w:rsidR="00892AF1" w:rsidRPr="00892AF1" w:rsidRDefault="00892AF1" w:rsidP="00892AF1">
            <w:pPr>
              <w:pStyle w:val="CDITable-RowLeft"/>
            </w:pPr>
            <w:r w:rsidRPr="00892AF1">
              <w:t>Gastrointestinal nonspecific symptoms and therapeutic procedures</w:t>
            </w:r>
          </w:p>
        </w:tc>
        <w:tc>
          <w:tcPr>
            <w:tcW w:w="7767" w:type="dxa"/>
            <w:tcBorders>
              <w:bottom w:val="single" w:sz="6" w:space="0" w:color="1E4496" w:themeColor="text2"/>
            </w:tcBorders>
            <w:tcMar>
              <w:top w:w="113" w:type="dxa"/>
              <w:left w:w="113" w:type="dxa"/>
              <w:bottom w:w="113" w:type="dxa"/>
              <w:right w:w="113" w:type="dxa"/>
            </w:tcMar>
            <w:vAlign w:val="center"/>
          </w:tcPr>
          <w:p w14:paraId="500DA4DF" w14:textId="77777777" w:rsidR="00892AF1" w:rsidRPr="00892AF1" w:rsidRDefault="00892AF1" w:rsidP="00892AF1">
            <w:pPr>
              <w:pStyle w:val="CDITable-RowLeft"/>
            </w:pPr>
            <w:r w:rsidRPr="00892AF1">
              <w:t>Abdominal discomfort; Abdominal distension; Abdominal pain; Abdominal pain lower; Abdominal pain upper; Abdominal symptom; Abdominal tenderness; Abnormal faeces; Anorectal discomfort; Bowel movement irregularity; Change of bowel habit; Constipation; Defaecation disorder; Defaecation urgency; Diarrhoea; Discoloured vomit; Epigastric discomfort; Eructation; Faecal volume decreased; Faeces hard; Faeces soft; Flatulence; Frequent bowel movements; Gastrointestinal pain; Gastrointestinal sounds abnormal; Infrequent bowel movements; Nausea; Non-cardiac chest pain; Oesophageal discomfort; Oesophageal pain; Overflow diarrhoea; Vomiting</w:t>
            </w:r>
          </w:p>
        </w:tc>
      </w:tr>
      <w:tr w:rsidR="00892AF1" w:rsidRPr="00892AF1" w14:paraId="13C16431" w14:textId="77777777" w:rsidTr="00892AF1">
        <w:tblPrEx>
          <w:tblCellMar>
            <w:top w:w="0" w:type="dxa"/>
            <w:left w:w="0" w:type="dxa"/>
            <w:bottom w:w="0" w:type="dxa"/>
            <w:right w:w="0" w:type="dxa"/>
          </w:tblCellMar>
        </w:tblPrEx>
        <w:trPr>
          <w:trHeight w:val="60"/>
        </w:trPr>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C7216A" w14:textId="77777777" w:rsidR="00892AF1" w:rsidRPr="00892AF1" w:rsidRDefault="00892AF1" w:rsidP="00892AF1">
            <w:pPr>
              <w:pStyle w:val="CDITable-RowLeft"/>
            </w:pPr>
            <w:r w:rsidRPr="00892AF1">
              <w:t>Medication errors</w:t>
            </w:r>
          </w:p>
        </w:tc>
        <w:tc>
          <w:tcPr>
            <w:tcW w:w="77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59A2A6" w14:textId="77777777" w:rsidR="00892AF1" w:rsidRPr="00892AF1" w:rsidRDefault="00892AF1" w:rsidP="00892AF1">
            <w:pPr>
              <w:pStyle w:val="CDITable-RowLeft"/>
            </w:pPr>
            <w:r w:rsidRPr="00892AF1">
              <w:t>Accidental exposure to product; Accidental overdose; Accidental underdose; Circumstance or information capable of leading to medication error; Contraindicated product administered; Device use error; Drug monitoring procedure incorrectly performed; Expired product administered; Exposure via eye contact; Extra dose administered; Inadequate aseptic technique in use of product; Inappropriate schedule of product administration; Incomplete course of vaccination; Incorrect dosage administered; Incorrect dose administered; Incorrect dose administered by device; Incorrect product administration duration; Incorrect product dosage form administered; Incorrect product formulation administered; Incorrect route of product administration; Intercepted product storage error; Labelled drug-drug interaction medication error; Medication error; Multiple use of single-use product; Product administered at inappropriate site; Product administered to patient of inappropriate age; Product administration error; Product dispensing error; Product preparation error; Product prescribing error; Product storage error; Vaccination error; Wrong patient received product; Wrong product administered; Wrong schedule; Wrong technique in product usage process</w:t>
            </w:r>
          </w:p>
        </w:tc>
      </w:tr>
    </w:tbl>
    <w:p w14:paraId="5CA264E6" w14:textId="320A619E" w:rsidR="00892AF1" w:rsidRDefault="00841C3A" w:rsidP="00892AF1">
      <w:pPr>
        <w:pStyle w:val="CDITable-FirstFootnote"/>
        <w:rPr>
          <w:lang w:val="en-GB"/>
        </w:rPr>
      </w:pPr>
      <w:r w:rsidRPr="00841C3A">
        <w:rPr>
          <w:lang w:val="en-GB"/>
        </w:rPr>
        <w:t>a</w:t>
      </w:r>
      <w:r w:rsidRPr="00841C3A">
        <w:rPr>
          <w:lang w:val="en-GB"/>
        </w:rPr>
        <w:tab/>
        <w:t>Table includes only those PTs found in the AEMS database, and not all possible MedDRA PTs that map to each MedDRA SMQ; mapping hierarchy in MedDRA version 26.1 used.</w:t>
      </w:r>
      <w:r w:rsidR="00892AF1">
        <w:rPr>
          <w:lang w:val="en-GB"/>
        </w:rPr>
        <w:br w:type="page"/>
      </w:r>
    </w:p>
    <w:p w14:paraId="4735C0FF" w14:textId="77777777" w:rsidR="00841C3A" w:rsidRPr="00841C3A" w:rsidRDefault="00841C3A" w:rsidP="00841C3A">
      <w:pPr>
        <w:pStyle w:val="CDITable-Title"/>
        <w:rPr>
          <w:lang w:val="en-GB"/>
        </w:rPr>
      </w:pPr>
      <w:bookmarkStart w:id="53" w:name="_Toc215491396"/>
      <w:r w:rsidRPr="00841C3A">
        <w:rPr>
          <w:lang w:val="en-GB"/>
        </w:rPr>
        <w:lastRenderedPageBreak/>
        <w:t>Table A.4: Abbreviations of vaccine types and other terms</w:t>
      </w:r>
      <w:bookmarkEnd w:id="53"/>
    </w:p>
    <w:tbl>
      <w:tblPr>
        <w:tblW w:w="0" w:type="auto"/>
        <w:tblLayout w:type="fixed"/>
        <w:tblCellMar>
          <w:left w:w="0" w:type="dxa"/>
          <w:right w:w="0" w:type="dxa"/>
        </w:tblCellMar>
        <w:tblLook w:val="0000" w:firstRow="0" w:lastRow="0" w:firstColumn="0" w:lastColumn="0" w:noHBand="0" w:noVBand="0"/>
        <w:tblCaption w:val="Table A.4: Abbreviations of vaccine types and other terms"/>
        <w:tblDescription w:val="Table A.4 provides a glossary of abbreviations used throughout the report."/>
      </w:tblPr>
      <w:tblGrid>
        <w:gridCol w:w="2551"/>
        <w:gridCol w:w="7087"/>
      </w:tblGrid>
      <w:tr w:rsidR="00892AF1" w:rsidRPr="00892AF1" w14:paraId="47487EAB" w14:textId="77777777" w:rsidTr="00892AF1">
        <w:tblPrEx>
          <w:tblCellMar>
            <w:top w:w="0" w:type="dxa"/>
            <w:left w:w="0" w:type="dxa"/>
            <w:bottom w:w="0" w:type="dxa"/>
            <w:right w:w="0" w:type="dxa"/>
          </w:tblCellMar>
        </w:tblPrEx>
        <w:trPr>
          <w:trHeight w:val="60"/>
          <w:tblHeader/>
        </w:trPr>
        <w:tc>
          <w:tcPr>
            <w:tcW w:w="2551" w:type="dxa"/>
            <w:shd w:val="clear" w:color="auto" w:fill="1E4496" w:themeFill="text2"/>
            <w:tcMar>
              <w:top w:w="113" w:type="dxa"/>
              <w:left w:w="113" w:type="dxa"/>
              <w:bottom w:w="113" w:type="dxa"/>
              <w:right w:w="113" w:type="dxa"/>
            </w:tcMar>
            <w:vAlign w:val="bottom"/>
          </w:tcPr>
          <w:p w14:paraId="39A7CB68" w14:textId="77777777" w:rsidR="00892AF1" w:rsidRPr="00892AF1" w:rsidRDefault="00892AF1" w:rsidP="00892AF1">
            <w:pPr>
              <w:pStyle w:val="CDITable-HeaderRowLeft"/>
            </w:pPr>
            <w:r w:rsidRPr="00892AF1">
              <w:t>Abbreviation</w:t>
            </w:r>
          </w:p>
        </w:tc>
        <w:tc>
          <w:tcPr>
            <w:tcW w:w="7087" w:type="dxa"/>
            <w:shd w:val="clear" w:color="auto" w:fill="1E4496" w:themeFill="text2"/>
            <w:tcMar>
              <w:top w:w="113" w:type="dxa"/>
              <w:left w:w="113" w:type="dxa"/>
              <w:bottom w:w="113" w:type="dxa"/>
              <w:right w:w="113" w:type="dxa"/>
            </w:tcMar>
            <w:vAlign w:val="bottom"/>
          </w:tcPr>
          <w:p w14:paraId="75332CBF" w14:textId="77777777" w:rsidR="00892AF1" w:rsidRPr="00892AF1" w:rsidRDefault="00892AF1" w:rsidP="00892AF1">
            <w:pPr>
              <w:pStyle w:val="CDITable-HeaderRowLeft"/>
            </w:pPr>
            <w:r w:rsidRPr="00892AF1">
              <w:t>In full</w:t>
            </w:r>
          </w:p>
        </w:tc>
      </w:tr>
      <w:tr w:rsidR="00892AF1" w:rsidRPr="00892AF1" w14:paraId="3AD0B92C" w14:textId="77777777" w:rsidTr="00892AF1">
        <w:tblPrEx>
          <w:tblCellMar>
            <w:top w:w="0" w:type="dxa"/>
            <w:left w:w="0" w:type="dxa"/>
            <w:bottom w:w="0" w:type="dxa"/>
            <w:right w:w="0" w:type="dxa"/>
          </w:tblCellMar>
        </w:tblPrEx>
        <w:trPr>
          <w:trHeight w:val="60"/>
        </w:trPr>
        <w:tc>
          <w:tcPr>
            <w:tcW w:w="2551" w:type="dxa"/>
            <w:tcBorders>
              <w:bottom w:val="single" w:sz="6" w:space="0" w:color="1E4496" w:themeColor="text2"/>
            </w:tcBorders>
            <w:tcMar>
              <w:top w:w="113" w:type="dxa"/>
              <w:left w:w="113" w:type="dxa"/>
              <w:bottom w:w="113" w:type="dxa"/>
              <w:right w:w="113" w:type="dxa"/>
            </w:tcMar>
            <w:vAlign w:val="center"/>
          </w:tcPr>
          <w:p w14:paraId="43303386" w14:textId="77777777" w:rsidR="00892AF1" w:rsidRPr="00892AF1" w:rsidRDefault="00892AF1" w:rsidP="00892AF1">
            <w:pPr>
              <w:pStyle w:val="CDITable-RowLeft"/>
            </w:pPr>
            <w:r w:rsidRPr="00892AF1">
              <w:t>13vPCV</w:t>
            </w:r>
          </w:p>
        </w:tc>
        <w:tc>
          <w:tcPr>
            <w:tcW w:w="7087" w:type="dxa"/>
            <w:tcBorders>
              <w:bottom w:val="single" w:sz="6" w:space="0" w:color="1E4496" w:themeColor="text2"/>
            </w:tcBorders>
            <w:tcMar>
              <w:top w:w="113" w:type="dxa"/>
              <w:left w:w="113" w:type="dxa"/>
              <w:bottom w:w="113" w:type="dxa"/>
              <w:right w:w="113" w:type="dxa"/>
            </w:tcMar>
            <w:vAlign w:val="center"/>
          </w:tcPr>
          <w:p w14:paraId="2B356782" w14:textId="77777777" w:rsidR="00892AF1" w:rsidRPr="00892AF1" w:rsidRDefault="00892AF1" w:rsidP="00892AF1">
            <w:pPr>
              <w:pStyle w:val="CDITable-RowLeft"/>
            </w:pPr>
            <w:r w:rsidRPr="00892AF1">
              <w:t>13-valent pneumococcal conjugate vaccine</w:t>
            </w:r>
          </w:p>
        </w:tc>
      </w:tr>
      <w:tr w:rsidR="00892AF1" w:rsidRPr="00892AF1" w14:paraId="7CE47159" w14:textId="77777777" w:rsidTr="00892AF1">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5CA9BE" w14:textId="77777777" w:rsidR="00892AF1" w:rsidRPr="00892AF1" w:rsidRDefault="00892AF1" w:rsidP="00892AF1">
            <w:pPr>
              <w:pStyle w:val="CDITable-RowLeft"/>
            </w:pPr>
            <w:r w:rsidRPr="00892AF1">
              <w:t>23vPPV</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E8D948" w14:textId="77777777" w:rsidR="00892AF1" w:rsidRPr="00892AF1" w:rsidRDefault="00892AF1" w:rsidP="00892AF1">
            <w:pPr>
              <w:pStyle w:val="CDITable-RowLeft"/>
            </w:pPr>
            <w:r w:rsidRPr="00892AF1">
              <w:t>23-valent pneumococcal polysaccharide vaccine</w:t>
            </w:r>
          </w:p>
        </w:tc>
      </w:tr>
      <w:tr w:rsidR="00892AF1" w:rsidRPr="00892AF1" w14:paraId="22EFDBE7" w14:textId="77777777" w:rsidTr="00892AF1">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DD6D7F" w14:textId="77777777" w:rsidR="00892AF1" w:rsidRPr="00892AF1" w:rsidRDefault="00892AF1" w:rsidP="00892AF1">
            <w:pPr>
              <w:pStyle w:val="CDITable-RowLeft"/>
            </w:pPr>
            <w:r w:rsidRPr="00892AF1">
              <w:t>7vPCV</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BE9F3D" w14:textId="77777777" w:rsidR="00892AF1" w:rsidRPr="00892AF1" w:rsidRDefault="00892AF1" w:rsidP="00892AF1">
            <w:pPr>
              <w:pStyle w:val="CDITable-RowLeft"/>
            </w:pPr>
            <w:r w:rsidRPr="00892AF1">
              <w:t>7-valent pneumococcal conjugate vaccine</w:t>
            </w:r>
          </w:p>
        </w:tc>
      </w:tr>
      <w:tr w:rsidR="00892AF1" w:rsidRPr="00892AF1" w14:paraId="06A87966" w14:textId="77777777" w:rsidTr="00892AF1">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D3E03E" w14:textId="77777777" w:rsidR="00892AF1" w:rsidRPr="00892AF1" w:rsidRDefault="00892AF1" w:rsidP="00892AF1">
            <w:pPr>
              <w:pStyle w:val="CDITable-RowLeft"/>
            </w:pPr>
            <w:r w:rsidRPr="00892AF1">
              <w:t>ABS</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4E949F" w14:textId="77777777" w:rsidR="00892AF1" w:rsidRPr="00892AF1" w:rsidRDefault="00892AF1" w:rsidP="00892AF1">
            <w:pPr>
              <w:pStyle w:val="CDITable-RowLeft"/>
            </w:pPr>
            <w:r w:rsidRPr="00892AF1">
              <w:t>Australian Bureau of Statistics</w:t>
            </w:r>
          </w:p>
        </w:tc>
      </w:tr>
      <w:tr w:rsidR="00892AF1" w:rsidRPr="00892AF1" w14:paraId="412658B2" w14:textId="77777777" w:rsidTr="00892AF1">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45E52C" w14:textId="77777777" w:rsidR="00892AF1" w:rsidRPr="00892AF1" w:rsidRDefault="00892AF1" w:rsidP="00892AF1">
            <w:pPr>
              <w:pStyle w:val="CDITable-RowLeft"/>
            </w:pPr>
            <w:r w:rsidRPr="00892AF1">
              <w:t>AEFI</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75756A" w14:textId="77777777" w:rsidR="00892AF1" w:rsidRPr="00892AF1" w:rsidRDefault="00892AF1" w:rsidP="00892AF1">
            <w:pPr>
              <w:pStyle w:val="CDITable-RowLeft"/>
            </w:pPr>
            <w:r w:rsidRPr="00892AF1">
              <w:t xml:space="preserve">adverse event following immunisation </w:t>
            </w:r>
          </w:p>
        </w:tc>
      </w:tr>
      <w:tr w:rsidR="00892AF1" w:rsidRPr="00892AF1" w14:paraId="6C03507F" w14:textId="77777777" w:rsidTr="00892AF1">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2581CC" w14:textId="77777777" w:rsidR="00892AF1" w:rsidRPr="00892AF1" w:rsidRDefault="00892AF1" w:rsidP="00892AF1">
            <w:pPr>
              <w:pStyle w:val="CDITable-RowLeft"/>
            </w:pPr>
            <w:r w:rsidRPr="00892AF1">
              <w:t>AEMS</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F166D8" w14:textId="77777777" w:rsidR="00892AF1" w:rsidRPr="00892AF1" w:rsidRDefault="00892AF1" w:rsidP="00892AF1">
            <w:pPr>
              <w:pStyle w:val="CDITable-RowLeft"/>
            </w:pPr>
            <w:r w:rsidRPr="00892AF1">
              <w:t xml:space="preserve">Adverse Event Management System </w:t>
            </w:r>
          </w:p>
        </w:tc>
      </w:tr>
      <w:tr w:rsidR="00892AF1" w:rsidRPr="00892AF1" w14:paraId="571C387B" w14:textId="77777777" w:rsidTr="00892AF1">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3404DB" w14:textId="77777777" w:rsidR="00892AF1" w:rsidRPr="00892AF1" w:rsidRDefault="00892AF1" w:rsidP="00892AF1">
            <w:pPr>
              <w:pStyle w:val="CDITable-RowLeft"/>
            </w:pPr>
            <w:r w:rsidRPr="00892AF1">
              <w:t>AIR</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AB34FB" w14:textId="77777777" w:rsidR="00892AF1" w:rsidRPr="00892AF1" w:rsidRDefault="00892AF1" w:rsidP="00892AF1">
            <w:pPr>
              <w:pStyle w:val="CDITable-RowLeft"/>
            </w:pPr>
            <w:r w:rsidRPr="00892AF1">
              <w:t>Australian Immunisation Register</w:t>
            </w:r>
          </w:p>
        </w:tc>
      </w:tr>
      <w:tr w:rsidR="00892AF1" w:rsidRPr="00892AF1" w14:paraId="0E5D453F" w14:textId="77777777" w:rsidTr="00892AF1">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AFA278" w14:textId="77777777" w:rsidR="00892AF1" w:rsidRPr="00892AF1" w:rsidRDefault="00892AF1" w:rsidP="00892AF1">
            <w:pPr>
              <w:pStyle w:val="CDITable-RowLeft"/>
            </w:pPr>
            <w:r w:rsidRPr="00892AF1">
              <w:t>ATAGI</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F8C2FE" w14:textId="77777777" w:rsidR="00892AF1" w:rsidRPr="00892AF1" w:rsidRDefault="00892AF1" w:rsidP="00892AF1">
            <w:pPr>
              <w:pStyle w:val="CDITable-RowLeft"/>
            </w:pPr>
            <w:r w:rsidRPr="00892AF1">
              <w:t>Australian Technical Advisory Group on Immunisation</w:t>
            </w:r>
          </w:p>
        </w:tc>
      </w:tr>
      <w:tr w:rsidR="00892AF1" w:rsidRPr="00892AF1" w14:paraId="254CC4A1" w14:textId="77777777" w:rsidTr="00892AF1">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36337E" w14:textId="77777777" w:rsidR="00892AF1" w:rsidRPr="00892AF1" w:rsidRDefault="00892AF1" w:rsidP="00892AF1">
            <w:pPr>
              <w:pStyle w:val="CDITable-RowLeft"/>
            </w:pPr>
            <w:r w:rsidRPr="00892AF1">
              <w:t>CI</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6225B0" w14:textId="77777777" w:rsidR="00892AF1" w:rsidRPr="00892AF1" w:rsidRDefault="00892AF1" w:rsidP="00892AF1">
            <w:pPr>
              <w:pStyle w:val="CDITable-RowLeft"/>
            </w:pPr>
            <w:r w:rsidRPr="00892AF1">
              <w:t>confidence interval</w:t>
            </w:r>
          </w:p>
        </w:tc>
      </w:tr>
      <w:tr w:rsidR="00892AF1" w:rsidRPr="00892AF1" w14:paraId="7DF51F70" w14:textId="77777777" w:rsidTr="00892AF1">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20195A" w14:textId="77777777" w:rsidR="00892AF1" w:rsidRPr="00892AF1" w:rsidRDefault="00892AF1" w:rsidP="00892AF1">
            <w:pPr>
              <w:pStyle w:val="CDITable-RowLeft"/>
            </w:pPr>
            <w:r w:rsidRPr="00892AF1">
              <w:t>DAEN</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794267" w14:textId="77777777" w:rsidR="00892AF1" w:rsidRPr="00892AF1" w:rsidRDefault="00892AF1" w:rsidP="00892AF1">
            <w:pPr>
              <w:pStyle w:val="CDITable-RowLeft"/>
            </w:pPr>
            <w:r w:rsidRPr="00892AF1">
              <w:t xml:space="preserve">Database of Adverse Event Notifications </w:t>
            </w:r>
          </w:p>
        </w:tc>
      </w:tr>
      <w:tr w:rsidR="00892AF1" w:rsidRPr="00892AF1" w14:paraId="476B5AF7" w14:textId="77777777" w:rsidTr="00892AF1">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C40A77" w14:textId="77777777" w:rsidR="00892AF1" w:rsidRPr="00892AF1" w:rsidRDefault="00892AF1" w:rsidP="00892AF1">
            <w:pPr>
              <w:pStyle w:val="CDITable-RowLeft"/>
            </w:pPr>
            <w:r w:rsidRPr="00892AF1">
              <w:t>DTP</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D25DF5" w14:textId="77777777" w:rsidR="00892AF1" w:rsidRPr="00892AF1" w:rsidRDefault="00892AF1" w:rsidP="00892AF1">
            <w:pPr>
              <w:pStyle w:val="CDITable-RowLeft"/>
            </w:pPr>
            <w:r w:rsidRPr="00892AF1">
              <w:t>diphtheria-tetanus-pertussis vaccine – formulation unspecified</w:t>
            </w:r>
          </w:p>
        </w:tc>
      </w:tr>
      <w:tr w:rsidR="00892AF1" w:rsidRPr="00892AF1" w14:paraId="77F76FDB" w14:textId="77777777" w:rsidTr="00892AF1">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8DA333" w14:textId="77777777" w:rsidR="00892AF1" w:rsidRPr="00892AF1" w:rsidRDefault="00892AF1" w:rsidP="00892AF1">
            <w:pPr>
              <w:pStyle w:val="CDITable-RowLeft"/>
            </w:pPr>
            <w:r w:rsidRPr="00892AF1">
              <w:t>DTPa</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BAC3D3" w14:textId="77777777" w:rsidR="00892AF1" w:rsidRPr="00892AF1" w:rsidRDefault="00892AF1" w:rsidP="00892AF1">
            <w:pPr>
              <w:pStyle w:val="CDITable-RowLeft"/>
            </w:pPr>
            <w:r w:rsidRPr="00892AF1">
              <w:t>diphtheria-tetanus-pertussis (acellular) – paediatric formulation</w:t>
            </w:r>
          </w:p>
        </w:tc>
      </w:tr>
      <w:tr w:rsidR="00892AF1" w:rsidRPr="00892AF1" w14:paraId="61C35065" w14:textId="77777777" w:rsidTr="00892AF1">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8B2E93" w14:textId="77777777" w:rsidR="00892AF1" w:rsidRPr="00892AF1" w:rsidRDefault="00892AF1" w:rsidP="00892AF1">
            <w:pPr>
              <w:pStyle w:val="CDITable-RowLeft"/>
            </w:pPr>
            <w:r w:rsidRPr="00892AF1">
              <w:t>dTpa</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86ADB7" w14:textId="77777777" w:rsidR="00892AF1" w:rsidRPr="00892AF1" w:rsidRDefault="00892AF1" w:rsidP="00892AF1">
            <w:pPr>
              <w:pStyle w:val="CDITable-RowLeft"/>
            </w:pPr>
            <w:r w:rsidRPr="00892AF1">
              <w:t>diphtheria-tetanus-pertussis (acellular) – adolescent and adult formulation</w:t>
            </w:r>
          </w:p>
        </w:tc>
      </w:tr>
      <w:tr w:rsidR="00892AF1" w:rsidRPr="00892AF1" w14:paraId="24D8F0CC" w14:textId="77777777" w:rsidTr="00892AF1">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F029E8" w14:textId="77777777" w:rsidR="00892AF1" w:rsidRPr="00892AF1" w:rsidRDefault="00892AF1" w:rsidP="00892AF1">
            <w:pPr>
              <w:pStyle w:val="CDITable-RowLeft"/>
            </w:pPr>
            <w:r w:rsidRPr="00892AF1">
              <w:t>DTPa-Hib</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845C62" w14:textId="77777777" w:rsidR="00892AF1" w:rsidRPr="00892AF1" w:rsidRDefault="00892AF1" w:rsidP="00892AF1">
            <w:pPr>
              <w:pStyle w:val="CDITable-RowLeft"/>
            </w:pPr>
            <w:r w:rsidRPr="00892AF1">
              <w:t xml:space="preserve">combined diphtheria-tetanus-pertussis (acellular) and </w:t>
            </w:r>
            <w:r w:rsidRPr="00E255FD">
              <w:rPr>
                <w:i/>
                <w:iCs/>
              </w:rPr>
              <w:t>Haemophilus influenzae</w:t>
            </w:r>
            <w:r w:rsidRPr="00892AF1">
              <w:t xml:space="preserve"> type b vaccine</w:t>
            </w:r>
          </w:p>
        </w:tc>
      </w:tr>
      <w:tr w:rsidR="00892AF1" w:rsidRPr="00892AF1" w14:paraId="59D1E23C" w14:textId="77777777" w:rsidTr="00892AF1">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9A89BE" w14:textId="77777777" w:rsidR="00892AF1" w:rsidRPr="00892AF1" w:rsidRDefault="00892AF1" w:rsidP="00892AF1">
            <w:pPr>
              <w:pStyle w:val="CDITable-RowLeft"/>
            </w:pPr>
            <w:r w:rsidRPr="00892AF1">
              <w:t>DTPa-IPV</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A30A61" w14:textId="77777777" w:rsidR="00892AF1" w:rsidRPr="00892AF1" w:rsidRDefault="00892AF1" w:rsidP="00892AF1">
            <w:pPr>
              <w:pStyle w:val="CDITable-RowLeft"/>
            </w:pPr>
            <w:r w:rsidRPr="00892AF1">
              <w:t xml:space="preserve">combined diphtheria-tetanus-pertussis (acellular) and inactivated poliovirus (quadrivalent) – paediatric formulation </w:t>
            </w:r>
          </w:p>
        </w:tc>
      </w:tr>
      <w:tr w:rsidR="00892AF1" w:rsidRPr="00892AF1" w14:paraId="4D1D46B4" w14:textId="77777777" w:rsidTr="00892AF1">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E0FE12" w14:textId="77777777" w:rsidR="00892AF1" w:rsidRPr="00892AF1" w:rsidRDefault="00892AF1" w:rsidP="00892AF1">
            <w:pPr>
              <w:pStyle w:val="CDITable-RowLeft"/>
            </w:pPr>
            <w:r w:rsidRPr="00892AF1">
              <w:t>DTPa-IPV-HepB-Hib</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7FF66B" w14:textId="77777777" w:rsidR="00892AF1" w:rsidRPr="00892AF1" w:rsidRDefault="00892AF1" w:rsidP="00892AF1">
            <w:pPr>
              <w:pStyle w:val="CDITable-RowLeft"/>
            </w:pPr>
            <w:r w:rsidRPr="00892AF1">
              <w:t xml:space="preserve">combined diphtheria-tetanus-pertussis (acellular), inactivated poliovirus, hepatitis B and </w:t>
            </w:r>
            <w:r w:rsidRPr="00E255FD">
              <w:rPr>
                <w:i/>
                <w:iCs/>
              </w:rPr>
              <w:t>Haemophilus influenzae</w:t>
            </w:r>
            <w:r w:rsidRPr="00892AF1">
              <w:t xml:space="preserve"> type b vaccine (hexavalent)</w:t>
            </w:r>
          </w:p>
        </w:tc>
      </w:tr>
      <w:tr w:rsidR="00892AF1" w:rsidRPr="00892AF1" w14:paraId="1828BF74" w14:textId="77777777" w:rsidTr="00892AF1">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2E4D71" w14:textId="77777777" w:rsidR="00892AF1" w:rsidRPr="00892AF1" w:rsidRDefault="00892AF1" w:rsidP="00892AF1">
            <w:pPr>
              <w:pStyle w:val="CDITable-RowLeft"/>
            </w:pPr>
            <w:r w:rsidRPr="00892AF1">
              <w:t>dTpa-IPV</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5DD106" w14:textId="77777777" w:rsidR="00892AF1" w:rsidRPr="00892AF1" w:rsidRDefault="00892AF1" w:rsidP="00892AF1">
            <w:pPr>
              <w:pStyle w:val="CDITable-RowLeft"/>
            </w:pPr>
            <w:r w:rsidRPr="00892AF1">
              <w:t>combined diphtheria-tetanus-pertussis (acellular) and inactivated poliovirus (quadrivalent) – adolescent and adult formulation</w:t>
            </w:r>
          </w:p>
        </w:tc>
      </w:tr>
      <w:tr w:rsidR="00892AF1" w:rsidRPr="00892AF1" w14:paraId="189896A8" w14:textId="77777777" w:rsidTr="00892AF1">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458AAC" w14:textId="77777777" w:rsidR="00892AF1" w:rsidRPr="00892AF1" w:rsidRDefault="00892AF1" w:rsidP="00892AF1">
            <w:pPr>
              <w:pStyle w:val="CDITable-RowLeft"/>
            </w:pPr>
            <w:r w:rsidRPr="00892AF1">
              <w:t>ERP</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E5D7E6" w14:textId="77777777" w:rsidR="00892AF1" w:rsidRPr="00892AF1" w:rsidRDefault="00892AF1" w:rsidP="00892AF1">
            <w:pPr>
              <w:pStyle w:val="CDITable-RowLeft"/>
            </w:pPr>
            <w:r w:rsidRPr="00892AF1">
              <w:t>estimated residence population</w:t>
            </w:r>
          </w:p>
        </w:tc>
      </w:tr>
      <w:tr w:rsidR="00892AF1" w:rsidRPr="00892AF1" w14:paraId="2B7C5DD3" w14:textId="77777777" w:rsidTr="00892AF1">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D86780" w14:textId="77777777" w:rsidR="00892AF1" w:rsidRPr="00892AF1" w:rsidRDefault="00892AF1" w:rsidP="00892AF1">
            <w:pPr>
              <w:pStyle w:val="CDITable-RowLeft"/>
            </w:pPr>
            <w:r w:rsidRPr="00892AF1">
              <w:t>H1N1pdm09</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076360" w14:textId="77777777" w:rsidR="00892AF1" w:rsidRPr="00892AF1" w:rsidRDefault="00892AF1" w:rsidP="00892AF1">
            <w:pPr>
              <w:pStyle w:val="CDITable-RowLeft"/>
            </w:pPr>
            <w:r w:rsidRPr="00892AF1">
              <w:t>pandemic H1N1 influenza 2009</w:t>
            </w:r>
          </w:p>
        </w:tc>
      </w:tr>
      <w:tr w:rsidR="00892AF1" w:rsidRPr="00892AF1" w14:paraId="17A4B206" w14:textId="77777777" w:rsidTr="00892AF1">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283C8B" w14:textId="77777777" w:rsidR="00892AF1" w:rsidRPr="00892AF1" w:rsidRDefault="00892AF1" w:rsidP="00892AF1">
            <w:pPr>
              <w:pStyle w:val="CDITable-RowLeft"/>
            </w:pPr>
            <w:r w:rsidRPr="00892AF1">
              <w:t>Hep A</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A798FA" w14:textId="77777777" w:rsidR="00892AF1" w:rsidRPr="00892AF1" w:rsidRDefault="00892AF1" w:rsidP="00892AF1">
            <w:pPr>
              <w:pStyle w:val="CDITable-RowLeft"/>
            </w:pPr>
            <w:r w:rsidRPr="00892AF1">
              <w:t>hepatitis A</w:t>
            </w:r>
          </w:p>
        </w:tc>
      </w:tr>
      <w:tr w:rsidR="00892AF1" w:rsidRPr="00892AF1" w14:paraId="714648B7" w14:textId="77777777" w:rsidTr="00892AF1">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4E45C1" w14:textId="77777777" w:rsidR="00892AF1" w:rsidRPr="00892AF1" w:rsidRDefault="00892AF1" w:rsidP="00892AF1">
            <w:pPr>
              <w:pStyle w:val="CDITable-RowLeft"/>
            </w:pPr>
            <w:r w:rsidRPr="00892AF1">
              <w:t>HepB</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D6D214" w14:textId="77777777" w:rsidR="00892AF1" w:rsidRPr="00892AF1" w:rsidRDefault="00892AF1" w:rsidP="00892AF1">
            <w:pPr>
              <w:pStyle w:val="CDITable-RowLeft"/>
            </w:pPr>
            <w:r w:rsidRPr="00892AF1">
              <w:t xml:space="preserve">hepatitis B </w:t>
            </w:r>
          </w:p>
        </w:tc>
      </w:tr>
      <w:tr w:rsidR="00892AF1" w:rsidRPr="00892AF1" w14:paraId="02DF48EC" w14:textId="77777777" w:rsidTr="00892AF1">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60938F" w14:textId="77777777" w:rsidR="00892AF1" w:rsidRPr="00892AF1" w:rsidRDefault="00892AF1" w:rsidP="00892AF1">
            <w:pPr>
              <w:pStyle w:val="CDITable-RowLeft"/>
            </w:pPr>
            <w:r w:rsidRPr="00892AF1">
              <w:t>Hib</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09B131" w14:textId="77777777" w:rsidR="00892AF1" w:rsidRPr="00892AF1" w:rsidRDefault="00892AF1" w:rsidP="00892AF1">
            <w:pPr>
              <w:pStyle w:val="CDITable-RowLeft"/>
            </w:pPr>
            <w:r w:rsidRPr="00E255FD">
              <w:rPr>
                <w:i/>
                <w:iCs/>
              </w:rPr>
              <w:t>Haemophilus influenzae</w:t>
            </w:r>
            <w:r w:rsidRPr="00892AF1">
              <w:t xml:space="preserve"> type b </w:t>
            </w:r>
          </w:p>
        </w:tc>
      </w:tr>
      <w:tr w:rsidR="00892AF1" w:rsidRPr="00892AF1" w14:paraId="53EA4A6C" w14:textId="77777777" w:rsidTr="00892AF1">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FD27FA" w14:textId="77777777" w:rsidR="00892AF1" w:rsidRPr="00892AF1" w:rsidRDefault="00892AF1" w:rsidP="00892AF1">
            <w:pPr>
              <w:pStyle w:val="CDITable-RowLeft"/>
            </w:pPr>
            <w:r w:rsidRPr="00892AF1">
              <w:t>Hib-MenC</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F37C09" w14:textId="77777777" w:rsidR="00892AF1" w:rsidRPr="00892AF1" w:rsidRDefault="00892AF1" w:rsidP="00892AF1">
            <w:pPr>
              <w:pStyle w:val="CDITable-RowLeft"/>
            </w:pPr>
            <w:r w:rsidRPr="00892AF1">
              <w:t xml:space="preserve">combined </w:t>
            </w:r>
            <w:r w:rsidRPr="00E255FD">
              <w:rPr>
                <w:i/>
                <w:iCs/>
              </w:rPr>
              <w:t>Haemophilus influenzae</w:t>
            </w:r>
            <w:r w:rsidRPr="00892AF1">
              <w:t xml:space="preserve"> type b and meningococcal C conjugate vaccine</w:t>
            </w:r>
          </w:p>
        </w:tc>
      </w:tr>
      <w:tr w:rsidR="00892AF1" w:rsidRPr="00892AF1" w14:paraId="1DB2798C" w14:textId="77777777" w:rsidTr="00892AF1">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35F377" w14:textId="77777777" w:rsidR="00892AF1" w:rsidRPr="00892AF1" w:rsidRDefault="00892AF1" w:rsidP="00892AF1">
            <w:pPr>
              <w:pStyle w:val="CDITable-RowLeft"/>
            </w:pPr>
            <w:r w:rsidRPr="00892AF1">
              <w:t>Hib-MenCY</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C9FB17" w14:textId="77777777" w:rsidR="00892AF1" w:rsidRPr="00892AF1" w:rsidRDefault="00892AF1" w:rsidP="00892AF1">
            <w:pPr>
              <w:pStyle w:val="CDITable-RowLeft"/>
            </w:pPr>
            <w:r w:rsidRPr="00892AF1">
              <w:t xml:space="preserve">combined </w:t>
            </w:r>
            <w:r w:rsidRPr="00E255FD">
              <w:rPr>
                <w:i/>
                <w:iCs/>
              </w:rPr>
              <w:t>Haemophilus influenzae</w:t>
            </w:r>
            <w:r w:rsidRPr="00892AF1">
              <w:t xml:space="preserve"> type b and meningococcal C and Y conjugate vaccine</w:t>
            </w:r>
          </w:p>
        </w:tc>
      </w:tr>
      <w:tr w:rsidR="00892AF1" w:rsidRPr="00892AF1" w14:paraId="748FCF1D" w14:textId="77777777" w:rsidTr="00892AF1">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EDC1AE" w14:textId="77777777" w:rsidR="00892AF1" w:rsidRPr="00892AF1" w:rsidRDefault="00892AF1" w:rsidP="00892AF1">
            <w:pPr>
              <w:pStyle w:val="CDITable-RowLeft"/>
            </w:pPr>
            <w:r w:rsidRPr="00892AF1">
              <w:t>Hib-HepB</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2C1789" w14:textId="77777777" w:rsidR="00892AF1" w:rsidRPr="00892AF1" w:rsidRDefault="00892AF1" w:rsidP="00892AF1">
            <w:pPr>
              <w:pStyle w:val="CDITable-RowLeft"/>
            </w:pPr>
            <w:r w:rsidRPr="00892AF1">
              <w:t xml:space="preserve">combined </w:t>
            </w:r>
            <w:r w:rsidRPr="00E255FD">
              <w:rPr>
                <w:i/>
                <w:iCs/>
              </w:rPr>
              <w:t>Haemophilus influenzae</w:t>
            </w:r>
            <w:r w:rsidRPr="00892AF1">
              <w:t xml:space="preserve"> type b and hepatitis B </w:t>
            </w:r>
          </w:p>
        </w:tc>
      </w:tr>
      <w:tr w:rsidR="00892AF1" w:rsidRPr="00892AF1" w14:paraId="5B8E0C9A" w14:textId="77777777" w:rsidTr="00892AF1">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097E66" w14:textId="77777777" w:rsidR="00892AF1" w:rsidRPr="00892AF1" w:rsidRDefault="00892AF1" w:rsidP="00892AF1">
            <w:pPr>
              <w:pStyle w:val="CDITable-RowLeft"/>
            </w:pPr>
            <w:r w:rsidRPr="00892AF1">
              <w:t>HPV</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42FA6E" w14:textId="77777777" w:rsidR="00892AF1" w:rsidRPr="00892AF1" w:rsidRDefault="00892AF1" w:rsidP="00892AF1">
            <w:pPr>
              <w:pStyle w:val="CDITable-RowLeft"/>
            </w:pPr>
            <w:r w:rsidRPr="00892AF1">
              <w:t>human papillomavirus</w:t>
            </w:r>
          </w:p>
        </w:tc>
      </w:tr>
      <w:tr w:rsidR="00892AF1" w:rsidRPr="00892AF1" w14:paraId="6BCD7126" w14:textId="77777777" w:rsidTr="00892AF1">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864416" w14:textId="77777777" w:rsidR="00892AF1" w:rsidRPr="00892AF1" w:rsidRDefault="00892AF1" w:rsidP="00892AF1">
            <w:pPr>
              <w:pStyle w:val="CDITable-RowLeft"/>
            </w:pPr>
            <w:r w:rsidRPr="00892AF1">
              <w:t>ICU</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EEFF86" w14:textId="77777777" w:rsidR="00892AF1" w:rsidRPr="00892AF1" w:rsidRDefault="00892AF1" w:rsidP="00892AF1">
            <w:pPr>
              <w:pStyle w:val="CDITable-RowLeft"/>
            </w:pPr>
            <w:r w:rsidRPr="00892AF1">
              <w:t>intensive care unit</w:t>
            </w:r>
          </w:p>
        </w:tc>
      </w:tr>
      <w:tr w:rsidR="00892AF1" w:rsidRPr="00892AF1" w14:paraId="28734FB0" w14:textId="77777777" w:rsidTr="00892AF1">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7AA4DC" w14:textId="77777777" w:rsidR="00892AF1" w:rsidRPr="00892AF1" w:rsidRDefault="00892AF1" w:rsidP="00892AF1">
            <w:pPr>
              <w:pStyle w:val="CDITable-RowLeft"/>
            </w:pPr>
            <w:r w:rsidRPr="00892AF1">
              <w:t>JE</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135A12" w14:textId="77777777" w:rsidR="00892AF1" w:rsidRPr="00892AF1" w:rsidRDefault="00892AF1" w:rsidP="00892AF1">
            <w:pPr>
              <w:pStyle w:val="CDITable-RowLeft"/>
            </w:pPr>
            <w:r w:rsidRPr="00892AF1">
              <w:t>Japanese encephalitis</w:t>
            </w:r>
          </w:p>
        </w:tc>
      </w:tr>
      <w:tr w:rsidR="00892AF1" w:rsidRPr="00892AF1" w14:paraId="18F89A56" w14:textId="77777777" w:rsidTr="00892AF1">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C4E309" w14:textId="77777777" w:rsidR="00892AF1" w:rsidRPr="00892AF1" w:rsidRDefault="00892AF1" w:rsidP="00892AF1">
            <w:pPr>
              <w:pStyle w:val="CDITable-RowLeft"/>
            </w:pPr>
            <w:r w:rsidRPr="00892AF1">
              <w:lastRenderedPageBreak/>
              <w:t>MedDRA</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46B0C8" w14:textId="77777777" w:rsidR="00892AF1" w:rsidRPr="00892AF1" w:rsidRDefault="00892AF1" w:rsidP="00892AF1">
            <w:pPr>
              <w:pStyle w:val="CDITable-RowLeft"/>
            </w:pPr>
            <w:r w:rsidRPr="00892AF1">
              <w:t>Medical Dictionary for Regulatory Activities</w:t>
            </w:r>
          </w:p>
        </w:tc>
      </w:tr>
      <w:tr w:rsidR="00892AF1" w:rsidRPr="00892AF1" w14:paraId="05E15367" w14:textId="77777777" w:rsidTr="00E255FD">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459921" w14:textId="77777777" w:rsidR="00892AF1" w:rsidRPr="00892AF1" w:rsidRDefault="00892AF1" w:rsidP="00892AF1">
            <w:pPr>
              <w:pStyle w:val="CDITable-RowLeft"/>
            </w:pPr>
            <w:r w:rsidRPr="00892AF1">
              <w:t xml:space="preserve">MenACWY </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105031" w14:textId="77777777" w:rsidR="00892AF1" w:rsidRPr="00892AF1" w:rsidRDefault="00892AF1" w:rsidP="00892AF1">
            <w:pPr>
              <w:pStyle w:val="CDITable-RowLeft"/>
            </w:pPr>
            <w:r w:rsidRPr="00892AF1">
              <w:t>quadrivalent meningococcal (serogroups A, C, W-135, Y) conjugate vaccine</w:t>
            </w:r>
          </w:p>
        </w:tc>
      </w:tr>
      <w:tr w:rsidR="00892AF1" w:rsidRPr="00892AF1" w14:paraId="46ADE3DC" w14:textId="77777777" w:rsidTr="00E255FD">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49439A" w14:textId="77777777" w:rsidR="00892AF1" w:rsidRPr="00892AF1" w:rsidRDefault="00892AF1" w:rsidP="00892AF1">
            <w:pPr>
              <w:pStyle w:val="CDITable-RowLeft"/>
            </w:pPr>
            <w:r w:rsidRPr="00892AF1">
              <w:t>MenB</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B332BB" w14:textId="77777777" w:rsidR="00892AF1" w:rsidRPr="00892AF1" w:rsidRDefault="00892AF1" w:rsidP="00892AF1">
            <w:pPr>
              <w:pStyle w:val="CDITable-RowLeft"/>
            </w:pPr>
            <w:r w:rsidRPr="00892AF1">
              <w:t>meningococcal B vaccine</w:t>
            </w:r>
          </w:p>
        </w:tc>
      </w:tr>
      <w:tr w:rsidR="00892AF1" w:rsidRPr="00892AF1" w14:paraId="009195DF" w14:textId="77777777" w:rsidTr="00E255FD">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0B440B" w14:textId="77777777" w:rsidR="00892AF1" w:rsidRPr="00892AF1" w:rsidRDefault="00892AF1" w:rsidP="00892AF1">
            <w:pPr>
              <w:pStyle w:val="CDITable-RowLeft"/>
            </w:pPr>
            <w:r w:rsidRPr="00892AF1">
              <w:t>MenC</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3E1AAA" w14:textId="77777777" w:rsidR="00892AF1" w:rsidRPr="00892AF1" w:rsidRDefault="00892AF1" w:rsidP="00892AF1">
            <w:pPr>
              <w:pStyle w:val="CDITable-RowLeft"/>
            </w:pPr>
            <w:r w:rsidRPr="00892AF1">
              <w:t>meningococcal C conjugate vaccine</w:t>
            </w:r>
          </w:p>
        </w:tc>
      </w:tr>
      <w:tr w:rsidR="00892AF1" w:rsidRPr="00892AF1" w14:paraId="130F4D42" w14:textId="77777777" w:rsidTr="00E255FD">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2F42A2" w14:textId="77777777" w:rsidR="00892AF1" w:rsidRPr="00892AF1" w:rsidRDefault="00892AF1" w:rsidP="00892AF1">
            <w:pPr>
              <w:pStyle w:val="CDITable-RowLeft"/>
            </w:pPr>
            <w:r w:rsidRPr="00892AF1">
              <w:t>MMR</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1C41A5" w14:textId="77777777" w:rsidR="00892AF1" w:rsidRPr="00892AF1" w:rsidRDefault="00892AF1" w:rsidP="00892AF1">
            <w:pPr>
              <w:pStyle w:val="CDITable-RowLeft"/>
            </w:pPr>
            <w:r w:rsidRPr="00892AF1">
              <w:t xml:space="preserve">measles-mumps-rubella </w:t>
            </w:r>
          </w:p>
        </w:tc>
      </w:tr>
      <w:tr w:rsidR="00892AF1" w:rsidRPr="00892AF1" w14:paraId="7BFAE672" w14:textId="77777777" w:rsidTr="00E255FD">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138942" w14:textId="77777777" w:rsidR="00892AF1" w:rsidRPr="00892AF1" w:rsidRDefault="00892AF1" w:rsidP="00892AF1">
            <w:pPr>
              <w:pStyle w:val="CDITable-RowLeft"/>
            </w:pPr>
            <w:r w:rsidRPr="00892AF1">
              <w:t>MMRV</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85903B" w14:textId="77777777" w:rsidR="00892AF1" w:rsidRPr="00892AF1" w:rsidRDefault="00892AF1" w:rsidP="00892AF1">
            <w:pPr>
              <w:pStyle w:val="CDITable-RowLeft"/>
            </w:pPr>
            <w:r w:rsidRPr="00892AF1">
              <w:t xml:space="preserve">measles-mumps-rubella-varicella </w:t>
            </w:r>
          </w:p>
        </w:tc>
      </w:tr>
      <w:tr w:rsidR="00892AF1" w:rsidRPr="00892AF1" w14:paraId="14C77577" w14:textId="77777777" w:rsidTr="00E255FD">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679A66" w14:textId="77777777" w:rsidR="00892AF1" w:rsidRPr="00892AF1" w:rsidRDefault="00892AF1" w:rsidP="00892AF1">
            <w:pPr>
              <w:pStyle w:val="CDITable-RowLeft"/>
            </w:pPr>
            <w:r w:rsidRPr="00892AF1">
              <w:t>MVA-BN</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9B3185" w14:textId="77777777" w:rsidR="00892AF1" w:rsidRPr="00892AF1" w:rsidRDefault="00892AF1" w:rsidP="00892AF1">
            <w:pPr>
              <w:pStyle w:val="CDITable-RowLeft"/>
            </w:pPr>
            <w:r w:rsidRPr="00892AF1">
              <w:t>modified vaccinia Ankara – Bavarian Nordic vaccine</w:t>
            </w:r>
          </w:p>
        </w:tc>
      </w:tr>
      <w:tr w:rsidR="00892AF1" w:rsidRPr="00892AF1" w14:paraId="0779DF9D" w14:textId="77777777" w:rsidTr="00E255FD">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F207E8" w14:textId="77777777" w:rsidR="00892AF1" w:rsidRPr="00892AF1" w:rsidRDefault="00892AF1" w:rsidP="00892AF1">
            <w:pPr>
              <w:pStyle w:val="CDITable-RowLeft"/>
            </w:pPr>
            <w:r w:rsidRPr="00892AF1">
              <w:t>NCIRS</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263987" w14:textId="77777777" w:rsidR="00892AF1" w:rsidRPr="00892AF1" w:rsidRDefault="00892AF1" w:rsidP="00892AF1">
            <w:pPr>
              <w:pStyle w:val="CDITable-RowLeft"/>
            </w:pPr>
            <w:r w:rsidRPr="00892AF1">
              <w:t xml:space="preserve">National Centre for Immunisation Research and Surveillance </w:t>
            </w:r>
          </w:p>
        </w:tc>
      </w:tr>
      <w:tr w:rsidR="00892AF1" w:rsidRPr="00892AF1" w14:paraId="5AFF97D1" w14:textId="77777777" w:rsidTr="00E255FD">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844F44" w14:textId="77777777" w:rsidR="00892AF1" w:rsidRPr="00892AF1" w:rsidRDefault="00892AF1" w:rsidP="00892AF1">
            <w:pPr>
              <w:pStyle w:val="CDITable-RowLeft"/>
            </w:pPr>
            <w:r w:rsidRPr="00892AF1">
              <w:t>NIP</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E1DD9D" w14:textId="77777777" w:rsidR="00892AF1" w:rsidRPr="00892AF1" w:rsidRDefault="00892AF1" w:rsidP="00892AF1">
            <w:pPr>
              <w:pStyle w:val="CDITable-RowLeft"/>
            </w:pPr>
            <w:r w:rsidRPr="00892AF1">
              <w:t xml:space="preserve">National Immunisation Program </w:t>
            </w:r>
          </w:p>
        </w:tc>
      </w:tr>
      <w:tr w:rsidR="00892AF1" w:rsidRPr="00892AF1" w14:paraId="42AB0C1C" w14:textId="77777777" w:rsidTr="00E255FD">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700738" w14:textId="77777777" w:rsidR="00892AF1" w:rsidRPr="00892AF1" w:rsidRDefault="00892AF1" w:rsidP="00892AF1">
            <w:pPr>
              <w:pStyle w:val="CDITable-RowLeft"/>
            </w:pPr>
            <w:r w:rsidRPr="00892AF1">
              <w:t>PCV</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D19E19" w14:textId="77777777" w:rsidR="00892AF1" w:rsidRPr="00892AF1" w:rsidRDefault="00892AF1" w:rsidP="00892AF1">
            <w:pPr>
              <w:pStyle w:val="CDITable-RowLeft"/>
            </w:pPr>
            <w:r w:rsidRPr="00892AF1">
              <w:t>pneumococcal conjugate vaccine – formulation unspecified</w:t>
            </w:r>
          </w:p>
        </w:tc>
      </w:tr>
      <w:tr w:rsidR="00892AF1" w:rsidRPr="00892AF1" w14:paraId="2BA7B9E6" w14:textId="77777777" w:rsidTr="00E255FD">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FC5EA5" w14:textId="77777777" w:rsidR="00892AF1" w:rsidRPr="00892AF1" w:rsidRDefault="00892AF1" w:rsidP="00892AF1">
            <w:pPr>
              <w:pStyle w:val="CDITable-RowLeft"/>
            </w:pPr>
            <w:r w:rsidRPr="00892AF1">
              <w:t>PI</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C7BCEE" w14:textId="77777777" w:rsidR="00892AF1" w:rsidRPr="00892AF1" w:rsidRDefault="00892AF1" w:rsidP="00892AF1">
            <w:pPr>
              <w:pStyle w:val="CDITable-RowLeft"/>
            </w:pPr>
            <w:r w:rsidRPr="00892AF1">
              <w:t>product information</w:t>
            </w:r>
          </w:p>
        </w:tc>
      </w:tr>
      <w:tr w:rsidR="00892AF1" w:rsidRPr="00892AF1" w14:paraId="3C85C87A" w14:textId="77777777" w:rsidTr="00E255FD">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937250" w14:textId="77777777" w:rsidR="00892AF1" w:rsidRPr="00892AF1" w:rsidRDefault="00892AF1" w:rsidP="00892AF1">
            <w:pPr>
              <w:pStyle w:val="CDITable-RowLeft"/>
            </w:pPr>
            <w:r w:rsidRPr="00892AF1">
              <w:t>PT</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954506" w14:textId="77777777" w:rsidR="00892AF1" w:rsidRPr="00892AF1" w:rsidRDefault="00892AF1" w:rsidP="00892AF1">
            <w:pPr>
              <w:pStyle w:val="CDITable-RowLeft"/>
            </w:pPr>
            <w:r w:rsidRPr="00892AF1">
              <w:t>preferred term(s)</w:t>
            </w:r>
          </w:p>
        </w:tc>
      </w:tr>
      <w:tr w:rsidR="00892AF1" w:rsidRPr="00892AF1" w14:paraId="1B3981A9" w14:textId="77777777" w:rsidTr="00E255FD">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68CD3B" w14:textId="77777777" w:rsidR="00892AF1" w:rsidRPr="00892AF1" w:rsidRDefault="00892AF1" w:rsidP="00892AF1">
            <w:pPr>
              <w:pStyle w:val="CDITable-RowLeft"/>
            </w:pPr>
            <w:r w:rsidRPr="00892AF1">
              <w:t>SMQ</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963344" w14:textId="77777777" w:rsidR="00892AF1" w:rsidRPr="00892AF1" w:rsidRDefault="00892AF1" w:rsidP="00892AF1">
            <w:pPr>
              <w:pStyle w:val="CDITable-RowLeft"/>
            </w:pPr>
            <w:r w:rsidRPr="00892AF1">
              <w:t xml:space="preserve">standardised MedDRA query </w:t>
            </w:r>
          </w:p>
        </w:tc>
      </w:tr>
      <w:tr w:rsidR="00892AF1" w:rsidRPr="00892AF1" w14:paraId="16604055" w14:textId="77777777" w:rsidTr="00E255FD">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2FEE97" w14:textId="77777777" w:rsidR="00892AF1" w:rsidRPr="00892AF1" w:rsidRDefault="00892AF1" w:rsidP="00892AF1">
            <w:pPr>
              <w:pStyle w:val="CDITable-RowLeft"/>
            </w:pPr>
            <w:r w:rsidRPr="00892AF1">
              <w:t>TGA</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E0C131" w14:textId="77777777" w:rsidR="00892AF1" w:rsidRPr="00892AF1" w:rsidRDefault="00892AF1" w:rsidP="00892AF1">
            <w:pPr>
              <w:pStyle w:val="CDITable-RowLeft"/>
            </w:pPr>
            <w:r w:rsidRPr="00892AF1">
              <w:t xml:space="preserve">Therapeutic Goods Administration </w:t>
            </w:r>
          </w:p>
        </w:tc>
      </w:tr>
      <w:tr w:rsidR="00892AF1" w:rsidRPr="00892AF1" w14:paraId="0EBB0E14" w14:textId="77777777" w:rsidTr="00E255FD">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90B3F5" w14:textId="77777777" w:rsidR="00892AF1" w:rsidRPr="00892AF1" w:rsidRDefault="00892AF1" w:rsidP="00892AF1">
            <w:pPr>
              <w:pStyle w:val="CDITable-RowLeft"/>
            </w:pPr>
            <w:r w:rsidRPr="00892AF1">
              <w:t>VPD</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545E86" w14:textId="77777777" w:rsidR="00892AF1" w:rsidRPr="00892AF1" w:rsidRDefault="00892AF1" w:rsidP="00892AF1">
            <w:pPr>
              <w:pStyle w:val="CDITable-RowLeft"/>
            </w:pPr>
            <w:r w:rsidRPr="00892AF1">
              <w:t>vaccine preventable disease</w:t>
            </w:r>
          </w:p>
        </w:tc>
      </w:tr>
      <w:tr w:rsidR="00892AF1" w:rsidRPr="00892AF1" w14:paraId="51D898C2" w14:textId="77777777" w:rsidTr="00E255FD">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17CF1C" w14:textId="77777777" w:rsidR="00892AF1" w:rsidRPr="00892AF1" w:rsidRDefault="00892AF1" w:rsidP="00892AF1">
            <w:pPr>
              <w:pStyle w:val="CDITable-RowLeft"/>
            </w:pPr>
            <w:r w:rsidRPr="00892AF1">
              <w:t>WHO</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7147B3" w14:textId="77777777" w:rsidR="00892AF1" w:rsidRPr="00892AF1" w:rsidRDefault="00892AF1" w:rsidP="00892AF1">
            <w:pPr>
              <w:pStyle w:val="CDITable-RowLeft"/>
            </w:pPr>
            <w:r w:rsidRPr="00892AF1">
              <w:t>World Health Organization</w:t>
            </w:r>
          </w:p>
        </w:tc>
      </w:tr>
      <w:tr w:rsidR="00892AF1" w:rsidRPr="00892AF1" w14:paraId="68E48BF3" w14:textId="77777777" w:rsidTr="00E255FD">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69388B" w14:textId="77777777" w:rsidR="00892AF1" w:rsidRPr="00892AF1" w:rsidRDefault="00892AF1" w:rsidP="00892AF1">
            <w:pPr>
              <w:pStyle w:val="CDITable-RowLeft"/>
            </w:pPr>
            <w:r w:rsidRPr="00892AF1">
              <w:t>Zoster (RZV)</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AB262E" w14:textId="77777777" w:rsidR="00892AF1" w:rsidRPr="00892AF1" w:rsidRDefault="00892AF1" w:rsidP="00892AF1">
            <w:pPr>
              <w:pStyle w:val="CDITable-RowLeft"/>
            </w:pPr>
            <w:r w:rsidRPr="00892AF1">
              <w:t>recombinant zoster vaccine</w:t>
            </w:r>
          </w:p>
        </w:tc>
      </w:tr>
      <w:tr w:rsidR="00892AF1" w:rsidRPr="00892AF1" w14:paraId="4A46A0BB" w14:textId="77777777" w:rsidTr="00E255FD">
        <w:tblPrEx>
          <w:tblCellMar>
            <w:top w:w="0" w:type="dxa"/>
            <w:left w:w="0" w:type="dxa"/>
            <w:bottom w:w="0" w:type="dxa"/>
            <w:right w:w="0" w:type="dxa"/>
          </w:tblCellMar>
        </w:tblPrEx>
        <w:trPr>
          <w:trHeight w:val="6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D9CFEE" w14:textId="77777777" w:rsidR="00892AF1" w:rsidRPr="00892AF1" w:rsidRDefault="00892AF1" w:rsidP="00892AF1">
            <w:pPr>
              <w:pStyle w:val="CDITable-RowLeft"/>
            </w:pPr>
            <w:r w:rsidRPr="00892AF1">
              <w:t>Zoster (ZVL)</w:t>
            </w:r>
          </w:p>
        </w:tc>
        <w:tc>
          <w:tcPr>
            <w:tcW w:w="70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0AB175" w14:textId="77777777" w:rsidR="00892AF1" w:rsidRPr="00892AF1" w:rsidRDefault="00892AF1" w:rsidP="00892AF1">
            <w:pPr>
              <w:pStyle w:val="CDITable-RowLeft"/>
            </w:pPr>
            <w:r w:rsidRPr="00892AF1">
              <w:t>live-attenuated zoster vaccine</w:t>
            </w:r>
          </w:p>
        </w:tc>
      </w:tr>
    </w:tbl>
    <w:p w14:paraId="321E0237" w14:textId="77777777" w:rsidR="00841C3A" w:rsidRPr="00841C3A" w:rsidRDefault="00841C3A" w:rsidP="00841C3A">
      <w:pPr>
        <w:pStyle w:val="CDIFigure-Title"/>
        <w:rPr>
          <w:lang w:val="en-GB"/>
        </w:rPr>
      </w:pPr>
      <w:bookmarkStart w:id="54" w:name="_Toc215491339"/>
      <w:r w:rsidRPr="00841C3A">
        <w:rPr>
          <w:lang w:val="en-GB"/>
        </w:rPr>
        <w:lastRenderedPageBreak/>
        <w:t>Figure A.1: Reporting rates of adverse events following immunisation per 100,000 population in the Adverse Event Management System database from 2000 to 2022 (excluding COVID-19 vaccines</w:t>
      </w:r>
      <w:proofErr w:type="gramStart"/>
      <w:r w:rsidRPr="00841C3A">
        <w:rPr>
          <w:lang w:val="en-GB"/>
        </w:rPr>
        <w:t>),</w:t>
      </w:r>
      <w:r w:rsidRPr="00841C3A">
        <w:rPr>
          <w:vertAlign w:val="superscript"/>
          <w:lang w:val="en-GB"/>
        </w:rPr>
        <w:t>a</w:t>
      </w:r>
      <w:proofErr w:type="gramEnd"/>
      <w:r w:rsidRPr="00841C3A">
        <w:rPr>
          <w:lang w:val="en-GB"/>
        </w:rPr>
        <w:t xml:space="preserve"> by year and reporter type</w:t>
      </w:r>
      <w:bookmarkEnd w:id="54"/>
    </w:p>
    <w:p w14:paraId="25E9571D" w14:textId="19BF78E3" w:rsidR="00841C3A" w:rsidRDefault="00E255FD" w:rsidP="00841C3A">
      <w:pPr>
        <w:pStyle w:val="CDIFigure-Placeholder"/>
      </w:pPr>
      <w:r>
        <w:rPr>
          <w:noProof/>
          <w14:ligatures w14:val="none"/>
        </w:rPr>
        <w:drawing>
          <wp:inline distT="0" distB="0" distL="0" distR="0" wp14:anchorId="618D6CA3" wp14:editId="7A5ACB8B">
            <wp:extent cx="6120765" cy="4159885"/>
            <wp:effectExtent l="0" t="0" r="0" b="0"/>
            <wp:docPr id="955279072" name="Picture 9" descr="Figure A.1 is a line graph showing the rate of adverse event reports received each year per 100,000 population, by reporter type: state/territory health department; health professional/regulatory authority/other; pharmaceutical company; and patient/consumer. The rate of reporting by state/territory health departments has exceeded the reporting rates by other types of reporters each year since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279072" name="Picture 9" descr="Figure A.1 is a line graph showing the rate of adverse event reports received each year per 100,000 population, by reporter type: state/territory health department; health professional/regulatory authority/other; pharmaceutical company; and patient/consumer. The rate of reporting by state/territory health departments has exceeded the reporting rates by other types of reporters each year since 2003."/>
                    <pic:cNvPicPr/>
                  </pic:nvPicPr>
                  <pic:blipFill>
                    <a:blip r:embed="rId57">
                      <a:extLst>
                        <a:ext uri="{28A0092B-C50C-407E-A947-70E740481C1C}">
                          <a14:useLocalDpi xmlns:a14="http://schemas.microsoft.com/office/drawing/2010/main" val="0"/>
                        </a:ext>
                      </a:extLst>
                    </a:blip>
                    <a:stretch>
                      <a:fillRect/>
                    </a:stretch>
                  </pic:blipFill>
                  <pic:spPr>
                    <a:xfrm>
                      <a:off x="0" y="0"/>
                      <a:ext cx="6120765" cy="4159885"/>
                    </a:xfrm>
                    <a:prstGeom prst="rect">
                      <a:avLst/>
                    </a:prstGeom>
                  </pic:spPr>
                </pic:pic>
              </a:graphicData>
            </a:graphic>
          </wp:inline>
        </w:drawing>
      </w:r>
    </w:p>
    <w:p w14:paraId="65FA7AB4" w14:textId="70222F8E" w:rsidR="004973B4" w:rsidRPr="0058264F" w:rsidRDefault="00841C3A" w:rsidP="00E255FD">
      <w:pPr>
        <w:pStyle w:val="CDITable-FirstFootnote"/>
      </w:pPr>
      <w:proofErr w:type="spellStart"/>
      <w:r w:rsidRPr="00841C3A">
        <w:rPr>
          <w:lang w:val="en-GB"/>
        </w:rPr>
        <w:t>a</w:t>
      </w:r>
      <w:proofErr w:type="spellEnd"/>
      <w:r w:rsidRPr="00841C3A">
        <w:rPr>
          <w:lang w:val="en-GB"/>
        </w:rPr>
        <w:tab/>
      </w:r>
      <w:proofErr w:type="gramStart"/>
      <w:r w:rsidRPr="00841C3A">
        <w:rPr>
          <w:lang w:val="en-GB"/>
        </w:rPr>
        <w:t>For</w:t>
      </w:r>
      <w:proofErr w:type="gramEnd"/>
      <w:r w:rsidRPr="00841C3A">
        <w:rPr>
          <w:lang w:val="en-GB"/>
        </w:rPr>
        <w:t xml:space="preserve"> reports where the date of vaccination was not recorded, the date of symptom onset or the received date (when the event was reported to the sender of the case) was used. For more details on changes to immunisation programs (including the National Immunisation Program), please see Table A.1. Population data was sourced from the Australian Bureau of </w:t>
      </w:r>
      <w:proofErr w:type="gramStart"/>
      <w:r w:rsidRPr="00841C3A">
        <w:rPr>
          <w:lang w:val="en-GB"/>
        </w:rPr>
        <w:t>Statistics, and</w:t>
      </w:r>
      <w:proofErr w:type="gramEnd"/>
      <w:r w:rsidRPr="00841C3A">
        <w:rPr>
          <w:lang w:val="en-GB"/>
        </w:rPr>
        <w:t xml:space="preserve"> represents the mid-year total Australian Estimated Residential Population (ERP) for each calendar year.</w:t>
      </w:r>
    </w:p>
    <w:sectPr w:rsidR="004973B4" w:rsidRPr="0058264F" w:rsidSect="001E3ECB">
      <w:headerReference w:type="even" r:id="rId58"/>
      <w:headerReference w:type="default" r:id="rId59"/>
      <w:footerReference w:type="even" r:id="rId60"/>
      <w:footerReference w:type="default" r:id="rId61"/>
      <w:headerReference w:type="first" r:id="rId62"/>
      <w:footerReference w:type="first" r:id="rId63"/>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AF122" w14:textId="77777777" w:rsidR="000E54C3" w:rsidRDefault="000E54C3" w:rsidP="00E54DBA">
      <w:r>
        <w:separator/>
      </w:r>
    </w:p>
    <w:p w14:paraId="71715B4C" w14:textId="77777777" w:rsidR="000E54C3" w:rsidRDefault="000E54C3"/>
    <w:p w14:paraId="24C86A6C" w14:textId="77777777" w:rsidR="000E54C3" w:rsidRDefault="000E54C3" w:rsidP="008714B0"/>
  </w:endnote>
  <w:endnote w:type="continuationSeparator" w:id="0">
    <w:p w14:paraId="2E5ECE4E" w14:textId="77777777" w:rsidR="000E54C3" w:rsidRDefault="000E54C3" w:rsidP="00E54DBA">
      <w:r>
        <w:continuationSeparator/>
      </w:r>
    </w:p>
    <w:p w14:paraId="061D4CD9" w14:textId="77777777" w:rsidR="000E54C3" w:rsidRDefault="000E54C3"/>
    <w:p w14:paraId="2D19D163" w14:textId="77777777" w:rsidR="000E54C3" w:rsidRDefault="000E54C3"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117D3" w14:textId="77777777" w:rsidR="00B87589" w:rsidRDefault="00FA4A4C">
    <w:r>
      <w:rPr>
        <w:noProof/>
        <w14:ligatures w14:val="none"/>
      </w:rPr>
      <mc:AlternateContent>
        <mc:Choice Requires="wps">
          <w:drawing>
            <wp:anchor distT="0" distB="0" distL="0" distR="0" simplePos="0" relativeHeight="251662336" behindDoc="0" locked="0" layoutInCell="1" allowOverlap="1" wp14:anchorId="78C71E6C" wp14:editId="09E70136">
              <wp:simplePos x="635" y="635"/>
              <wp:positionH relativeFrom="page">
                <wp:align>center</wp:align>
              </wp:positionH>
              <wp:positionV relativeFrom="page">
                <wp:align>bottom</wp:align>
              </wp:positionV>
              <wp:extent cx="551815" cy="518795"/>
              <wp:effectExtent l="0" t="0" r="635" b="0"/>
              <wp:wrapNone/>
              <wp:docPr id="22850963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C4B3889"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C71E6C"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7C4B3889"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FA74F" w14:textId="55ACB05C"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0E54C3">
        <w:t>2025</w:t>
      </w:r>
    </w:fldSimple>
    <w:r w:rsidR="009B78A9">
      <w:t>;</w:t>
    </w:r>
    <w:fldSimple w:instr=" DOCPROPERTY  Vol  \* MERGEFORMAT ">
      <w:r w:rsidR="000E54C3">
        <w:t>49</w:t>
      </w:r>
    </w:fldSimple>
    <w:r w:rsidR="00385655" w:rsidRPr="001D0612">
      <w:t xml:space="preserve"> </w:t>
    </w:r>
    <w:r w:rsidR="00385655" w:rsidRPr="00B85B74">
      <w:t>•</w:t>
    </w:r>
    <w:r w:rsidR="00385655">
      <w:t xml:space="preserve"> </w:t>
    </w:r>
    <w:fldSimple w:instr=" DOCPROPERTY  DOI  \* MERGEFORMAT ">
      <w:r w:rsidR="0074581A">
        <w:t>doi.org/10.33321/cdi.2025.49.043</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74581A">
        <w:t>17.12.2025</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39EF9" w14:textId="77777777" w:rsidR="00B87589" w:rsidRDefault="00FA4A4C">
    <w:r>
      <w:rPr>
        <w:noProof/>
        <w14:ligatures w14:val="none"/>
      </w:rPr>
      <mc:AlternateContent>
        <mc:Choice Requires="wps">
          <w:drawing>
            <wp:anchor distT="0" distB="0" distL="0" distR="0" simplePos="0" relativeHeight="251661312" behindDoc="0" locked="0" layoutInCell="1" allowOverlap="1" wp14:anchorId="6F89F9EE" wp14:editId="1B4609B6">
              <wp:simplePos x="635" y="635"/>
              <wp:positionH relativeFrom="page">
                <wp:align>center</wp:align>
              </wp:positionH>
              <wp:positionV relativeFrom="page">
                <wp:align>bottom</wp:align>
              </wp:positionV>
              <wp:extent cx="551815" cy="518795"/>
              <wp:effectExtent l="0" t="0" r="635" b="0"/>
              <wp:wrapNone/>
              <wp:docPr id="142370391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AAF32A3"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89F9EE"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1AAF32A3"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A2FC8" w14:textId="77777777" w:rsidR="000E54C3" w:rsidRPr="00B91FB5" w:rsidRDefault="000E54C3" w:rsidP="00B91FB5">
      <w:pPr>
        <w:spacing w:line="240" w:lineRule="auto"/>
        <w:rPr>
          <w:sz w:val="18"/>
          <w:szCs w:val="18"/>
        </w:rPr>
      </w:pPr>
      <w:r w:rsidRPr="00B91FB5">
        <w:rPr>
          <w:sz w:val="18"/>
          <w:szCs w:val="18"/>
        </w:rPr>
        <w:separator/>
      </w:r>
    </w:p>
  </w:footnote>
  <w:footnote w:type="continuationSeparator" w:id="0">
    <w:p w14:paraId="7C085DB0" w14:textId="77777777" w:rsidR="000E54C3" w:rsidRDefault="000E54C3" w:rsidP="00E54DBA">
      <w:r>
        <w:continuationSeparator/>
      </w:r>
    </w:p>
  </w:footnote>
  <w:footnote w:type="continuationNotice" w:id="1">
    <w:p w14:paraId="40F7318D" w14:textId="77777777" w:rsidR="000E54C3" w:rsidRPr="00224EFF" w:rsidRDefault="000E54C3"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1702A" w14:textId="77777777" w:rsidR="00B87589" w:rsidRDefault="00FA4A4C">
    <w:pPr>
      <w:pStyle w:val="Header"/>
    </w:pPr>
    <w:r>
      <w:rPr>
        <w:noProof/>
        <w14:ligatures w14:val="none"/>
      </w:rPr>
      <mc:AlternateContent>
        <mc:Choice Requires="wps">
          <w:drawing>
            <wp:anchor distT="0" distB="0" distL="0" distR="0" simplePos="0" relativeHeight="251659264" behindDoc="0" locked="0" layoutInCell="1" allowOverlap="1" wp14:anchorId="116E3B88" wp14:editId="4CEE9B42">
              <wp:simplePos x="635" y="635"/>
              <wp:positionH relativeFrom="page">
                <wp:align>center</wp:align>
              </wp:positionH>
              <wp:positionV relativeFrom="page">
                <wp:align>top</wp:align>
              </wp:positionV>
              <wp:extent cx="551815" cy="518795"/>
              <wp:effectExtent l="0" t="0" r="635" b="14605"/>
              <wp:wrapNone/>
              <wp:docPr id="7392190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E9BB24A"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6E3B88"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4E9BB24A"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9CE0"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F473F" w14:textId="77777777" w:rsidR="00B87589" w:rsidRDefault="00FA4A4C">
    <w:pPr>
      <w:pStyle w:val="Header"/>
    </w:pPr>
    <w:r>
      <w:rPr>
        <w:noProof/>
        <w14:ligatures w14:val="none"/>
      </w:rPr>
      <mc:AlternateContent>
        <mc:Choice Requires="wps">
          <w:drawing>
            <wp:anchor distT="0" distB="0" distL="0" distR="0" simplePos="0" relativeHeight="251658240" behindDoc="0" locked="0" layoutInCell="1" allowOverlap="1" wp14:anchorId="7E261E59" wp14:editId="17674335">
              <wp:simplePos x="635" y="635"/>
              <wp:positionH relativeFrom="page">
                <wp:align>center</wp:align>
              </wp:positionH>
              <wp:positionV relativeFrom="page">
                <wp:align>top</wp:align>
              </wp:positionV>
              <wp:extent cx="551815" cy="518795"/>
              <wp:effectExtent l="0" t="0" r="635" b="14605"/>
              <wp:wrapNone/>
              <wp:docPr id="168226068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6AED257"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261E59"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56AED257"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535A163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151680619">
    <w:abstractNumId w:val="1"/>
    <w:lvlOverride w:ilvl="0">
      <w:startOverride w:val="1"/>
    </w:lvlOverride>
  </w:num>
  <w:num w:numId="11" w16cid:durableId="98569375">
    <w:abstractNumId w:val="1"/>
    <w:lvlOverride w:ilvl="0">
      <w:startOverride w:val="1"/>
    </w:lvlOverride>
  </w:num>
  <w:num w:numId="12" w16cid:durableId="729034727">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4C3"/>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54C3"/>
    <w:rsid w:val="000E6C4C"/>
    <w:rsid w:val="000F223B"/>
    <w:rsid w:val="000F32C7"/>
    <w:rsid w:val="000F44BA"/>
    <w:rsid w:val="000F73D7"/>
    <w:rsid w:val="0010033C"/>
    <w:rsid w:val="001020E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2BEE"/>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BD1"/>
    <w:rsid w:val="001C2B4B"/>
    <w:rsid w:val="001C2C3A"/>
    <w:rsid w:val="001C5BB1"/>
    <w:rsid w:val="001C5F09"/>
    <w:rsid w:val="001C70B2"/>
    <w:rsid w:val="001C7CE1"/>
    <w:rsid w:val="001D0612"/>
    <w:rsid w:val="001D11E0"/>
    <w:rsid w:val="001D37C7"/>
    <w:rsid w:val="001D5B20"/>
    <w:rsid w:val="001D6888"/>
    <w:rsid w:val="001E3ECB"/>
    <w:rsid w:val="001E4E1D"/>
    <w:rsid w:val="001E562B"/>
    <w:rsid w:val="001E5D4C"/>
    <w:rsid w:val="001F0D9D"/>
    <w:rsid w:val="001F6248"/>
    <w:rsid w:val="002006BA"/>
    <w:rsid w:val="00213AE1"/>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2F48E5"/>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526B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58CA"/>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4762"/>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1A1E"/>
    <w:rsid w:val="00532189"/>
    <w:rsid w:val="00536DD8"/>
    <w:rsid w:val="00542103"/>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873F1"/>
    <w:rsid w:val="00687AF3"/>
    <w:rsid w:val="00690811"/>
    <w:rsid w:val="00690957"/>
    <w:rsid w:val="00693DAE"/>
    <w:rsid w:val="006963D9"/>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14BA"/>
    <w:rsid w:val="00714CD2"/>
    <w:rsid w:val="0071536A"/>
    <w:rsid w:val="00723B5F"/>
    <w:rsid w:val="00725C33"/>
    <w:rsid w:val="00726C6A"/>
    <w:rsid w:val="00731BC3"/>
    <w:rsid w:val="00731FF7"/>
    <w:rsid w:val="00733216"/>
    <w:rsid w:val="00734159"/>
    <w:rsid w:val="0073458A"/>
    <w:rsid w:val="007401FD"/>
    <w:rsid w:val="00741192"/>
    <w:rsid w:val="007430BF"/>
    <w:rsid w:val="007439DE"/>
    <w:rsid w:val="00743A33"/>
    <w:rsid w:val="00743DF3"/>
    <w:rsid w:val="0074581A"/>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1C3A"/>
    <w:rsid w:val="00845F68"/>
    <w:rsid w:val="00850D54"/>
    <w:rsid w:val="00852E2B"/>
    <w:rsid w:val="00854079"/>
    <w:rsid w:val="00856EC6"/>
    <w:rsid w:val="00856FF3"/>
    <w:rsid w:val="0086228F"/>
    <w:rsid w:val="00862C50"/>
    <w:rsid w:val="00863F8D"/>
    <w:rsid w:val="008673F6"/>
    <w:rsid w:val="00867976"/>
    <w:rsid w:val="008714B0"/>
    <w:rsid w:val="008716A6"/>
    <w:rsid w:val="00872A7F"/>
    <w:rsid w:val="0087374B"/>
    <w:rsid w:val="00876331"/>
    <w:rsid w:val="00877B90"/>
    <w:rsid w:val="00880726"/>
    <w:rsid w:val="008863B2"/>
    <w:rsid w:val="0089025E"/>
    <w:rsid w:val="00892AF1"/>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255E"/>
    <w:rsid w:val="009446C0"/>
    <w:rsid w:val="00947BAF"/>
    <w:rsid w:val="00947D0A"/>
    <w:rsid w:val="00951883"/>
    <w:rsid w:val="009527E3"/>
    <w:rsid w:val="009533E1"/>
    <w:rsid w:val="00953BC9"/>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6034"/>
    <w:rsid w:val="009B720F"/>
    <w:rsid w:val="009B78A9"/>
    <w:rsid w:val="009C31B2"/>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6FE9"/>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5A81"/>
    <w:rsid w:val="00A96216"/>
    <w:rsid w:val="00AA3329"/>
    <w:rsid w:val="00AA35E6"/>
    <w:rsid w:val="00AA50B6"/>
    <w:rsid w:val="00AA78FF"/>
    <w:rsid w:val="00AB1606"/>
    <w:rsid w:val="00AB3472"/>
    <w:rsid w:val="00AB3C13"/>
    <w:rsid w:val="00AB7613"/>
    <w:rsid w:val="00AC04A4"/>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1476"/>
    <w:rsid w:val="00BF42FE"/>
    <w:rsid w:val="00C02B29"/>
    <w:rsid w:val="00C06DA4"/>
    <w:rsid w:val="00C07606"/>
    <w:rsid w:val="00C12542"/>
    <w:rsid w:val="00C130EE"/>
    <w:rsid w:val="00C230DA"/>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5F41"/>
    <w:rsid w:val="00C66F97"/>
    <w:rsid w:val="00C735E0"/>
    <w:rsid w:val="00C7723C"/>
    <w:rsid w:val="00C81439"/>
    <w:rsid w:val="00C82027"/>
    <w:rsid w:val="00C838F5"/>
    <w:rsid w:val="00C841C0"/>
    <w:rsid w:val="00C91F37"/>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81B"/>
    <w:rsid w:val="00D74EC3"/>
    <w:rsid w:val="00D80045"/>
    <w:rsid w:val="00D8087F"/>
    <w:rsid w:val="00D842AC"/>
    <w:rsid w:val="00D84FBE"/>
    <w:rsid w:val="00D93AD4"/>
    <w:rsid w:val="00DA2E9E"/>
    <w:rsid w:val="00DA6E56"/>
    <w:rsid w:val="00DA78DD"/>
    <w:rsid w:val="00DB0DF2"/>
    <w:rsid w:val="00DB1C65"/>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5FD"/>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6790C"/>
    <w:rsid w:val="00E714F6"/>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14EDD1"/>
  <w15:docId w15:val="{32F143A1-0535-40F8-9C7C-E6A923BC4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AF1"/>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74581A"/>
    <w:pPr>
      <w:spacing w:before="400"/>
    </w:pPr>
    <w:rPr>
      <w:rFonts w:asciiTheme="majorHAnsi" w:hAnsiTheme="majorHAnsi" w:cs="Arial"/>
      <w:b/>
      <w:bCs/>
      <w:sz w:val="52"/>
      <w:szCs w:val="52"/>
    </w:rPr>
  </w:style>
  <w:style w:type="character" w:customStyle="1" w:styleId="TitleChar">
    <w:name w:val="Title Char"/>
    <w:basedOn w:val="DefaultParagraphFont"/>
    <w:link w:val="Title"/>
    <w:uiPriority w:val="10"/>
    <w:rsid w:val="0074581A"/>
    <w:rPr>
      <w:rFonts w:asciiTheme="majorHAnsi" w:hAnsiTheme="majorHAnsi" w:cs="Arial"/>
      <w:b/>
      <w:bCs/>
      <w:sz w:val="52"/>
      <w:szCs w:val="52"/>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15CF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E15CF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662078"/>
    <w:pPr>
      <w:numPr>
        <w:numId w:val="2"/>
      </w:numPr>
      <w:suppressAutoHyphens/>
      <w:autoSpaceDE w:val="0"/>
      <w:autoSpaceDN w:val="0"/>
      <w:adjustRightInd w:val="0"/>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E255FD"/>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E255FD"/>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662078"/>
    <w:pPr>
      <w:numPr>
        <w:numId w:val="9"/>
      </w:numPr>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NumberedList1L1">
    <w:name w:val="Numbered List (1.) L1"/>
    <w:basedOn w:val="BodyText"/>
    <w:uiPriority w:val="99"/>
    <w:rsid w:val="00542103"/>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 w:type="character" w:customStyle="1" w:styleId="Bold">
    <w:name w:val="Bold"/>
    <w:uiPriority w:val="99"/>
    <w:rsid w:val="00953BC9"/>
    <w:rPr>
      <w:b/>
      <w:bCs/>
    </w:rPr>
  </w:style>
  <w:style w:type="paragraph" w:customStyle="1" w:styleId="NumberedList1L1-First">
    <w:name w:val="Numbered List (1.) L1 - First"/>
    <w:basedOn w:val="NumberedList1L1"/>
    <w:uiPriority w:val="99"/>
    <w:rsid w:val="00542103"/>
    <w:pPr>
      <w:spacing w:before="340"/>
    </w:pPr>
  </w:style>
  <w:style w:type="paragraph" w:customStyle="1" w:styleId="CDITable-RowLeftless">
    <w:name w:val="CDI Table - Row Left less"/>
    <w:basedOn w:val="CDITable-RowLeft"/>
    <w:rsid w:val="0094255E"/>
    <w:pPr>
      <w:spacing w:before="60" w:beforeAutospacing="0" w:after="60" w:afterAutospacing="0"/>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who.int/publications/m/item/9789290360834" TargetMode="External"/><Relationship Id="rId21" Type="http://schemas.openxmlformats.org/officeDocument/2006/relationships/image" Target="media/image5.jpg"/><Relationship Id="rId34" Type="http://schemas.openxmlformats.org/officeDocument/2006/relationships/hyperlink" Target="https://doi.org/10.33321/cdi.2025.49.044" TargetMode="External"/><Relationship Id="rId42" Type="http://schemas.openxmlformats.org/officeDocument/2006/relationships/hyperlink" Target="https://doi.org/10.33321/cdi.2025.49.023" TargetMode="External"/><Relationship Id="rId47" Type="http://schemas.openxmlformats.org/officeDocument/2006/relationships/hyperlink" Target="https://doi.org/10.1016/j.vaccine.2024.05.072" TargetMode="External"/><Relationship Id="rId50" Type="http://schemas.openxmlformats.org/officeDocument/2006/relationships/hyperlink" Target="https://www.facebook.com/TGAgovau/posts/pfbid02t48T1Ft8zoetjAkvUt6o8mK7TqUt4bf3vfE1S6oagGPhc2W1swftEgCa1jtRTbC1l" TargetMode="External"/><Relationship Id="rId55" Type="http://schemas.openxmlformats.org/officeDocument/2006/relationships/hyperlink" Target="https://doi.org/10.5694/mja2.50971" TargetMode="External"/><Relationship Id="rId63"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cdc.gov.au/topics/communicable-diseases/cdi" TargetMode="External"/><Relationship Id="rId29" Type="http://schemas.openxmlformats.org/officeDocument/2006/relationships/hyperlink" Target="https://doi.org/10.33321/cdi.2024.48.1" TargetMode="External"/><Relationship Id="rId11" Type="http://schemas.openxmlformats.org/officeDocument/2006/relationships/hyperlink" Target="https://creativecommons.org/licenses/by-nc-nd/4.0/legalcode" TargetMode="External"/><Relationship Id="rId24" Type="http://schemas.openxmlformats.org/officeDocument/2006/relationships/image" Target="media/image8.jpg"/><Relationship Id="rId32" Type="http://schemas.openxmlformats.org/officeDocument/2006/relationships/hyperlink" Target="https://www.legislation.gov.au/C2004A03952/latest/versions" TargetMode="External"/><Relationship Id="rId37" Type="http://schemas.openxmlformats.org/officeDocument/2006/relationships/hyperlink" Target="https://admin.meddra.org/sites/default/files/guidance/file/SMQ_intguide_26_1_English.pdf" TargetMode="External"/><Relationship Id="rId40" Type="http://schemas.openxmlformats.org/officeDocument/2006/relationships/hyperlink" Target="https://www.servicesaustralia.gov.au/australian-immunisation-register" TargetMode="External"/><Relationship Id="rId45" Type="http://schemas.openxmlformats.org/officeDocument/2006/relationships/hyperlink" Target="https://www.tga.gov.au/resources/resource/reference-material/daen-medicines-information-consumers#what-the-tga-does-with-information-in-the-database" TargetMode="External"/><Relationship Id="rId53" Type="http://schemas.openxmlformats.org/officeDocument/2006/relationships/hyperlink" Target="https://doi.org/10.1001/jama.2023.7683" TargetMode="External"/><Relationship Id="rId58"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footer" Target="footer2.xml"/><Relationship Id="rId19" Type="http://schemas.openxmlformats.org/officeDocument/2006/relationships/image" Target="media/image3.jpg"/><Relationship Id="rId14" Type="http://schemas.openxmlformats.org/officeDocument/2006/relationships/hyperlink" Target="https://www.cdc.gov.au/topics/communicable-diseases/cdi/authors" TargetMode="External"/><Relationship Id="rId22" Type="http://schemas.openxmlformats.org/officeDocument/2006/relationships/image" Target="media/image6.jpg"/><Relationship Id="rId27" Type="http://schemas.openxmlformats.org/officeDocument/2006/relationships/hyperlink" Target="https://www.tga.gov.au/safety/reporting-problems/reporting-adverse-events" TargetMode="External"/><Relationship Id="rId30" Type="http://schemas.openxmlformats.org/officeDocument/2006/relationships/hyperlink" Target="https://ncirs.org.au/sites/default/files/2024-03/Japanese%20encephalitis_History%20table.pdf" TargetMode="External"/><Relationship Id="rId35" Type="http://schemas.openxmlformats.org/officeDocument/2006/relationships/hyperlink" Target="https://admin.meddra.org/sites/default/files/guidance/file/intguide_26_1_English.pdf" TargetMode="External"/><Relationship Id="rId43" Type="http://schemas.openxmlformats.org/officeDocument/2006/relationships/hyperlink" Target="https://www.R-project.org/" TargetMode="External"/><Relationship Id="rId48" Type="http://schemas.openxmlformats.org/officeDocument/2006/relationships/hyperlink" Target="https://ncirs.org.au/health-professionals/history-immunisation-australia" TargetMode="External"/><Relationship Id="rId56" Type="http://schemas.openxmlformats.org/officeDocument/2006/relationships/hyperlink" Target="http://ncirs.org.au/sites/default/files/2019-04/Meningococcal-history-April-2019.pdf" TargetMode="Externa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health.gov.au/sites/default/files/documents/2022/02/atagi-advice-on-seasonal-influenza-vaccines-in-2022.pdf" TargetMode="External"/><Relationship Id="rId3" Type="http://schemas.openxmlformats.org/officeDocument/2006/relationships/numbering" Target="numbering.xml"/><Relationship Id="rId12" Type="http://schemas.openxmlformats.org/officeDocument/2006/relationships/hyperlink" Target="mailto:cdi.editor@health.gov.au" TargetMode="External"/><Relationship Id="rId17" Type="http://schemas.openxmlformats.org/officeDocument/2006/relationships/hyperlink" Target="mailto:cdi.editor@health.gov.au" TargetMode="External"/><Relationship Id="rId25" Type="http://schemas.openxmlformats.org/officeDocument/2006/relationships/hyperlink" Target="mailto:yuanfei.huang@health.nsw.gov.au" TargetMode="External"/><Relationship Id="rId33" Type="http://schemas.openxmlformats.org/officeDocument/2006/relationships/hyperlink" Target="https://doi.org/10.5694/mja2.52381" TargetMode="External"/><Relationship Id="rId38" Type="http://schemas.openxmlformats.org/officeDocument/2006/relationships/hyperlink" Target="https://www.who.int/publications/i/item/9789241516990" TargetMode="External"/><Relationship Id="rId46" Type="http://schemas.openxmlformats.org/officeDocument/2006/relationships/hyperlink" Target="https://www.ema.europa.eu/en/medicines/human/EPAR/imvanex" TargetMode="External"/><Relationship Id="rId59" Type="http://schemas.openxmlformats.org/officeDocument/2006/relationships/header" Target="header2.xml"/><Relationship Id="rId20" Type="http://schemas.openxmlformats.org/officeDocument/2006/relationships/image" Target="media/image4.jpg"/><Relationship Id="rId41" Type="http://schemas.openxmlformats.org/officeDocument/2006/relationships/hyperlink" Target="https://www.health.gov.au/news/mandatory-reporting-of-japanese-encephalitis-virus-vaccines-to-the-australian-immunisation-register-began-on-21-december-2022" TargetMode="External"/><Relationship Id="rId54" Type="http://schemas.openxmlformats.org/officeDocument/2006/relationships/hyperlink" Target="https://doi.org/10.1016/j.vaccine.2015.07.035" TargetMode="External"/><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cdi.editor@health.gov.au" TargetMode="External"/><Relationship Id="rId23" Type="http://schemas.openxmlformats.org/officeDocument/2006/relationships/image" Target="media/image7.jpg"/><Relationship Id="rId28" Type="http://schemas.openxmlformats.org/officeDocument/2006/relationships/hyperlink" Target="https://www.who.int/publications/i/item/9789241507769" TargetMode="External"/><Relationship Id="rId36" Type="http://schemas.openxmlformats.org/officeDocument/2006/relationships/hyperlink" Target="https://www.meddra.org/standardised-meddra-queries" TargetMode="External"/><Relationship Id="rId49" Type="http://schemas.openxmlformats.org/officeDocument/2006/relationships/hyperlink" Target="https://www.facebook.com/TGAgovau/posts/pfbid0SUHvJqCSfi1tTNJTWjgVnasjVeDmgL6MzrSHPrH6M32zZXSFVn2rncDmjsaHNxBcl" TargetMode="External"/><Relationship Id="rId57" Type="http://schemas.openxmlformats.org/officeDocument/2006/relationships/image" Target="media/image9.jpg"/><Relationship Id="rId10" Type="http://schemas.openxmlformats.org/officeDocument/2006/relationships/hyperlink" Target="https://www.cdc.gov.au/topics/communicable-diseases/cdi" TargetMode="External"/><Relationship Id="rId31" Type="http://schemas.openxmlformats.org/officeDocument/2006/relationships/hyperlink" Target="https://doi.org/10.33321/cdi.2023.47.42" TargetMode="External"/><Relationship Id="rId44" Type="http://schemas.openxmlformats.org/officeDocument/2006/relationships/hyperlink" Target="https://www.tga.gov.au/safety/database-adverse-event-notifications-daen" TargetMode="External"/><Relationship Id="rId52" Type="http://schemas.openxmlformats.org/officeDocument/2006/relationships/hyperlink" Target="https://www.health.gov.au/resources/publications/vaccine-safety-in-australia-ausvaxsafety-summary-report-2022" TargetMode="External"/><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www.cdc.gov.au/topics/communicable-diseases/cdi/eab" TargetMode="External"/><Relationship Id="rId18" Type="http://schemas.openxmlformats.org/officeDocument/2006/relationships/image" Target="media/image2.jpg"/><Relationship Id="rId39" Type="http://schemas.openxmlformats.org/officeDocument/2006/relationships/hyperlink" Target="https://www.abs.gov.au/statistics/people/population/national-state-and-territory-population/jun-2022"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long-report-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CDI-long-report-template-2025.dotx</Template>
  <TotalTime>1</TotalTime>
  <Pages>48</Pages>
  <Words>15109</Words>
  <Characters>84314</Characters>
  <Application>Microsoft Office Word</Application>
  <DocSecurity>0</DocSecurity>
  <Lines>1338</Lines>
  <Paragraphs>380</Paragraphs>
  <ScaleCrop>false</ScaleCrop>
  <HeadingPairs>
    <vt:vector size="2" baseType="variant">
      <vt:variant>
        <vt:lpstr>Title</vt:lpstr>
      </vt:variant>
      <vt:variant>
        <vt:i4>1</vt:i4>
      </vt:variant>
    </vt:vector>
  </HeadingPairs>
  <TitlesOfParts>
    <vt:vector size="1" baseType="lpstr">
      <vt:lpstr>Communicable Diseases Intelligence - Surveillance of adverse events following immunisation in Australia annual report, 2022</vt:lpstr>
    </vt:vector>
  </TitlesOfParts>
  <Company>interim Australian Centre for Disease Control within the Department of Health, Disability and Ageing</Company>
  <LinksUpToDate>false</LinksUpToDate>
  <CharactersWithSpaces>99043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Surveillance of adverse events following immunisation in Australia annual report, 2022</dc:title>
  <dc:subject>The Therapeutic Goods Administration monitors the safety of vaccines in Australia through collecting and reviewing spontaneous reports of adverse events following immunisation. This report describes the data collected through this spontaneous surveillance system in 2022 for all vaccines other than COVID-19 vaccines.</dc:subject>
  <dc:creator>Yuanfei Anny Huang; Claire Larter; Megan Hickie; Megan O’Moore; Belinda Jones; Lucy Deng; Sophie Russell; Elspeth Kay; Kristine Macartney; Nicholas Wood</dc:creator>
  <cp:keywords>AEFI; adverse events; vaccines; surveillance; immunisation; vaccine</cp:keywords>
  <dc:description>© 2025 Commonwealth of Australia as represented by the Department of Health, Disability and Ageing. This publication is licenced under a CC BY-NC-ND licence.</dc:description>
  <cp:revision>2</cp:revision>
  <cp:lastPrinted>2024-03-07T01:06:00Z</cp:lastPrinted>
  <dcterms:created xsi:type="dcterms:W3CDTF">2025-12-01T03:32:00Z</dcterms:created>
  <dcterms:modified xsi:type="dcterms:W3CDTF">2025-12-01T03:32:00Z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17.12.2025</vt:lpwstr>
  </property>
  <property fmtid="{D5CDD505-2E9C-101B-9397-08002B2CF9AE}" pid="5" name="DOI">
    <vt:lpwstr>doi.org/10.33321/cdi.2025.49.043</vt:lpwstr>
  </property>
  <property fmtid="{D5CDD505-2E9C-101B-9397-08002B2CF9AE}" pid="6" name="ClassificationContentMarkingHeaderShapeIds">
    <vt:lpwstr>644542cc,2c0f9685,2068767b</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54dbff6a,d9ec7c5,1b473874</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2025-08-24T23:10:09Z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63deb136-61c8-46ac-96d2-abcdfae7a143</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