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EE9E7" w14:textId="529DFDA9" w:rsidR="00D22CC8" w:rsidRPr="00B85B74" w:rsidRDefault="007F7B26" w:rsidP="00700338">
      <w:pPr>
        <w:pStyle w:val="CDIPublicationstring"/>
      </w:pPr>
      <w:r w:rsidRPr="00B85B74">
        <w:rPr>
          <w:noProof/>
        </w:rPr>
        <w:drawing>
          <wp:anchor distT="0" distB="0" distL="114300" distR="114300" simplePos="0" relativeHeight="251658240" behindDoc="1" locked="1" layoutInCell="1" allowOverlap="1" wp14:anchorId="73095E29" wp14:editId="496E3C56">
            <wp:simplePos x="0" y="0"/>
            <wp:positionH relativeFrom="page">
              <wp:align>left</wp:align>
            </wp:positionH>
            <wp:positionV relativeFrom="page">
              <wp:align>top</wp:align>
            </wp:positionV>
            <wp:extent cx="7560000" cy="10692000"/>
            <wp:effectExtent l="0" t="0" r="3175" b="0"/>
            <wp:wrapNone/>
            <wp:docPr id="632511823" name="Picture 1" descr="Dark blue shape displaying the logo of Communicable Diseases Intelligence. White and light blue shapes feature a lockup displaying the logos of the interim Australian Centre for Disease Control and the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hite and light blue shapes feature a lockup displaying the logos of the interim Australian Centre for Disease Control and the Department of Health, Disability and Ageing."/>
                    <pic:cNvPicPr/>
                  </pic:nvPicPr>
                  <pic:blipFill>
                    <a:blip r:embed="rId9"/>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FC1685">
          <w:t>2025</w:t>
        </w:r>
      </w:fldSimple>
      <w:r w:rsidR="00D22CC8" w:rsidRPr="00B85B74">
        <w:t xml:space="preserve"> • Volume </w:t>
      </w:r>
      <w:fldSimple w:instr=" DOCPROPERTY  Vol  \* MERGEFORMAT ">
        <w:r w:rsidR="00FC1685">
          <w:t>49</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331C76">
          <w:t>18.11.2025</w:t>
        </w:r>
      </w:fldSimple>
      <w:r w:rsidR="00700338">
        <w:t xml:space="preserve"> </w:t>
      </w:r>
      <w:r w:rsidR="00700338" w:rsidRPr="00B85B74">
        <w:t xml:space="preserve">• </w:t>
      </w:r>
      <w:fldSimple w:instr=" DOCPROPERTY  DOI  \* MERGEFORMAT ">
        <w:r w:rsidR="00331C76">
          <w:t>doi.org/10.33321/cdi.2025.49.057</w:t>
        </w:r>
      </w:fldSimple>
    </w:p>
    <w:p w14:paraId="747FFFD5" w14:textId="50561BEA" w:rsidR="006B16A5" w:rsidRPr="00142578" w:rsidRDefault="006728F3" w:rsidP="00CE2CC7">
      <w:pPr>
        <w:pStyle w:val="Title"/>
      </w:pPr>
      <w:r w:rsidRPr="006728F3">
        <w:t>Australian Meningococcal Surveillance Programme Annual Report, 2024</w:t>
      </w:r>
    </w:p>
    <w:p w14:paraId="6D868211" w14:textId="774141D9" w:rsidR="00013B65" w:rsidRDefault="006728F3" w:rsidP="00BB3320">
      <w:pPr>
        <w:pStyle w:val="Subtitle"/>
      </w:pPr>
      <w:r w:rsidRPr="006728F3">
        <w:t>Monica M Lahra, Siobhan M. Hurley, C R Robert George, Sebastiaan</w:t>
      </w:r>
      <w:r>
        <w:t> </w:t>
      </w:r>
      <w:r w:rsidRPr="006728F3">
        <w:t>J</w:t>
      </w:r>
      <w:r>
        <w:t> </w:t>
      </w:r>
      <w:r w:rsidRPr="006728F3">
        <w:t>van</w:t>
      </w:r>
      <w:r>
        <w:t> </w:t>
      </w:r>
      <w:r w:rsidRPr="006728F3">
        <w:t>Hal and Tiffany R Hogan for the National Neisseria Network</w:t>
      </w:r>
      <w:r w:rsidR="00013B65">
        <w:br w:type="page"/>
      </w:r>
    </w:p>
    <w:p w14:paraId="5C38B166"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FC1685">
          <w:t>2025</w:t>
        </w:r>
      </w:fldSimple>
      <w:r w:rsidRPr="0089025E">
        <w:t xml:space="preserve"> Commonwealth of Australia as represented by the </w:t>
      </w:r>
      <w:r w:rsidR="007B537E">
        <w:t>Department of Health</w:t>
      </w:r>
      <w:r w:rsidR="0022524E">
        <w:t>, Disability</w:t>
      </w:r>
      <w:r w:rsidR="007B537E">
        <w:t xml:space="preserve"> and </w:t>
      </w:r>
      <w:r w:rsidR="0022524E">
        <w:t>Ageing</w:t>
      </w:r>
    </w:p>
    <w:p w14:paraId="05FA6D33" w14:textId="77777777" w:rsidR="00B52457" w:rsidRPr="0089025E" w:rsidRDefault="00B52457" w:rsidP="00087CC4">
      <w:pPr>
        <w:pStyle w:val="CDICopyright"/>
      </w:pPr>
      <w:r w:rsidRPr="0089025E">
        <w:t>ISSN: 2209-6051 Online</w:t>
      </w:r>
    </w:p>
    <w:p w14:paraId="733BFA84" w14:textId="77777777" w:rsidR="00B52457" w:rsidRDefault="00B52457" w:rsidP="00087CC4">
      <w:pPr>
        <w:pStyle w:val="CDICopyright"/>
      </w:pPr>
      <w:r w:rsidRPr="0089025E">
        <w:t>This journal is indexed by Index Medicus and Medline.</w:t>
      </w:r>
    </w:p>
    <w:p w14:paraId="5F06949C" w14:textId="77777777" w:rsidR="00B52457" w:rsidRPr="007F2B27" w:rsidRDefault="00B52457" w:rsidP="00CC3648">
      <w:pPr>
        <w:pStyle w:val="CDICopyrightHeading"/>
      </w:pPr>
      <w:r w:rsidRPr="007F2B27">
        <w:t>Creative Commons Licence</w:t>
      </w:r>
    </w:p>
    <w:p w14:paraId="1A800BDA"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3D53623E" w14:textId="77777777" w:rsidR="00B52457" w:rsidRPr="007F2B27" w:rsidRDefault="00B52457" w:rsidP="00CC3648">
      <w:pPr>
        <w:pStyle w:val="CDICopyrightHeading"/>
      </w:pPr>
      <w:r w:rsidRPr="007F2B27">
        <w:t>Restrictions</w:t>
      </w:r>
    </w:p>
    <w:p w14:paraId="42ECB944"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0E8C5041" w14:textId="77777777" w:rsidR="00B52457" w:rsidRPr="00E9313B" w:rsidRDefault="00B52457" w:rsidP="00E9313B">
      <w:pPr>
        <w:pStyle w:val="CDICopyrightBullets"/>
      </w:pPr>
      <w:r w:rsidRPr="006C7D54">
        <w:t xml:space="preserve">the </w:t>
      </w:r>
      <w:r w:rsidRPr="00E9313B">
        <w:t xml:space="preserve">Commonwealth Coat of Arms (by way of information, the terms under which the Coat of Arms may be used can be found on the Department of Prime Minister and Cabinet </w:t>
      </w:r>
      <w:proofErr w:type="gramStart"/>
      <w:r w:rsidRPr="00E9313B">
        <w:t>website;</w:t>
      </w:r>
      <w:proofErr w:type="gramEnd"/>
    </w:p>
    <w:p w14:paraId="37EF8C54" w14:textId="77777777" w:rsidR="00B52457" w:rsidRPr="003C23C9" w:rsidRDefault="0022524E" w:rsidP="00E9313B">
      <w:pPr>
        <w:pStyle w:val="CDICopyrightBullets"/>
      </w:pPr>
      <w:r w:rsidRPr="0022524E">
        <w:t xml:space="preserve">any logos (including the interim Australian Centre for Disease Control and the Department of Health, Disability and Ageing’s logos) and </w:t>
      </w:r>
      <w:proofErr w:type="gramStart"/>
      <w:r w:rsidRPr="0022524E">
        <w:t>trademarks</w:t>
      </w:r>
      <w:r w:rsidR="00B52457" w:rsidRPr="003C23C9">
        <w:t>;</w:t>
      </w:r>
      <w:proofErr w:type="gramEnd"/>
    </w:p>
    <w:p w14:paraId="7BE74DA0" w14:textId="77777777" w:rsidR="00B52457" w:rsidRPr="00E9313B" w:rsidRDefault="00B52457" w:rsidP="00E9313B">
      <w:pPr>
        <w:pStyle w:val="CDICopyrightBullets"/>
      </w:pPr>
      <w:r w:rsidRPr="00E9313B">
        <w:t xml:space="preserve">any photographs and </w:t>
      </w:r>
      <w:proofErr w:type="gramStart"/>
      <w:r w:rsidRPr="00E9313B">
        <w:t>images;</w:t>
      </w:r>
      <w:proofErr w:type="gramEnd"/>
      <w:r w:rsidRPr="00E9313B">
        <w:t xml:space="preserve"> </w:t>
      </w:r>
    </w:p>
    <w:p w14:paraId="7399EE87" w14:textId="77777777" w:rsidR="00B52457" w:rsidRPr="00E9313B" w:rsidRDefault="00B52457" w:rsidP="00E9313B">
      <w:pPr>
        <w:pStyle w:val="CDICopyrightBullets"/>
      </w:pPr>
      <w:r w:rsidRPr="00E9313B">
        <w:t>any signatures; and</w:t>
      </w:r>
    </w:p>
    <w:p w14:paraId="7360B789" w14:textId="77777777" w:rsidR="00B52457" w:rsidRPr="003C23C9" w:rsidRDefault="00B52457" w:rsidP="00E9313B">
      <w:pPr>
        <w:pStyle w:val="CDICopyrightBullets"/>
      </w:pPr>
      <w:r w:rsidRPr="00E9313B">
        <w:t>any</w:t>
      </w:r>
      <w:r w:rsidRPr="003C23C9">
        <w:t xml:space="preserve"> material belonging to third parties.</w:t>
      </w:r>
    </w:p>
    <w:p w14:paraId="606E04C5" w14:textId="77777777" w:rsidR="00B52457" w:rsidRPr="00CC3648" w:rsidRDefault="00B52457" w:rsidP="00CC3648">
      <w:pPr>
        <w:pStyle w:val="CDICopyrightHeading"/>
      </w:pPr>
      <w:r w:rsidRPr="00CC3648">
        <w:t>Disclaimer</w:t>
      </w:r>
    </w:p>
    <w:p w14:paraId="77B9D919" w14:textId="50CDD075"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 the interim Australian Centre for Disease Control or the Department of Health, Disability and Ageing</w:t>
      </w:r>
      <w:r w:rsidRPr="0089025E">
        <w:t>. Data may be subject to revision.</w:t>
      </w:r>
    </w:p>
    <w:p w14:paraId="2FCA84A0" w14:textId="77777777" w:rsidR="00B52457" w:rsidRPr="007F2B27" w:rsidRDefault="00B52457" w:rsidP="00CC3648">
      <w:pPr>
        <w:pStyle w:val="CDICopyrightHeading"/>
      </w:pPr>
      <w:r w:rsidRPr="007F2B27">
        <w:t>Enquiries</w:t>
      </w:r>
    </w:p>
    <w:p w14:paraId="074EC160"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735D2BC8" w14:textId="77777777" w:rsidR="00B52457" w:rsidRPr="00A65DFA" w:rsidRDefault="00B52457" w:rsidP="00B52457">
      <w:pPr>
        <w:pStyle w:val="CDIAbout"/>
      </w:pPr>
      <w:bookmarkStart w:id="1" w:name="_Toc190257376"/>
      <w:r>
        <w:t xml:space="preserve">About </w:t>
      </w:r>
      <w:bookmarkEnd w:id="1"/>
      <w:r w:rsidR="0022524E">
        <w:t>CDI</w:t>
      </w:r>
    </w:p>
    <w:p w14:paraId="5865826E"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interim Australian Centre for Disease Control within the Department of Health, Disability and Ageing.</w:t>
      </w:r>
    </w:p>
    <w:p w14:paraId="494989A8" w14:textId="77777777" w:rsidR="009572C6" w:rsidRDefault="009572C6" w:rsidP="009572C6">
      <w:pPr>
        <w:pStyle w:val="CDIAbouttextLess"/>
      </w:pPr>
      <w:r w:rsidRPr="009572C6">
        <w:t>The journal aims to disseminate information on the epidemiology, surveillance, prevention and control of communicable diseases of relevance to Australia and the near region.</w:t>
      </w:r>
    </w:p>
    <w:p w14:paraId="2532C7C0" w14:textId="77777777" w:rsidR="00B52457" w:rsidRPr="00D8087F" w:rsidRDefault="00B52457" w:rsidP="00D8087F">
      <w:pPr>
        <w:pStyle w:val="CDIAbouttext"/>
      </w:pPr>
      <w:r w:rsidRPr="00D8087F">
        <w:rPr>
          <w:b/>
          <w:bCs/>
        </w:rPr>
        <w:t>Editor</w:t>
      </w:r>
      <w:r w:rsidRPr="00D8087F">
        <w:t xml:space="preserve">: Christina Bareja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2825E2CC"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507A81FA"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06D933CF"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55A53376" w14:textId="77777777" w:rsidR="00B52457" w:rsidRPr="00B87589" w:rsidRDefault="00B52457" w:rsidP="00B87589">
      <w:pPr>
        <w:pStyle w:val="CDIAbouttext"/>
        <w:rPr>
          <w:b/>
          <w:bCs/>
        </w:rPr>
      </w:pPr>
      <w:r w:rsidRPr="00B87589">
        <w:rPr>
          <w:b/>
          <w:bCs/>
        </w:rPr>
        <w:t>Contact us</w:t>
      </w:r>
    </w:p>
    <w:p w14:paraId="3DB4169A" w14:textId="77777777" w:rsidR="00B52457" w:rsidRPr="00087CC4" w:rsidRDefault="00B52457" w:rsidP="00360B3A">
      <w:pPr>
        <w:pStyle w:val="CDIAbouttextLess"/>
      </w:pPr>
      <w:r w:rsidRPr="009572C6">
        <w:t>Communicable Diseases Intelligence</w:t>
      </w:r>
      <w:r w:rsidRPr="00087CC4">
        <w:t xml:space="preserve"> (CDI)</w:t>
      </w:r>
    </w:p>
    <w:p w14:paraId="40D3D887" w14:textId="77777777" w:rsidR="00B52457" w:rsidRPr="00087CC4" w:rsidRDefault="009572C6" w:rsidP="00360B3A">
      <w:pPr>
        <w:pStyle w:val="CDIAbouttextLess"/>
      </w:pPr>
      <w:r>
        <w:t>interim Australian Centre for Disease Control, Department of Health, Disability and Ageing</w:t>
      </w:r>
    </w:p>
    <w:p w14:paraId="1A2690EE" w14:textId="77777777" w:rsidR="00B52457" w:rsidRPr="0089025E" w:rsidRDefault="00B52457" w:rsidP="00360B3A">
      <w:pPr>
        <w:pStyle w:val="CDIAbouttextLess"/>
      </w:pPr>
      <w:r w:rsidRPr="00087CC4">
        <w:t>GPO Box 9848, CANBERRA</w:t>
      </w:r>
      <w:r w:rsidRPr="0089025E">
        <w:t xml:space="preserve"> ACT 2601</w:t>
      </w:r>
    </w:p>
    <w:p w14:paraId="5492C4CA"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1D945A6B" w14:textId="77777777" w:rsidR="00B52457" w:rsidRPr="0089025E" w:rsidRDefault="00B52457" w:rsidP="00360B3A">
      <w:pPr>
        <w:pStyle w:val="CDIAbouttextLess"/>
      </w:pPr>
      <w:r w:rsidRPr="0089025E">
        <w:t xml:space="preserve">Email: </w:t>
      </w:r>
      <w:hyperlink r:id="rId17" w:history="1">
        <w:r w:rsidRPr="000C6EB5">
          <w:rPr>
            <w:rStyle w:val="Hyperlink"/>
          </w:rPr>
          <w:t>cdi.editor@health.gov.au</w:t>
        </w:r>
      </w:hyperlink>
    </w:p>
    <w:p w14:paraId="5F5D76F6"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13312888"/>
      <w:bookmarkStart w:id="7" w:name="_Toc213312963"/>
      <w:bookmarkStart w:id="8" w:name="_Toc195530496"/>
      <w:r>
        <w:lastRenderedPageBreak/>
        <w:t>Contents</w:t>
      </w:r>
      <w:bookmarkEnd w:id="2"/>
      <w:bookmarkEnd w:id="3"/>
      <w:bookmarkEnd w:id="4"/>
      <w:bookmarkEnd w:id="5"/>
      <w:bookmarkEnd w:id="6"/>
      <w:bookmarkEnd w:id="7"/>
    </w:p>
    <w:p w14:paraId="0A2EEAB5" w14:textId="3EA150FF" w:rsidR="00BD22B4" w:rsidRPr="007857ED" w:rsidRDefault="005A4E9D" w:rsidP="00BD22B4">
      <w:pPr>
        <w:pStyle w:val="TOC1"/>
      </w:pPr>
      <w:r>
        <w:fldChar w:fldCharType="begin"/>
      </w:r>
      <w:r>
        <w:instrText xml:space="preserve"> TOC \o "1-1" \h \z \t "Heading 2,2,Heading 2 - no space before,2,Heading 2 - less space before,2,Heading 2 - new page,2" </w:instrText>
      </w:r>
      <w:r>
        <w:fldChar w:fldCharType="separate"/>
      </w:r>
      <w:hyperlink w:anchor="_Toc213312964" w:history="1">
        <w:r w:rsidR="00BD22B4" w:rsidRPr="00252496">
          <w:rPr>
            <w:rStyle w:val="Hyperlink"/>
            <w:noProof/>
          </w:rPr>
          <w:t>List of figures</w:t>
        </w:r>
        <w:r w:rsidR="00BD22B4">
          <w:rPr>
            <w:noProof/>
            <w:webHidden/>
          </w:rPr>
          <w:tab/>
        </w:r>
        <w:r w:rsidR="00BD22B4">
          <w:rPr>
            <w:noProof/>
            <w:webHidden/>
          </w:rPr>
          <w:fldChar w:fldCharType="begin"/>
        </w:r>
        <w:r w:rsidR="00BD22B4">
          <w:rPr>
            <w:noProof/>
            <w:webHidden/>
          </w:rPr>
          <w:instrText xml:space="preserve"> PAGEREF _Toc213312964 \h </w:instrText>
        </w:r>
        <w:r w:rsidR="00BD22B4">
          <w:rPr>
            <w:noProof/>
            <w:webHidden/>
          </w:rPr>
        </w:r>
        <w:r w:rsidR="00BD22B4">
          <w:rPr>
            <w:noProof/>
            <w:webHidden/>
          </w:rPr>
          <w:fldChar w:fldCharType="separate"/>
        </w:r>
        <w:r w:rsidR="00BF209E">
          <w:rPr>
            <w:noProof/>
            <w:webHidden/>
          </w:rPr>
          <w:t>4</w:t>
        </w:r>
        <w:r w:rsidR="00BD22B4">
          <w:rPr>
            <w:noProof/>
            <w:webHidden/>
          </w:rPr>
          <w:fldChar w:fldCharType="end"/>
        </w:r>
      </w:hyperlink>
    </w:p>
    <w:p w14:paraId="44EEE484" w14:textId="0387B3BB" w:rsidR="00BD22B4" w:rsidRPr="007857ED" w:rsidRDefault="00BD22B4" w:rsidP="00BD22B4">
      <w:pPr>
        <w:pStyle w:val="TOC1"/>
      </w:pPr>
      <w:hyperlink w:anchor="_Toc213312965" w:history="1">
        <w:r w:rsidRPr="00252496">
          <w:rPr>
            <w:rStyle w:val="Hyperlink"/>
            <w:noProof/>
          </w:rPr>
          <w:t>List of tables</w:t>
        </w:r>
        <w:r>
          <w:rPr>
            <w:noProof/>
            <w:webHidden/>
          </w:rPr>
          <w:tab/>
        </w:r>
        <w:r>
          <w:rPr>
            <w:noProof/>
            <w:webHidden/>
          </w:rPr>
          <w:fldChar w:fldCharType="begin"/>
        </w:r>
        <w:r>
          <w:rPr>
            <w:noProof/>
            <w:webHidden/>
          </w:rPr>
          <w:instrText xml:space="preserve"> PAGEREF _Toc213312965 \h </w:instrText>
        </w:r>
        <w:r>
          <w:rPr>
            <w:noProof/>
            <w:webHidden/>
          </w:rPr>
        </w:r>
        <w:r>
          <w:rPr>
            <w:noProof/>
            <w:webHidden/>
          </w:rPr>
          <w:fldChar w:fldCharType="separate"/>
        </w:r>
        <w:r w:rsidR="00BF209E">
          <w:rPr>
            <w:noProof/>
            <w:webHidden/>
          </w:rPr>
          <w:t>4</w:t>
        </w:r>
        <w:r>
          <w:rPr>
            <w:noProof/>
            <w:webHidden/>
          </w:rPr>
          <w:fldChar w:fldCharType="end"/>
        </w:r>
      </w:hyperlink>
    </w:p>
    <w:p w14:paraId="1BC16FBA" w14:textId="0829D5A3" w:rsidR="00BD22B4" w:rsidRPr="007857ED" w:rsidRDefault="00BD22B4">
      <w:pPr>
        <w:pStyle w:val="TOC1"/>
      </w:pPr>
      <w:hyperlink w:anchor="_Toc213312966" w:history="1">
        <w:r w:rsidRPr="00252496">
          <w:rPr>
            <w:rStyle w:val="Hyperlink"/>
            <w:noProof/>
          </w:rPr>
          <w:t>Abstract</w:t>
        </w:r>
        <w:r>
          <w:rPr>
            <w:noProof/>
            <w:webHidden/>
          </w:rPr>
          <w:tab/>
        </w:r>
        <w:r>
          <w:rPr>
            <w:noProof/>
            <w:webHidden/>
          </w:rPr>
          <w:fldChar w:fldCharType="begin"/>
        </w:r>
        <w:r>
          <w:rPr>
            <w:noProof/>
            <w:webHidden/>
          </w:rPr>
          <w:instrText xml:space="preserve"> PAGEREF _Toc213312966 \h </w:instrText>
        </w:r>
        <w:r>
          <w:rPr>
            <w:noProof/>
            <w:webHidden/>
          </w:rPr>
        </w:r>
        <w:r>
          <w:rPr>
            <w:noProof/>
            <w:webHidden/>
          </w:rPr>
          <w:fldChar w:fldCharType="separate"/>
        </w:r>
        <w:r w:rsidR="00BF209E">
          <w:rPr>
            <w:noProof/>
            <w:webHidden/>
          </w:rPr>
          <w:t>5</w:t>
        </w:r>
        <w:r>
          <w:rPr>
            <w:noProof/>
            <w:webHidden/>
          </w:rPr>
          <w:fldChar w:fldCharType="end"/>
        </w:r>
      </w:hyperlink>
    </w:p>
    <w:p w14:paraId="66E7E8E4" w14:textId="2FEA9B92" w:rsidR="00BD22B4" w:rsidRPr="007857ED" w:rsidRDefault="00BD22B4">
      <w:pPr>
        <w:pStyle w:val="TOC1"/>
      </w:pPr>
      <w:hyperlink w:anchor="_Toc213312967" w:history="1">
        <w:r w:rsidRPr="00252496">
          <w:rPr>
            <w:rStyle w:val="Hyperlink"/>
            <w:noProof/>
          </w:rPr>
          <w:t>Introduction</w:t>
        </w:r>
        <w:r>
          <w:rPr>
            <w:noProof/>
            <w:webHidden/>
          </w:rPr>
          <w:tab/>
        </w:r>
        <w:r>
          <w:rPr>
            <w:noProof/>
            <w:webHidden/>
          </w:rPr>
          <w:fldChar w:fldCharType="begin"/>
        </w:r>
        <w:r>
          <w:rPr>
            <w:noProof/>
            <w:webHidden/>
          </w:rPr>
          <w:instrText xml:space="preserve"> PAGEREF _Toc213312967 \h </w:instrText>
        </w:r>
        <w:r>
          <w:rPr>
            <w:noProof/>
            <w:webHidden/>
          </w:rPr>
        </w:r>
        <w:r>
          <w:rPr>
            <w:noProof/>
            <w:webHidden/>
          </w:rPr>
          <w:fldChar w:fldCharType="separate"/>
        </w:r>
        <w:r w:rsidR="00BF209E">
          <w:rPr>
            <w:noProof/>
            <w:webHidden/>
          </w:rPr>
          <w:t>6</w:t>
        </w:r>
        <w:r>
          <w:rPr>
            <w:noProof/>
            <w:webHidden/>
          </w:rPr>
          <w:fldChar w:fldCharType="end"/>
        </w:r>
      </w:hyperlink>
    </w:p>
    <w:p w14:paraId="69DE671D" w14:textId="13FA11B8" w:rsidR="00BD22B4" w:rsidRPr="007857ED" w:rsidRDefault="00BD22B4">
      <w:pPr>
        <w:pStyle w:val="TOC1"/>
      </w:pPr>
      <w:hyperlink w:anchor="_Toc213312968" w:history="1">
        <w:r w:rsidRPr="00252496">
          <w:rPr>
            <w:rStyle w:val="Hyperlink"/>
            <w:noProof/>
            <w:lang w:val="en-GB"/>
          </w:rPr>
          <w:t>Methods</w:t>
        </w:r>
        <w:r>
          <w:rPr>
            <w:noProof/>
            <w:webHidden/>
          </w:rPr>
          <w:tab/>
        </w:r>
        <w:r>
          <w:rPr>
            <w:noProof/>
            <w:webHidden/>
          </w:rPr>
          <w:fldChar w:fldCharType="begin"/>
        </w:r>
        <w:r>
          <w:rPr>
            <w:noProof/>
            <w:webHidden/>
          </w:rPr>
          <w:instrText xml:space="preserve"> PAGEREF _Toc213312968 \h </w:instrText>
        </w:r>
        <w:r>
          <w:rPr>
            <w:noProof/>
            <w:webHidden/>
          </w:rPr>
        </w:r>
        <w:r>
          <w:rPr>
            <w:noProof/>
            <w:webHidden/>
          </w:rPr>
          <w:fldChar w:fldCharType="separate"/>
        </w:r>
        <w:r w:rsidR="00BF209E">
          <w:rPr>
            <w:noProof/>
            <w:webHidden/>
          </w:rPr>
          <w:t>7</w:t>
        </w:r>
        <w:r>
          <w:rPr>
            <w:noProof/>
            <w:webHidden/>
          </w:rPr>
          <w:fldChar w:fldCharType="end"/>
        </w:r>
      </w:hyperlink>
    </w:p>
    <w:p w14:paraId="1426C025" w14:textId="71D1ADA3" w:rsidR="00BD22B4" w:rsidRPr="007857ED" w:rsidRDefault="00BD22B4">
      <w:pPr>
        <w:pStyle w:val="TOC2"/>
        <w:tabs>
          <w:tab w:val="right" w:leader="dot" w:pos="9629"/>
        </w:tabs>
      </w:pPr>
      <w:hyperlink w:anchor="_Toc213312969" w:history="1">
        <w:r w:rsidRPr="00252496">
          <w:rPr>
            <w:rStyle w:val="Hyperlink"/>
            <w:noProof/>
            <w:lang w:val="en-GB"/>
          </w:rPr>
          <w:t>Case confirmation of invasive meningococcal disease</w:t>
        </w:r>
        <w:r>
          <w:rPr>
            <w:noProof/>
            <w:webHidden/>
          </w:rPr>
          <w:tab/>
        </w:r>
        <w:r>
          <w:rPr>
            <w:noProof/>
            <w:webHidden/>
          </w:rPr>
          <w:fldChar w:fldCharType="begin"/>
        </w:r>
        <w:r>
          <w:rPr>
            <w:noProof/>
            <w:webHidden/>
          </w:rPr>
          <w:instrText xml:space="preserve"> PAGEREF _Toc213312969 \h </w:instrText>
        </w:r>
        <w:r>
          <w:rPr>
            <w:noProof/>
            <w:webHidden/>
          </w:rPr>
        </w:r>
        <w:r>
          <w:rPr>
            <w:noProof/>
            <w:webHidden/>
          </w:rPr>
          <w:fldChar w:fldCharType="separate"/>
        </w:r>
        <w:r w:rsidR="00BF209E">
          <w:rPr>
            <w:noProof/>
            <w:webHidden/>
          </w:rPr>
          <w:t>7</w:t>
        </w:r>
        <w:r>
          <w:rPr>
            <w:noProof/>
            <w:webHidden/>
          </w:rPr>
          <w:fldChar w:fldCharType="end"/>
        </w:r>
      </w:hyperlink>
    </w:p>
    <w:p w14:paraId="2DA6018B" w14:textId="417CDCCB" w:rsidR="00BD22B4" w:rsidRPr="007857ED" w:rsidRDefault="00BD22B4">
      <w:pPr>
        <w:pStyle w:val="TOC2"/>
        <w:tabs>
          <w:tab w:val="right" w:leader="dot" w:pos="9629"/>
        </w:tabs>
      </w:pPr>
      <w:hyperlink w:anchor="_Toc213312970" w:history="1">
        <w:r w:rsidRPr="00252496">
          <w:rPr>
            <w:rStyle w:val="Hyperlink"/>
            <w:noProof/>
            <w:lang w:val="en-GB"/>
          </w:rPr>
          <w:t xml:space="preserve">Serogroup and genotyping of </w:t>
        </w:r>
        <w:r w:rsidRPr="00252496">
          <w:rPr>
            <w:rStyle w:val="Hyperlink"/>
            <w:i/>
            <w:iCs/>
            <w:noProof/>
            <w:lang w:val="en-GB"/>
          </w:rPr>
          <w:t>Neisseria meningitidis</w:t>
        </w:r>
        <w:r>
          <w:rPr>
            <w:noProof/>
            <w:webHidden/>
          </w:rPr>
          <w:tab/>
        </w:r>
        <w:r>
          <w:rPr>
            <w:noProof/>
            <w:webHidden/>
          </w:rPr>
          <w:fldChar w:fldCharType="begin"/>
        </w:r>
        <w:r>
          <w:rPr>
            <w:noProof/>
            <w:webHidden/>
          </w:rPr>
          <w:instrText xml:space="preserve"> PAGEREF _Toc213312970 \h </w:instrText>
        </w:r>
        <w:r>
          <w:rPr>
            <w:noProof/>
            <w:webHidden/>
          </w:rPr>
        </w:r>
        <w:r>
          <w:rPr>
            <w:noProof/>
            <w:webHidden/>
          </w:rPr>
          <w:fldChar w:fldCharType="separate"/>
        </w:r>
        <w:r w:rsidR="00BF209E">
          <w:rPr>
            <w:noProof/>
            <w:webHidden/>
          </w:rPr>
          <w:t>7</w:t>
        </w:r>
        <w:r>
          <w:rPr>
            <w:noProof/>
            <w:webHidden/>
          </w:rPr>
          <w:fldChar w:fldCharType="end"/>
        </w:r>
      </w:hyperlink>
    </w:p>
    <w:p w14:paraId="5495EA84" w14:textId="2323BDF4" w:rsidR="00BD22B4" w:rsidRPr="007857ED" w:rsidRDefault="00BD22B4">
      <w:pPr>
        <w:pStyle w:val="TOC2"/>
        <w:tabs>
          <w:tab w:val="right" w:leader="dot" w:pos="9629"/>
        </w:tabs>
      </w:pPr>
      <w:hyperlink w:anchor="_Toc213312971" w:history="1">
        <w:r w:rsidRPr="00252496">
          <w:rPr>
            <w:rStyle w:val="Hyperlink"/>
            <w:noProof/>
            <w:lang w:val="en-GB"/>
          </w:rPr>
          <w:t>Antimicrobial susceptibility testing</w:t>
        </w:r>
        <w:r>
          <w:rPr>
            <w:noProof/>
            <w:webHidden/>
          </w:rPr>
          <w:tab/>
        </w:r>
        <w:r>
          <w:rPr>
            <w:noProof/>
            <w:webHidden/>
          </w:rPr>
          <w:fldChar w:fldCharType="begin"/>
        </w:r>
        <w:r>
          <w:rPr>
            <w:noProof/>
            <w:webHidden/>
          </w:rPr>
          <w:instrText xml:space="preserve"> PAGEREF _Toc213312971 \h </w:instrText>
        </w:r>
        <w:r>
          <w:rPr>
            <w:noProof/>
            <w:webHidden/>
          </w:rPr>
        </w:r>
        <w:r>
          <w:rPr>
            <w:noProof/>
            <w:webHidden/>
          </w:rPr>
          <w:fldChar w:fldCharType="separate"/>
        </w:r>
        <w:r w:rsidR="00BF209E">
          <w:rPr>
            <w:noProof/>
            <w:webHidden/>
          </w:rPr>
          <w:t>7</w:t>
        </w:r>
        <w:r>
          <w:rPr>
            <w:noProof/>
            <w:webHidden/>
          </w:rPr>
          <w:fldChar w:fldCharType="end"/>
        </w:r>
      </w:hyperlink>
    </w:p>
    <w:p w14:paraId="1652AC90" w14:textId="4873ABE6" w:rsidR="00BD22B4" w:rsidRPr="007857ED" w:rsidRDefault="00BD22B4">
      <w:pPr>
        <w:pStyle w:val="TOC1"/>
      </w:pPr>
      <w:hyperlink w:anchor="_Toc213312972" w:history="1">
        <w:r w:rsidRPr="00252496">
          <w:rPr>
            <w:rStyle w:val="Hyperlink"/>
            <w:noProof/>
          </w:rPr>
          <w:t>Results</w:t>
        </w:r>
        <w:r>
          <w:rPr>
            <w:noProof/>
            <w:webHidden/>
          </w:rPr>
          <w:tab/>
        </w:r>
        <w:r>
          <w:rPr>
            <w:noProof/>
            <w:webHidden/>
          </w:rPr>
          <w:fldChar w:fldCharType="begin"/>
        </w:r>
        <w:r>
          <w:rPr>
            <w:noProof/>
            <w:webHidden/>
          </w:rPr>
          <w:instrText xml:space="preserve"> PAGEREF _Toc213312972 \h </w:instrText>
        </w:r>
        <w:r>
          <w:rPr>
            <w:noProof/>
            <w:webHidden/>
          </w:rPr>
        </w:r>
        <w:r>
          <w:rPr>
            <w:noProof/>
            <w:webHidden/>
          </w:rPr>
          <w:fldChar w:fldCharType="separate"/>
        </w:r>
        <w:r w:rsidR="00BF209E">
          <w:rPr>
            <w:noProof/>
            <w:webHidden/>
          </w:rPr>
          <w:t>8</w:t>
        </w:r>
        <w:r>
          <w:rPr>
            <w:noProof/>
            <w:webHidden/>
          </w:rPr>
          <w:fldChar w:fldCharType="end"/>
        </w:r>
      </w:hyperlink>
    </w:p>
    <w:p w14:paraId="7CB2C549" w14:textId="5DEFA989" w:rsidR="00BD22B4" w:rsidRPr="007857ED" w:rsidRDefault="00BD22B4">
      <w:pPr>
        <w:pStyle w:val="TOC2"/>
        <w:tabs>
          <w:tab w:val="right" w:leader="dot" w:pos="9629"/>
        </w:tabs>
      </w:pPr>
      <w:hyperlink w:anchor="_Toc213312973" w:history="1">
        <w:r w:rsidRPr="00252496">
          <w:rPr>
            <w:rStyle w:val="Hyperlink"/>
            <w:noProof/>
            <w:lang w:val="en-GB"/>
          </w:rPr>
          <w:t>Laboratory diagnosis of IMD</w:t>
        </w:r>
        <w:r>
          <w:rPr>
            <w:noProof/>
            <w:webHidden/>
          </w:rPr>
          <w:tab/>
        </w:r>
        <w:r>
          <w:rPr>
            <w:noProof/>
            <w:webHidden/>
          </w:rPr>
          <w:fldChar w:fldCharType="begin"/>
        </w:r>
        <w:r>
          <w:rPr>
            <w:noProof/>
            <w:webHidden/>
          </w:rPr>
          <w:instrText xml:space="preserve"> PAGEREF _Toc213312973 \h </w:instrText>
        </w:r>
        <w:r>
          <w:rPr>
            <w:noProof/>
            <w:webHidden/>
          </w:rPr>
        </w:r>
        <w:r>
          <w:rPr>
            <w:noProof/>
            <w:webHidden/>
          </w:rPr>
          <w:fldChar w:fldCharType="separate"/>
        </w:r>
        <w:r w:rsidR="00BF209E">
          <w:rPr>
            <w:noProof/>
            <w:webHidden/>
          </w:rPr>
          <w:t>9</w:t>
        </w:r>
        <w:r>
          <w:rPr>
            <w:noProof/>
            <w:webHidden/>
          </w:rPr>
          <w:fldChar w:fldCharType="end"/>
        </w:r>
      </w:hyperlink>
    </w:p>
    <w:p w14:paraId="71476B77" w14:textId="343ECD77" w:rsidR="00BD22B4" w:rsidRPr="007857ED" w:rsidRDefault="00BD22B4">
      <w:pPr>
        <w:pStyle w:val="TOC2"/>
        <w:tabs>
          <w:tab w:val="right" w:leader="dot" w:pos="9629"/>
        </w:tabs>
      </w:pPr>
      <w:hyperlink w:anchor="_Toc213312974" w:history="1">
        <w:r w:rsidRPr="00252496">
          <w:rPr>
            <w:rStyle w:val="Hyperlink"/>
            <w:noProof/>
            <w:lang w:val="en-GB"/>
          </w:rPr>
          <w:t>Notifications by jurisdiction</w:t>
        </w:r>
        <w:r>
          <w:rPr>
            <w:noProof/>
            <w:webHidden/>
          </w:rPr>
          <w:tab/>
        </w:r>
        <w:r>
          <w:rPr>
            <w:noProof/>
            <w:webHidden/>
          </w:rPr>
          <w:fldChar w:fldCharType="begin"/>
        </w:r>
        <w:r>
          <w:rPr>
            <w:noProof/>
            <w:webHidden/>
          </w:rPr>
          <w:instrText xml:space="preserve"> PAGEREF _Toc213312974 \h </w:instrText>
        </w:r>
        <w:r>
          <w:rPr>
            <w:noProof/>
            <w:webHidden/>
          </w:rPr>
        </w:r>
        <w:r>
          <w:rPr>
            <w:noProof/>
            <w:webHidden/>
          </w:rPr>
          <w:fldChar w:fldCharType="separate"/>
        </w:r>
        <w:r w:rsidR="00BF209E">
          <w:rPr>
            <w:noProof/>
            <w:webHidden/>
          </w:rPr>
          <w:t>10</w:t>
        </w:r>
        <w:r>
          <w:rPr>
            <w:noProof/>
            <w:webHidden/>
          </w:rPr>
          <w:fldChar w:fldCharType="end"/>
        </w:r>
      </w:hyperlink>
    </w:p>
    <w:p w14:paraId="5BF2AE70" w14:textId="54D7BA40" w:rsidR="00BD22B4" w:rsidRPr="007857ED" w:rsidRDefault="00BD22B4">
      <w:pPr>
        <w:pStyle w:val="TOC2"/>
        <w:tabs>
          <w:tab w:val="right" w:leader="dot" w:pos="9629"/>
        </w:tabs>
      </w:pPr>
      <w:hyperlink w:anchor="_Toc213312975" w:history="1">
        <w:r w:rsidRPr="00252496">
          <w:rPr>
            <w:rStyle w:val="Hyperlink"/>
            <w:noProof/>
            <w:lang w:val="en-GB"/>
          </w:rPr>
          <w:t>IMD age and serogroup distribution</w:t>
        </w:r>
        <w:r>
          <w:rPr>
            <w:noProof/>
            <w:webHidden/>
          </w:rPr>
          <w:tab/>
        </w:r>
        <w:r>
          <w:rPr>
            <w:noProof/>
            <w:webHidden/>
          </w:rPr>
          <w:fldChar w:fldCharType="begin"/>
        </w:r>
        <w:r>
          <w:rPr>
            <w:noProof/>
            <w:webHidden/>
          </w:rPr>
          <w:instrText xml:space="preserve"> PAGEREF _Toc213312975 \h </w:instrText>
        </w:r>
        <w:r>
          <w:rPr>
            <w:noProof/>
            <w:webHidden/>
          </w:rPr>
        </w:r>
        <w:r>
          <w:rPr>
            <w:noProof/>
            <w:webHidden/>
          </w:rPr>
          <w:fldChar w:fldCharType="separate"/>
        </w:r>
        <w:r w:rsidR="00BF209E">
          <w:rPr>
            <w:noProof/>
            <w:webHidden/>
          </w:rPr>
          <w:t>11</w:t>
        </w:r>
        <w:r>
          <w:rPr>
            <w:noProof/>
            <w:webHidden/>
          </w:rPr>
          <w:fldChar w:fldCharType="end"/>
        </w:r>
      </w:hyperlink>
    </w:p>
    <w:p w14:paraId="081AE26C" w14:textId="70038BC4" w:rsidR="00BD22B4" w:rsidRPr="007857ED" w:rsidRDefault="00BD22B4">
      <w:pPr>
        <w:pStyle w:val="TOC2"/>
        <w:tabs>
          <w:tab w:val="right" w:leader="dot" w:pos="9629"/>
        </w:tabs>
      </w:pPr>
      <w:hyperlink w:anchor="_Toc213312976" w:history="1">
        <w:r w:rsidRPr="00252496">
          <w:rPr>
            <w:rStyle w:val="Hyperlink"/>
            <w:noProof/>
            <w:lang w:val="en-GB"/>
          </w:rPr>
          <w:t>IMD and genotyping</w:t>
        </w:r>
        <w:r>
          <w:rPr>
            <w:noProof/>
            <w:webHidden/>
          </w:rPr>
          <w:tab/>
        </w:r>
        <w:r>
          <w:rPr>
            <w:noProof/>
            <w:webHidden/>
          </w:rPr>
          <w:fldChar w:fldCharType="begin"/>
        </w:r>
        <w:r>
          <w:rPr>
            <w:noProof/>
            <w:webHidden/>
          </w:rPr>
          <w:instrText xml:space="preserve"> PAGEREF _Toc213312976 \h </w:instrText>
        </w:r>
        <w:r>
          <w:rPr>
            <w:noProof/>
            <w:webHidden/>
          </w:rPr>
        </w:r>
        <w:r>
          <w:rPr>
            <w:noProof/>
            <w:webHidden/>
          </w:rPr>
          <w:fldChar w:fldCharType="separate"/>
        </w:r>
        <w:r w:rsidR="00BF209E">
          <w:rPr>
            <w:noProof/>
            <w:webHidden/>
          </w:rPr>
          <w:t>13</w:t>
        </w:r>
        <w:r>
          <w:rPr>
            <w:noProof/>
            <w:webHidden/>
          </w:rPr>
          <w:fldChar w:fldCharType="end"/>
        </w:r>
      </w:hyperlink>
    </w:p>
    <w:p w14:paraId="0A6CF3A6" w14:textId="050E3B0E" w:rsidR="00BD22B4" w:rsidRPr="007857ED" w:rsidRDefault="00BD22B4">
      <w:pPr>
        <w:pStyle w:val="TOC2"/>
        <w:tabs>
          <w:tab w:val="right" w:leader="dot" w:pos="9629"/>
        </w:tabs>
      </w:pPr>
      <w:hyperlink w:anchor="_Toc213312977" w:history="1">
        <w:r w:rsidRPr="00252496">
          <w:rPr>
            <w:rStyle w:val="Hyperlink"/>
            <w:noProof/>
            <w:lang w:val="en-GB"/>
          </w:rPr>
          <w:t>Antimicrobial susceptibility testing</w:t>
        </w:r>
        <w:r>
          <w:rPr>
            <w:noProof/>
            <w:webHidden/>
          </w:rPr>
          <w:tab/>
        </w:r>
        <w:r>
          <w:rPr>
            <w:noProof/>
            <w:webHidden/>
          </w:rPr>
          <w:fldChar w:fldCharType="begin"/>
        </w:r>
        <w:r>
          <w:rPr>
            <w:noProof/>
            <w:webHidden/>
          </w:rPr>
          <w:instrText xml:space="preserve"> PAGEREF _Toc213312977 \h </w:instrText>
        </w:r>
        <w:r>
          <w:rPr>
            <w:noProof/>
            <w:webHidden/>
          </w:rPr>
        </w:r>
        <w:r>
          <w:rPr>
            <w:noProof/>
            <w:webHidden/>
          </w:rPr>
          <w:fldChar w:fldCharType="separate"/>
        </w:r>
        <w:r w:rsidR="00BF209E">
          <w:rPr>
            <w:noProof/>
            <w:webHidden/>
          </w:rPr>
          <w:t>15</w:t>
        </w:r>
        <w:r>
          <w:rPr>
            <w:noProof/>
            <w:webHidden/>
          </w:rPr>
          <w:fldChar w:fldCharType="end"/>
        </w:r>
      </w:hyperlink>
    </w:p>
    <w:p w14:paraId="10CBD371" w14:textId="206BF627" w:rsidR="00BD22B4" w:rsidRPr="007857ED" w:rsidRDefault="00BD22B4">
      <w:pPr>
        <w:pStyle w:val="TOC1"/>
      </w:pPr>
      <w:hyperlink w:anchor="_Toc213312978" w:history="1">
        <w:r w:rsidRPr="00252496">
          <w:rPr>
            <w:rStyle w:val="Hyperlink"/>
            <w:noProof/>
          </w:rPr>
          <w:t>Discussion</w:t>
        </w:r>
        <w:r>
          <w:rPr>
            <w:noProof/>
            <w:webHidden/>
          </w:rPr>
          <w:tab/>
        </w:r>
        <w:r>
          <w:rPr>
            <w:noProof/>
            <w:webHidden/>
          </w:rPr>
          <w:fldChar w:fldCharType="begin"/>
        </w:r>
        <w:r>
          <w:rPr>
            <w:noProof/>
            <w:webHidden/>
          </w:rPr>
          <w:instrText xml:space="preserve"> PAGEREF _Toc213312978 \h </w:instrText>
        </w:r>
        <w:r>
          <w:rPr>
            <w:noProof/>
            <w:webHidden/>
          </w:rPr>
        </w:r>
        <w:r>
          <w:rPr>
            <w:noProof/>
            <w:webHidden/>
          </w:rPr>
          <w:fldChar w:fldCharType="separate"/>
        </w:r>
        <w:r w:rsidR="00BF209E">
          <w:rPr>
            <w:noProof/>
            <w:webHidden/>
          </w:rPr>
          <w:t>16</w:t>
        </w:r>
        <w:r>
          <w:rPr>
            <w:noProof/>
            <w:webHidden/>
          </w:rPr>
          <w:fldChar w:fldCharType="end"/>
        </w:r>
      </w:hyperlink>
    </w:p>
    <w:p w14:paraId="767B4900" w14:textId="64A41396" w:rsidR="00BD22B4" w:rsidRPr="007857ED" w:rsidRDefault="00BD22B4">
      <w:pPr>
        <w:pStyle w:val="TOC1"/>
      </w:pPr>
      <w:hyperlink w:anchor="_Toc213312979" w:history="1">
        <w:r w:rsidRPr="00252496">
          <w:rPr>
            <w:rStyle w:val="Hyperlink"/>
            <w:noProof/>
          </w:rPr>
          <w:t>Acknowledgments</w:t>
        </w:r>
        <w:r>
          <w:rPr>
            <w:noProof/>
            <w:webHidden/>
          </w:rPr>
          <w:tab/>
        </w:r>
        <w:r>
          <w:rPr>
            <w:noProof/>
            <w:webHidden/>
          </w:rPr>
          <w:fldChar w:fldCharType="begin"/>
        </w:r>
        <w:r>
          <w:rPr>
            <w:noProof/>
            <w:webHidden/>
          </w:rPr>
          <w:instrText xml:space="preserve"> PAGEREF _Toc213312979 \h </w:instrText>
        </w:r>
        <w:r>
          <w:rPr>
            <w:noProof/>
            <w:webHidden/>
          </w:rPr>
        </w:r>
        <w:r>
          <w:rPr>
            <w:noProof/>
            <w:webHidden/>
          </w:rPr>
          <w:fldChar w:fldCharType="separate"/>
        </w:r>
        <w:r w:rsidR="00BF209E">
          <w:rPr>
            <w:noProof/>
            <w:webHidden/>
          </w:rPr>
          <w:t>18</w:t>
        </w:r>
        <w:r>
          <w:rPr>
            <w:noProof/>
            <w:webHidden/>
          </w:rPr>
          <w:fldChar w:fldCharType="end"/>
        </w:r>
      </w:hyperlink>
    </w:p>
    <w:p w14:paraId="72AC729E" w14:textId="0BE47F2A" w:rsidR="00BD22B4" w:rsidRPr="007857ED" w:rsidRDefault="00BD22B4">
      <w:pPr>
        <w:pStyle w:val="TOC1"/>
      </w:pPr>
      <w:hyperlink w:anchor="_Toc213312980" w:history="1">
        <w:r w:rsidRPr="00252496">
          <w:rPr>
            <w:rStyle w:val="Hyperlink"/>
            <w:noProof/>
          </w:rPr>
          <w:t>Author details</w:t>
        </w:r>
        <w:r>
          <w:rPr>
            <w:noProof/>
            <w:webHidden/>
          </w:rPr>
          <w:tab/>
        </w:r>
        <w:r>
          <w:rPr>
            <w:noProof/>
            <w:webHidden/>
          </w:rPr>
          <w:fldChar w:fldCharType="begin"/>
        </w:r>
        <w:r>
          <w:rPr>
            <w:noProof/>
            <w:webHidden/>
          </w:rPr>
          <w:instrText xml:space="preserve"> PAGEREF _Toc213312980 \h </w:instrText>
        </w:r>
        <w:r>
          <w:rPr>
            <w:noProof/>
            <w:webHidden/>
          </w:rPr>
        </w:r>
        <w:r>
          <w:rPr>
            <w:noProof/>
            <w:webHidden/>
          </w:rPr>
          <w:fldChar w:fldCharType="separate"/>
        </w:r>
        <w:r w:rsidR="00BF209E">
          <w:rPr>
            <w:noProof/>
            <w:webHidden/>
          </w:rPr>
          <w:t>20</w:t>
        </w:r>
        <w:r>
          <w:rPr>
            <w:noProof/>
            <w:webHidden/>
          </w:rPr>
          <w:fldChar w:fldCharType="end"/>
        </w:r>
      </w:hyperlink>
    </w:p>
    <w:p w14:paraId="5CB60DB5" w14:textId="0A756BEA" w:rsidR="00BD22B4" w:rsidRPr="007857ED" w:rsidRDefault="00BD22B4">
      <w:pPr>
        <w:pStyle w:val="TOC1"/>
      </w:pPr>
      <w:hyperlink w:anchor="_Toc213312981" w:history="1">
        <w:r w:rsidRPr="00252496">
          <w:rPr>
            <w:rStyle w:val="Hyperlink"/>
            <w:noProof/>
          </w:rPr>
          <w:t>References</w:t>
        </w:r>
        <w:r>
          <w:rPr>
            <w:noProof/>
            <w:webHidden/>
          </w:rPr>
          <w:tab/>
        </w:r>
        <w:r>
          <w:rPr>
            <w:noProof/>
            <w:webHidden/>
          </w:rPr>
          <w:fldChar w:fldCharType="begin"/>
        </w:r>
        <w:r>
          <w:rPr>
            <w:noProof/>
            <w:webHidden/>
          </w:rPr>
          <w:instrText xml:space="preserve"> PAGEREF _Toc213312981 \h </w:instrText>
        </w:r>
        <w:r>
          <w:rPr>
            <w:noProof/>
            <w:webHidden/>
          </w:rPr>
        </w:r>
        <w:r>
          <w:rPr>
            <w:noProof/>
            <w:webHidden/>
          </w:rPr>
          <w:fldChar w:fldCharType="separate"/>
        </w:r>
        <w:r w:rsidR="00BF209E">
          <w:rPr>
            <w:noProof/>
            <w:webHidden/>
          </w:rPr>
          <w:t>21</w:t>
        </w:r>
        <w:r>
          <w:rPr>
            <w:noProof/>
            <w:webHidden/>
          </w:rPr>
          <w:fldChar w:fldCharType="end"/>
        </w:r>
      </w:hyperlink>
    </w:p>
    <w:p w14:paraId="5A2529AB" w14:textId="4F38D1C3" w:rsidR="00F216F0" w:rsidRPr="00F216F0" w:rsidRDefault="005A4E9D" w:rsidP="00F216F0">
      <w:r>
        <w:rPr>
          <w:rFonts w:eastAsiaTheme="minorHAnsi" w:cstheme="minorHAnsi"/>
          <w:szCs w:val="24"/>
          <w:lang w:eastAsia="en-US"/>
        </w:rPr>
        <w:fldChar w:fldCharType="end"/>
      </w:r>
    </w:p>
    <w:p w14:paraId="7E4895DE" w14:textId="77777777" w:rsidR="00F216F0" w:rsidRDefault="00F216F0" w:rsidP="0071536A">
      <w:pPr>
        <w:pStyle w:val="Heading2-newpage"/>
      </w:pPr>
      <w:bookmarkStart w:id="9" w:name="_Toc195530497"/>
      <w:bookmarkStart w:id="10" w:name="_Toc195609227"/>
      <w:bookmarkStart w:id="11" w:name="_Toc213312889"/>
      <w:bookmarkStart w:id="12" w:name="_Toc213312964"/>
      <w:bookmarkStart w:id="13" w:name="_Toc195609226"/>
      <w:r>
        <w:lastRenderedPageBreak/>
        <w:t>List of figures</w:t>
      </w:r>
      <w:bookmarkEnd w:id="9"/>
      <w:bookmarkEnd w:id="10"/>
      <w:bookmarkEnd w:id="11"/>
      <w:bookmarkEnd w:id="12"/>
    </w:p>
    <w:p w14:paraId="12BE30A6" w14:textId="626E5D4D" w:rsidR="00BF209E" w:rsidRPr="007857ED" w:rsidRDefault="005A4E9D">
      <w:pPr>
        <w:pStyle w:val="TableofFigures"/>
        <w:tabs>
          <w:tab w:val="right" w:leader="dot" w:pos="9629"/>
        </w:tabs>
      </w:pPr>
      <w:r>
        <w:fldChar w:fldCharType="begin"/>
      </w:r>
      <w:r>
        <w:instrText xml:space="preserve"> TOC \h \z \t "CDI Figure - Title" \c </w:instrText>
      </w:r>
      <w:r>
        <w:fldChar w:fldCharType="separate"/>
      </w:r>
      <w:hyperlink w:anchor="_Toc213314616" w:history="1">
        <w:r w:rsidR="00BF209E" w:rsidRPr="00004E15">
          <w:rPr>
            <w:rStyle w:val="Hyperlink"/>
            <w:noProof/>
            <w:lang w:val="en-GB"/>
          </w:rPr>
          <w:t>Figure 1: Number of invasive meningococcal disease cases reported to the National Notifiable Diseases Surveillance System, compared with laboratory-confirmed data from the Australian Meningococcal Surveillance Programme, Australia,</w:t>
        </w:r>
        <w:r w:rsidR="00BF209E" w:rsidRPr="00004E15">
          <w:rPr>
            <w:rStyle w:val="Hyperlink"/>
            <w:noProof/>
            <w:vertAlign w:val="superscript"/>
            <w:lang w:val="en-GB"/>
          </w:rPr>
          <w:t>a</w:t>
        </w:r>
        <w:r w:rsidR="00BF209E" w:rsidRPr="00004E15">
          <w:rPr>
            <w:rStyle w:val="Hyperlink"/>
            <w:noProof/>
            <w:lang w:val="en-GB"/>
          </w:rPr>
          <w:t xml:space="preserve"> 1991–2024</w:t>
        </w:r>
        <w:r w:rsidR="00BF209E">
          <w:rPr>
            <w:noProof/>
            <w:webHidden/>
          </w:rPr>
          <w:tab/>
        </w:r>
        <w:r w:rsidR="00BF209E">
          <w:rPr>
            <w:noProof/>
            <w:webHidden/>
          </w:rPr>
          <w:fldChar w:fldCharType="begin"/>
        </w:r>
        <w:r w:rsidR="00BF209E">
          <w:rPr>
            <w:noProof/>
            <w:webHidden/>
          </w:rPr>
          <w:instrText xml:space="preserve"> PAGEREF _Toc213314616 \h </w:instrText>
        </w:r>
        <w:r w:rsidR="00BF209E">
          <w:rPr>
            <w:noProof/>
            <w:webHidden/>
          </w:rPr>
        </w:r>
        <w:r w:rsidR="00BF209E">
          <w:rPr>
            <w:noProof/>
            <w:webHidden/>
          </w:rPr>
          <w:fldChar w:fldCharType="separate"/>
        </w:r>
        <w:r w:rsidR="00BF209E">
          <w:rPr>
            <w:noProof/>
            <w:webHidden/>
          </w:rPr>
          <w:t>8</w:t>
        </w:r>
        <w:r w:rsidR="00BF209E">
          <w:rPr>
            <w:noProof/>
            <w:webHidden/>
          </w:rPr>
          <w:fldChar w:fldCharType="end"/>
        </w:r>
      </w:hyperlink>
    </w:p>
    <w:p w14:paraId="255CF9F7" w14:textId="3A01029A" w:rsidR="00BF209E" w:rsidRPr="007857ED" w:rsidRDefault="00BF209E">
      <w:pPr>
        <w:pStyle w:val="TableofFigures"/>
        <w:tabs>
          <w:tab w:val="right" w:leader="dot" w:pos="9629"/>
        </w:tabs>
      </w:pPr>
      <w:hyperlink w:anchor="_Toc213314617" w:history="1">
        <w:r w:rsidRPr="00004E15">
          <w:rPr>
            <w:rStyle w:val="Hyperlink"/>
            <w:noProof/>
            <w:lang w:val="en-GB"/>
          </w:rPr>
          <w:t>Figure 2: Proportion of serogroups of laboratory-confirmed invasive meningococcal disease, Australia, 2000 – 2024 by year</w:t>
        </w:r>
        <w:r>
          <w:rPr>
            <w:noProof/>
            <w:webHidden/>
          </w:rPr>
          <w:tab/>
        </w:r>
        <w:r>
          <w:rPr>
            <w:noProof/>
            <w:webHidden/>
          </w:rPr>
          <w:fldChar w:fldCharType="begin"/>
        </w:r>
        <w:r>
          <w:rPr>
            <w:noProof/>
            <w:webHidden/>
          </w:rPr>
          <w:instrText xml:space="preserve"> PAGEREF _Toc213314617 \h </w:instrText>
        </w:r>
        <w:r>
          <w:rPr>
            <w:noProof/>
            <w:webHidden/>
          </w:rPr>
        </w:r>
        <w:r>
          <w:rPr>
            <w:noProof/>
            <w:webHidden/>
          </w:rPr>
          <w:fldChar w:fldCharType="separate"/>
        </w:r>
        <w:r>
          <w:rPr>
            <w:noProof/>
            <w:webHidden/>
          </w:rPr>
          <w:t>11</w:t>
        </w:r>
        <w:r>
          <w:rPr>
            <w:noProof/>
            <w:webHidden/>
          </w:rPr>
          <w:fldChar w:fldCharType="end"/>
        </w:r>
      </w:hyperlink>
    </w:p>
    <w:p w14:paraId="7AEE5244" w14:textId="14C16F26" w:rsidR="00BF209E" w:rsidRPr="007857ED" w:rsidRDefault="00BF209E">
      <w:pPr>
        <w:pStyle w:val="TableofFigures"/>
        <w:tabs>
          <w:tab w:val="right" w:leader="dot" w:pos="9629"/>
        </w:tabs>
      </w:pPr>
      <w:hyperlink w:anchor="_Toc213314618" w:history="1">
        <w:r w:rsidRPr="00004E15">
          <w:rPr>
            <w:rStyle w:val="Hyperlink"/>
            <w:noProof/>
            <w:lang w:val="en-GB"/>
          </w:rPr>
          <w:t>Figure 3: Number of serogroup B, C, Y and W cases of laboratory-confirmed invasive meningococcal disease, Australia, 2024, by age</w:t>
        </w:r>
        <w:r>
          <w:rPr>
            <w:noProof/>
            <w:webHidden/>
          </w:rPr>
          <w:tab/>
        </w:r>
        <w:r>
          <w:rPr>
            <w:noProof/>
            <w:webHidden/>
          </w:rPr>
          <w:fldChar w:fldCharType="begin"/>
        </w:r>
        <w:r>
          <w:rPr>
            <w:noProof/>
            <w:webHidden/>
          </w:rPr>
          <w:instrText xml:space="preserve"> PAGEREF _Toc213314618 \h </w:instrText>
        </w:r>
        <w:r>
          <w:rPr>
            <w:noProof/>
            <w:webHidden/>
          </w:rPr>
        </w:r>
        <w:r>
          <w:rPr>
            <w:noProof/>
            <w:webHidden/>
          </w:rPr>
          <w:fldChar w:fldCharType="separate"/>
        </w:r>
        <w:r>
          <w:rPr>
            <w:noProof/>
            <w:webHidden/>
          </w:rPr>
          <w:t>12</w:t>
        </w:r>
        <w:r>
          <w:rPr>
            <w:noProof/>
            <w:webHidden/>
          </w:rPr>
          <w:fldChar w:fldCharType="end"/>
        </w:r>
      </w:hyperlink>
    </w:p>
    <w:p w14:paraId="23D6FD3B" w14:textId="281AEE57" w:rsidR="00BF209E" w:rsidRPr="007857ED" w:rsidRDefault="00BF209E">
      <w:pPr>
        <w:pStyle w:val="TableofFigures"/>
        <w:tabs>
          <w:tab w:val="right" w:leader="dot" w:pos="9629"/>
        </w:tabs>
      </w:pPr>
      <w:hyperlink w:anchor="_Toc213314619" w:history="1">
        <w:r w:rsidRPr="00004E15">
          <w:rPr>
            <w:rStyle w:val="Hyperlink"/>
            <w:noProof/>
            <w:lang w:val="en-GB"/>
          </w:rPr>
          <w:t xml:space="preserve">Figure 4: The number of </w:t>
        </w:r>
        <w:r w:rsidRPr="00004E15">
          <w:rPr>
            <w:rStyle w:val="Hyperlink"/>
            <w:i/>
            <w:iCs/>
            <w:noProof/>
            <w:lang w:val="en-GB"/>
          </w:rPr>
          <w:t>porA</w:t>
        </w:r>
        <w:r w:rsidRPr="00004E15">
          <w:rPr>
            <w:rStyle w:val="Hyperlink"/>
            <w:noProof/>
            <w:lang w:val="en-GB"/>
          </w:rPr>
          <w:t xml:space="preserve"> types represented in serogroup B, W and Y invasive meningococcal</w:t>
        </w:r>
        <w:r w:rsidR="00614850">
          <w:rPr>
            <w:rStyle w:val="Hyperlink"/>
            <w:noProof/>
            <w:lang w:val="en-GB"/>
          </w:rPr>
          <w:t> </w:t>
        </w:r>
        <w:r w:rsidRPr="00004E15">
          <w:rPr>
            <w:rStyle w:val="Hyperlink"/>
            <w:noProof/>
            <w:lang w:val="en-GB"/>
          </w:rPr>
          <w:t>disease notifications in Australia in 2024</w:t>
        </w:r>
        <w:r>
          <w:rPr>
            <w:noProof/>
            <w:webHidden/>
          </w:rPr>
          <w:tab/>
        </w:r>
        <w:r>
          <w:rPr>
            <w:noProof/>
            <w:webHidden/>
          </w:rPr>
          <w:fldChar w:fldCharType="begin"/>
        </w:r>
        <w:r>
          <w:rPr>
            <w:noProof/>
            <w:webHidden/>
          </w:rPr>
          <w:instrText xml:space="preserve"> PAGEREF _Toc213314619 \h </w:instrText>
        </w:r>
        <w:r>
          <w:rPr>
            <w:noProof/>
            <w:webHidden/>
          </w:rPr>
        </w:r>
        <w:r>
          <w:rPr>
            <w:noProof/>
            <w:webHidden/>
          </w:rPr>
          <w:fldChar w:fldCharType="separate"/>
        </w:r>
        <w:r>
          <w:rPr>
            <w:noProof/>
            <w:webHidden/>
          </w:rPr>
          <w:t>13</w:t>
        </w:r>
        <w:r>
          <w:rPr>
            <w:noProof/>
            <w:webHidden/>
          </w:rPr>
          <w:fldChar w:fldCharType="end"/>
        </w:r>
      </w:hyperlink>
    </w:p>
    <w:p w14:paraId="09BD8419" w14:textId="7C554002" w:rsidR="00BF209E" w:rsidRPr="007857ED" w:rsidRDefault="00BF209E">
      <w:pPr>
        <w:pStyle w:val="TableofFigures"/>
        <w:tabs>
          <w:tab w:val="right" w:leader="dot" w:pos="9629"/>
        </w:tabs>
      </w:pPr>
      <w:hyperlink w:anchor="_Toc213314620" w:history="1">
        <w:r w:rsidRPr="00004E15">
          <w:rPr>
            <w:rStyle w:val="Hyperlink"/>
            <w:noProof/>
            <w:lang w:val="en-GB"/>
          </w:rPr>
          <w:t>Figure 5: Proportion of invasive meningococcal disease isolates with susceptibility (S), intermediate susceptibility (I) and resistance (R) to penicillin, Australia in 2021 to 2024</w:t>
        </w:r>
        <w:r w:rsidRPr="00004E15">
          <w:rPr>
            <w:rStyle w:val="Hyperlink"/>
            <w:noProof/>
            <w:vertAlign w:val="superscript"/>
            <w:lang w:val="en-GB"/>
          </w:rPr>
          <w:t>8</w:t>
        </w:r>
        <w:r>
          <w:rPr>
            <w:noProof/>
            <w:webHidden/>
          </w:rPr>
          <w:tab/>
        </w:r>
        <w:r>
          <w:rPr>
            <w:noProof/>
            <w:webHidden/>
          </w:rPr>
          <w:fldChar w:fldCharType="begin"/>
        </w:r>
        <w:r>
          <w:rPr>
            <w:noProof/>
            <w:webHidden/>
          </w:rPr>
          <w:instrText xml:space="preserve"> PAGEREF _Toc213314620 \h </w:instrText>
        </w:r>
        <w:r>
          <w:rPr>
            <w:noProof/>
            <w:webHidden/>
          </w:rPr>
        </w:r>
        <w:r>
          <w:rPr>
            <w:noProof/>
            <w:webHidden/>
          </w:rPr>
          <w:fldChar w:fldCharType="separate"/>
        </w:r>
        <w:r>
          <w:rPr>
            <w:noProof/>
            <w:webHidden/>
          </w:rPr>
          <w:t>15</w:t>
        </w:r>
        <w:r>
          <w:rPr>
            <w:noProof/>
            <w:webHidden/>
          </w:rPr>
          <w:fldChar w:fldCharType="end"/>
        </w:r>
      </w:hyperlink>
    </w:p>
    <w:p w14:paraId="41A4C76C" w14:textId="46816762" w:rsidR="00F216F0" w:rsidRDefault="005A4E9D" w:rsidP="00F216F0">
      <w:r>
        <w:fldChar w:fldCharType="end"/>
      </w:r>
    </w:p>
    <w:p w14:paraId="6D8256FA" w14:textId="77777777" w:rsidR="00144F10" w:rsidRDefault="00FE3ED6" w:rsidP="006728F3">
      <w:pPr>
        <w:pStyle w:val="Heading2"/>
      </w:pPr>
      <w:bookmarkStart w:id="14" w:name="_Toc213312890"/>
      <w:bookmarkStart w:id="15" w:name="_Toc213312965"/>
      <w:r>
        <w:t xml:space="preserve">List of </w:t>
      </w:r>
      <w:r w:rsidR="00F216F0">
        <w:t>t</w:t>
      </w:r>
      <w:r w:rsidR="00144F10">
        <w:t>ables</w:t>
      </w:r>
      <w:bookmarkEnd w:id="8"/>
      <w:bookmarkEnd w:id="13"/>
      <w:bookmarkEnd w:id="14"/>
      <w:bookmarkEnd w:id="15"/>
    </w:p>
    <w:p w14:paraId="06E808B2" w14:textId="36FC16AC" w:rsidR="00BF209E" w:rsidRPr="007857ED" w:rsidRDefault="00A709F0">
      <w:pPr>
        <w:pStyle w:val="TableofFigures"/>
        <w:tabs>
          <w:tab w:val="right" w:leader="dot" w:pos="9629"/>
        </w:tabs>
      </w:pPr>
      <w:r>
        <w:fldChar w:fldCharType="begin"/>
      </w:r>
      <w:r>
        <w:instrText xml:space="preserve"> TOC \h \z \t "CDI Table - Title" \c </w:instrText>
      </w:r>
      <w:r>
        <w:fldChar w:fldCharType="separate"/>
      </w:r>
      <w:hyperlink w:anchor="_Toc213314621" w:history="1">
        <w:r w:rsidR="00BF209E" w:rsidRPr="00F50413">
          <w:rPr>
            <w:rStyle w:val="Hyperlink"/>
            <w:noProof/>
            <w:lang w:val="en-GB"/>
          </w:rPr>
          <w:t>Table 1: Laboratory-confirmed cases of invasive meningococcal disease, Australia, 2024 by</w:t>
        </w:r>
        <w:r w:rsidR="00614850">
          <w:rPr>
            <w:rStyle w:val="Hyperlink"/>
            <w:noProof/>
            <w:lang w:val="en-GB"/>
          </w:rPr>
          <w:t> </w:t>
        </w:r>
        <w:r w:rsidR="00BF209E" w:rsidRPr="00F50413">
          <w:rPr>
            <w:rStyle w:val="Hyperlink"/>
            <w:noProof/>
            <w:lang w:val="en-GB"/>
          </w:rPr>
          <w:t>quarter</w:t>
        </w:r>
        <w:r w:rsidR="00BF209E">
          <w:rPr>
            <w:noProof/>
            <w:webHidden/>
          </w:rPr>
          <w:tab/>
        </w:r>
        <w:r w:rsidR="00BF209E">
          <w:rPr>
            <w:noProof/>
            <w:webHidden/>
          </w:rPr>
          <w:fldChar w:fldCharType="begin"/>
        </w:r>
        <w:r w:rsidR="00BF209E">
          <w:rPr>
            <w:noProof/>
            <w:webHidden/>
          </w:rPr>
          <w:instrText xml:space="preserve"> PAGEREF _Toc213314621 \h </w:instrText>
        </w:r>
        <w:r w:rsidR="00BF209E">
          <w:rPr>
            <w:noProof/>
            <w:webHidden/>
          </w:rPr>
        </w:r>
        <w:r w:rsidR="00BF209E">
          <w:rPr>
            <w:noProof/>
            <w:webHidden/>
          </w:rPr>
          <w:fldChar w:fldCharType="separate"/>
        </w:r>
        <w:r w:rsidR="00BF209E">
          <w:rPr>
            <w:noProof/>
            <w:webHidden/>
          </w:rPr>
          <w:t>9</w:t>
        </w:r>
        <w:r w:rsidR="00BF209E">
          <w:rPr>
            <w:noProof/>
            <w:webHidden/>
          </w:rPr>
          <w:fldChar w:fldCharType="end"/>
        </w:r>
      </w:hyperlink>
    </w:p>
    <w:p w14:paraId="0EA257A7" w14:textId="5B47028B" w:rsidR="00BF209E" w:rsidRPr="007857ED" w:rsidRDefault="00BF209E">
      <w:pPr>
        <w:pStyle w:val="TableofFigures"/>
        <w:tabs>
          <w:tab w:val="right" w:leader="dot" w:pos="9629"/>
        </w:tabs>
      </w:pPr>
      <w:hyperlink w:anchor="_Toc213314622" w:history="1">
        <w:r w:rsidRPr="00F50413">
          <w:rPr>
            <w:rStyle w:val="Hyperlink"/>
            <w:noProof/>
            <w:lang w:val="en-GB"/>
          </w:rPr>
          <w:t>Table 2: Number of laboratory-confirmed cases of invasive meningococcal disease, Australia, 2024, by specimen type and method of confirmation</w:t>
        </w:r>
        <w:r>
          <w:rPr>
            <w:noProof/>
            <w:webHidden/>
          </w:rPr>
          <w:tab/>
        </w:r>
        <w:r>
          <w:rPr>
            <w:noProof/>
            <w:webHidden/>
          </w:rPr>
          <w:fldChar w:fldCharType="begin"/>
        </w:r>
        <w:r>
          <w:rPr>
            <w:noProof/>
            <w:webHidden/>
          </w:rPr>
          <w:instrText xml:space="preserve"> PAGEREF _Toc213314622 \h </w:instrText>
        </w:r>
        <w:r>
          <w:rPr>
            <w:noProof/>
            <w:webHidden/>
          </w:rPr>
        </w:r>
        <w:r>
          <w:rPr>
            <w:noProof/>
            <w:webHidden/>
          </w:rPr>
          <w:fldChar w:fldCharType="separate"/>
        </w:r>
        <w:r>
          <w:rPr>
            <w:noProof/>
            <w:webHidden/>
          </w:rPr>
          <w:t>9</w:t>
        </w:r>
        <w:r>
          <w:rPr>
            <w:noProof/>
            <w:webHidden/>
          </w:rPr>
          <w:fldChar w:fldCharType="end"/>
        </w:r>
      </w:hyperlink>
    </w:p>
    <w:p w14:paraId="050963FC" w14:textId="0D41A773" w:rsidR="00BF209E" w:rsidRPr="007857ED" w:rsidRDefault="00BF209E">
      <w:pPr>
        <w:pStyle w:val="TableofFigures"/>
        <w:tabs>
          <w:tab w:val="right" w:leader="dot" w:pos="9629"/>
        </w:tabs>
      </w:pPr>
      <w:hyperlink w:anchor="_Toc213314623" w:history="1">
        <w:r w:rsidRPr="00F50413">
          <w:rPr>
            <w:rStyle w:val="Hyperlink"/>
            <w:noProof/>
            <w:lang w:val="en-GB"/>
          </w:rPr>
          <w:t>Table 3: Number of laboratory-confirmed cases of invasive meningococcal disease, Australia, 2024, by jurisdiction and by serogroup</w:t>
        </w:r>
        <w:r>
          <w:rPr>
            <w:noProof/>
            <w:webHidden/>
          </w:rPr>
          <w:tab/>
        </w:r>
        <w:r>
          <w:rPr>
            <w:noProof/>
            <w:webHidden/>
          </w:rPr>
          <w:fldChar w:fldCharType="begin"/>
        </w:r>
        <w:r>
          <w:rPr>
            <w:noProof/>
            <w:webHidden/>
          </w:rPr>
          <w:instrText xml:space="preserve"> PAGEREF _Toc213314623 \h </w:instrText>
        </w:r>
        <w:r>
          <w:rPr>
            <w:noProof/>
            <w:webHidden/>
          </w:rPr>
        </w:r>
        <w:r>
          <w:rPr>
            <w:noProof/>
            <w:webHidden/>
          </w:rPr>
          <w:fldChar w:fldCharType="separate"/>
        </w:r>
        <w:r>
          <w:rPr>
            <w:noProof/>
            <w:webHidden/>
          </w:rPr>
          <w:t>10</w:t>
        </w:r>
        <w:r>
          <w:rPr>
            <w:noProof/>
            <w:webHidden/>
          </w:rPr>
          <w:fldChar w:fldCharType="end"/>
        </w:r>
      </w:hyperlink>
    </w:p>
    <w:p w14:paraId="544D6481" w14:textId="640A1EF9" w:rsidR="00BF209E" w:rsidRPr="007857ED" w:rsidRDefault="00BF209E">
      <w:pPr>
        <w:pStyle w:val="TableofFigures"/>
        <w:tabs>
          <w:tab w:val="right" w:leader="dot" w:pos="9629"/>
        </w:tabs>
      </w:pPr>
      <w:hyperlink w:anchor="_Toc213314624" w:history="1">
        <w:r w:rsidRPr="00F50413">
          <w:rPr>
            <w:rStyle w:val="Hyperlink"/>
            <w:noProof/>
            <w:lang w:val="en-GB"/>
          </w:rPr>
          <w:t>Table 4: Laboratory-confirmed cases of invasive meningococcal disease, Australia, 2024, by age</w:t>
        </w:r>
        <w:r w:rsidR="00614850">
          <w:rPr>
            <w:rStyle w:val="Hyperlink"/>
            <w:noProof/>
            <w:lang w:val="en-GB"/>
          </w:rPr>
          <w:t> </w:t>
        </w:r>
        <w:r w:rsidRPr="00F50413">
          <w:rPr>
            <w:rStyle w:val="Hyperlink"/>
            <w:noProof/>
            <w:lang w:val="en-GB"/>
          </w:rPr>
          <w:t>and serogroup, and the proportion of IMD attributable to MenB</w:t>
        </w:r>
        <w:r>
          <w:rPr>
            <w:noProof/>
            <w:webHidden/>
          </w:rPr>
          <w:tab/>
        </w:r>
        <w:r>
          <w:rPr>
            <w:noProof/>
            <w:webHidden/>
          </w:rPr>
          <w:fldChar w:fldCharType="begin"/>
        </w:r>
        <w:r>
          <w:rPr>
            <w:noProof/>
            <w:webHidden/>
          </w:rPr>
          <w:instrText xml:space="preserve"> PAGEREF _Toc213314624 \h </w:instrText>
        </w:r>
        <w:r>
          <w:rPr>
            <w:noProof/>
            <w:webHidden/>
          </w:rPr>
        </w:r>
        <w:r>
          <w:rPr>
            <w:noProof/>
            <w:webHidden/>
          </w:rPr>
          <w:fldChar w:fldCharType="separate"/>
        </w:r>
        <w:r>
          <w:rPr>
            <w:noProof/>
            <w:webHidden/>
          </w:rPr>
          <w:t>12</w:t>
        </w:r>
        <w:r>
          <w:rPr>
            <w:noProof/>
            <w:webHidden/>
          </w:rPr>
          <w:fldChar w:fldCharType="end"/>
        </w:r>
      </w:hyperlink>
    </w:p>
    <w:p w14:paraId="38159E47" w14:textId="55E6F6CC" w:rsidR="00BF209E" w:rsidRPr="007857ED" w:rsidRDefault="00BF209E">
      <w:pPr>
        <w:pStyle w:val="TableofFigures"/>
        <w:tabs>
          <w:tab w:val="right" w:leader="dot" w:pos="9629"/>
        </w:tabs>
      </w:pPr>
      <w:hyperlink w:anchor="_Toc213314625" w:history="1">
        <w:r w:rsidRPr="00F50413">
          <w:rPr>
            <w:rStyle w:val="Hyperlink"/>
            <w:noProof/>
            <w:lang w:val="en-GB"/>
          </w:rPr>
          <w:t xml:space="preserve">Table 5: Distribution of </w:t>
        </w:r>
        <w:r w:rsidRPr="00F50413">
          <w:rPr>
            <w:rStyle w:val="Hyperlink"/>
            <w:i/>
            <w:iCs/>
            <w:noProof/>
            <w:lang w:val="en-GB"/>
          </w:rPr>
          <w:t>porA</w:t>
        </w:r>
        <w:r w:rsidRPr="00F50413">
          <w:rPr>
            <w:rStyle w:val="Hyperlink"/>
            <w:noProof/>
            <w:lang w:val="en-GB"/>
          </w:rPr>
          <w:t xml:space="preserve"> types in isolates of invasive meningococcal disease, Australia, 2024,</w:t>
        </w:r>
        <w:r w:rsidR="00614850">
          <w:rPr>
            <w:rStyle w:val="Hyperlink"/>
            <w:noProof/>
            <w:lang w:val="en-GB"/>
          </w:rPr>
          <w:t> </w:t>
        </w:r>
        <w:r w:rsidRPr="00F50413">
          <w:rPr>
            <w:rStyle w:val="Hyperlink"/>
            <w:noProof/>
            <w:lang w:val="en-GB"/>
          </w:rPr>
          <w:t>by state or territory (n = 92/130)</w:t>
        </w:r>
        <w:r>
          <w:rPr>
            <w:noProof/>
            <w:webHidden/>
          </w:rPr>
          <w:tab/>
        </w:r>
        <w:r>
          <w:rPr>
            <w:noProof/>
            <w:webHidden/>
          </w:rPr>
          <w:fldChar w:fldCharType="begin"/>
        </w:r>
        <w:r>
          <w:rPr>
            <w:noProof/>
            <w:webHidden/>
          </w:rPr>
          <w:instrText xml:space="preserve"> PAGEREF _Toc213314625 \h </w:instrText>
        </w:r>
        <w:r>
          <w:rPr>
            <w:noProof/>
            <w:webHidden/>
          </w:rPr>
        </w:r>
        <w:r>
          <w:rPr>
            <w:noProof/>
            <w:webHidden/>
          </w:rPr>
          <w:fldChar w:fldCharType="separate"/>
        </w:r>
        <w:r>
          <w:rPr>
            <w:noProof/>
            <w:webHidden/>
          </w:rPr>
          <w:t>14</w:t>
        </w:r>
        <w:r>
          <w:rPr>
            <w:noProof/>
            <w:webHidden/>
          </w:rPr>
          <w:fldChar w:fldCharType="end"/>
        </w:r>
      </w:hyperlink>
    </w:p>
    <w:p w14:paraId="3065D579" w14:textId="190267B3" w:rsidR="00BF209E" w:rsidRPr="007857ED" w:rsidRDefault="00BF209E">
      <w:pPr>
        <w:pStyle w:val="TableofFigures"/>
        <w:tabs>
          <w:tab w:val="right" w:leader="dot" w:pos="9629"/>
        </w:tabs>
      </w:pPr>
      <w:hyperlink w:anchor="_Toc213314626" w:history="1">
        <w:r w:rsidRPr="00F50413">
          <w:rPr>
            <w:rStyle w:val="Hyperlink"/>
            <w:noProof/>
            <w:lang w:val="en-GB"/>
          </w:rPr>
          <w:t>Table 6: Penicillin MIC distribution of laboratory-confirmed invasive meningococcal disease isolates, Australia, 2024</w:t>
        </w:r>
        <w:r>
          <w:rPr>
            <w:noProof/>
            <w:webHidden/>
          </w:rPr>
          <w:tab/>
        </w:r>
        <w:r>
          <w:rPr>
            <w:noProof/>
            <w:webHidden/>
          </w:rPr>
          <w:fldChar w:fldCharType="begin"/>
        </w:r>
        <w:r>
          <w:rPr>
            <w:noProof/>
            <w:webHidden/>
          </w:rPr>
          <w:instrText xml:space="preserve"> PAGEREF _Toc213314626 \h </w:instrText>
        </w:r>
        <w:r>
          <w:rPr>
            <w:noProof/>
            <w:webHidden/>
          </w:rPr>
        </w:r>
        <w:r>
          <w:rPr>
            <w:noProof/>
            <w:webHidden/>
          </w:rPr>
          <w:fldChar w:fldCharType="separate"/>
        </w:r>
        <w:r>
          <w:rPr>
            <w:noProof/>
            <w:webHidden/>
          </w:rPr>
          <w:t>15</w:t>
        </w:r>
        <w:r>
          <w:rPr>
            <w:noProof/>
            <w:webHidden/>
          </w:rPr>
          <w:fldChar w:fldCharType="end"/>
        </w:r>
      </w:hyperlink>
    </w:p>
    <w:p w14:paraId="4068E83A" w14:textId="4DBB47F7" w:rsidR="00425757" w:rsidRDefault="00A709F0" w:rsidP="00144F10">
      <w:r>
        <w:fldChar w:fldCharType="end"/>
      </w:r>
    </w:p>
    <w:p w14:paraId="3F8FE410" w14:textId="77777777" w:rsidR="00F25C00" w:rsidRDefault="0098426C" w:rsidP="00A24E95">
      <w:pPr>
        <w:pStyle w:val="Heading1"/>
      </w:pPr>
      <w:bookmarkStart w:id="16" w:name="_Toc195530498"/>
      <w:bookmarkStart w:id="17" w:name="_Toc213312966"/>
      <w:r>
        <w:lastRenderedPageBreak/>
        <w:t>Abstract</w:t>
      </w:r>
      <w:bookmarkEnd w:id="16"/>
      <w:bookmarkEnd w:id="17"/>
    </w:p>
    <w:p w14:paraId="63278A4F" w14:textId="63D8B7E0" w:rsidR="00331C76" w:rsidRPr="00331C76" w:rsidRDefault="00331C76" w:rsidP="00D13948">
      <w:pPr>
        <w:rPr>
          <w:lang w:val="en-GB"/>
        </w:rPr>
      </w:pPr>
      <w:r w:rsidRPr="00331C76">
        <w:rPr>
          <w:lang w:val="en-GB"/>
        </w:rPr>
        <w:t xml:space="preserve">In Australia, both probable and laboratory-confirmed cases of invasive meningococcal disease (IMD) are reported to the National Notifiable Diseases Surveillance System (NNDSS). When compared to 2023, the number of IMD notifications in 2024 decreased by 5% to 136. IMD was confirmed by laboratory testing in 136/136 (100%) of 2024 IMD cases, with 63% (86/136) diagnosed by bacterial culture and 37% (50/136) by nucleic acid amplification testing. The serogroup was determined for 96% of laboratory-confirmed cases (130/136): serogroup B (MenB) accounted for 84% of infections (109/130); MenY for 14% (18/130); MenW for 1.5% (2/130) and MenC for 0.8% (1/130). Finetyping was available on 71% of the cases for which the serogroup was determined (92/130). In MenB isolates, 21 </w:t>
      </w:r>
      <w:r w:rsidRPr="00331C76">
        <w:rPr>
          <w:i/>
          <w:iCs/>
          <w:lang w:val="en-GB"/>
        </w:rPr>
        <w:t>porA</w:t>
      </w:r>
      <w:r w:rsidRPr="00331C76">
        <w:rPr>
          <w:lang w:val="en-GB"/>
        </w:rPr>
        <w:t xml:space="preserve"> types were detected, the most prevalent of which were P1.7-2,4 (38%; 29/76) and P1.7,16-26 (11%; 8/76). In MenY infections, 6 </w:t>
      </w:r>
      <w:r w:rsidRPr="00331C76">
        <w:rPr>
          <w:i/>
          <w:iCs/>
          <w:lang w:val="en-GB"/>
        </w:rPr>
        <w:t>porA</w:t>
      </w:r>
      <w:r w:rsidRPr="00331C76">
        <w:rPr>
          <w:lang w:val="en-GB"/>
        </w:rPr>
        <w:t xml:space="preserve"> types were detected, with P1.5-1,10-1 the dominant </w:t>
      </w:r>
      <w:r w:rsidRPr="00331C76">
        <w:rPr>
          <w:i/>
          <w:iCs/>
          <w:lang w:val="en-GB"/>
        </w:rPr>
        <w:t>porA</w:t>
      </w:r>
      <w:r w:rsidRPr="00331C76">
        <w:rPr>
          <w:lang w:val="en-GB"/>
        </w:rPr>
        <w:t xml:space="preserve"> type (60%; 9/15); where typed, this was of multilocus sequence type MLST (ST) 1655 and from clonal complex 23 (8/9). One of the two MenW isolates in 2024 was finetyped and identified as </w:t>
      </w:r>
      <w:r w:rsidRPr="00331C76">
        <w:rPr>
          <w:i/>
          <w:iCs/>
          <w:lang w:val="en-GB"/>
        </w:rPr>
        <w:t>porA</w:t>
      </w:r>
      <w:r w:rsidRPr="00331C76">
        <w:rPr>
          <w:lang w:val="en-GB"/>
        </w:rPr>
        <w:t xml:space="preserve"> type P1.5,2, MLST (ST) 11 and belonging to the clonal complex 11, the hypervirulent strain reported in outbreaks in Australia and overseas. The</w:t>
      </w:r>
      <w:r w:rsidR="009D3947">
        <w:rPr>
          <w:lang w:val="en-GB"/>
        </w:rPr>
        <w:t> </w:t>
      </w:r>
      <w:r w:rsidRPr="00331C76">
        <w:rPr>
          <w:lang w:val="en-GB"/>
        </w:rPr>
        <w:t xml:space="preserve">MenC isolate was not typed. </w:t>
      </w:r>
    </w:p>
    <w:p w14:paraId="7EF1E45E" w14:textId="77777777" w:rsidR="00331C76" w:rsidRPr="00331C76" w:rsidRDefault="00331C76" w:rsidP="00331C76">
      <w:pPr>
        <w:rPr>
          <w:lang w:val="en-GB"/>
        </w:rPr>
      </w:pPr>
      <w:r w:rsidRPr="00331C76">
        <w:rPr>
          <w:lang w:val="en-GB"/>
        </w:rPr>
        <w:t>Peaks of IMD occurred in children aged less than 5 years, and in those aged 15–24 years, accounting for 20% (27/136) and 28% (38/136) of laboratory-confirmed cases respectively. In children aged under 5 years, 92% (24/26) of IMD was MenB; in those aged 15–24 years, 94% (33/35) of IMD was MenB, with serogroup not determined for one case in those aged &lt; 5 years and three cases aged 15–24 years. IMD was reported in all age groups: &lt; 5 years (20%; 27/136); 5–9 years (6%; 8/136); 10–14 years (5%; 7/136); 15–24 years (28%; 38/136); 25–44 years (12%; 16/136); 45–64 years (18%; 25/136); and in those aged 65 years and older (11%; 15/136). Whilst MenB predominated in all age groups, the majority of MenY IMD cases were reported in adults aged 45 years and older (14/18; 78%).</w:t>
      </w:r>
    </w:p>
    <w:p w14:paraId="20D2EB07" w14:textId="3BD3746C" w:rsidR="00331C76" w:rsidRPr="00331C76" w:rsidRDefault="00331C76" w:rsidP="00331C76">
      <w:pPr>
        <w:pStyle w:val="Normal-morespaceafter"/>
        <w:rPr>
          <w:lang w:val="en-GB"/>
        </w:rPr>
      </w:pPr>
      <w:r w:rsidRPr="00331C76">
        <w:rPr>
          <w:lang w:val="en-GB"/>
        </w:rPr>
        <w:t>All cultured IMD isolates (n = 86) had antimicrobial susceptibility testing performed with ceftriaxone and penicillin. Minimum inhibitory concentration (MIC) values were reported using Clinical Laboratory Standards Institute (CLSI) interpretative criteria: 7% (6/86) were defined as penicillin resistant (MIC value, ≥ 0.5mg/L); 60% (52/86) had intermediate susceptibility to penicillin (MIC</w:t>
      </w:r>
      <w:r w:rsidR="009D3947">
        <w:rPr>
          <w:lang w:val="en-GB"/>
        </w:rPr>
        <w:t> </w:t>
      </w:r>
      <w:r w:rsidRPr="00331C76">
        <w:rPr>
          <w:lang w:val="en-GB"/>
        </w:rPr>
        <w:t>values, 0.125 and 0.25 mg/L); and 33% (28/86) were susceptible to penicillin (MIC values, ≤</w:t>
      </w:r>
      <w:r w:rsidR="009D3947">
        <w:rPr>
          <w:lang w:val="en-GB"/>
        </w:rPr>
        <w:t> </w:t>
      </w:r>
      <w:r w:rsidRPr="00331C76">
        <w:rPr>
          <w:lang w:val="en-GB"/>
        </w:rPr>
        <w:t>0.064</w:t>
      </w:r>
      <w:r w:rsidR="009D3947">
        <w:rPr>
          <w:lang w:val="en-GB"/>
        </w:rPr>
        <w:t> </w:t>
      </w:r>
      <w:r w:rsidRPr="00331C76">
        <w:rPr>
          <w:lang w:val="en-GB"/>
        </w:rPr>
        <w:t xml:space="preserve">mg/L). All isolates tested susceptible to ceftriaxone, ciprofloxacin and rifampicin. </w:t>
      </w:r>
    </w:p>
    <w:p w14:paraId="786BBF0C" w14:textId="3E4420CB" w:rsidR="00B73144" w:rsidRDefault="00B73144" w:rsidP="00E61A68">
      <w:pPr>
        <w:pStyle w:val="CDIBoxText"/>
        <w:rPr>
          <w:lang w:val="en-GB"/>
        </w:rPr>
      </w:pPr>
      <w:r w:rsidRPr="00E61A68">
        <w:t>Keywords</w:t>
      </w:r>
      <w:r w:rsidR="00BF1476">
        <w:t xml:space="preserve">: </w:t>
      </w:r>
      <w:r w:rsidR="00331C76" w:rsidRPr="00331C76">
        <w:rPr>
          <w:lang w:val="en-GB"/>
        </w:rPr>
        <w:t xml:space="preserve">antimicrobial resistance; disease surveillance; invasive meningococcal disease; </w:t>
      </w:r>
      <w:r w:rsidR="00331C76" w:rsidRPr="00331C76">
        <w:rPr>
          <w:i/>
          <w:iCs/>
          <w:lang w:val="en-GB"/>
        </w:rPr>
        <w:t>Neisseria meningitidis</w:t>
      </w:r>
    </w:p>
    <w:p w14:paraId="588D364E" w14:textId="77777777" w:rsidR="0037146D" w:rsidRDefault="00B73144" w:rsidP="00B73144">
      <w:pPr>
        <w:pStyle w:val="Heading1"/>
      </w:pPr>
      <w:bookmarkStart w:id="18" w:name="_Toc195530501"/>
      <w:bookmarkStart w:id="19" w:name="_Toc213312967"/>
      <w:r>
        <w:lastRenderedPageBreak/>
        <w:t>Introduction</w:t>
      </w:r>
      <w:bookmarkEnd w:id="18"/>
      <w:bookmarkEnd w:id="19"/>
    </w:p>
    <w:p w14:paraId="08DB88AF" w14:textId="77777777" w:rsidR="00D13948" w:rsidRPr="00D13948" w:rsidRDefault="00D13948" w:rsidP="00D13948">
      <w:pPr>
        <w:rPr>
          <w:lang w:val="en-GB"/>
        </w:rPr>
      </w:pPr>
      <w:r w:rsidRPr="00D13948">
        <w:rPr>
          <w:lang w:val="en-GB"/>
        </w:rPr>
        <w:t xml:space="preserve">Established in 1979, the National Neisseria Network (NNN) is a network of reference laboratories in each Australian state and territory that collaboratively undertakes laboratory surveillance of the pathogenic </w:t>
      </w:r>
      <w:r w:rsidRPr="00D13948">
        <w:rPr>
          <w:i/>
          <w:iCs/>
          <w:lang w:val="en-GB"/>
        </w:rPr>
        <w:t>Neisseria</w:t>
      </w:r>
      <w:r w:rsidRPr="00D13948">
        <w:rPr>
          <w:lang w:val="en-GB"/>
        </w:rPr>
        <w:t xml:space="preserve"> species: </w:t>
      </w:r>
      <w:r w:rsidRPr="00D13948">
        <w:rPr>
          <w:i/>
          <w:iCs/>
          <w:lang w:val="en-GB"/>
        </w:rPr>
        <w:t>N. meningitidis</w:t>
      </w:r>
      <w:r w:rsidRPr="00D13948">
        <w:rPr>
          <w:lang w:val="en-GB"/>
        </w:rPr>
        <w:t xml:space="preserve"> and </w:t>
      </w:r>
      <w:r w:rsidRPr="00D13948">
        <w:rPr>
          <w:i/>
          <w:iCs/>
          <w:lang w:val="en-GB"/>
        </w:rPr>
        <w:t>N. gonorrhoeae</w:t>
      </w:r>
      <w:r w:rsidRPr="00D13948">
        <w:rPr>
          <w:lang w:val="en-GB"/>
        </w:rPr>
        <w:t>. Since 1994, the NNN has coordinated laboratory data from cases of invasive meningococcal disease (IMD) for the Australian Meningococcal Surveillance Programme (AMSP), supported by the Australian Government Department of Health, Disability and Ageing and the jurisdictions.</w:t>
      </w:r>
      <w:r w:rsidRPr="00D13948">
        <w:rPr>
          <w:vertAlign w:val="superscript"/>
          <w:lang w:val="en-GB"/>
        </w:rPr>
        <w:t>1</w:t>
      </w:r>
      <w:r w:rsidRPr="00D13948">
        <w:rPr>
          <w:lang w:val="en-GB"/>
        </w:rPr>
        <w:t xml:space="preserve"> The NNN laboratories supplement notification data from the National Notifiable Diseases Surveillance System (NNDSS), which includes cases of probable and laboratory-confirmed IMD. </w:t>
      </w:r>
    </w:p>
    <w:p w14:paraId="691743F7" w14:textId="77777777" w:rsidR="00D13948" w:rsidRPr="00D13948" w:rsidRDefault="00D13948" w:rsidP="00D13948">
      <w:pPr>
        <w:rPr>
          <w:lang w:val="en-GB"/>
        </w:rPr>
      </w:pPr>
      <w:r w:rsidRPr="00D13948">
        <w:rPr>
          <w:lang w:val="en-GB"/>
        </w:rPr>
        <w:t>Historically, IMD notifications in Australia peaked in 2002 at 3.5 cases per 100,000 persons per year,</w:t>
      </w:r>
      <w:r w:rsidRPr="00D13948">
        <w:rPr>
          <w:vertAlign w:val="superscript"/>
          <w:lang w:val="en-GB"/>
        </w:rPr>
        <w:t>2</w:t>
      </w:r>
      <w:r w:rsidRPr="00D13948">
        <w:rPr>
          <w:lang w:val="en-GB"/>
        </w:rPr>
        <w:t xml:space="preserve"> with the majority of disease caused by serogroups B and C (MenB and MenC).</w:t>
      </w:r>
      <w:r w:rsidRPr="00D13948">
        <w:rPr>
          <w:vertAlign w:val="superscript"/>
          <w:lang w:val="en-GB"/>
        </w:rPr>
        <w:t>3</w:t>
      </w:r>
      <w:r w:rsidRPr="00D13948">
        <w:rPr>
          <w:lang w:val="en-GB"/>
        </w:rPr>
        <w:t xml:space="preserve"> The introduction of the conjugate serogroup C meningococcal vaccine to the National Immunisation Program (NIP) in 2003 led to a significant and sustained reduction in serogroup C IMD notifications, and a reduction in overall notifications to a nadir of 0.6 cases per 100,000 persons in 2013.</w:t>
      </w:r>
      <w:r w:rsidRPr="00D13948">
        <w:rPr>
          <w:vertAlign w:val="superscript"/>
          <w:lang w:val="en-GB"/>
        </w:rPr>
        <w:t>4,5</w:t>
      </w:r>
      <w:r w:rsidRPr="00D13948">
        <w:rPr>
          <w:lang w:val="en-GB"/>
        </w:rPr>
        <w:t xml:space="preserve"> However, from 2013 an increase in both MenW and MenY IMD in Australia was reported, and the IMD notification rate increased to 1.5 cases per 100,000 persons in 2017,</w:t>
      </w:r>
      <w:r w:rsidRPr="00D13948">
        <w:rPr>
          <w:vertAlign w:val="superscript"/>
          <w:lang w:val="en-GB"/>
        </w:rPr>
        <w:t>2</w:t>
      </w:r>
      <w:r w:rsidRPr="00D13948">
        <w:rPr>
          <w:lang w:val="en-GB"/>
        </w:rPr>
        <w:t xml:space="preserve"> when MenACWY immunisation programmes were implemented across jurisdictions in targeted age groups. In 2018, the change from monovalent serogroup C to MenACWY vaccination expanded coverage on the national immunisation programme for infants and then adolescents.</w:t>
      </w:r>
      <w:r w:rsidRPr="00D13948">
        <w:rPr>
          <w:vertAlign w:val="superscript"/>
          <w:lang w:val="en-GB"/>
        </w:rPr>
        <w:t>3</w:t>
      </w:r>
      <w:r w:rsidRPr="00D13948">
        <w:rPr>
          <w:lang w:val="en-GB"/>
        </w:rPr>
        <w:t xml:space="preserve"> Following the introduction nationally of the quadrivalent MenACWY vaccine in 2018, IMD notifications declined further from 1.1 per 100,000 in 2018 to 0.8 per 100,000 in 2019. In 2020, there were 0.4 cases per 100,000 recorded and a continued reduction was recorded in 2021, to 0.3 cases per 100,000 persons. This reduction in disease rate was beyond the expected vaccine impact and was likely attributable to the impact of public health measures implemented in response to the SARS-CoV-2 pandemic. In 2022, with easing of infection control containment measures, IMD notifications rose to 0.5 cases per 100,000 persons per year and has remained stable in 2023 and 2024. </w:t>
      </w:r>
    </w:p>
    <w:p w14:paraId="3C692D6C" w14:textId="1624DBE4" w:rsidR="00AC46DC" w:rsidRPr="00AC46DC" w:rsidRDefault="00D13948" w:rsidP="00AC46DC">
      <w:r w:rsidRPr="00D13948">
        <w:rPr>
          <w:lang w:val="en-GB"/>
        </w:rPr>
        <w:t xml:space="preserve">IMD is a rare disease in Australia but remains a public health concern; continued monitoring of phenotypic and genotypic features of IMD strains is critical to planning and informing clinical management of cases, case clusters and outbreaks of IMD locally and nationally, and to informing and monitoring public health interventions. </w:t>
      </w:r>
    </w:p>
    <w:p w14:paraId="2A004EF8" w14:textId="77777777" w:rsidR="00A24E95" w:rsidRDefault="00B73144" w:rsidP="00B73144">
      <w:pPr>
        <w:pStyle w:val="Heading1"/>
        <w:rPr>
          <w:lang w:val="en-GB"/>
        </w:rPr>
      </w:pPr>
      <w:bookmarkStart w:id="20" w:name="_Toc195530502"/>
      <w:bookmarkStart w:id="21" w:name="_Toc213312968"/>
      <w:r>
        <w:rPr>
          <w:lang w:val="en-GB"/>
        </w:rPr>
        <w:lastRenderedPageBreak/>
        <w:t>Methods</w:t>
      </w:r>
      <w:bookmarkEnd w:id="20"/>
      <w:bookmarkEnd w:id="21"/>
    </w:p>
    <w:p w14:paraId="21F5C3FE" w14:textId="77777777" w:rsidR="00832451" w:rsidRPr="00832451" w:rsidRDefault="00832451" w:rsidP="00832451">
      <w:pPr>
        <w:pStyle w:val="Heading2-lessspacebefore"/>
        <w:rPr>
          <w:lang w:val="en-GB"/>
        </w:rPr>
      </w:pPr>
      <w:bookmarkStart w:id="22" w:name="_Toc213312969"/>
      <w:r w:rsidRPr="00832451">
        <w:rPr>
          <w:lang w:val="en-GB"/>
        </w:rPr>
        <w:t>Case confirmation of invasive meningococcal disease</w:t>
      </w:r>
      <w:bookmarkEnd w:id="22"/>
    </w:p>
    <w:p w14:paraId="6C6CBD84" w14:textId="77777777" w:rsidR="00832451" w:rsidRPr="00832451" w:rsidRDefault="00832451" w:rsidP="00832451">
      <w:pPr>
        <w:rPr>
          <w:lang w:val="en-GB"/>
        </w:rPr>
      </w:pPr>
      <w:r w:rsidRPr="00832451">
        <w:rPr>
          <w:lang w:val="en-GB"/>
        </w:rPr>
        <w:t xml:space="preserve">Case confirmation is based on the culture of </w:t>
      </w:r>
      <w:r w:rsidRPr="00832451">
        <w:rPr>
          <w:i/>
          <w:iCs/>
          <w:lang w:val="en-GB"/>
        </w:rPr>
        <w:t>N. meningitidis</w:t>
      </w:r>
      <w:r w:rsidRPr="00832451">
        <w:rPr>
          <w:lang w:val="en-GB"/>
        </w:rPr>
        <w:t>, or molecular diagnoses from a normally sterile site, defined as laboratory-definitive evidence of IMD according to national case definitions.</w:t>
      </w:r>
      <w:r w:rsidRPr="00832451">
        <w:rPr>
          <w:vertAlign w:val="superscript"/>
          <w:lang w:val="en-GB"/>
        </w:rPr>
        <w:t>6</w:t>
      </w:r>
      <w:r w:rsidRPr="00832451">
        <w:rPr>
          <w:lang w:val="en-GB"/>
        </w:rPr>
        <w:t xml:space="preserve"> Information regarding the site of infection and the age and sex of the patients is collated by the NNN for the AMSP. Patient outcome data was not available for the report.</w:t>
      </w:r>
    </w:p>
    <w:p w14:paraId="22AF58EB" w14:textId="77777777" w:rsidR="00832451" w:rsidRPr="00832451" w:rsidRDefault="00832451" w:rsidP="00832451">
      <w:pPr>
        <w:rPr>
          <w:lang w:val="en-GB"/>
        </w:rPr>
      </w:pPr>
      <w:r w:rsidRPr="00832451">
        <w:rPr>
          <w:lang w:val="en-GB"/>
        </w:rPr>
        <w:t xml:space="preserve">Invasive </w:t>
      </w:r>
      <w:r w:rsidRPr="00832451">
        <w:rPr>
          <w:i/>
          <w:iCs/>
          <w:lang w:val="en-GB"/>
        </w:rPr>
        <w:t>N. meningitidis</w:t>
      </w:r>
      <w:r w:rsidRPr="00832451">
        <w:rPr>
          <w:lang w:val="en-GB"/>
        </w:rPr>
        <w:t xml:space="preserve"> infections are categorised according to the site of isolation, or the specimen type from which meningococcal DNA was detected (cerebrospinal fluid, blood, joint fluid). For a given patient, when </w:t>
      </w:r>
      <w:r w:rsidRPr="00832451">
        <w:rPr>
          <w:i/>
          <w:iCs/>
          <w:lang w:val="en-GB"/>
        </w:rPr>
        <w:t>N. meningitidis</w:t>
      </w:r>
      <w:r w:rsidRPr="00832451">
        <w:rPr>
          <w:lang w:val="en-GB"/>
        </w:rPr>
        <w:t xml:space="preserve"> is detected from both blood and cerebrospinal fluid (CSF), it is classified as meningitis. </w:t>
      </w:r>
    </w:p>
    <w:p w14:paraId="3BF2F714" w14:textId="77777777" w:rsidR="00832451" w:rsidRPr="00832451" w:rsidRDefault="00832451" w:rsidP="00832451">
      <w:pPr>
        <w:pStyle w:val="Heading2"/>
        <w:rPr>
          <w:lang w:val="en-GB"/>
        </w:rPr>
      </w:pPr>
      <w:bookmarkStart w:id="23" w:name="_Toc213312970"/>
      <w:r w:rsidRPr="00832451">
        <w:rPr>
          <w:lang w:val="en-GB"/>
        </w:rPr>
        <w:t xml:space="preserve">Serogroup and genotyping of </w:t>
      </w:r>
      <w:r w:rsidRPr="00832451">
        <w:rPr>
          <w:i/>
          <w:iCs/>
          <w:lang w:val="en-GB"/>
        </w:rPr>
        <w:t>Neisseria meningitidis</w:t>
      </w:r>
      <w:bookmarkEnd w:id="23"/>
    </w:p>
    <w:p w14:paraId="72FD8D95" w14:textId="77777777" w:rsidR="00832451" w:rsidRPr="00832451" w:rsidRDefault="00832451" w:rsidP="00832451">
      <w:pPr>
        <w:rPr>
          <w:lang w:val="en-GB"/>
        </w:rPr>
      </w:pPr>
      <w:r w:rsidRPr="00832451">
        <w:rPr>
          <w:lang w:val="en-GB"/>
        </w:rPr>
        <w:t>Serogroup determination is performed through the detection of soluble polysaccharide antigens,</w:t>
      </w:r>
      <w:r w:rsidRPr="00832451">
        <w:rPr>
          <w:vertAlign w:val="superscript"/>
          <w:lang w:val="en-GB"/>
        </w:rPr>
        <w:t>7</w:t>
      </w:r>
      <w:r w:rsidRPr="00832451">
        <w:rPr>
          <w:lang w:val="en-GB"/>
        </w:rPr>
        <w:t xml:space="preserve"> but most reference laboratories use genotypic methodology. Most jurisdictions perform or refer isolates for genomic analysis. </w:t>
      </w:r>
    </w:p>
    <w:p w14:paraId="042D8CBC" w14:textId="77777777" w:rsidR="00832451" w:rsidRPr="00832451" w:rsidRDefault="00832451" w:rsidP="00832451">
      <w:pPr>
        <w:pStyle w:val="Heading2"/>
        <w:rPr>
          <w:lang w:val="en-GB"/>
        </w:rPr>
      </w:pPr>
      <w:bookmarkStart w:id="24" w:name="_Toc213312971"/>
      <w:r w:rsidRPr="00832451">
        <w:rPr>
          <w:lang w:val="en-GB"/>
        </w:rPr>
        <w:t>Antimicrobial susceptibility testing</w:t>
      </w:r>
      <w:bookmarkEnd w:id="24"/>
    </w:p>
    <w:p w14:paraId="4640AA6E" w14:textId="0DCD241C" w:rsidR="00832451" w:rsidRPr="00832451" w:rsidRDefault="00832451" w:rsidP="00832451">
      <w:r w:rsidRPr="00832451">
        <w:rPr>
          <w:lang w:val="en-GB"/>
        </w:rPr>
        <w:t>Antimicrobial susceptibility testing (AST) of IMD isolates is routinely conducted to support patient care. AST is performed to determine the minimum inhibitory concentration (MIC) values for antibiotics used for treatment (ceftriaxone and penicillin) and for clearance of carriage (ciprofloxacin and rifampicin). In this report, antibiotic susceptibilities are reported according to the Clinical Laboratory Standards Institute’s (CLSI) M100 guidelines;</w:t>
      </w:r>
      <w:r w:rsidRPr="00832451">
        <w:rPr>
          <w:vertAlign w:val="superscript"/>
          <w:lang w:val="en-GB"/>
        </w:rPr>
        <w:t>8</w:t>
      </w:r>
      <w:r w:rsidRPr="00832451">
        <w:rPr>
          <w:lang w:val="en-GB"/>
        </w:rPr>
        <w:t xml:space="preserve"> a change from historical reporting by the AMSP. By CLSI guidelines, MIC breakpoints are as follows: for penicillin: susceptible (MIC values ≤ 0.064 mg/L); intermediate susceptibility (MIC values 0.125 and 0.25</w:t>
      </w:r>
      <w:r>
        <w:rPr>
          <w:lang w:val="en-GB"/>
        </w:rPr>
        <w:t> </w:t>
      </w:r>
      <w:r w:rsidRPr="00832451">
        <w:rPr>
          <w:lang w:val="en-GB"/>
        </w:rPr>
        <w:t>mg/L); and resistant (MIC values, ≥ 0.5 mg/L); for ceftriaxone: susceptible (MIC values ≤</w:t>
      </w:r>
      <w:r>
        <w:rPr>
          <w:lang w:val="en-GB"/>
        </w:rPr>
        <w:t> </w:t>
      </w:r>
      <w:r w:rsidRPr="00832451">
        <w:rPr>
          <w:lang w:val="en-GB"/>
        </w:rPr>
        <w:t xml:space="preserve">0.125 mg/L); for ciprofloxacin: susceptible (MIC values ≤ 0.032 mg/L); intermediate susceptibility (MIC value 0.064 mg/L); and resistant (MIC values ≥ 0.125 mg/L); and for rifampicin: susceptible (MIC values ≤ 0.5 mg/L); intermediate susceptibility (MIC value 1.0 mg/L); and resistant (MIC values ≥ 2 mg/L). Antimicrobial resistance to ciprofloxacin in </w:t>
      </w:r>
      <w:r w:rsidRPr="00832451">
        <w:rPr>
          <w:i/>
          <w:iCs/>
          <w:lang w:val="en-GB"/>
        </w:rPr>
        <w:t>N. meningitidis</w:t>
      </w:r>
      <w:r w:rsidRPr="00832451">
        <w:rPr>
          <w:lang w:val="en-GB"/>
        </w:rPr>
        <w:t xml:space="preserve"> has been reportable to the national alert system for critical antimicrobial resistances (CARAlert) since January 2023.</w:t>
      </w:r>
      <w:r w:rsidRPr="00832451">
        <w:rPr>
          <w:vertAlign w:val="superscript"/>
          <w:lang w:val="en-GB"/>
        </w:rPr>
        <w:t>9</w:t>
      </w:r>
    </w:p>
    <w:p w14:paraId="4B931AAC" w14:textId="77777777" w:rsidR="008A0736" w:rsidRDefault="000073ED" w:rsidP="005A4E9D">
      <w:pPr>
        <w:pStyle w:val="Heading1"/>
      </w:pPr>
      <w:bookmarkStart w:id="25" w:name="_Toc195530503"/>
      <w:bookmarkStart w:id="26" w:name="_Toc213312972"/>
      <w:r>
        <w:lastRenderedPageBreak/>
        <w:t>Results</w:t>
      </w:r>
      <w:bookmarkEnd w:id="25"/>
      <w:bookmarkEnd w:id="26"/>
    </w:p>
    <w:p w14:paraId="17C578DF" w14:textId="699C21A8" w:rsidR="00832451" w:rsidRPr="00832451" w:rsidRDefault="00832451" w:rsidP="00832451">
      <w:pPr>
        <w:rPr>
          <w:lang w:val="en-GB"/>
        </w:rPr>
      </w:pPr>
      <w:r w:rsidRPr="00832451">
        <w:rPr>
          <w:lang w:val="en-GB"/>
        </w:rPr>
        <w:t>In 2024, there were 136 IMD cases notified to the NNDSS, of which all were laboratory confirmed.</w:t>
      </w:r>
      <w:r w:rsidRPr="00832451">
        <w:rPr>
          <w:vertAlign w:val="superscript"/>
          <w:lang w:val="en-GB"/>
        </w:rPr>
        <w:t>2</w:t>
      </w:r>
      <w:r w:rsidRPr="00832451">
        <w:rPr>
          <w:lang w:val="en-GB"/>
        </w:rPr>
        <w:t xml:space="preserve"> Laboratory data were available to the AMSP for all 136 laboratory-confirmed IMD cases, as shown in Figure 1. In 2024, an increase in the number of IMD notifications was observed in Queensland, South Australia and most notably in Western Australia, where IMD notifications doubled compared to 2023. IMD notifications in 2024 were lower in New South Wales and Victoria than in 2023, and with few notifications from the Northern Territory and Tasmania, and nil from the Australian Capital Territory. In 2024, the peak incidence of IMD occurred in winter through early spring (1 July to 30</w:t>
      </w:r>
      <w:r>
        <w:rPr>
          <w:lang w:val="en-GB"/>
        </w:rPr>
        <w:t> </w:t>
      </w:r>
      <w:r w:rsidRPr="00832451">
        <w:rPr>
          <w:lang w:val="en-GB"/>
        </w:rPr>
        <w:t>September), followed by equal numbers of IMD incidences reported in autumn through early winter (1 April to 30 June) and spring through early summer (1 October to 31 December), as shown in Table 1.</w:t>
      </w:r>
    </w:p>
    <w:p w14:paraId="0DBACD0B" w14:textId="77777777" w:rsidR="00832451" w:rsidRPr="00832451" w:rsidRDefault="00832451" w:rsidP="00832451">
      <w:pPr>
        <w:pStyle w:val="CDIFigure-Title"/>
        <w:rPr>
          <w:lang w:val="en-GB"/>
        </w:rPr>
      </w:pPr>
      <w:bookmarkStart w:id="27" w:name="_Toc213314616"/>
      <w:r w:rsidRPr="00832451">
        <w:rPr>
          <w:lang w:val="en-GB"/>
        </w:rPr>
        <w:t xml:space="preserve">Figure 1: Number of invasive meningococcal disease cases reported to the National Notifiable Diseases Surveillance System, compared with laboratory-confirmed data from the Australian Meningococcal Surveillance Programme, </w:t>
      </w:r>
      <w:proofErr w:type="spellStart"/>
      <w:proofErr w:type="gramStart"/>
      <w:r w:rsidRPr="00832451">
        <w:rPr>
          <w:lang w:val="en-GB"/>
        </w:rPr>
        <w:t>Australia,</w:t>
      </w:r>
      <w:r w:rsidRPr="00832451">
        <w:rPr>
          <w:vertAlign w:val="superscript"/>
          <w:lang w:val="en-GB"/>
        </w:rPr>
        <w:t>a</w:t>
      </w:r>
      <w:proofErr w:type="spellEnd"/>
      <w:proofErr w:type="gramEnd"/>
      <w:r w:rsidRPr="00832451">
        <w:rPr>
          <w:lang w:val="en-GB"/>
        </w:rPr>
        <w:t xml:space="preserve"> 1991–2024</w:t>
      </w:r>
      <w:bookmarkEnd w:id="27"/>
    </w:p>
    <w:p w14:paraId="13BFA4B8" w14:textId="0880C0E0" w:rsidR="00AC46DC" w:rsidRPr="00830AEA" w:rsidRDefault="00832451" w:rsidP="00832451">
      <w:pPr>
        <w:pStyle w:val="CDIFigure-Placeholder"/>
      </w:pPr>
      <w:r>
        <w:rPr>
          <w:noProof/>
          <w14:ligatures w14:val="none"/>
        </w:rPr>
        <w:drawing>
          <wp:inline distT="0" distB="0" distL="0" distR="0" wp14:anchorId="4E7403AC" wp14:editId="71757629">
            <wp:extent cx="6120765" cy="3528695"/>
            <wp:effectExtent l="0" t="0" r="0" b="0"/>
            <wp:docPr id="76267165" name="Picture 2" descr="This figure shows both the number of cases of invasive meningococcal disease (IMD) reported to the National Notifiable Diseases Surveillance System (NNDSS) and the number of laboratory confirmations of IMD, in Australia, per annum, 1991-2024. &#10;The dark blue line represents the number of IMD cases notified to the NNDSS; the dashed light blue line represents the number of laboratory confirmations of IMD reported to the Australian Meningococcal Surveillance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7165" name="Picture 2" descr="This figure shows both the number of cases of invasive meningococcal disease (IMD) reported to the National Notifiable Diseases Surveillance System (NNDSS) and the number of laboratory confirmations of IMD, in Australia, per annum, 1991-2024. &#10;The dark blue line represents the number of IMD cases notified to the NNDSS; the dashed light blue line represents the number of laboratory confirmations of IMD reported to the Australian Meningococcal Surveillance Programme."/>
                    <pic:cNvPicPr/>
                  </pic:nvPicPr>
                  <pic:blipFill>
                    <a:blip r:embed="rId18">
                      <a:extLst>
                        <a:ext uri="{28A0092B-C50C-407E-A947-70E740481C1C}">
                          <a14:useLocalDpi xmlns:a14="http://schemas.microsoft.com/office/drawing/2010/main" val="0"/>
                        </a:ext>
                      </a:extLst>
                    </a:blip>
                    <a:stretch>
                      <a:fillRect/>
                    </a:stretch>
                  </pic:blipFill>
                  <pic:spPr>
                    <a:xfrm>
                      <a:off x="0" y="0"/>
                      <a:ext cx="6120765" cy="3528695"/>
                    </a:xfrm>
                    <a:prstGeom prst="rect">
                      <a:avLst/>
                    </a:prstGeom>
                  </pic:spPr>
                </pic:pic>
              </a:graphicData>
            </a:graphic>
          </wp:inline>
        </w:drawing>
      </w:r>
    </w:p>
    <w:p w14:paraId="028DD096" w14:textId="06FF057B" w:rsidR="00C52BDA" w:rsidRDefault="00832451" w:rsidP="00C52BDA">
      <w:pPr>
        <w:pStyle w:val="CDITable-FirstFootnote"/>
        <w:rPr>
          <w:lang w:val="en-GB"/>
        </w:rPr>
      </w:pPr>
      <w:r w:rsidRPr="00832451">
        <w:rPr>
          <w:lang w:val="en-GB"/>
        </w:rPr>
        <w:t>a</w:t>
      </w:r>
      <w:r w:rsidRPr="00832451">
        <w:rPr>
          <w:lang w:val="en-GB"/>
        </w:rPr>
        <w:tab/>
        <w:t xml:space="preserve">Source: National Communicable Diseases Surveillance Dashboard. Data extracted on 20 January 2025. </w:t>
      </w:r>
      <w:hyperlink r:id="rId19" w:history="1">
        <w:r w:rsidRPr="00832451">
          <w:rPr>
            <w:rStyle w:val="Hyperlink"/>
            <w:lang w:val="en-GB"/>
          </w:rPr>
          <w:t>https://nindss.health.gov.au/pbi-dashboard/</w:t>
        </w:r>
      </w:hyperlink>
      <w:r w:rsidRPr="00832451">
        <w:rPr>
          <w:lang w:val="en-GB"/>
        </w:rPr>
        <w:t>.</w:t>
      </w:r>
      <w:r w:rsidR="00C52BDA">
        <w:rPr>
          <w:lang w:val="en-GB"/>
        </w:rPr>
        <w:br w:type="page"/>
      </w:r>
    </w:p>
    <w:p w14:paraId="143CC15E" w14:textId="77777777" w:rsidR="00832451" w:rsidRPr="00832451" w:rsidRDefault="00832451" w:rsidP="00832451">
      <w:pPr>
        <w:pStyle w:val="CDITable-Title"/>
        <w:rPr>
          <w:lang w:val="en-GB"/>
        </w:rPr>
      </w:pPr>
      <w:bookmarkStart w:id="28" w:name="_Toc213314621"/>
      <w:r w:rsidRPr="00832451">
        <w:rPr>
          <w:lang w:val="en-GB"/>
        </w:rPr>
        <w:lastRenderedPageBreak/>
        <w:t>Table 1: Laboratory-confirmed cases of invasive meningococcal disease, Australia, 2024 by quarter</w:t>
      </w:r>
      <w:bookmarkEnd w:id="28"/>
    </w:p>
    <w:tbl>
      <w:tblPr>
        <w:tblW w:w="0" w:type="auto"/>
        <w:tblLayout w:type="fixed"/>
        <w:tblCellMar>
          <w:left w:w="0" w:type="dxa"/>
          <w:right w:w="0" w:type="dxa"/>
        </w:tblCellMar>
        <w:tblLook w:val="0000" w:firstRow="0" w:lastRow="0" w:firstColumn="0" w:lastColumn="0" w:noHBand="0" w:noVBand="0"/>
        <w:tblCaption w:val="Table 1: Laboratory-confirmed cases of invasive meningococcal disease, Australia, 2024 by quarter"/>
        <w:tblDescription w:val="Table 1 shows the number of laboratory confirmations of invasive meningococcal disease (IMD) in 2024, grouped by seasonality and serogroup."/>
      </w:tblPr>
      <w:tblGrid>
        <w:gridCol w:w="1701"/>
        <w:gridCol w:w="1587"/>
        <w:gridCol w:w="1588"/>
        <w:gridCol w:w="1587"/>
        <w:gridCol w:w="1587"/>
        <w:gridCol w:w="1588"/>
      </w:tblGrid>
      <w:tr w:rsidR="00832451" w:rsidRPr="00832451" w14:paraId="650905D3" w14:textId="77777777" w:rsidTr="00C52BDA">
        <w:trPr>
          <w:trHeight w:val="60"/>
          <w:tblHeader/>
        </w:trPr>
        <w:tc>
          <w:tcPr>
            <w:tcW w:w="1701" w:type="dxa"/>
            <w:shd w:val="clear" w:color="auto" w:fill="1E4496" w:themeFill="text2"/>
            <w:tcMar>
              <w:top w:w="113" w:type="dxa"/>
              <w:left w:w="113" w:type="dxa"/>
              <w:bottom w:w="113" w:type="dxa"/>
              <w:right w:w="113" w:type="dxa"/>
            </w:tcMar>
            <w:vAlign w:val="bottom"/>
          </w:tcPr>
          <w:p w14:paraId="6F542C9E" w14:textId="77777777" w:rsidR="00832451" w:rsidRPr="00832451" w:rsidRDefault="00832451" w:rsidP="00832451">
            <w:pPr>
              <w:pStyle w:val="CDITable-HeaderRowLeft"/>
            </w:pPr>
            <w:r w:rsidRPr="00832451">
              <w:t>IMD serogroup</w:t>
            </w:r>
          </w:p>
        </w:tc>
        <w:tc>
          <w:tcPr>
            <w:tcW w:w="1587" w:type="dxa"/>
            <w:shd w:val="clear" w:color="auto" w:fill="1E4496" w:themeFill="text2"/>
            <w:tcMar>
              <w:top w:w="113" w:type="dxa"/>
              <w:left w:w="113" w:type="dxa"/>
              <w:bottom w:w="113" w:type="dxa"/>
              <w:right w:w="113" w:type="dxa"/>
            </w:tcMar>
            <w:vAlign w:val="bottom"/>
          </w:tcPr>
          <w:p w14:paraId="0B409347" w14:textId="498BE0AF" w:rsidR="00832451" w:rsidRPr="00832451" w:rsidRDefault="00832451" w:rsidP="00832451">
            <w:pPr>
              <w:pStyle w:val="CDITable-HeaderRowCentre"/>
            </w:pPr>
            <w:r w:rsidRPr="00832451">
              <w:t>1 January – 31</w:t>
            </w:r>
            <w:r>
              <w:t> </w:t>
            </w:r>
            <w:r w:rsidRPr="00832451">
              <w:t>March</w:t>
            </w:r>
          </w:p>
        </w:tc>
        <w:tc>
          <w:tcPr>
            <w:tcW w:w="1588" w:type="dxa"/>
            <w:shd w:val="clear" w:color="auto" w:fill="1E4496" w:themeFill="text2"/>
            <w:tcMar>
              <w:top w:w="113" w:type="dxa"/>
              <w:left w:w="113" w:type="dxa"/>
              <w:bottom w:w="113" w:type="dxa"/>
              <w:right w:w="113" w:type="dxa"/>
            </w:tcMar>
            <w:vAlign w:val="bottom"/>
          </w:tcPr>
          <w:p w14:paraId="475EB13B" w14:textId="664292F9" w:rsidR="00832451" w:rsidRPr="00832451" w:rsidRDefault="00832451" w:rsidP="00832451">
            <w:pPr>
              <w:pStyle w:val="CDITable-HeaderRowCentre"/>
            </w:pPr>
            <w:r w:rsidRPr="00832451">
              <w:t>1 April – 30</w:t>
            </w:r>
            <w:r>
              <w:t> </w:t>
            </w:r>
            <w:r w:rsidRPr="00832451">
              <w:t>June</w:t>
            </w:r>
          </w:p>
        </w:tc>
        <w:tc>
          <w:tcPr>
            <w:tcW w:w="1587" w:type="dxa"/>
            <w:shd w:val="clear" w:color="auto" w:fill="1E4496" w:themeFill="text2"/>
            <w:tcMar>
              <w:top w:w="113" w:type="dxa"/>
              <w:left w:w="113" w:type="dxa"/>
              <w:bottom w:w="113" w:type="dxa"/>
              <w:right w:w="113" w:type="dxa"/>
            </w:tcMar>
            <w:vAlign w:val="bottom"/>
          </w:tcPr>
          <w:p w14:paraId="16C2053E" w14:textId="79FF8F59" w:rsidR="00832451" w:rsidRPr="00832451" w:rsidRDefault="00832451" w:rsidP="00832451">
            <w:pPr>
              <w:pStyle w:val="CDITable-HeaderRowCentre"/>
            </w:pPr>
            <w:r w:rsidRPr="00832451">
              <w:t>1 July – 30</w:t>
            </w:r>
            <w:r>
              <w:t> </w:t>
            </w:r>
            <w:r w:rsidRPr="00832451">
              <w:t>September</w:t>
            </w:r>
          </w:p>
        </w:tc>
        <w:tc>
          <w:tcPr>
            <w:tcW w:w="1587" w:type="dxa"/>
            <w:shd w:val="clear" w:color="auto" w:fill="1E4496" w:themeFill="text2"/>
            <w:tcMar>
              <w:top w:w="113" w:type="dxa"/>
              <w:left w:w="113" w:type="dxa"/>
              <w:bottom w:w="113" w:type="dxa"/>
              <w:right w:w="113" w:type="dxa"/>
            </w:tcMar>
            <w:vAlign w:val="bottom"/>
          </w:tcPr>
          <w:p w14:paraId="2C4FE913" w14:textId="04D61154" w:rsidR="00832451" w:rsidRPr="00832451" w:rsidRDefault="00832451" w:rsidP="00832451">
            <w:pPr>
              <w:pStyle w:val="CDITable-HeaderRowCentre"/>
            </w:pPr>
            <w:r w:rsidRPr="00832451">
              <w:t>1 October – 31</w:t>
            </w:r>
            <w:r>
              <w:t> </w:t>
            </w:r>
            <w:r w:rsidRPr="00832451">
              <w:t>December</w:t>
            </w:r>
          </w:p>
        </w:tc>
        <w:tc>
          <w:tcPr>
            <w:tcW w:w="1588" w:type="dxa"/>
            <w:shd w:val="clear" w:color="auto" w:fill="1E4496" w:themeFill="text2"/>
            <w:tcMar>
              <w:top w:w="113" w:type="dxa"/>
              <w:left w:w="113" w:type="dxa"/>
              <w:bottom w:w="113" w:type="dxa"/>
              <w:right w:w="113" w:type="dxa"/>
            </w:tcMar>
            <w:vAlign w:val="bottom"/>
          </w:tcPr>
          <w:p w14:paraId="10AD57AB" w14:textId="77777777" w:rsidR="00832451" w:rsidRPr="00832451" w:rsidRDefault="00832451" w:rsidP="00832451">
            <w:pPr>
              <w:pStyle w:val="CDITable-HeaderRowCentre"/>
            </w:pPr>
            <w:r w:rsidRPr="00832451">
              <w:t>2024</w:t>
            </w:r>
            <w:r w:rsidRPr="00832451">
              <w:br/>
              <w:t>total</w:t>
            </w:r>
          </w:p>
        </w:tc>
      </w:tr>
      <w:tr w:rsidR="00832451" w:rsidRPr="00832451" w14:paraId="17C85D1F" w14:textId="77777777" w:rsidTr="00C52BDA">
        <w:trPr>
          <w:trHeight w:val="60"/>
        </w:trPr>
        <w:tc>
          <w:tcPr>
            <w:tcW w:w="1701" w:type="dxa"/>
            <w:tcBorders>
              <w:bottom w:val="single" w:sz="6" w:space="0" w:color="1E4496" w:themeColor="text2"/>
            </w:tcBorders>
            <w:tcMar>
              <w:top w:w="113" w:type="dxa"/>
              <w:left w:w="113" w:type="dxa"/>
              <w:bottom w:w="113" w:type="dxa"/>
              <w:right w:w="113" w:type="dxa"/>
            </w:tcMar>
            <w:vAlign w:val="center"/>
          </w:tcPr>
          <w:p w14:paraId="26314D2A" w14:textId="77777777" w:rsidR="00832451" w:rsidRPr="00832451" w:rsidRDefault="00832451" w:rsidP="00832451">
            <w:pPr>
              <w:pStyle w:val="CDITable-RowLeft"/>
            </w:pPr>
            <w:r w:rsidRPr="00832451">
              <w:t>B</w:t>
            </w:r>
          </w:p>
        </w:tc>
        <w:tc>
          <w:tcPr>
            <w:tcW w:w="1587" w:type="dxa"/>
            <w:tcBorders>
              <w:bottom w:val="single" w:sz="6" w:space="0" w:color="1E4496" w:themeColor="text2"/>
            </w:tcBorders>
            <w:tcMar>
              <w:top w:w="113" w:type="dxa"/>
              <w:left w:w="113" w:type="dxa"/>
              <w:bottom w:w="113" w:type="dxa"/>
              <w:right w:w="113" w:type="dxa"/>
            </w:tcMar>
            <w:vAlign w:val="center"/>
          </w:tcPr>
          <w:p w14:paraId="4C6A121C" w14:textId="77777777" w:rsidR="00832451" w:rsidRPr="00832451" w:rsidRDefault="00832451" w:rsidP="00832451">
            <w:pPr>
              <w:pStyle w:val="CDITable-RowCentre"/>
            </w:pPr>
            <w:r w:rsidRPr="00832451">
              <w:t>16</w:t>
            </w:r>
          </w:p>
        </w:tc>
        <w:tc>
          <w:tcPr>
            <w:tcW w:w="1588" w:type="dxa"/>
            <w:tcBorders>
              <w:bottom w:val="single" w:sz="6" w:space="0" w:color="1E4496" w:themeColor="text2"/>
            </w:tcBorders>
            <w:tcMar>
              <w:top w:w="113" w:type="dxa"/>
              <w:left w:w="113" w:type="dxa"/>
              <w:bottom w:w="113" w:type="dxa"/>
              <w:right w:w="113" w:type="dxa"/>
            </w:tcMar>
            <w:vAlign w:val="center"/>
          </w:tcPr>
          <w:p w14:paraId="1C458B73" w14:textId="77777777" w:rsidR="00832451" w:rsidRPr="00832451" w:rsidRDefault="00832451" w:rsidP="00832451">
            <w:pPr>
              <w:pStyle w:val="CDITable-RowCentre"/>
            </w:pPr>
            <w:r w:rsidRPr="00832451">
              <w:t>29</w:t>
            </w:r>
          </w:p>
        </w:tc>
        <w:tc>
          <w:tcPr>
            <w:tcW w:w="1587" w:type="dxa"/>
            <w:tcBorders>
              <w:bottom w:val="single" w:sz="6" w:space="0" w:color="1E4496" w:themeColor="text2"/>
            </w:tcBorders>
            <w:tcMar>
              <w:top w:w="113" w:type="dxa"/>
              <w:left w:w="113" w:type="dxa"/>
              <w:bottom w:w="113" w:type="dxa"/>
              <w:right w:w="113" w:type="dxa"/>
            </w:tcMar>
            <w:vAlign w:val="center"/>
          </w:tcPr>
          <w:p w14:paraId="330374FF" w14:textId="77777777" w:rsidR="00832451" w:rsidRPr="00832451" w:rsidRDefault="00832451" w:rsidP="00832451">
            <w:pPr>
              <w:pStyle w:val="CDITable-RowCentre"/>
            </w:pPr>
            <w:r w:rsidRPr="00832451">
              <w:t>39</w:t>
            </w:r>
          </w:p>
        </w:tc>
        <w:tc>
          <w:tcPr>
            <w:tcW w:w="1587" w:type="dxa"/>
            <w:tcBorders>
              <w:bottom w:val="single" w:sz="6" w:space="0" w:color="1E4496" w:themeColor="text2"/>
            </w:tcBorders>
            <w:tcMar>
              <w:top w:w="113" w:type="dxa"/>
              <w:left w:w="113" w:type="dxa"/>
              <w:bottom w:w="113" w:type="dxa"/>
              <w:right w:w="113" w:type="dxa"/>
            </w:tcMar>
            <w:vAlign w:val="center"/>
          </w:tcPr>
          <w:p w14:paraId="26AC39A6" w14:textId="77777777" w:rsidR="00832451" w:rsidRPr="00832451" w:rsidRDefault="00832451" w:rsidP="00832451">
            <w:pPr>
              <w:pStyle w:val="CDITable-RowCentre"/>
            </w:pPr>
            <w:r w:rsidRPr="00832451">
              <w:t>25</w:t>
            </w:r>
          </w:p>
        </w:tc>
        <w:tc>
          <w:tcPr>
            <w:tcW w:w="1588" w:type="dxa"/>
            <w:tcBorders>
              <w:bottom w:val="single" w:sz="6" w:space="0" w:color="1E4496" w:themeColor="text2"/>
            </w:tcBorders>
            <w:tcMar>
              <w:top w:w="113" w:type="dxa"/>
              <w:left w:w="113" w:type="dxa"/>
              <w:bottom w:w="113" w:type="dxa"/>
              <w:right w:w="113" w:type="dxa"/>
            </w:tcMar>
            <w:vAlign w:val="center"/>
          </w:tcPr>
          <w:p w14:paraId="382C5512" w14:textId="77777777" w:rsidR="00832451" w:rsidRPr="00832451" w:rsidRDefault="00832451" w:rsidP="00832451">
            <w:pPr>
              <w:pStyle w:val="CDITable-RowCentre"/>
            </w:pPr>
            <w:r w:rsidRPr="00832451">
              <w:t>109</w:t>
            </w:r>
          </w:p>
        </w:tc>
      </w:tr>
      <w:tr w:rsidR="00832451" w:rsidRPr="00832451" w14:paraId="286DCA53" w14:textId="77777777" w:rsidTr="00C52BDA">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CA92FF8" w14:textId="77777777" w:rsidR="00832451" w:rsidRPr="00832451" w:rsidRDefault="00832451" w:rsidP="00832451">
            <w:pPr>
              <w:pStyle w:val="CDITable-RowLeft"/>
            </w:pPr>
            <w:r w:rsidRPr="00832451">
              <w:t>C</w:t>
            </w:r>
          </w:p>
        </w:tc>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1A248C4" w14:textId="77777777" w:rsidR="00832451" w:rsidRPr="00832451" w:rsidRDefault="00832451" w:rsidP="00832451">
            <w:pPr>
              <w:pStyle w:val="CDITable-RowCentre"/>
            </w:pPr>
            <w:r w:rsidRPr="00832451">
              <w:t>0</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9CE2A7E" w14:textId="77777777" w:rsidR="00832451" w:rsidRPr="00832451" w:rsidRDefault="00832451" w:rsidP="00832451">
            <w:pPr>
              <w:pStyle w:val="CDITable-RowCentre"/>
            </w:pPr>
            <w:r w:rsidRPr="00832451">
              <w:t>0</w:t>
            </w:r>
          </w:p>
        </w:tc>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4112D2" w14:textId="77777777" w:rsidR="00832451" w:rsidRPr="00832451" w:rsidRDefault="00832451" w:rsidP="00832451">
            <w:pPr>
              <w:pStyle w:val="CDITable-RowCentre"/>
            </w:pPr>
            <w:r w:rsidRPr="00832451">
              <w:t>1</w:t>
            </w:r>
          </w:p>
        </w:tc>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7BC893" w14:textId="77777777" w:rsidR="00832451" w:rsidRPr="00832451" w:rsidRDefault="00832451" w:rsidP="00832451">
            <w:pPr>
              <w:pStyle w:val="CDITable-RowCentre"/>
            </w:pPr>
            <w:r w:rsidRPr="00832451">
              <w:t>0</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CA716B" w14:textId="77777777" w:rsidR="00832451" w:rsidRPr="00832451" w:rsidRDefault="00832451" w:rsidP="00832451">
            <w:pPr>
              <w:pStyle w:val="CDITable-RowCentre"/>
            </w:pPr>
            <w:r w:rsidRPr="00832451">
              <w:t>1</w:t>
            </w:r>
          </w:p>
        </w:tc>
      </w:tr>
      <w:tr w:rsidR="00832451" w:rsidRPr="00832451" w14:paraId="495FF0B5" w14:textId="77777777" w:rsidTr="00C52BDA">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6F78B53" w14:textId="77777777" w:rsidR="00832451" w:rsidRPr="00832451" w:rsidRDefault="00832451" w:rsidP="00832451">
            <w:pPr>
              <w:pStyle w:val="CDITable-RowLeft"/>
            </w:pPr>
            <w:r w:rsidRPr="00832451">
              <w:t>W</w:t>
            </w:r>
          </w:p>
        </w:tc>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1A8B955" w14:textId="77777777" w:rsidR="00832451" w:rsidRPr="00832451" w:rsidRDefault="00832451" w:rsidP="00832451">
            <w:pPr>
              <w:pStyle w:val="CDITable-RowCentre"/>
            </w:pPr>
            <w:r w:rsidRPr="00832451">
              <w:t>1</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DAC4FA" w14:textId="77777777" w:rsidR="00832451" w:rsidRPr="00832451" w:rsidRDefault="00832451" w:rsidP="00832451">
            <w:pPr>
              <w:pStyle w:val="CDITable-RowCentre"/>
            </w:pPr>
            <w:r w:rsidRPr="00832451">
              <w:t>1</w:t>
            </w:r>
          </w:p>
        </w:tc>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C36F27" w14:textId="77777777" w:rsidR="00832451" w:rsidRPr="00832451" w:rsidRDefault="00832451" w:rsidP="00832451">
            <w:pPr>
              <w:pStyle w:val="CDITable-RowCentre"/>
            </w:pPr>
            <w:r w:rsidRPr="00832451">
              <w:t>0</w:t>
            </w:r>
          </w:p>
        </w:tc>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B8C1E30" w14:textId="77777777" w:rsidR="00832451" w:rsidRPr="00832451" w:rsidRDefault="00832451" w:rsidP="00832451">
            <w:pPr>
              <w:pStyle w:val="CDITable-RowCentre"/>
            </w:pPr>
            <w:r w:rsidRPr="00832451">
              <w:t>0</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6EC3F3" w14:textId="77777777" w:rsidR="00832451" w:rsidRPr="00832451" w:rsidRDefault="00832451" w:rsidP="00832451">
            <w:pPr>
              <w:pStyle w:val="CDITable-RowCentre"/>
            </w:pPr>
            <w:r w:rsidRPr="00832451">
              <w:t>2</w:t>
            </w:r>
          </w:p>
        </w:tc>
      </w:tr>
      <w:tr w:rsidR="00832451" w:rsidRPr="00832451" w14:paraId="68244569" w14:textId="77777777" w:rsidTr="00C52BDA">
        <w:trPr>
          <w:trHeight w:val="60"/>
        </w:trPr>
        <w:tc>
          <w:tcPr>
            <w:tcW w:w="170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A228C6" w14:textId="77777777" w:rsidR="00832451" w:rsidRPr="00832451" w:rsidRDefault="00832451" w:rsidP="00832451">
            <w:pPr>
              <w:pStyle w:val="CDITable-RowLeft"/>
            </w:pPr>
            <w:r w:rsidRPr="00832451">
              <w:t>Y</w:t>
            </w:r>
          </w:p>
        </w:tc>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802DF50" w14:textId="77777777" w:rsidR="00832451" w:rsidRPr="00832451" w:rsidRDefault="00832451" w:rsidP="00832451">
            <w:pPr>
              <w:pStyle w:val="CDITable-RowCentre"/>
            </w:pPr>
            <w:r w:rsidRPr="00832451">
              <w:t>2</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3DE06C" w14:textId="77777777" w:rsidR="00832451" w:rsidRPr="00832451" w:rsidRDefault="00832451" w:rsidP="00832451">
            <w:pPr>
              <w:pStyle w:val="CDITable-RowCentre"/>
            </w:pPr>
            <w:r w:rsidRPr="00832451">
              <w:t>3</w:t>
            </w:r>
          </w:p>
        </w:tc>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DD764CD" w14:textId="77777777" w:rsidR="00832451" w:rsidRPr="00832451" w:rsidRDefault="00832451" w:rsidP="00832451">
            <w:pPr>
              <w:pStyle w:val="CDITable-RowCentre"/>
            </w:pPr>
            <w:r w:rsidRPr="00832451">
              <w:t>7</w:t>
            </w:r>
          </w:p>
        </w:tc>
        <w:tc>
          <w:tcPr>
            <w:tcW w:w="158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B42F6F2" w14:textId="77777777" w:rsidR="00832451" w:rsidRPr="00832451" w:rsidRDefault="00832451" w:rsidP="00832451">
            <w:pPr>
              <w:pStyle w:val="CDITable-RowCentre"/>
            </w:pPr>
            <w:r w:rsidRPr="00832451">
              <w:t>6</w:t>
            </w:r>
          </w:p>
        </w:tc>
        <w:tc>
          <w:tcPr>
            <w:tcW w:w="158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3088006" w14:textId="77777777" w:rsidR="00832451" w:rsidRPr="00832451" w:rsidRDefault="00832451" w:rsidP="00832451">
            <w:pPr>
              <w:pStyle w:val="CDITable-RowCentre"/>
            </w:pPr>
            <w:r w:rsidRPr="00832451">
              <w:t>18</w:t>
            </w:r>
          </w:p>
        </w:tc>
      </w:tr>
      <w:tr w:rsidR="00832451" w:rsidRPr="00832451" w14:paraId="00939B49" w14:textId="77777777" w:rsidTr="00C52BDA">
        <w:trPr>
          <w:trHeight w:val="60"/>
        </w:trPr>
        <w:tc>
          <w:tcPr>
            <w:tcW w:w="1701" w:type="dxa"/>
            <w:tcBorders>
              <w:top w:val="single" w:sz="6" w:space="0" w:color="1E4496" w:themeColor="text2"/>
            </w:tcBorders>
            <w:tcMar>
              <w:top w:w="113" w:type="dxa"/>
              <w:left w:w="113" w:type="dxa"/>
              <w:bottom w:w="113" w:type="dxa"/>
              <w:right w:w="113" w:type="dxa"/>
            </w:tcMar>
            <w:vAlign w:val="center"/>
          </w:tcPr>
          <w:p w14:paraId="5287C82D" w14:textId="77777777" w:rsidR="00832451" w:rsidRPr="00832451" w:rsidRDefault="00832451" w:rsidP="00832451">
            <w:pPr>
              <w:pStyle w:val="CDITable-RowLeft"/>
            </w:pPr>
            <w:proofErr w:type="spellStart"/>
            <w:r w:rsidRPr="00832451">
              <w:t>ND</w:t>
            </w:r>
            <w:r w:rsidRPr="00832451">
              <w:rPr>
                <w:vertAlign w:val="superscript"/>
              </w:rPr>
              <w:t>a</w:t>
            </w:r>
            <w:proofErr w:type="spellEnd"/>
          </w:p>
        </w:tc>
        <w:tc>
          <w:tcPr>
            <w:tcW w:w="1587" w:type="dxa"/>
            <w:tcBorders>
              <w:top w:val="single" w:sz="6" w:space="0" w:color="1E4496" w:themeColor="text2"/>
            </w:tcBorders>
            <w:tcMar>
              <w:top w:w="113" w:type="dxa"/>
              <w:left w:w="113" w:type="dxa"/>
              <w:bottom w:w="113" w:type="dxa"/>
              <w:right w:w="113" w:type="dxa"/>
            </w:tcMar>
            <w:vAlign w:val="center"/>
          </w:tcPr>
          <w:p w14:paraId="3E1749EE" w14:textId="77777777" w:rsidR="00832451" w:rsidRPr="00832451" w:rsidRDefault="00832451" w:rsidP="00832451">
            <w:pPr>
              <w:pStyle w:val="CDITable-RowCentre"/>
            </w:pPr>
            <w:r w:rsidRPr="00832451">
              <w:t>2</w:t>
            </w:r>
          </w:p>
        </w:tc>
        <w:tc>
          <w:tcPr>
            <w:tcW w:w="1588" w:type="dxa"/>
            <w:tcBorders>
              <w:top w:val="single" w:sz="6" w:space="0" w:color="1E4496" w:themeColor="text2"/>
            </w:tcBorders>
            <w:tcMar>
              <w:top w:w="113" w:type="dxa"/>
              <w:left w:w="113" w:type="dxa"/>
              <w:bottom w:w="113" w:type="dxa"/>
              <w:right w:w="113" w:type="dxa"/>
            </w:tcMar>
            <w:vAlign w:val="center"/>
          </w:tcPr>
          <w:p w14:paraId="1E7BF24D" w14:textId="77777777" w:rsidR="00832451" w:rsidRPr="00832451" w:rsidRDefault="00832451" w:rsidP="00832451">
            <w:pPr>
              <w:pStyle w:val="CDITable-RowCentre"/>
            </w:pPr>
            <w:r w:rsidRPr="00832451">
              <w:t>0</w:t>
            </w:r>
          </w:p>
        </w:tc>
        <w:tc>
          <w:tcPr>
            <w:tcW w:w="1587" w:type="dxa"/>
            <w:tcBorders>
              <w:top w:val="single" w:sz="6" w:space="0" w:color="1E4496" w:themeColor="text2"/>
            </w:tcBorders>
            <w:tcMar>
              <w:top w:w="113" w:type="dxa"/>
              <w:left w:w="113" w:type="dxa"/>
              <w:bottom w:w="113" w:type="dxa"/>
              <w:right w:w="113" w:type="dxa"/>
            </w:tcMar>
            <w:vAlign w:val="center"/>
          </w:tcPr>
          <w:p w14:paraId="140B285A" w14:textId="77777777" w:rsidR="00832451" w:rsidRPr="00832451" w:rsidRDefault="00832451" w:rsidP="00832451">
            <w:pPr>
              <w:pStyle w:val="CDITable-RowCentre"/>
            </w:pPr>
            <w:r w:rsidRPr="00832451">
              <w:t>2</w:t>
            </w:r>
          </w:p>
        </w:tc>
        <w:tc>
          <w:tcPr>
            <w:tcW w:w="1587" w:type="dxa"/>
            <w:tcBorders>
              <w:top w:val="single" w:sz="6" w:space="0" w:color="1E4496" w:themeColor="text2"/>
            </w:tcBorders>
            <w:tcMar>
              <w:top w:w="113" w:type="dxa"/>
              <w:left w:w="113" w:type="dxa"/>
              <w:bottom w:w="113" w:type="dxa"/>
              <w:right w:w="113" w:type="dxa"/>
            </w:tcMar>
            <w:vAlign w:val="center"/>
          </w:tcPr>
          <w:p w14:paraId="0B17B6E7" w14:textId="77777777" w:rsidR="00832451" w:rsidRPr="00832451" w:rsidRDefault="00832451" w:rsidP="00832451">
            <w:pPr>
              <w:pStyle w:val="CDITable-RowCentre"/>
            </w:pPr>
            <w:r w:rsidRPr="00832451">
              <w:t>2</w:t>
            </w:r>
          </w:p>
        </w:tc>
        <w:tc>
          <w:tcPr>
            <w:tcW w:w="1588" w:type="dxa"/>
            <w:tcBorders>
              <w:top w:val="single" w:sz="6" w:space="0" w:color="1E4496" w:themeColor="text2"/>
            </w:tcBorders>
            <w:tcMar>
              <w:top w:w="113" w:type="dxa"/>
              <w:left w:w="113" w:type="dxa"/>
              <w:bottom w:w="113" w:type="dxa"/>
              <w:right w:w="113" w:type="dxa"/>
            </w:tcMar>
            <w:vAlign w:val="center"/>
          </w:tcPr>
          <w:p w14:paraId="27D063DB" w14:textId="77777777" w:rsidR="00832451" w:rsidRPr="00832451" w:rsidRDefault="00832451" w:rsidP="00832451">
            <w:pPr>
              <w:pStyle w:val="CDITable-RowCentre"/>
            </w:pPr>
            <w:r w:rsidRPr="00832451">
              <w:t>6</w:t>
            </w:r>
          </w:p>
        </w:tc>
      </w:tr>
      <w:tr w:rsidR="00832451" w:rsidRPr="00832451" w14:paraId="1979858A" w14:textId="77777777" w:rsidTr="00C52BDA">
        <w:trPr>
          <w:trHeight w:val="60"/>
        </w:trPr>
        <w:tc>
          <w:tcPr>
            <w:tcW w:w="1701"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9B8E103" w14:textId="77777777" w:rsidR="00832451" w:rsidRPr="00832451" w:rsidRDefault="00832451" w:rsidP="00832451">
            <w:pPr>
              <w:pStyle w:val="CDITable-TotalRowLeft"/>
            </w:pPr>
            <w:r w:rsidRPr="00832451">
              <w:t>Total</w:t>
            </w:r>
          </w:p>
        </w:tc>
        <w:tc>
          <w:tcPr>
            <w:tcW w:w="158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49D115A" w14:textId="77777777" w:rsidR="00832451" w:rsidRPr="00832451" w:rsidRDefault="00832451" w:rsidP="00832451">
            <w:pPr>
              <w:pStyle w:val="CDITable-TotalRowCentre"/>
            </w:pPr>
            <w:r w:rsidRPr="00832451">
              <w:t>21</w:t>
            </w:r>
          </w:p>
        </w:tc>
        <w:tc>
          <w:tcPr>
            <w:tcW w:w="158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8AF5FCC" w14:textId="77777777" w:rsidR="00832451" w:rsidRPr="00832451" w:rsidRDefault="00832451" w:rsidP="00832451">
            <w:pPr>
              <w:pStyle w:val="CDITable-TotalRowCentre"/>
            </w:pPr>
            <w:r w:rsidRPr="00832451">
              <w:t>33</w:t>
            </w:r>
          </w:p>
        </w:tc>
        <w:tc>
          <w:tcPr>
            <w:tcW w:w="158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AFACE22" w14:textId="77777777" w:rsidR="00832451" w:rsidRPr="00832451" w:rsidRDefault="00832451" w:rsidP="00832451">
            <w:pPr>
              <w:pStyle w:val="CDITable-TotalRowCentre"/>
            </w:pPr>
            <w:r w:rsidRPr="00832451">
              <w:t>49</w:t>
            </w:r>
          </w:p>
        </w:tc>
        <w:tc>
          <w:tcPr>
            <w:tcW w:w="1587"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2C2AA99" w14:textId="77777777" w:rsidR="00832451" w:rsidRPr="00832451" w:rsidRDefault="00832451" w:rsidP="00832451">
            <w:pPr>
              <w:pStyle w:val="CDITable-TotalRowCentre"/>
            </w:pPr>
            <w:r w:rsidRPr="00832451">
              <w:t>33</w:t>
            </w:r>
          </w:p>
        </w:tc>
        <w:tc>
          <w:tcPr>
            <w:tcW w:w="1588"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117648F" w14:textId="77777777" w:rsidR="00832451" w:rsidRPr="00832451" w:rsidRDefault="00832451" w:rsidP="00832451">
            <w:pPr>
              <w:pStyle w:val="CDITable-TotalRowCentre"/>
            </w:pPr>
            <w:r w:rsidRPr="00832451">
              <w:t>136</w:t>
            </w:r>
          </w:p>
        </w:tc>
      </w:tr>
    </w:tbl>
    <w:p w14:paraId="2689F539" w14:textId="0286C97A" w:rsidR="00832451" w:rsidRDefault="00832451" w:rsidP="00832451">
      <w:pPr>
        <w:pStyle w:val="CDITable-FirstFootnote"/>
        <w:rPr>
          <w:lang w:val="en-GB"/>
        </w:rPr>
      </w:pPr>
      <w:r w:rsidRPr="00832451">
        <w:rPr>
          <w:lang w:val="en-GB"/>
        </w:rPr>
        <w:t>a</w:t>
      </w:r>
      <w:r w:rsidRPr="00832451">
        <w:rPr>
          <w:lang w:val="en-GB"/>
        </w:rPr>
        <w:tab/>
        <w:t>ND: not determined.</w:t>
      </w:r>
    </w:p>
    <w:p w14:paraId="1F126B22" w14:textId="4516303C" w:rsidR="00C52BDA" w:rsidRPr="00C52BDA" w:rsidRDefault="00C52BDA" w:rsidP="00C52BDA">
      <w:pPr>
        <w:pStyle w:val="Heading2"/>
        <w:rPr>
          <w:lang w:val="en-GB"/>
        </w:rPr>
      </w:pPr>
      <w:bookmarkStart w:id="29" w:name="_Toc213312973"/>
      <w:r w:rsidRPr="00C52BDA">
        <w:rPr>
          <w:lang w:val="en-GB"/>
        </w:rPr>
        <w:t>Laboratory diagnosis of IMD</w:t>
      </w:r>
      <w:bookmarkEnd w:id="29"/>
    </w:p>
    <w:p w14:paraId="20A4BFBC" w14:textId="77777777" w:rsidR="00C52BDA" w:rsidRPr="00C52BDA" w:rsidRDefault="00C52BDA" w:rsidP="00C52BDA">
      <w:pPr>
        <w:rPr>
          <w:lang w:val="en-GB"/>
        </w:rPr>
      </w:pPr>
      <w:r w:rsidRPr="00C52BDA">
        <w:rPr>
          <w:lang w:val="en-GB"/>
        </w:rPr>
        <w:t xml:space="preserve">In 2024, a total of 63% of laboratory-confirmed cases were by bacterial culture (86/136) and 37% (50/136) by molecular testing (Table 2) of blood (89/136), CSF (41/136) and joint fluid (6/136). </w:t>
      </w:r>
    </w:p>
    <w:p w14:paraId="7523F513" w14:textId="77777777" w:rsidR="00C52BDA" w:rsidRDefault="00C52BDA" w:rsidP="00C52BDA">
      <w:pPr>
        <w:pStyle w:val="CDITable-Title"/>
        <w:rPr>
          <w:lang w:val="en-GB"/>
        </w:rPr>
      </w:pPr>
      <w:bookmarkStart w:id="30" w:name="_Toc213314622"/>
      <w:r w:rsidRPr="00C52BDA">
        <w:rPr>
          <w:lang w:val="en-GB"/>
        </w:rPr>
        <w:t>Table 2: Number of laboratory-confirmed cases of invasive meningococcal disease, Australia, 2024, by specimen type and method of confirmation</w:t>
      </w:r>
      <w:bookmarkEnd w:id="30"/>
    </w:p>
    <w:tbl>
      <w:tblPr>
        <w:tblW w:w="0" w:type="auto"/>
        <w:tblLayout w:type="fixed"/>
        <w:tblCellMar>
          <w:left w:w="0" w:type="dxa"/>
          <w:right w:w="0" w:type="dxa"/>
        </w:tblCellMar>
        <w:tblLook w:val="0000" w:firstRow="0" w:lastRow="0" w:firstColumn="0" w:lastColumn="0" w:noHBand="0" w:noVBand="0"/>
        <w:tblCaption w:val="Table 2: Number of laboratory-confirmed cases of invasive meningococcal disease, Australia, 2024, by specimen type and method of confirmation"/>
        <w:tblDescription w:val="Table 2 shows the specimen type collected for laboratory cases of invasive meningococcal disease (IMD) in 2024, and the laboratory testing method used to confirm diagnosis of IMD."/>
      </w:tblPr>
      <w:tblGrid>
        <w:gridCol w:w="2409"/>
        <w:gridCol w:w="2410"/>
        <w:gridCol w:w="2409"/>
        <w:gridCol w:w="2410"/>
      </w:tblGrid>
      <w:tr w:rsidR="00C52BDA" w:rsidRPr="00C52BDA" w14:paraId="456E345F" w14:textId="77777777" w:rsidTr="00C52BDA">
        <w:trPr>
          <w:trHeight w:val="60"/>
          <w:tblHeader/>
        </w:trPr>
        <w:tc>
          <w:tcPr>
            <w:tcW w:w="2409" w:type="dxa"/>
            <w:shd w:val="clear" w:color="auto" w:fill="1E4496" w:themeFill="text2"/>
            <w:tcMar>
              <w:top w:w="113" w:type="dxa"/>
              <w:left w:w="113" w:type="dxa"/>
              <w:bottom w:w="113" w:type="dxa"/>
              <w:right w:w="113" w:type="dxa"/>
            </w:tcMar>
            <w:vAlign w:val="bottom"/>
          </w:tcPr>
          <w:p w14:paraId="12EC7110" w14:textId="77777777" w:rsidR="00C52BDA" w:rsidRPr="00C52BDA" w:rsidRDefault="00C52BDA" w:rsidP="00C52BDA">
            <w:pPr>
              <w:pStyle w:val="CDITable-HeaderRowLeft"/>
            </w:pPr>
            <w:r w:rsidRPr="00C52BDA">
              <w:t>Specimen</w:t>
            </w:r>
          </w:p>
        </w:tc>
        <w:tc>
          <w:tcPr>
            <w:tcW w:w="2410" w:type="dxa"/>
            <w:shd w:val="clear" w:color="auto" w:fill="1E4496" w:themeFill="text2"/>
            <w:tcMar>
              <w:top w:w="113" w:type="dxa"/>
              <w:left w:w="113" w:type="dxa"/>
              <w:bottom w:w="113" w:type="dxa"/>
              <w:right w:w="113" w:type="dxa"/>
            </w:tcMar>
            <w:vAlign w:val="bottom"/>
          </w:tcPr>
          <w:p w14:paraId="13BA29BD" w14:textId="77777777" w:rsidR="00C52BDA" w:rsidRPr="00C52BDA" w:rsidRDefault="00C52BDA" w:rsidP="00C52BDA">
            <w:pPr>
              <w:pStyle w:val="CDITable-HeaderRowCentre"/>
            </w:pPr>
            <w:r w:rsidRPr="00C52BDA">
              <w:t>Bacterial culture</w:t>
            </w:r>
          </w:p>
        </w:tc>
        <w:tc>
          <w:tcPr>
            <w:tcW w:w="2409" w:type="dxa"/>
            <w:shd w:val="clear" w:color="auto" w:fill="1E4496" w:themeFill="text2"/>
            <w:tcMar>
              <w:top w:w="113" w:type="dxa"/>
              <w:left w:w="113" w:type="dxa"/>
              <w:bottom w:w="113" w:type="dxa"/>
              <w:right w:w="113" w:type="dxa"/>
            </w:tcMar>
            <w:vAlign w:val="bottom"/>
          </w:tcPr>
          <w:p w14:paraId="67DFF09B" w14:textId="77777777" w:rsidR="00C52BDA" w:rsidRPr="00C52BDA" w:rsidRDefault="00C52BDA" w:rsidP="00C52BDA">
            <w:pPr>
              <w:pStyle w:val="CDITable-HeaderRowCentre"/>
            </w:pPr>
            <w:r w:rsidRPr="00C52BDA">
              <w:t>Nucleic acid amplification test</w:t>
            </w:r>
          </w:p>
        </w:tc>
        <w:tc>
          <w:tcPr>
            <w:tcW w:w="2410" w:type="dxa"/>
            <w:shd w:val="clear" w:color="auto" w:fill="1E4496" w:themeFill="text2"/>
            <w:tcMar>
              <w:top w:w="113" w:type="dxa"/>
              <w:left w:w="113" w:type="dxa"/>
              <w:bottom w:w="113" w:type="dxa"/>
              <w:right w:w="113" w:type="dxa"/>
            </w:tcMar>
            <w:vAlign w:val="bottom"/>
          </w:tcPr>
          <w:p w14:paraId="151E45F3" w14:textId="77777777" w:rsidR="00C52BDA" w:rsidRPr="00C52BDA" w:rsidRDefault="00C52BDA" w:rsidP="00C52BDA">
            <w:pPr>
              <w:pStyle w:val="CDITable-HeaderRowCentre"/>
            </w:pPr>
            <w:r w:rsidRPr="00C52BDA">
              <w:t>Total</w:t>
            </w:r>
          </w:p>
        </w:tc>
      </w:tr>
      <w:tr w:rsidR="00C52BDA" w:rsidRPr="00C52BDA" w14:paraId="0CD693AB" w14:textId="77777777" w:rsidTr="00C52BDA">
        <w:trPr>
          <w:trHeight w:val="60"/>
        </w:trPr>
        <w:tc>
          <w:tcPr>
            <w:tcW w:w="2409" w:type="dxa"/>
            <w:tcBorders>
              <w:bottom w:val="single" w:sz="6" w:space="0" w:color="1E4496" w:themeColor="text2"/>
            </w:tcBorders>
            <w:tcMar>
              <w:top w:w="113" w:type="dxa"/>
              <w:left w:w="113" w:type="dxa"/>
              <w:bottom w:w="113" w:type="dxa"/>
              <w:right w:w="113" w:type="dxa"/>
            </w:tcMar>
            <w:vAlign w:val="center"/>
          </w:tcPr>
          <w:p w14:paraId="2FDC0A16" w14:textId="77777777" w:rsidR="00C52BDA" w:rsidRPr="00C52BDA" w:rsidRDefault="00C52BDA" w:rsidP="00C52BDA">
            <w:pPr>
              <w:pStyle w:val="CDITable-RowLeft"/>
            </w:pPr>
            <w:r w:rsidRPr="00C52BDA">
              <w:t>Blood</w:t>
            </w:r>
          </w:p>
        </w:tc>
        <w:tc>
          <w:tcPr>
            <w:tcW w:w="2410" w:type="dxa"/>
            <w:tcBorders>
              <w:bottom w:val="single" w:sz="6" w:space="0" w:color="1E4496" w:themeColor="text2"/>
            </w:tcBorders>
            <w:tcMar>
              <w:top w:w="113" w:type="dxa"/>
              <w:left w:w="113" w:type="dxa"/>
              <w:bottom w:w="113" w:type="dxa"/>
              <w:right w:w="113" w:type="dxa"/>
            </w:tcMar>
            <w:vAlign w:val="center"/>
          </w:tcPr>
          <w:p w14:paraId="277BC536" w14:textId="77777777" w:rsidR="00C52BDA" w:rsidRPr="00C52BDA" w:rsidRDefault="00C52BDA" w:rsidP="00C52BDA">
            <w:pPr>
              <w:pStyle w:val="CDITable-RowCentre"/>
            </w:pPr>
            <w:r w:rsidRPr="00C52BDA">
              <w:t>68</w:t>
            </w:r>
          </w:p>
        </w:tc>
        <w:tc>
          <w:tcPr>
            <w:tcW w:w="2409" w:type="dxa"/>
            <w:tcBorders>
              <w:bottom w:val="single" w:sz="6" w:space="0" w:color="1E4496" w:themeColor="text2"/>
            </w:tcBorders>
            <w:tcMar>
              <w:top w:w="113" w:type="dxa"/>
              <w:left w:w="113" w:type="dxa"/>
              <w:bottom w:w="113" w:type="dxa"/>
              <w:right w:w="113" w:type="dxa"/>
            </w:tcMar>
            <w:vAlign w:val="center"/>
          </w:tcPr>
          <w:p w14:paraId="52496C94" w14:textId="77777777" w:rsidR="00C52BDA" w:rsidRPr="00C52BDA" w:rsidRDefault="00C52BDA" w:rsidP="00C52BDA">
            <w:pPr>
              <w:pStyle w:val="CDITable-RowCentre"/>
            </w:pPr>
            <w:r w:rsidRPr="00C52BDA">
              <w:t>21</w:t>
            </w:r>
          </w:p>
        </w:tc>
        <w:tc>
          <w:tcPr>
            <w:tcW w:w="2410" w:type="dxa"/>
            <w:tcBorders>
              <w:bottom w:val="single" w:sz="6" w:space="0" w:color="1E4496" w:themeColor="text2"/>
            </w:tcBorders>
            <w:tcMar>
              <w:top w:w="113" w:type="dxa"/>
              <w:left w:w="113" w:type="dxa"/>
              <w:bottom w:w="113" w:type="dxa"/>
              <w:right w:w="113" w:type="dxa"/>
            </w:tcMar>
            <w:vAlign w:val="center"/>
          </w:tcPr>
          <w:p w14:paraId="65D739F0" w14:textId="77777777" w:rsidR="00C52BDA" w:rsidRPr="00C52BDA" w:rsidRDefault="00C52BDA" w:rsidP="00C52BDA">
            <w:pPr>
              <w:pStyle w:val="CDITable-RowCentre"/>
            </w:pPr>
            <w:r w:rsidRPr="00C52BDA">
              <w:t>89</w:t>
            </w:r>
          </w:p>
        </w:tc>
      </w:tr>
      <w:tr w:rsidR="00C52BDA" w:rsidRPr="00C52BDA" w14:paraId="22D8BE76" w14:textId="77777777" w:rsidTr="00C52BDA">
        <w:trPr>
          <w:trHeight w:val="60"/>
        </w:trPr>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EEBB4AE" w14:textId="77777777" w:rsidR="00C52BDA" w:rsidRPr="00C52BDA" w:rsidRDefault="00C52BDA" w:rsidP="00C52BDA">
            <w:pPr>
              <w:pStyle w:val="CDITable-RowLeft"/>
            </w:pPr>
            <w:r w:rsidRPr="00C52BDA">
              <w:t>CSF ± blood</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7F3B78" w14:textId="77777777" w:rsidR="00C52BDA" w:rsidRPr="00C52BDA" w:rsidRDefault="00C52BDA" w:rsidP="00C52BDA">
            <w:pPr>
              <w:pStyle w:val="CDITable-RowCentre"/>
            </w:pPr>
            <w:r w:rsidRPr="00C52BDA">
              <w:t>14</w:t>
            </w:r>
          </w:p>
        </w:tc>
        <w:tc>
          <w:tcPr>
            <w:tcW w:w="240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1956A4" w14:textId="77777777" w:rsidR="00C52BDA" w:rsidRPr="00C52BDA" w:rsidRDefault="00C52BDA" w:rsidP="00C52BDA">
            <w:pPr>
              <w:pStyle w:val="CDITable-RowCentre"/>
            </w:pPr>
            <w:r w:rsidRPr="00C52BDA">
              <w:t>27</w:t>
            </w:r>
          </w:p>
        </w:tc>
        <w:tc>
          <w:tcPr>
            <w:tcW w:w="241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E1DA893" w14:textId="77777777" w:rsidR="00C52BDA" w:rsidRPr="00C52BDA" w:rsidRDefault="00C52BDA" w:rsidP="00C52BDA">
            <w:pPr>
              <w:pStyle w:val="CDITable-RowCentre"/>
            </w:pPr>
            <w:r w:rsidRPr="00C52BDA">
              <w:t>41</w:t>
            </w:r>
          </w:p>
        </w:tc>
      </w:tr>
      <w:tr w:rsidR="00C52BDA" w:rsidRPr="00C52BDA" w14:paraId="120F039C" w14:textId="77777777" w:rsidTr="00C52BDA">
        <w:trPr>
          <w:trHeight w:val="60"/>
        </w:trPr>
        <w:tc>
          <w:tcPr>
            <w:tcW w:w="2409" w:type="dxa"/>
            <w:tcBorders>
              <w:top w:val="single" w:sz="6" w:space="0" w:color="1E4496" w:themeColor="text2"/>
            </w:tcBorders>
            <w:tcMar>
              <w:top w:w="113" w:type="dxa"/>
              <w:left w:w="113" w:type="dxa"/>
              <w:bottom w:w="113" w:type="dxa"/>
              <w:right w:w="113" w:type="dxa"/>
            </w:tcMar>
            <w:vAlign w:val="center"/>
          </w:tcPr>
          <w:p w14:paraId="700F6B0A" w14:textId="77777777" w:rsidR="00C52BDA" w:rsidRPr="00C52BDA" w:rsidRDefault="00C52BDA" w:rsidP="00C52BDA">
            <w:pPr>
              <w:pStyle w:val="CDITable-RowLeft"/>
            </w:pPr>
            <w:r w:rsidRPr="00C52BDA">
              <w:t>Joint aspirate</w:t>
            </w:r>
          </w:p>
        </w:tc>
        <w:tc>
          <w:tcPr>
            <w:tcW w:w="2410" w:type="dxa"/>
            <w:tcBorders>
              <w:top w:val="single" w:sz="6" w:space="0" w:color="1E4496" w:themeColor="text2"/>
            </w:tcBorders>
            <w:tcMar>
              <w:top w:w="113" w:type="dxa"/>
              <w:left w:w="113" w:type="dxa"/>
              <w:bottom w:w="113" w:type="dxa"/>
              <w:right w:w="113" w:type="dxa"/>
            </w:tcMar>
            <w:vAlign w:val="center"/>
          </w:tcPr>
          <w:p w14:paraId="1A8A44FD" w14:textId="77777777" w:rsidR="00C52BDA" w:rsidRPr="00C52BDA" w:rsidRDefault="00C52BDA" w:rsidP="00C52BDA">
            <w:pPr>
              <w:pStyle w:val="CDITable-RowCentre"/>
            </w:pPr>
            <w:r w:rsidRPr="00C52BDA">
              <w:t>4</w:t>
            </w:r>
          </w:p>
        </w:tc>
        <w:tc>
          <w:tcPr>
            <w:tcW w:w="2409" w:type="dxa"/>
            <w:tcBorders>
              <w:top w:val="single" w:sz="6" w:space="0" w:color="1E4496" w:themeColor="text2"/>
            </w:tcBorders>
            <w:tcMar>
              <w:top w:w="113" w:type="dxa"/>
              <w:left w:w="113" w:type="dxa"/>
              <w:bottom w:w="113" w:type="dxa"/>
              <w:right w:w="113" w:type="dxa"/>
            </w:tcMar>
            <w:vAlign w:val="center"/>
          </w:tcPr>
          <w:p w14:paraId="4585562E" w14:textId="77777777" w:rsidR="00C52BDA" w:rsidRPr="00C52BDA" w:rsidRDefault="00C52BDA" w:rsidP="00C52BDA">
            <w:pPr>
              <w:pStyle w:val="CDITable-RowCentre"/>
            </w:pPr>
            <w:r w:rsidRPr="00C52BDA">
              <w:t>2</w:t>
            </w:r>
          </w:p>
        </w:tc>
        <w:tc>
          <w:tcPr>
            <w:tcW w:w="2410" w:type="dxa"/>
            <w:tcBorders>
              <w:top w:val="single" w:sz="6" w:space="0" w:color="1E4496" w:themeColor="text2"/>
            </w:tcBorders>
            <w:tcMar>
              <w:top w:w="113" w:type="dxa"/>
              <w:left w:w="113" w:type="dxa"/>
              <w:bottom w:w="113" w:type="dxa"/>
              <w:right w:w="113" w:type="dxa"/>
            </w:tcMar>
            <w:vAlign w:val="center"/>
          </w:tcPr>
          <w:p w14:paraId="27480C5D" w14:textId="77777777" w:rsidR="00C52BDA" w:rsidRPr="00C52BDA" w:rsidRDefault="00C52BDA" w:rsidP="00C52BDA">
            <w:pPr>
              <w:pStyle w:val="CDITable-RowCentre"/>
            </w:pPr>
            <w:r w:rsidRPr="00C52BDA">
              <w:t>6</w:t>
            </w:r>
          </w:p>
        </w:tc>
      </w:tr>
      <w:tr w:rsidR="00C52BDA" w:rsidRPr="00C52BDA" w14:paraId="0268A29C" w14:textId="77777777" w:rsidTr="00C52BDA">
        <w:trPr>
          <w:trHeight w:val="60"/>
        </w:trPr>
        <w:tc>
          <w:tcPr>
            <w:tcW w:w="240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50A3782" w14:textId="77777777" w:rsidR="00C52BDA" w:rsidRPr="00C52BDA" w:rsidRDefault="00C52BDA" w:rsidP="00C52BDA">
            <w:pPr>
              <w:pStyle w:val="CDITable-TotalRowLeft"/>
            </w:pPr>
            <w:r w:rsidRPr="00C52BDA">
              <w:t>Total</w:t>
            </w:r>
          </w:p>
        </w:tc>
        <w:tc>
          <w:tcPr>
            <w:tcW w:w="241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4006D23" w14:textId="77777777" w:rsidR="00C52BDA" w:rsidRPr="00C52BDA" w:rsidRDefault="00C52BDA" w:rsidP="00C52BDA">
            <w:pPr>
              <w:pStyle w:val="CDITable-TotalRowCentre"/>
            </w:pPr>
            <w:r w:rsidRPr="00C52BDA">
              <w:t>86</w:t>
            </w:r>
          </w:p>
        </w:tc>
        <w:tc>
          <w:tcPr>
            <w:tcW w:w="2409"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F67BBAC" w14:textId="77777777" w:rsidR="00C52BDA" w:rsidRPr="00C52BDA" w:rsidRDefault="00C52BDA" w:rsidP="00C52BDA">
            <w:pPr>
              <w:pStyle w:val="CDITable-TotalRowCentre"/>
            </w:pPr>
            <w:r w:rsidRPr="00C52BDA">
              <w:t>50</w:t>
            </w:r>
          </w:p>
        </w:tc>
        <w:tc>
          <w:tcPr>
            <w:tcW w:w="2410"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99774CD" w14:textId="77777777" w:rsidR="00C52BDA" w:rsidRPr="00C52BDA" w:rsidRDefault="00C52BDA" w:rsidP="00C52BDA">
            <w:pPr>
              <w:pStyle w:val="CDITable-TotalRowCentre"/>
            </w:pPr>
            <w:r w:rsidRPr="00C52BDA">
              <w:t>136</w:t>
            </w:r>
          </w:p>
        </w:tc>
      </w:tr>
    </w:tbl>
    <w:p w14:paraId="4524B032" w14:textId="6EF94D5C" w:rsidR="00C52BDA" w:rsidRPr="00C52BDA" w:rsidRDefault="00C52BDA" w:rsidP="00C52BDA">
      <w:pPr>
        <w:pStyle w:val="Heading2-newpage"/>
        <w:rPr>
          <w:lang w:val="en-GB"/>
        </w:rPr>
      </w:pPr>
      <w:bookmarkStart w:id="31" w:name="_Toc213312974"/>
      <w:r w:rsidRPr="00C52BDA">
        <w:rPr>
          <w:lang w:val="en-GB"/>
        </w:rPr>
        <w:lastRenderedPageBreak/>
        <w:t>Notifications by jurisdiction</w:t>
      </w:r>
      <w:bookmarkEnd w:id="31"/>
    </w:p>
    <w:p w14:paraId="2B885771" w14:textId="77777777" w:rsidR="00C52BDA" w:rsidRPr="00C52BDA" w:rsidRDefault="00C52BDA" w:rsidP="00C52BDA">
      <w:pPr>
        <w:rPr>
          <w:lang w:val="en-GB"/>
        </w:rPr>
      </w:pPr>
      <w:r w:rsidRPr="00C52BDA">
        <w:rPr>
          <w:lang w:val="en-GB"/>
        </w:rPr>
        <w:t>In 2024, Queensland reported the highest number of IMD notifications nationally (35%; 47/136), followed by South Australia (21%; 29/136) and New South Wales (18%; 24/136). An increase in IMD notifications, both in number and proportionality, was reported in Western Australia from 2023 (5%; 7/140) to 2024 (10%; 14/136); in South Australia from 2023 (14%; 20/140) to 2024 (21%; 29/136); and in Queensland from 2023 (30%; 42/140) to 2024 (35%; 47/136). In 2024, IMD notifications were lower in number and proportion than in 2023 in New South Wales (2024: 18%, 24/136 cf. 2023: 25%, 35/140) and in Victoria (2024: 14%, 19/136 cf. 2023: 19%, 26/140). Notifications of IMD from the Northern Territory and Tasmania remained low in 2024, and there were no notifications from the Australian Capital Territory. Jurisdictional case numbers are shown in Table 3.</w:t>
      </w:r>
    </w:p>
    <w:p w14:paraId="288F4565" w14:textId="77777777" w:rsidR="00C52BDA" w:rsidRPr="00C52BDA" w:rsidRDefault="00C52BDA" w:rsidP="00C52BDA">
      <w:pPr>
        <w:pStyle w:val="CDITable-Title"/>
        <w:rPr>
          <w:lang w:val="en-GB"/>
        </w:rPr>
      </w:pPr>
      <w:bookmarkStart w:id="32" w:name="_Toc213314623"/>
      <w:r w:rsidRPr="00C52BDA">
        <w:rPr>
          <w:lang w:val="en-GB"/>
        </w:rPr>
        <w:t>Table 3: Number of laboratory-confirmed cases of invasive meningococcal disease, Australia, 2024, by jurisdiction and by serogroup</w:t>
      </w:r>
      <w:bookmarkEnd w:id="32"/>
    </w:p>
    <w:tbl>
      <w:tblPr>
        <w:tblW w:w="0" w:type="auto"/>
        <w:tblLayout w:type="fixed"/>
        <w:tblCellMar>
          <w:left w:w="0" w:type="dxa"/>
          <w:right w:w="0" w:type="dxa"/>
        </w:tblCellMar>
        <w:tblLook w:val="0000" w:firstRow="0" w:lastRow="0" w:firstColumn="0" w:lastColumn="0" w:noHBand="0" w:noVBand="0"/>
        <w:tblCaption w:val="Table 3: Number of laboratory-confirmed cases of invasive meningococcal disease, Australia, 2024, by jurisdiction and by serogroup"/>
        <w:tblDescription w:val="Table 3 shows the number of laboratory confirmations of invasive meningococcal disease (IMD) in 2024, grouped by geographical distribution and serogroup."/>
      </w:tblPr>
      <w:tblGrid>
        <w:gridCol w:w="3742"/>
        <w:gridCol w:w="982"/>
        <w:gridCol w:w="983"/>
        <w:gridCol w:w="983"/>
        <w:gridCol w:w="982"/>
        <w:gridCol w:w="983"/>
        <w:gridCol w:w="983"/>
      </w:tblGrid>
      <w:tr w:rsidR="00C52BDA" w:rsidRPr="00C52BDA" w14:paraId="42708BE5" w14:textId="77777777" w:rsidTr="00D430A8">
        <w:trPr>
          <w:trHeight w:val="60"/>
          <w:tblHeader/>
        </w:trPr>
        <w:tc>
          <w:tcPr>
            <w:tcW w:w="3742" w:type="dxa"/>
            <w:vMerge w:val="restart"/>
            <w:shd w:val="clear" w:color="auto" w:fill="1E4496" w:themeFill="text2"/>
            <w:tcMar>
              <w:top w:w="113" w:type="dxa"/>
              <w:left w:w="113" w:type="dxa"/>
              <w:bottom w:w="113" w:type="dxa"/>
              <w:right w:w="113" w:type="dxa"/>
            </w:tcMar>
            <w:vAlign w:val="bottom"/>
          </w:tcPr>
          <w:p w14:paraId="201CE07C" w14:textId="77777777" w:rsidR="00C52BDA" w:rsidRPr="00C52BDA" w:rsidRDefault="00C52BDA" w:rsidP="00C52BDA">
            <w:pPr>
              <w:pStyle w:val="CDITable-HeaderRowLeft"/>
            </w:pPr>
            <w:r w:rsidRPr="00C52BDA">
              <w:t>Jurisdiction</w:t>
            </w:r>
          </w:p>
        </w:tc>
        <w:tc>
          <w:tcPr>
            <w:tcW w:w="5896" w:type="dxa"/>
            <w:gridSpan w:val="6"/>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0EDCA9F3" w14:textId="77777777" w:rsidR="00C52BDA" w:rsidRPr="00C52BDA" w:rsidRDefault="00C52BDA" w:rsidP="00C52BDA">
            <w:pPr>
              <w:pStyle w:val="CDITable-HeaderRowCentre"/>
            </w:pPr>
            <w:r w:rsidRPr="00C52BDA">
              <w:t>Serogroup</w:t>
            </w:r>
          </w:p>
        </w:tc>
      </w:tr>
      <w:tr w:rsidR="00C52BDA" w:rsidRPr="00C52BDA" w14:paraId="67D1C59D" w14:textId="77777777" w:rsidTr="00D430A8">
        <w:trPr>
          <w:trHeight w:val="60"/>
          <w:tblHeader/>
        </w:trPr>
        <w:tc>
          <w:tcPr>
            <w:tcW w:w="3742" w:type="dxa"/>
            <w:vMerge/>
            <w:shd w:val="clear" w:color="auto" w:fill="1E4496" w:themeFill="text2"/>
          </w:tcPr>
          <w:p w14:paraId="72B3A801" w14:textId="77777777" w:rsidR="00C52BDA" w:rsidRPr="00C52BDA" w:rsidRDefault="00C52BDA" w:rsidP="00C52BDA"/>
        </w:tc>
        <w:tc>
          <w:tcPr>
            <w:tcW w:w="982"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71412A11" w14:textId="77777777" w:rsidR="00C52BDA" w:rsidRPr="00C52BDA" w:rsidRDefault="00C52BDA" w:rsidP="00C52BDA">
            <w:pPr>
              <w:pStyle w:val="CDITable-HeaderRowCentre"/>
            </w:pPr>
            <w:r w:rsidRPr="00C52BDA">
              <w:t>B</w:t>
            </w:r>
          </w:p>
        </w:tc>
        <w:tc>
          <w:tcPr>
            <w:tcW w:w="983"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BF7CA2E" w14:textId="77777777" w:rsidR="00C52BDA" w:rsidRPr="00C52BDA" w:rsidRDefault="00C52BDA" w:rsidP="00C52BDA">
            <w:pPr>
              <w:pStyle w:val="CDITable-HeaderRowCentre"/>
            </w:pPr>
            <w:r w:rsidRPr="00C52BDA">
              <w:t>C</w:t>
            </w:r>
          </w:p>
        </w:tc>
        <w:tc>
          <w:tcPr>
            <w:tcW w:w="983"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1C14383B" w14:textId="77777777" w:rsidR="00C52BDA" w:rsidRPr="00C52BDA" w:rsidRDefault="00C52BDA" w:rsidP="00C52BDA">
            <w:pPr>
              <w:pStyle w:val="CDITable-HeaderRowCentre"/>
            </w:pPr>
            <w:r w:rsidRPr="00C52BDA">
              <w:t>W</w:t>
            </w:r>
          </w:p>
        </w:tc>
        <w:tc>
          <w:tcPr>
            <w:tcW w:w="982"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EBDEA1A" w14:textId="77777777" w:rsidR="00C52BDA" w:rsidRPr="00C52BDA" w:rsidRDefault="00C52BDA" w:rsidP="00C52BDA">
            <w:pPr>
              <w:pStyle w:val="CDITable-HeaderRowCentre"/>
            </w:pPr>
            <w:r w:rsidRPr="00C52BDA">
              <w:t>Y</w:t>
            </w:r>
          </w:p>
        </w:tc>
        <w:tc>
          <w:tcPr>
            <w:tcW w:w="983"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66CAC9E6" w14:textId="77777777" w:rsidR="00C52BDA" w:rsidRPr="00C52BDA" w:rsidRDefault="00C52BDA" w:rsidP="00C52BDA">
            <w:pPr>
              <w:pStyle w:val="CDITable-HeaderRowCentre"/>
            </w:pPr>
            <w:proofErr w:type="spellStart"/>
            <w:r w:rsidRPr="00C52BDA">
              <w:t>ND</w:t>
            </w:r>
            <w:r w:rsidRPr="00D430A8">
              <w:rPr>
                <w:vertAlign w:val="superscript"/>
              </w:rPr>
              <w:t>a</w:t>
            </w:r>
            <w:proofErr w:type="spellEnd"/>
          </w:p>
        </w:tc>
        <w:tc>
          <w:tcPr>
            <w:tcW w:w="983"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0CB07053" w14:textId="77777777" w:rsidR="00C52BDA" w:rsidRPr="00C52BDA" w:rsidRDefault="00C52BDA" w:rsidP="00C52BDA">
            <w:pPr>
              <w:pStyle w:val="CDITable-HeaderRowCentre"/>
            </w:pPr>
            <w:r w:rsidRPr="00C52BDA">
              <w:t>Total</w:t>
            </w:r>
          </w:p>
        </w:tc>
      </w:tr>
      <w:tr w:rsidR="00C52BDA" w:rsidRPr="00C52BDA" w14:paraId="1A7A5E4D" w14:textId="77777777" w:rsidTr="00D430A8">
        <w:trPr>
          <w:trHeight w:val="60"/>
        </w:trPr>
        <w:tc>
          <w:tcPr>
            <w:tcW w:w="3742" w:type="dxa"/>
            <w:tcBorders>
              <w:bottom w:val="single" w:sz="6" w:space="0" w:color="1E4496" w:themeColor="text2"/>
            </w:tcBorders>
            <w:tcMar>
              <w:top w:w="113" w:type="dxa"/>
              <w:left w:w="113" w:type="dxa"/>
              <w:bottom w:w="113" w:type="dxa"/>
              <w:right w:w="113" w:type="dxa"/>
            </w:tcMar>
            <w:vAlign w:val="center"/>
          </w:tcPr>
          <w:p w14:paraId="75971157" w14:textId="77777777" w:rsidR="00C52BDA" w:rsidRPr="00C52BDA" w:rsidRDefault="00C52BDA" w:rsidP="00C52BDA">
            <w:pPr>
              <w:pStyle w:val="CDITable-RowLeft"/>
            </w:pPr>
            <w:r w:rsidRPr="00C52BDA">
              <w:t>Australian Capital Territory</w:t>
            </w:r>
          </w:p>
        </w:tc>
        <w:tc>
          <w:tcPr>
            <w:tcW w:w="982" w:type="dxa"/>
            <w:tcBorders>
              <w:bottom w:val="single" w:sz="6" w:space="0" w:color="1E4496" w:themeColor="text2"/>
            </w:tcBorders>
            <w:tcMar>
              <w:top w:w="113" w:type="dxa"/>
              <w:left w:w="113" w:type="dxa"/>
              <w:bottom w:w="113" w:type="dxa"/>
              <w:right w:w="113" w:type="dxa"/>
            </w:tcMar>
            <w:vAlign w:val="center"/>
          </w:tcPr>
          <w:p w14:paraId="3F8139BB" w14:textId="77777777" w:rsidR="00C52BDA" w:rsidRPr="00C52BDA" w:rsidRDefault="00C52BDA" w:rsidP="00C52BDA">
            <w:pPr>
              <w:pStyle w:val="CDITable-RowCentre"/>
            </w:pPr>
            <w:r w:rsidRPr="00C52BDA">
              <w:t>0</w:t>
            </w:r>
          </w:p>
        </w:tc>
        <w:tc>
          <w:tcPr>
            <w:tcW w:w="983" w:type="dxa"/>
            <w:tcBorders>
              <w:bottom w:val="single" w:sz="6" w:space="0" w:color="1E4496" w:themeColor="text2"/>
            </w:tcBorders>
            <w:tcMar>
              <w:top w:w="113" w:type="dxa"/>
              <w:left w:w="113" w:type="dxa"/>
              <w:bottom w:w="113" w:type="dxa"/>
              <w:right w:w="113" w:type="dxa"/>
            </w:tcMar>
            <w:vAlign w:val="center"/>
          </w:tcPr>
          <w:p w14:paraId="5B908FFA" w14:textId="77777777" w:rsidR="00C52BDA" w:rsidRPr="00C52BDA" w:rsidRDefault="00C52BDA" w:rsidP="00C52BDA">
            <w:pPr>
              <w:pStyle w:val="CDITable-RowCentre"/>
            </w:pPr>
            <w:r w:rsidRPr="00C52BDA">
              <w:t>0</w:t>
            </w:r>
          </w:p>
        </w:tc>
        <w:tc>
          <w:tcPr>
            <w:tcW w:w="983" w:type="dxa"/>
            <w:tcBorders>
              <w:bottom w:val="single" w:sz="6" w:space="0" w:color="1E4496" w:themeColor="text2"/>
            </w:tcBorders>
            <w:tcMar>
              <w:top w:w="113" w:type="dxa"/>
              <w:left w:w="113" w:type="dxa"/>
              <w:bottom w:w="113" w:type="dxa"/>
              <w:right w:w="113" w:type="dxa"/>
            </w:tcMar>
            <w:vAlign w:val="center"/>
          </w:tcPr>
          <w:p w14:paraId="53F049E1" w14:textId="77777777" w:rsidR="00C52BDA" w:rsidRPr="00C52BDA" w:rsidRDefault="00C52BDA" w:rsidP="00C52BDA">
            <w:pPr>
              <w:pStyle w:val="CDITable-RowCentre"/>
            </w:pPr>
            <w:r w:rsidRPr="00C52BDA">
              <w:t>0</w:t>
            </w:r>
          </w:p>
        </w:tc>
        <w:tc>
          <w:tcPr>
            <w:tcW w:w="982" w:type="dxa"/>
            <w:tcBorders>
              <w:bottom w:val="single" w:sz="6" w:space="0" w:color="1E4496" w:themeColor="text2"/>
            </w:tcBorders>
            <w:tcMar>
              <w:top w:w="113" w:type="dxa"/>
              <w:left w:w="113" w:type="dxa"/>
              <w:bottom w:w="113" w:type="dxa"/>
              <w:right w:w="113" w:type="dxa"/>
            </w:tcMar>
            <w:vAlign w:val="center"/>
          </w:tcPr>
          <w:p w14:paraId="444F1155" w14:textId="77777777" w:rsidR="00C52BDA" w:rsidRPr="00C52BDA" w:rsidRDefault="00C52BDA" w:rsidP="00C52BDA">
            <w:pPr>
              <w:pStyle w:val="CDITable-RowCentre"/>
            </w:pPr>
            <w:r w:rsidRPr="00C52BDA">
              <w:t>0</w:t>
            </w:r>
          </w:p>
        </w:tc>
        <w:tc>
          <w:tcPr>
            <w:tcW w:w="983" w:type="dxa"/>
            <w:tcBorders>
              <w:bottom w:val="single" w:sz="6" w:space="0" w:color="1E4496" w:themeColor="text2"/>
            </w:tcBorders>
            <w:tcMar>
              <w:top w:w="113" w:type="dxa"/>
              <w:left w:w="113" w:type="dxa"/>
              <w:bottom w:w="113" w:type="dxa"/>
              <w:right w:w="113" w:type="dxa"/>
            </w:tcMar>
            <w:vAlign w:val="center"/>
          </w:tcPr>
          <w:p w14:paraId="2858C67E" w14:textId="77777777" w:rsidR="00C52BDA" w:rsidRPr="00C52BDA" w:rsidRDefault="00C52BDA" w:rsidP="00C52BDA">
            <w:pPr>
              <w:pStyle w:val="CDITable-RowCentre"/>
            </w:pPr>
            <w:r w:rsidRPr="00C52BDA">
              <w:t>0</w:t>
            </w:r>
          </w:p>
        </w:tc>
        <w:tc>
          <w:tcPr>
            <w:tcW w:w="983" w:type="dxa"/>
            <w:tcBorders>
              <w:bottom w:val="single" w:sz="6" w:space="0" w:color="1E4496" w:themeColor="text2"/>
            </w:tcBorders>
            <w:tcMar>
              <w:top w:w="113" w:type="dxa"/>
              <w:left w:w="113" w:type="dxa"/>
              <w:bottom w:w="113" w:type="dxa"/>
              <w:right w:w="113" w:type="dxa"/>
            </w:tcMar>
            <w:vAlign w:val="center"/>
          </w:tcPr>
          <w:p w14:paraId="70C396BA" w14:textId="77777777" w:rsidR="00C52BDA" w:rsidRPr="00C52BDA" w:rsidRDefault="00C52BDA" w:rsidP="00C52BDA">
            <w:pPr>
              <w:pStyle w:val="CDITable-RowCentre"/>
            </w:pPr>
            <w:r w:rsidRPr="00C52BDA">
              <w:t>0</w:t>
            </w:r>
          </w:p>
        </w:tc>
      </w:tr>
      <w:tr w:rsidR="00C52BDA" w:rsidRPr="00C52BDA" w14:paraId="289E7061" w14:textId="77777777" w:rsidTr="00D430A8">
        <w:trPr>
          <w:trHeight w:val="60"/>
        </w:trPr>
        <w:tc>
          <w:tcPr>
            <w:tcW w:w="374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8065D8" w14:textId="77777777" w:rsidR="00C52BDA" w:rsidRPr="00C52BDA" w:rsidRDefault="00C52BDA" w:rsidP="00C52BDA">
            <w:pPr>
              <w:pStyle w:val="CDITable-RowLeft"/>
            </w:pPr>
            <w:r w:rsidRPr="00C52BDA">
              <w:t>New South Wales</w:t>
            </w:r>
          </w:p>
        </w:tc>
        <w:tc>
          <w:tcPr>
            <w:tcW w:w="9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FD0004F" w14:textId="77777777" w:rsidR="00C52BDA" w:rsidRPr="00C52BDA" w:rsidRDefault="00C52BDA" w:rsidP="00C52BDA">
            <w:pPr>
              <w:pStyle w:val="CDITable-RowCentre"/>
            </w:pPr>
            <w:r w:rsidRPr="00C52BDA">
              <w:t>20</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A8C5AA" w14:textId="77777777" w:rsidR="00C52BDA" w:rsidRPr="00C52BDA" w:rsidRDefault="00C52BDA" w:rsidP="00C52BDA">
            <w:pPr>
              <w:pStyle w:val="CDITable-RowCentre"/>
            </w:pPr>
            <w:r w:rsidRPr="00C52BDA">
              <w:t>0</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AB40B55" w14:textId="77777777" w:rsidR="00C52BDA" w:rsidRPr="00C52BDA" w:rsidRDefault="00C52BDA" w:rsidP="00C52BDA">
            <w:pPr>
              <w:pStyle w:val="CDITable-RowCentre"/>
            </w:pPr>
            <w:r w:rsidRPr="00C52BDA">
              <w:t>0</w:t>
            </w:r>
          </w:p>
        </w:tc>
        <w:tc>
          <w:tcPr>
            <w:tcW w:w="9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23B064" w14:textId="77777777" w:rsidR="00C52BDA" w:rsidRPr="00C52BDA" w:rsidRDefault="00C52BDA" w:rsidP="00C52BDA">
            <w:pPr>
              <w:pStyle w:val="CDITable-RowCentre"/>
            </w:pPr>
            <w:r w:rsidRPr="00C52BDA">
              <w:t>4</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C32D77A" w14:textId="77777777" w:rsidR="00C52BDA" w:rsidRPr="00C52BDA" w:rsidRDefault="00C52BDA" w:rsidP="00C52BDA">
            <w:pPr>
              <w:pStyle w:val="CDITable-RowCentre"/>
            </w:pPr>
            <w:r w:rsidRPr="00C52BDA">
              <w:t>0</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81336B" w14:textId="77777777" w:rsidR="00C52BDA" w:rsidRPr="00C52BDA" w:rsidRDefault="00C52BDA" w:rsidP="00C52BDA">
            <w:pPr>
              <w:pStyle w:val="CDITable-RowCentre"/>
            </w:pPr>
            <w:r w:rsidRPr="00C52BDA">
              <w:t>24</w:t>
            </w:r>
          </w:p>
        </w:tc>
      </w:tr>
      <w:tr w:rsidR="00C52BDA" w:rsidRPr="00C52BDA" w14:paraId="6C0F8B42" w14:textId="77777777" w:rsidTr="00D430A8">
        <w:trPr>
          <w:trHeight w:val="60"/>
        </w:trPr>
        <w:tc>
          <w:tcPr>
            <w:tcW w:w="374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4A1147" w14:textId="77777777" w:rsidR="00C52BDA" w:rsidRPr="00C52BDA" w:rsidRDefault="00C52BDA" w:rsidP="00C52BDA">
            <w:pPr>
              <w:pStyle w:val="CDITable-RowLeft"/>
            </w:pPr>
            <w:r w:rsidRPr="00C52BDA">
              <w:t>Northern Territory</w:t>
            </w:r>
          </w:p>
        </w:tc>
        <w:tc>
          <w:tcPr>
            <w:tcW w:w="9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85BB0A" w14:textId="77777777" w:rsidR="00C52BDA" w:rsidRPr="00C52BDA" w:rsidRDefault="00C52BDA" w:rsidP="00C52BDA">
            <w:pPr>
              <w:pStyle w:val="CDITable-RowCentre"/>
            </w:pPr>
            <w:r w:rsidRPr="00C52BDA">
              <w:t>2</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2655E34" w14:textId="77777777" w:rsidR="00C52BDA" w:rsidRPr="00C52BDA" w:rsidRDefault="00C52BDA" w:rsidP="00C52BDA">
            <w:pPr>
              <w:pStyle w:val="CDITable-RowCentre"/>
            </w:pPr>
            <w:r w:rsidRPr="00C52BDA">
              <w:t>0</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5DBB632" w14:textId="77777777" w:rsidR="00C52BDA" w:rsidRPr="00C52BDA" w:rsidRDefault="00C52BDA" w:rsidP="00C52BDA">
            <w:pPr>
              <w:pStyle w:val="CDITable-RowCentre"/>
            </w:pPr>
            <w:r w:rsidRPr="00C52BDA">
              <w:t>0</w:t>
            </w:r>
          </w:p>
        </w:tc>
        <w:tc>
          <w:tcPr>
            <w:tcW w:w="9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E99D0B" w14:textId="77777777" w:rsidR="00C52BDA" w:rsidRPr="00C52BDA" w:rsidRDefault="00C52BDA" w:rsidP="00C52BDA">
            <w:pPr>
              <w:pStyle w:val="CDITable-RowCentre"/>
            </w:pPr>
            <w:r w:rsidRPr="00C52BDA">
              <w:t>0</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3A72A9" w14:textId="77777777" w:rsidR="00C52BDA" w:rsidRPr="00C52BDA" w:rsidRDefault="00C52BDA" w:rsidP="00C52BDA">
            <w:pPr>
              <w:pStyle w:val="CDITable-RowCentre"/>
            </w:pPr>
            <w:r w:rsidRPr="00C52BDA">
              <w:t>0</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4D71B2" w14:textId="77777777" w:rsidR="00C52BDA" w:rsidRPr="00C52BDA" w:rsidRDefault="00C52BDA" w:rsidP="00C52BDA">
            <w:pPr>
              <w:pStyle w:val="CDITable-RowCentre"/>
            </w:pPr>
            <w:r w:rsidRPr="00C52BDA">
              <w:t>2</w:t>
            </w:r>
          </w:p>
        </w:tc>
      </w:tr>
      <w:tr w:rsidR="00C52BDA" w:rsidRPr="00C52BDA" w14:paraId="7739A2F0" w14:textId="77777777" w:rsidTr="00D430A8">
        <w:trPr>
          <w:trHeight w:val="60"/>
        </w:trPr>
        <w:tc>
          <w:tcPr>
            <w:tcW w:w="374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5E5BC3" w14:textId="77777777" w:rsidR="00C52BDA" w:rsidRPr="00C52BDA" w:rsidRDefault="00C52BDA" w:rsidP="00C52BDA">
            <w:pPr>
              <w:pStyle w:val="CDITable-RowLeft"/>
            </w:pPr>
            <w:r w:rsidRPr="00C52BDA">
              <w:t>Queensland</w:t>
            </w:r>
          </w:p>
        </w:tc>
        <w:tc>
          <w:tcPr>
            <w:tcW w:w="9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F31A2F" w14:textId="77777777" w:rsidR="00C52BDA" w:rsidRPr="00C52BDA" w:rsidRDefault="00C52BDA" w:rsidP="00C52BDA">
            <w:pPr>
              <w:pStyle w:val="CDITable-RowCentre"/>
            </w:pPr>
            <w:r w:rsidRPr="00C52BDA">
              <w:t>36</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406ED1" w14:textId="77777777" w:rsidR="00C52BDA" w:rsidRPr="00C52BDA" w:rsidRDefault="00C52BDA" w:rsidP="00C52BDA">
            <w:pPr>
              <w:pStyle w:val="CDITable-RowCentre"/>
            </w:pPr>
            <w:r w:rsidRPr="00C52BDA">
              <w:t>1</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E8176E" w14:textId="77777777" w:rsidR="00C52BDA" w:rsidRPr="00C52BDA" w:rsidRDefault="00C52BDA" w:rsidP="00C52BDA">
            <w:pPr>
              <w:pStyle w:val="CDITable-RowCentre"/>
            </w:pPr>
            <w:r w:rsidRPr="00C52BDA">
              <w:t>0</w:t>
            </w:r>
          </w:p>
        </w:tc>
        <w:tc>
          <w:tcPr>
            <w:tcW w:w="9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D77FB9" w14:textId="77777777" w:rsidR="00C52BDA" w:rsidRPr="00C52BDA" w:rsidRDefault="00C52BDA" w:rsidP="00C52BDA">
            <w:pPr>
              <w:pStyle w:val="CDITable-RowCentre"/>
            </w:pPr>
            <w:r w:rsidRPr="00C52BDA">
              <w:t>5</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C4BAEDA" w14:textId="77777777" w:rsidR="00C52BDA" w:rsidRPr="00C52BDA" w:rsidRDefault="00C52BDA" w:rsidP="00C52BDA">
            <w:pPr>
              <w:pStyle w:val="CDITable-RowCentre"/>
            </w:pPr>
            <w:r w:rsidRPr="00C52BDA">
              <w:t>5</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7FC873" w14:textId="77777777" w:rsidR="00C52BDA" w:rsidRPr="00C52BDA" w:rsidRDefault="00C52BDA" w:rsidP="00C52BDA">
            <w:pPr>
              <w:pStyle w:val="CDITable-RowCentre"/>
            </w:pPr>
            <w:r w:rsidRPr="00C52BDA">
              <w:t>47</w:t>
            </w:r>
          </w:p>
        </w:tc>
      </w:tr>
      <w:tr w:rsidR="00C52BDA" w:rsidRPr="00C52BDA" w14:paraId="0CA687FC" w14:textId="77777777" w:rsidTr="00D430A8">
        <w:trPr>
          <w:trHeight w:val="60"/>
        </w:trPr>
        <w:tc>
          <w:tcPr>
            <w:tcW w:w="374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92CD61B" w14:textId="77777777" w:rsidR="00C52BDA" w:rsidRPr="00C52BDA" w:rsidRDefault="00C52BDA" w:rsidP="00C52BDA">
            <w:pPr>
              <w:pStyle w:val="CDITable-RowLeft"/>
            </w:pPr>
            <w:r w:rsidRPr="00C52BDA">
              <w:t>South Australia</w:t>
            </w:r>
          </w:p>
        </w:tc>
        <w:tc>
          <w:tcPr>
            <w:tcW w:w="9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1ED301" w14:textId="77777777" w:rsidR="00C52BDA" w:rsidRPr="00C52BDA" w:rsidRDefault="00C52BDA" w:rsidP="00C52BDA">
            <w:pPr>
              <w:pStyle w:val="CDITable-RowCentre"/>
            </w:pPr>
            <w:r w:rsidRPr="00C52BDA">
              <w:t>26</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919751" w14:textId="77777777" w:rsidR="00C52BDA" w:rsidRPr="00C52BDA" w:rsidRDefault="00C52BDA" w:rsidP="00C52BDA">
            <w:pPr>
              <w:pStyle w:val="CDITable-RowCentre"/>
            </w:pPr>
            <w:r w:rsidRPr="00C52BDA">
              <w:t>0</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66E2FB" w14:textId="77777777" w:rsidR="00C52BDA" w:rsidRPr="00C52BDA" w:rsidRDefault="00C52BDA" w:rsidP="00C52BDA">
            <w:pPr>
              <w:pStyle w:val="CDITable-RowCentre"/>
            </w:pPr>
            <w:r w:rsidRPr="00C52BDA">
              <w:t>0</w:t>
            </w:r>
          </w:p>
        </w:tc>
        <w:tc>
          <w:tcPr>
            <w:tcW w:w="9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1E87E1" w14:textId="77777777" w:rsidR="00C52BDA" w:rsidRPr="00C52BDA" w:rsidRDefault="00C52BDA" w:rsidP="00C52BDA">
            <w:pPr>
              <w:pStyle w:val="CDITable-RowCentre"/>
            </w:pPr>
            <w:r w:rsidRPr="00C52BDA">
              <w:t>3</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D4FB4A2" w14:textId="77777777" w:rsidR="00C52BDA" w:rsidRPr="00C52BDA" w:rsidRDefault="00C52BDA" w:rsidP="00C52BDA">
            <w:pPr>
              <w:pStyle w:val="CDITable-RowCentre"/>
            </w:pPr>
            <w:r w:rsidRPr="00C52BDA">
              <w:t>0</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D161ED" w14:textId="77777777" w:rsidR="00C52BDA" w:rsidRPr="00C52BDA" w:rsidRDefault="00C52BDA" w:rsidP="00C52BDA">
            <w:pPr>
              <w:pStyle w:val="CDITable-RowCentre"/>
            </w:pPr>
            <w:r w:rsidRPr="00C52BDA">
              <w:t>29</w:t>
            </w:r>
          </w:p>
        </w:tc>
      </w:tr>
      <w:tr w:rsidR="00C52BDA" w:rsidRPr="00C52BDA" w14:paraId="55C63AEA" w14:textId="77777777" w:rsidTr="00D430A8">
        <w:trPr>
          <w:trHeight w:val="60"/>
        </w:trPr>
        <w:tc>
          <w:tcPr>
            <w:tcW w:w="374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BB7B94" w14:textId="77777777" w:rsidR="00C52BDA" w:rsidRPr="00C52BDA" w:rsidRDefault="00C52BDA" w:rsidP="00C52BDA">
            <w:pPr>
              <w:pStyle w:val="CDITable-RowLeft"/>
            </w:pPr>
            <w:r w:rsidRPr="00C52BDA">
              <w:t>Tasmania</w:t>
            </w:r>
          </w:p>
        </w:tc>
        <w:tc>
          <w:tcPr>
            <w:tcW w:w="9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280BCFA" w14:textId="77777777" w:rsidR="00C52BDA" w:rsidRPr="00C52BDA" w:rsidRDefault="00C52BDA" w:rsidP="00C52BDA">
            <w:pPr>
              <w:pStyle w:val="CDITable-RowCentre"/>
            </w:pPr>
            <w:r w:rsidRPr="00C52BDA">
              <w:t>1</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DE7EFC" w14:textId="77777777" w:rsidR="00C52BDA" w:rsidRPr="00C52BDA" w:rsidRDefault="00C52BDA" w:rsidP="00C52BDA">
            <w:pPr>
              <w:pStyle w:val="CDITable-RowCentre"/>
            </w:pPr>
            <w:r w:rsidRPr="00C52BDA">
              <w:t>0</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5BA8448" w14:textId="77777777" w:rsidR="00C52BDA" w:rsidRPr="00C52BDA" w:rsidRDefault="00C52BDA" w:rsidP="00C52BDA">
            <w:pPr>
              <w:pStyle w:val="CDITable-RowCentre"/>
            </w:pPr>
            <w:r w:rsidRPr="00C52BDA">
              <w:t>0</w:t>
            </w:r>
          </w:p>
        </w:tc>
        <w:tc>
          <w:tcPr>
            <w:tcW w:w="9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F718604" w14:textId="77777777" w:rsidR="00C52BDA" w:rsidRPr="00C52BDA" w:rsidRDefault="00C52BDA" w:rsidP="00C52BDA">
            <w:pPr>
              <w:pStyle w:val="CDITable-RowCentre"/>
            </w:pPr>
            <w:r w:rsidRPr="00C52BDA">
              <w:t>0</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2F0258" w14:textId="77777777" w:rsidR="00C52BDA" w:rsidRPr="00C52BDA" w:rsidRDefault="00C52BDA" w:rsidP="00C52BDA">
            <w:pPr>
              <w:pStyle w:val="CDITable-RowCentre"/>
            </w:pPr>
            <w:r w:rsidRPr="00C52BDA">
              <w:t>0</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379E154" w14:textId="77777777" w:rsidR="00C52BDA" w:rsidRPr="00C52BDA" w:rsidRDefault="00C52BDA" w:rsidP="00C52BDA">
            <w:pPr>
              <w:pStyle w:val="CDITable-RowCentre"/>
            </w:pPr>
            <w:r w:rsidRPr="00C52BDA">
              <w:t>1</w:t>
            </w:r>
          </w:p>
        </w:tc>
      </w:tr>
      <w:tr w:rsidR="00C52BDA" w:rsidRPr="00C52BDA" w14:paraId="078CD5D4" w14:textId="77777777" w:rsidTr="00D430A8">
        <w:trPr>
          <w:trHeight w:val="60"/>
        </w:trPr>
        <w:tc>
          <w:tcPr>
            <w:tcW w:w="374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CF1653" w14:textId="77777777" w:rsidR="00C52BDA" w:rsidRPr="00C52BDA" w:rsidRDefault="00C52BDA" w:rsidP="00C52BDA">
            <w:pPr>
              <w:pStyle w:val="CDITable-RowLeft"/>
            </w:pPr>
            <w:r w:rsidRPr="00C52BDA">
              <w:t>Victoria</w:t>
            </w:r>
          </w:p>
        </w:tc>
        <w:tc>
          <w:tcPr>
            <w:tcW w:w="9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983689" w14:textId="77777777" w:rsidR="00C52BDA" w:rsidRPr="00C52BDA" w:rsidRDefault="00C52BDA" w:rsidP="00C52BDA">
            <w:pPr>
              <w:pStyle w:val="CDITable-RowCentre"/>
            </w:pPr>
            <w:r w:rsidRPr="00C52BDA">
              <w:t>14</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70EB14" w14:textId="77777777" w:rsidR="00C52BDA" w:rsidRPr="00C52BDA" w:rsidRDefault="00C52BDA" w:rsidP="00C52BDA">
            <w:pPr>
              <w:pStyle w:val="CDITable-RowCentre"/>
            </w:pPr>
            <w:r w:rsidRPr="00C52BDA">
              <w:t>0</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3F738C7" w14:textId="77777777" w:rsidR="00C52BDA" w:rsidRPr="00C52BDA" w:rsidRDefault="00C52BDA" w:rsidP="00C52BDA">
            <w:pPr>
              <w:pStyle w:val="CDITable-RowCentre"/>
            </w:pPr>
            <w:r w:rsidRPr="00C52BDA">
              <w:t>0</w:t>
            </w:r>
          </w:p>
        </w:tc>
        <w:tc>
          <w:tcPr>
            <w:tcW w:w="9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4A1450" w14:textId="77777777" w:rsidR="00C52BDA" w:rsidRPr="00C52BDA" w:rsidRDefault="00C52BDA" w:rsidP="00C52BDA">
            <w:pPr>
              <w:pStyle w:val="CDITable-RowCentre"/>
            </w:pPr>
            <w:r w:rsidRPr="00C52BDA">
              <w:t>4</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AFA422A" w14:textId="77777777" w:rsidR="00C52BDA" w:rsidRPr="00C52BDA" w:rsidRDefault="00C52BDA" w:rsidP="00C52BDA">
            <w:pPr>
              <w:pStyle w:val="CDITable-RowCentre"/>
            </w:pPr>
            <w:r w:rsidRPr="00C52BDA">
              <w:t>1</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C91DE6" w14:textId="77777777" w:rsidR="00C52BDA" w:rsidRPr="00C52BDA" w:rsidRDefault="00C52BDA" w:rsidP="00C52BDA">
            <w:pPr>
              <w:pStyle w:val="CDITable-RowCentre"/>
            </w:pPr>
            <w:r w:rsidRPr="00C52BDA">
              <w:t>19</w:t>
            </w:r>
          </w:p>
        </w:tc>
      </w:tr>
      <w:tr w:rsidR="00C52BDA" w:rsidRPr="00C52BDA" w14:paraId="667834C1" w14:textId="77777777" w:rsidTr="00D430A8">
        <w:trPr>
          <w:trHeight w:val="60"/>
        </w:trPr>
        <w:tc>
          <w:tcPr>
            <w:tcW w:w="3742" w:type="dxa"/>
            <w:tcBorders>
              <w:top w:val="single" w:sz="6" w:space="0" w:color="1E4496" w:themeColor="text2"/>
            </w:tcBorders>
            <w:tcMar>
              <w:top w:w="113" w:type="dxa"/>
              <w:left w:w="113" w:type="dxa"/>
              <w:bottom w:w="113" w:type="dxa"/>
              <w:right w:w="113" w:type="dxa"/>
            </w:tcMar>
            <w:vAlign w:val="center"/>
          </w:tcPr>
          <w:p w14:paraId="40F3CE41" w14:textId="77777777" w:rsidR="00C52BDA" w:rsidRPr="00C52BDA" w:rsidRDefault="00C52BDA" w:rsidP="00C52BDA">
            <w:pPr>
              <w:pStyle w:val="CDITable-RowLeft"/>
            </w:pPr>
            <w:r w:rsidRPr="00C52BDA">
              <w:t>Western Australia</w:t>
            </w:r>
          </w:p>
        </w:tc>
        <w:tc>
          <w:tcPr>
            <w:tcW w:w="982" w:type="dxa"/>
            <w:tcBorders>
              <w:top w:val="single" w:sz="6" w:space="0" w:color="1E4496" w:themeColor="text2"/>
            </w:tcBorders>
            <w:tcMar>
              <w:top w:w="113" w:type="dxa"/>
              <w:left w:w="113" w:type="dxa"/>
              <w:bottom w:w="113" w:type="dxa"/>
              <w:right w:w="113" w:type="dxa"/>
            </w:tcMar>
            <w:vAlign w:val="center"/>
          </w:tcPr>
          <w:p w14:paraId="643C5BD8" w14:textId="77777777" w:rsidR="00C52BDA" w:rsidRPr="00C52BDA" w:rsidRDefault="00C52BDA" w:rsidP="00C52BDA">
            <w:pPr>
              <w:pStyle w:val="CDITable-RowCentre"/>
            </w:pPr>
            <w:r w:rsidRPr="00C52BDA">
              <w:t>10</w:t>
            </w:r>
          </w:p>
        </w:tc>
        <w:tc>
          <w:tcPr>
            <w:tcW w:w="983" w:type="dxa"/>
            <w:tcBorders>
              <w:top w:val="single" w:sz="6" w:space="0" w:color="1E4496" w:themeColor="text2"/>
            </w:tcBorders>
            <w:tcMar>
              <w:top w:w="113" w:type="dxa"/>
              <w:left w:w="113" w:type="dxa"/>
              <w:bottom w:w="113" w:type="dxa"/>
              <w:right w:w="113" w:type="dxa"/>
            </w:tcMar>
            <w:vAlign w:val="center"/>
          </w:tcPr>
          <w:p w14:paraId="7A9C4B33" w14:textId="77777777" w:rsidR="00C52BDA" w:rsidRPr="00C52BDA" w:rsidRDefault="00C52BDA" w:rsidP="00C52BDA">
            <w:pPr>
              <w:pStyle w:val="CDITable-RowCentre"/>
            </w:pPr>
            <w:r w:rsidRPr="00C52BDA">
              <w:t>0</w:t>
            </w:r>
          </w:p>
        </w:tc>
        <w:tc>
          <w:tcPr>
            <w:tcW w:w="983" w:type="dxa"/>
            <w:tcBorders>
              <w:top w:val="single" w:sz="6" w:space="0" w:color="1E4496" w:themeColor="text2"/>
            </w:tcBorders>
            <w:tcMar>
              <w:top w:w="113" w:type="dxa"/>
              <w:left w:w="113" w:type="dxa"/>
              <w:bottom w:w="113" w:type="dxa"/>
              <w:right w:w="113" w:type="dxa"/>
            </w:tcMar>
            <w:vAlign w:val="center"/>
          </w:tcPr>
          <w:p w14:paraId="58FDECA5" w14:textId="77777777" w:rsidR="00C52BDA" w:rsidRPr="00C52BDA" w:rsidRDefault="00C52BDA" w:rsidP="00C52BDA">
            <w:pPr>
              <w:pStyle w:val="CDITable-RowCentre"/>
            </w:pPr>
            <w:r w:rsidRPr="00C52BDA">
              <w:t>2</w:t>
            </w:r>
          </w:p>
        </w:tc>
        <w:tc>
          <w:tcPr>
            <w:tcW w:w="982" w:type="dxa"/>
            <w:tcBorders>
              <w:top w:val="single" w:sz="6" w:space="0" w:color="1E4496" w:themeColor="text2"/>
            </w:tcBorders>
            <w:tcMar>
              <w:top w:w="113" w:type="dxa"/>
              <w:left w:w="113" w:type="dxa"/>
              <w:bottom w:w="113" w:type="dxa"/>
              <w:right w:w="113" w:type="dxa"/>
            </w:tcMar>
            <w:vAlign w:val="center"/>
          </w:tcPr>
          <w:p w14:paraId="206C5F5E" w14:textId="77777777" w:rsidR="00C52BDA" w:rsidRPr="00C52BDA" w:rsidRDefault="00C52BDA" w:rsidP="00C52BDA">
            <w:pPr>
              <w:pStyle w:val="CDITable-RowCentre"/>
            </w:pPr>
            <w:r w:rsidRPr="00C52BDA">
              <w:t>2</w:t>
            </w:r>
          </w:p>
        </w:tc>
        <w:tc>
          <w:tcPr>
            <w:tcW w:w="983" w:type="dxa"/>
            <w:tcBorders>
              <w:top w:val="single" w:sz="6" w:space="0" w:color="1E4496" w:themeColor="text2"/>
            </w:tcBorders>
            <w:tcMar>
              <w:top w:w="113" w:type="dxa"/>
              <w:left w:w="113" w:type="dxa"/>
              <w:bottom w:w="113" w:type="dxa"/>
              <w:right w:w="113" w:type="dxa"/>
            </w:tcMar>
            <w:vAlign w:val="center"/>
          </w:tcPr>
          <w:p w14:paraId="7893626D" w14:textId="77777777" w:rsidR="00C52BDA" w:rsidRPr="00C52BDA" w:rsidRDefault="00C52BDA" w:rsidP="00C52BDA">
            <w:pPr>
              <w:pStyle w:val="CDITable-RowCentre"/>
            </w:pPr>
            <w:r w:rsidRPr="00C52BDA">
              <w:t>0</w:t>
            </w:r>
          </w:p>
        </w:tc>
        <w:tc>
          <w:tcPr>
            <w:tcW w:w="983" w:type="dxa"/>
            <w:tcBorders>
              <w:top w:val="single" w:sz="6" w:space="0" w:color="1E4496" w:themeColor="text2"/>
            </w:tcBorders>
            <w:tcMar>
              <w:top w:w="113" w:type="dxa"/>
              <w:left w:w="113" w:type="dxa"/>
              <w:bottom w:w="113" w:type="dxa"/>
              <w:right w:w="113" w:type="dxa"/>
            </w:tcMar>
            <w:vAlign w:val="center"/>
          </w:tcPr>
          <w:p w14:paraId="4933E22A" w14:textId="77777777" w:rsidR="00C52BDA" w:rsidRPr="00C52BDA" w:rsidRDefault="00C52BDA" w:rsidP="00C52BDA">
            <w:pPr>
              <w:pStyle w:val="CDITable-RowCentre"/>
            </w:pPr>
            <w:r w:rsidRPr="00C52BDA">
              <w:t>14</w:t>
            </w:r>
          </w:p>
        </w:tc>
      </w:tr>
      <w:tr w:rsidR="00C52BDA" w:rsidRPr="00C52BDA" w14:paraId="2984AB0C" w14:textId="77777777" w:rsidTr="00D430A8">
        <w:trPr>
          <w:trHeight w:val="60"/>
        </w:trPr>
        <w:tc>
          <w:tcPr>
            <w:tcW w:w="3742"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C8CC59A" w14:textId="77777777" w:rsidR="00C52BDA" w:rsidRPr="00C52BDA" w:rsidRDefault="00C52BDA" w:rsidP="00D430A8">
            <w:pPr>
              <w:pStyle w:val="CDITable-TotalRowLeft"/>
            </w:pPr>
            <w:r w:rsidRPr="00C52BDA">
              <w:t>Australia</w:t>
            </w:r>
          </w:p>
        </w:tc>
        <w:tc>
          <w:tcPr>
            <w:tcW w:w="982"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F857798" w14:textId="77777777" w:rsidR="00C52BDA" w:rsidRPr="00C52BDA" w:rsidRDefault="00C52BDA" w:rsidP="00D430A8">
            <w:pPr>
              <w:pStyle w:val="CDITable-TotalRowCentre"/>
            </w:pPr>
            <w:r w:rsidRPr="00C52BDA">
              <w:t>109</w:t>
            </w:r>
          </w:p>
        </w:tc>
        <w:tc>
          <w:tcPr>
            <w:tcW w:w="98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E49C31C" w14:textId="77777777" w:rsidR="00C52BDA" w:rsidRPr="00C52BDA" w:rsidRDefault="00C52BDA" w:rsidP="00D430A8">
            <w:pPr>
              <w:pStyle w:val="CDITable-TotalRowCentre"/>
            </w:pPr>
            <w:r w:rsidRPr="00C52BDA">
              <w:t>1</w:t>
            </w:r>
          </w:p>
        </w:tc>
        <w:tc>
          <w:tcPr>
            <w:tcW w:w="98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5ECEC82F" w14:textId="77777777" w:rsidR="00C52BDA" w:rsidRPr="00C52BDA" w:rsidRDefault="00C52BDA" w:rsidP="00D430A8">
            <w:pPr>
              <w:pStyle w:val="CDITable-TotalRowCentre"/>
            </w:pPr>
            <w:r w:rsidRPr="00C52BDA">
              <w:t>2</w:t>
            </w:r>
          </w:p>
        </w:tc>
        <w:tc>
          <w:tcPr>
            <w:tcW w:w="982"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DE2AA10" w14:textId="77777777" w:rsidR="00C52BDA" w:rsidRPr="00C52BDA" w:rsidRDefault="00C52BDA" w:rsidP="00D430A8">
            <w:pPr>
              <w:pStyle w:val="CDITable-TotalRowCentre"/>
            </w:pPr>
            <w:r w:rsidRPr="00C52BDA">
              <w:t>18</w:t>
            </w:r>
          </w:p>
        </w:tc>
        <w:tc>
          <w:tcPr>
            <w:tcW w:w="98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3BA2EC5F" w14:textId="77777777" w:rsidR="00C52BDA" w:rsidRPr="00C52BDA" w:rsidRDefault="00C52BDA" w:rsidP="00D430A8">
            <w:pPr>
              <w:pStyle w:val="CDITable-TotalRowCentre"/>
            </w:pPr>
            <w:r w:rsidRPr="00C52BDA">
              <w:t>6</w:t>
            </w:r>
          </w:p>
        </w:tc>
        <w:tc>
          <w:tcPr>
            <w:tcW w:w="98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452DA11" w14:textId="77777777" w:rsidR="00C52BDA" w:rsidRPr="00C52BDA" w:rsidRDefault="00C52BDA" w:rsidP="00D430A8">
            <w:pPr>
              <w:pStyle w:val="CDITable-TotalRowCentre"/>
            </w:pPr>
            <w:r w:rsidRPr="00C52BDA">
              <w:t>136</w:t>
            </w:r>
          </w:p>
        </w:tc>
      </w:tr>
      <w:tr w:rsidR="00C52BDA" w:rsidRPr="00D430A8" w14:paraId="3DEA0CEB" w14:textId="77777777" w:rsidTr="00D430A8">
        <w:trPr>
          <w:trHeight w:val="60"/>
        </w:trPr>
        <w:tc>
          <w:tcPr>
            <w:tcW w:w="374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1A2C259" w14:textId="77777777" w:rsidR="00C52BDA" w:rsidRPr="00C52BDA" w:rsidRDefault="00C52BDA" w:rsidP="00C52BDA">
            <w:pPr>
              <w:pStyle w:val="CDITable-RowLeft"/>
            </w:pPr>
            <w:r w:rsidRPr="00C52BDA">
              <w:t>% serogroup, where determined (n = 130)</w:t>
            </w:r>
          </w:p>
        </w:tc>
        <w:tc>
          <w:tcPr>
            <w:tcW w:w="9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C06CC1D" w14:textId="77777777" w:rsidR="00C52BDA" w:rsidRPr="00D430A8" w:rsidRDefault="00C52BDA" w:rsidP="00C52BDA">
            <w:pPr>
              <w:pStyle w:val="CDITable-RowCentre"/>
              <w:rPr>
                <w:b/>
                <w:bCs/>
              </w:rPr>
            </w:pPr>
            <w:r w:rsidRPr="00D430A8">
              <w:rPr>
                <w:b/>
                <w:bCs/>
              </w:rPr>
              <w:t>83.8</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BD15112" w14:textId="77777777" w:rsidR="00C52BDA" w:rsidRPr="00D430A8" w:rsidRDefault="00C52BDA" w:rsidP="00C52BDA">
            <w:pPr>
              <w:pStyle w:val="CDITable-RowCentre"/>
              <w:rPr>
                <w:b/>
                <w:bCs/>
              </w:rPr>
            </w:pPr>
            <w:r w:rsidRPr="00D430A8">
              <w:rPr>
                <w:b/>
                <w:bCs/>
              </w:rPr>
              <w:t>0.8</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82005E4" w14:textId="77777777" w:rsidR="00C52BDA" w:rsidRPr="00D430A8" w:rsidRDefault="00C52BDA" w:rsidP="00C52BDA">
            <w:pPr>
              <w:pStyle w:val="CDITable-RowCentre"/>
              <w:rPr>
                <w:b/>
                <w:bCs/>
              </w:rPr>
            </w:pPr>
            <w:r w:rsidRPr="00D430A8">
              <w:rPr>
                <w:b/>
                <w:bCs/>
              </w:rPr>
              <w:t>1.5</w:t>
            </w:r>
          </w:p>
        </w:tc>
        <w:tc>
          <w:tcPr>
            <w:tcW w:w="9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8EDA76" w14:textId="77777777" w:rsidR="00C52BDA" w:rsidRPr="00D430A8" w:rsidRDefault="00C52BDA" w:rsidP="00C52BDA">
            <w:pPr>
              <w:pStyle w:val="CDITable-RowCentre"/>
              <w:rPr>
                <w:b/>
                <w:bCs/>
              </w:rPr>
            </w:pPr>
            <w:r w:rsidRPr="00D430A8">
              <w:rPr>
                <w:b/>
                <w:bCs/>
              </w:rPr>
              <w:t>13.8</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5FCA85" w14:textId="77777777" w:rsidR="00C52BDA" w:rsidRPr="00D430A8" w:rsidRDefault="00C52BDA" w:rsidP="00C52BDA">
            <w:pPr>
              <w:pStyle w:val="CDITable-RowCentre"/>
              <w:rPr>
                <w:b/>
                <w:bCs/>
              </w:rPr>
            </w:pPr>
            <w:r w:rsidRPr="00D430A8">
              <w:rPr>
                <w:b/>
                <w:bCs/>
              </w:rPr>
              <w:t>—</w:t>
            </w:r>
          </w:p>
        </w:tc>
        <w:tc>
          <w:tcPr>
            <w:tcW w:w="9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E90824" w14:textId="77777777" w:rsidR="00C52BDA" w:rsidRPr="00D430A8" w:rsidRDefault="00C52BDA" w:rsidP="00C52BDA">
            <w:pPr>
              <w:pStyle w:val="CDITable-RowCentre"/>
              <w:rPr>
                <w:b/>
                <w:bCs/>
              </w:rPr>
            </w:pPr>
            <w:r w:rsidRPr="00D430A8">
              <w:rPr>
                <w:b/>
                <w:bCs/>
              </w:rPr>
              <w:t>—</w:t>
            </w:r>
          </w:p>
        </w:tc>
      </w:tr>
    </w:tbl>
    <w:p w14:paraId="60BD0E76" w14:textId="77777777" w:rsidR="00C52BDA" w:rsidRPr="00C52BDA" w:rsidRDefault="00C52BDA" w:rsidP="00C52BDA">
      <w:pPr>
        <w:pStyle w:val="CDITable-FirstFootnote"/>
        <w:rPr>
          <w:lang w:val="en-GB"/>
        </w:rPr>
      </w:pPr>
      <w:r w:rsidRPr="00C52BDA">
        <w:rPr>
          <w:lang w:val="en-GB"/>
        </w:rPr>
        <w:t>a</w:t>
      </w:r>
      <w:r w:rsidRPr="00C52BDA">
        <w:rPr>
          <w:lang w:val="en-GB"/>
        </w:rPr>
        <w:tab/>
        <w:t>ND: serogroup not determined.</w:t>
      </w:r>
    </w:p>
    <w:p w14:paraId="4C2F7946" w14:textId="77777777" w:rsidR="001C1CB9" w:rsidRPr="001C1CB9" w:rsidRDefault="001C1CB9" w:rsidP="001C1CB9">
      <w:pPr>
        <w:pStyle w:val="Normal-morespacebefore"/>
        <w:rPr>
          <w:lang w:val="en-GB"/>
        </w:rPr>
      </w:pPr>
      <w:r w:rsidRPr="001C1CB9">
        <w:rPr>
          <w:lang w:val="en-GB"/>
        </w:rPr>
        <w:t xml:space="preserve">Historically, from 2006 through 2014, the proportion of IMD attributable to MenB ranged from 73 to 84% nationwide, falling to 62% in 2015, and then 37% in 2016–2017. Subsequently, there has been an overall increase in the proportion of IMD attributable to MenB, rising to 44% in 2018, 50% in 2019, and 62% in 2020, with a temporally limited decrease to 52% observed in 2021. From 2022, MenB has accounted for more than 84% of IMD in Australia, and MenB IMD was reported across all age groups in 2024. </w:t>
      </w:r>
    </w:p>
    <w:p w14:paraId="3214F4AA" w14:textId="5F4EFB2F" w:rsidR="00C52BDA" w:rsidRDefault="001C1CB9" w:rsidP="00AC46DC">
      <w:pPr>
        <w:rPr>
          <w:lang w:val="en-GB"/>
        </w:rPr>
      </w:pPr>
      <w:r w:rsidRPr="001C1CB9">
        <w:rPr>
          <w:lang w:val="en-GB"/>
        </w:rPr>
        <w:t xml:space="preserve">MenY accounted for 1–5% IMD in 2000–2010 before increasing to 6–13% in 2011–2015, rising to 16–21% in the years 2016–2021, then decreasing to 10% in 2022 and 8% in 2023 (see Figure 2). In 2024, fourteen percent of IMD (18/130) was MenY in Australia: Queensland (5), New South Wales (4), Victoria (4), South Australia (3) and Western Australia (2). </w:t>
      </w:r>
    </w:p>
    <w:p w14:paraId="75A3CCF5" w14:textId="77777777" w:rsidR="001C1CB9" w:rsidRPr="001C1CB9" w:rsidRDefault="001C1CB9" w:rsidP="001C1CB9">
      <w:pPr>
        <w:pStyle w:val="CDIFigure-Title"/>
        <w:rPr>
          <w:lang w:val="en-GB"/>
        </w:rPr>
      </w:pPr>
      <w:bookmarkStart w:id="33" w:name="_Toc213314617"/>
      <w:r w:rsidRPr="001C1CB9">
        <w:rPr>
          <w:lang w:val="en-GB"/>
        </w:rPr>
        <w:lastRenderedPageBreak/>
        <w:t>Figure 2: Proportion of serogroups of laboratory-confirmed invasive meningococcal disease, Australia, 2000 – 2024 by year</w:t>
      </w:r>
      <w:bookmarkEnd w:id="33"/>
    </w:p>
    <w:p w14:paraId="0ED2CD80" w14:textId="57D9F750" w:rsidR="00C52BDA" w:rsidRDefault="00D430A8" w:rsidP="001C1CB9">
      <w:pPr>
        <w:pStyle w:val="CDIFigure-Placeholder"/>
        <w:rPr>
          <w:lang w:val="en-GB"/>
        </w:rPr>
      </w:pPr>
      <w:r>
        <w:rPr>
          <w:noProof/>
          <w:lang w:val="en-GB"/>
          <w14:ligatures w14:val="none"/>
        </w:rPr>
        <w:drawing>
          <wp:inline distT="0" distB="0" distL="0" distR="0" wp14:anchorId="5FF1A6CE" wp14:editId="245769CA">
            <wp:extent cx="6120765" cy="4319905"/>
            <wp:effectExtent l="0" t="0" r="0" b="4445"/>
            <wp:docPr id="593246618" name="Picture 3" descr="This figure shows the proportion of the invasive meningococcal disease (IMD) cases caused by each of serogroups B, C, W and Y; other serogroups (O) than BCW or Y; and where a serogroup could not be determined (ND), each year from 2000 -2024, colour coded, as a stacked bar chart graph. &#10;The graph demonstrates that before 2004, MenB and MenC IMD were the dominant serogroups detected in Australia. After the MenC vaccination programme introduced in 2004, the number (and proportion) of serogroup C IMD cases greatly diminished and MenB became the predominant serogroup in IMD. Since 2012, the numbers and proportions of IMD cases caused by MenW and MenY began to rise, whereby, in 2016 and 2017, MenW became the predominant cause of IMD in Australia. Subsequently in 2018, the MenC vaccine was replaced by the quadrivalent ACWY vaccine and IMD cases caused by MenW started to decline. In 2019, MenB IMD was the predominant serogroup (50%) in Australia and gradually increased to 83% in 2022 coincident with the easing of public health control interventions for the SARS-CoV-2 pandemic.  MenB IMD continues as the predominant serogroup in 2024, detected in 84% of laboratory confirmations where a serogroup was determ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46618" name="Picture 3" descr="This figure shows the proportion of the invasive meningococcal disease (IMD) cases caused by each of serogroups B, C, W and Y; other serogroups (O) than BCW or Y; and where a serogroup could not be determined (ND), each year from 2000 -2024, colour coded, as a stacked bar chart graph. &#10;The graph demonstrates that before 2004, MenB and MenC IMD were the dominant serogroups detected in Australia. After the MenC vaccination programme introduced in 2004, the number (and proportion) of serogroup C IMD cases greatly diminished and MenB became the predominant serogroup in IMD. Since 2012, the numbers and proportions of IMD cases caused by MenW and MenY began to rise, whereby, in 2016 and 2017, MenW became the predominant cause of IMD in Australia. Subsequently in 2018, the MenC vaccine was replaced by the quadrivalent ACWY vaccine and IMD cases caused by MenW started to decline. In 2019, MenB IMD was the predominant serogroup (50%) in Australia and gradually increased to 83% in 2022 coincident with the easing of public health control interventions for the SARS-CoV-2 pandemic.  MenB IMD continues as the predominant serogroup in 2024, detected in 84% of laboratory confirmations where a serogroup was determined."/>
                    <pic:cNvPicPr/>
                  </pic:nvPicPr>
                  <pic:blipFill>
                    <a:blip r:embed="rId20">
                      <a:extLst>
                        <a:ext uri="{28A0092B-C50C-407E-A947-70E740481C1C}">
                          <a14:useLocalDpi xmlns:a14="http://schemas.microsoft.com/office/drawing/2010/main" val="0"/>
                        </a:ext>
                      </a:extLst>
                    </a:blip>
                    <a:stretch>
                      <a:fillRect/>
                    </a:stretch>
                  </pic:blipFill>
                  <pic:spPr>
                    <a:xfrm>
                      <a:off x="0" y="0"/>
                      <a:ext cx="6120765" cy="4319905"/>
                    </a:xfrm>
                    <a:prstGeom prst="rect">
                      <a:avLst/>
                    </a:prstGeom>
                  </pic:spPr>
                </pic:pic>
              </a:graphicData>
            </a:graphic>
          </wp:inline>
        </w:drawing>
      </w:r>
    </w:p>
    <w:p w14:paraId="5735B6B1" w14:textId="77777777" w:rsidR="001C1CB9" w:rsidRPr="001C1CB9" w:rsidRDefault="001C1CB9" w:rsidP="001C1CB9">
      <w:pPr>
        <w:rPr>
          <w:lang w:val="en-GB"/>
        </w:rPr>
      </w:pPr>
      <w:r w:rsidRPr="001C1CB9">
        <w:rPr>
          <w:lang w:val="en-GB"/>
        </w:rPr>
        <w:t xml:space="preserve">MenW was responsible for a relatively low proportion of IMD prior to 2015 (1–5% in 2000–2012). Increases to 8–10% were observed in 2013–2014, to 21% in 2015, and a peak proportion of 44% observed in 2016; the proportion progressively declined, coincident with vaccination changes, from 36–38% in 2017–2018, to 18–26% in 2019–2021, then 4–8% in 2022–2023 and to 1% in 2024 (Figure 2). MenW IMD (2/130) was only reported from Western Australia in 2024. </w:t>
      </w:r>
    </w:p>
    <w:p w14:paraId="42AE8E8D" w14:textId="77777777" w:rsidR="001C1CB9" w:rsidRPr="001C1CB9" w:rsidRDefault="001C1CB9" w:rsidP="001C1CB9">
      <w:pPr>
        <w:rPr>
          <w:lang w:val="en-GB"/>
        </w:rPr>
      </w:pPr>
      <w:r w:rsidRPr="001C1CB9">
        <w:rPr>
          <w:lang w:val="en-GB"/>
        </w:rPr>
        <w:t xml:space="preserve">In 2024, one MenC IMD was reported from Queensland, the first reported nationally since 2020. </w:t>
      </w:r>
    </w:p>
    <w:p w14:paraId="3D9F806E" w14:textId="77777777" w:rsidR="001C1CB9" w:rsidRPr="001C1CB9" w:rsidRDefault="001C1CB9" w:rsidP="001C1CB9">
      <w:pPr>
        <w:rPr>
          <w:lang w:val="en-GB"/>
        </w:rPr>
      </w:pPr>
      <w:r w:rsidRPr="001C1CB9">
        <w:rPr>
          <w:lang w:val="en-GB"/>
        </w:rPr>
        <w:t>For IMD isolates where a serogroup could not be determined (6/136, 4%), this was due to insufficient DNA concentration available for nucleic acid amplification testing. Of note, there were very few cases of IMD reported from Tasmania (1) and the Northern Territory (2) and none were reported from the Australian Capital Territory (Table 3).</w:t>
      </w:r>
    </w:p>
    <w:p w14:paraId="4F9B83B4" w14:textId="7E022E6D" w:rsidR="00D430A8" w:rsidRPr="00D430A8" w:rsidRDefault="00D430A8" w:rsidP="00D430A8">
      <w:pPr>
        <w:pStyle w:val="Heading2"/>
        <w:rPr>
          <w:lang w:val="en-GB"/>
        </w:rPr>
      </w:pPr>
      <w:bookmarkStart w:id="34" w:name="_Toc213312975"/>
      <w:r w:rsidRPr="00D430A8">
        <w:rPr>
          <w:lang w:val="en-GB"/>
        </w:rPr>
        <w:t>IMD age and serogroup distribution</w:t>
      </w:r>
      <w:bookmarkEnd w:id="34"/>
    </w:p>
    <w:p w14:paraId="1C187A1E" w14:textId="77777777" w:rsidR="00D430A8" w:rsidRPr="00D430A8" w:rsidRDefault="00D430A8" w:rsidP="00D430A8">
      <w:pPr>
        <w:rPr>
          <w:lang w:val="en-GB"/>
        </w:rPr>
      </w:pPr>
      <w:r w:rsidRPr="00D430A8">
        <w:rPr>
          <w:lang w:val="en-GB"/>
        </w:rPr>
        <w:t xml:space="preserve">In 2024, IMD notifications were reported in all age groups. Disease peaks occurred in children less than 5 years of age (27/136 cases; 20%), with 41% of these children (11/27) aged less than one year. A second peak was observed in persons aged 15–24 years, accounting for 28% of laboratory-confirmed cases (38/136). The serogroup was determined for 130/136 cases of IMD (96%). Where the serogroup was determined, in children aged under 5 years, 92% of IMD was MenB (24/26); and in those aged 15–24 years, 94% of IMD was MenB (33/35). Of note, 11–18% of IMD occurred in each of the older age groups reported: in adults 25–44 years (12%; 16/136) and 45–64 years (18%; 25/136), and in those aged 65 years and older (11%: 15/136), with MenB </w:t>
      </w:r>
      <w:r w:rsidRPr="00D430A8">
        <w:rPr>
          <w:lang w:val="en-GB"/>
        </w:rPr>
        <w:lastRenderedPageBreak/>
        <w:t xml:space="preserve">predominating across all age groups, excepting those aged 65 years and older. IMD attributed to MenY was largely reported in those aged 45 years and older (78%; 14/18 of MenY IMD), with sporadic reports in those aged less than 5 years old, 15–19 years and 25–44 years. MenW accounted for two IMD in 2024, involving adults aged 25–44 years and 45–64 years, with both notifications reported from Western Australia. MenC IMD was notified in one case from Queensland, in an adult aged 20–24 years. The serogroup distribution for IMD nationally in 2024 is shown in Table 4 and Figure 3; MenB accounted for 84% (109/130) of IMD overall, and was the majority serogroup in all age groups, except in those aged 65 years and over. MenY IMD accounted for 14 % (18/130) of IMD nationally and occurred sporadically in those aged less than 19 </w:t>
      </w:r>
      <w:proofErr w:type="gramStart"/>
      <w:r w:rsidRPr="00D430A8">
        <w:rPr>
          <w:lang w:val="en-GB"/>
        </w:rPr>
        <w:t>years, and</w:t>
      </w:r>
      <w:proofErr w:type="gramEnd"/>
      <w:r w:rsidRPr="00D430A8">
        <w:rPr>
          <w:lang w:val="en-GB"/>
        </w:rPr>
        <w:t xml:space="preserve"> was more commonly observed in adults aged 25 years and older. </w:t>
      </w:r>
    </w:p>
    <w:p w14:paraId="72118FB0" w14:textId="77777777" w:rsidR="00D430A8" w:rsidRPr="00D430A8" w:rsidRDefault="00D430A8" w:rsidP="00D430A8">
      <w:pPr>
        <w:pStyle w:val="CDITable-Title"/>
        <w:rPr>
          <w:lang w:val="en-GB"/>
        </w:rPr>
      </w:pPr>
      <w:bookmarkStart w:id="35" w:name="_Toc213314624"/>
      <w:r w:rsidRPr="00D430A8">
        <w:rPr>
          <w:lang w:val="en-GB"/>
        </w:rPr>
        <w:t>Table 4: Laboratory-confirmed cases of invasive meningococcal disease, Australia, 2024, by age and serogroup, and the proportion of IMD attributable to MenB</w:t>
      </w:r>
      <w:bookmarkEnd w:id="35"/>
    </w:p>
    <w:tbl>
      <w:tblPr>
        <w:tblW w:w="0" w:type="auto"/>
        <w:tblLayout w:type="fixed"/>
        <w:tblCellMar>
          <w:left w:w="0" w:type="dxa"/>
          <w:right w:w="0" w:type="dxa"/>
        </w:tblCellMar>
        <w:tblLook w:val="0000" w:firstRow="0" w:lastRow="0" w:firstColumn="0" w:lastColumn="0" w:noHBand="0" w:noVBand="0"/>
        <w:tblCaption w:val="Table 4: Laboratory-confirmed cases of invasive meningococcal disease, Australia, 2024, by age and serogroup, and the proportion of IMD attributable to MenB"/>
        <w:tblDescription w:val="Table 4 shows the number of laboratory confirmations of invasive meningococcal disease (IMD) in 2024, grouped by age group and serogroup, and the percentage of IMD caused by MenB disease."/>
      </w:tblPr>
      <w:tblGrid>
        <w:gridCol w:w="1814"/>
        <w:gridCol w:w="783"/>
        <w:gridCol w:w="782"/>
        <w:gridCol w:w="782"/>
        <w:gridCol w:w="783"/>
        <w:gridCol w:w="782"/>
        <w:gridCol w:w="782"/>
        <w:gridCol w:w="783"/>
        <w:gridCol w:w="782"/>
        <w:gridCol w:w="782"/>
        <w:gridCol w:w="783"/>
      </w:tblGrid>
      <w:tr w:rsidR="00D430A8" w:rsidRPr="00D430A8" w14:paraId="3C24F8CD" w14:textId="77777777" w:rsidTr="002E50C0">
        <w:trPr>
          <w:trHeight w:val="60"/>
          <w:tblHeader/>
        </w:trPr>
        <w:tc>
          <w:tcPr>
            <w:tcW w:w="1814" w:type="dxa"/>
            <w:vMerge w:val="restart"/>
            <w:shd w:val="clear" w:color="auto" w:fill="1E4496" w:themeFill="text2"/>
            <w:tcMar>
              <w:top w:w="113" w:type="dxa"/>
              <w:left w:w="113" w:type="dxa"/>
              <w:bottom w:w="113" w:type="dxa"/>
              <w:right w:w="113" w:type="dxa"/>
            </w:tcMar>
            <w:vAlign w:val="bottom"/>
          </w:tcPr>
          <w:p w14:paraId="3B8DCDE9" w14:textId="77777777" w:rsidR="00D430A8" w:rsidRPr="00D430A8" w:rsidRDefault="00D430A8" w:rsidP="00D430A8">
            <w:pPr>
              <w:pStyle w:val="CDITable-HeaderRowLeft"/>
            </w:pPr>
            <w:r w:rsidRPr="00D430A8">
              <w:t>Serogroup</w:t>
            </w:r>
          </w:p>
        </w:tc>
        <w:tc>
          <w:tcPr>
            <w:tcW w:w="7041" w:type="dxa"/>
            <w:gridSpan w:val="9"/>
            <w:tcBorders>
              <w:bottom w:val="single" w:sz="4" w:space="0" w:color="FFFFFF" w:themeColor="background1"/>
            </w:tcBorders>
            <w:shd w:val="clear" w:color="auto" w:fill="1E4496" w:themeFill="text2"/>
            <w:tcMar>
              <w:top w:w="113" w:type="dxa"/>
              <w:left w:w="113" w:type="dxa"/>
              <w:bottom w:w="113" w:type="dxa"/>
              <w:right w:w="113" w:type="dxa"/>
            </w:tcMar>
            <w:vAlign w:val="bottom"/>
          </w:tcPr>
          <w:p w14:paraId="4A214760" w14:textId="77777777" w:rsidR="00D430A8" w:rsidRPr="00D430A8" w:rsidRDefault="00D430A8" w:rsidP="00D430A8">
            <w:pPr>
              <w:pStyle w:val="CDITable-HeaderRowCentre"/>
            </w:pPr>
            <w:r w:rsidRPr="00D430A8">
              <w:t>Age group (years)</w:t>
            </w:r>
          </w:p>
        </w:tc>
        <w:tc>
          <w:tcPr>
            <w:tcW w:w="783" w:type="dxa"/>
            <w:vMerge w:val="restart"/>
            <w:shd w:val="clear" w:color="auto" w:fill="1E4496" w:themeFill="text2"/>
            <w:tcMar>
              <w:top w:w="113" w:type="dxa"/>
              <w:left w:w="113" w:type="dxa"/>
              <w:bottom w:w="113" w:type="dxa"/>
              <w:right w:w="113" w:type="dxa"/>
            </w:tcMar>
            <w:vAlign w:val="bottom"/>
          </w:tcPr>
          <w:p w14:paraId="79BBFEA5" w14:textId="77777777" w:rsidR="00D430A8" w:rsidRPr="00D430A8" w:rsidRDefault="00D430A8" w:rsidP="00D430A8">
            <w:pPr>
              <w:pStyle w:val="CDITable-HeaderRowCentre"/>
            </w:pPr>
            <w:r w:rsidRPr="00D430A8">
              <w:t>Total</w:t>
            </w:r>
          </w:p>
        </w:tc>
      </w:tr>
      <w:tr w:rsidR="00D430A8" w:rsidRPr="00D430A8" w14:paraId="260CA80E" w14:textId="77777777" w:rsidTr="002E50C0">
        <w:trPr>
          <w:trHeight w:val="60"/>
          <w:tblHeader/>
        </w:trPr>
        <w:tc>
          <w:tcPr>
            <w:tcW w:w="1814" w:type="dxa"/>
            <w:vMerge/>
            <w:shd w:val="clear" w:color="auto" w:fill="1E4496" w:themeFill="text2"/>
            <w:tcMar>
              <w:top w:w="113" w:type="dxa"/>
              <w:left w:w="113" w:type="dxa"/>
              <w:bottom w:w="113" w:type="dxa"/>
              <w:right w:w="113" w:type="dxa"/>
            </w:tcMar>
          </w:tcPr>
          <w:p w14:paraId="7169A9DC" w14:textId="77777777" w:rsidR="00D430A8" w:rsidRPr="00D430A8" w:rsidRDefault="00D430A8" w:rsidP="00D430A8"/>
        </w:tc>
        <w:tc>
          <w:tcPr>
            <w:tcW w:w="783" w:type="dxa"/>
            <w:tcBorders>
              <w:top w:val="single" w:sz="4" w:space="0" w:color="FFFFFF" w:themeColor="background1"/>
            </w:tcBorders>
            <w:shd w:val="clear" w:color="auto" w:fill="1E4496" w:themeFill="text2"/>
            <w:tcMar>
              <w:top w:w="113" w:type="dxa"/>
              <w:left w:w="113" w:type="dxa"/>
              <w:bottom w:w="113" w:type="dxa"/>
              <w:right w:w="113" w:type="dxa"/>
            </w:tcMar>
            <w:vAlign w:val="bottom"/>
          </w:tcPr>
          <w:p w14:paraId="7DA65182" w14:textId="77777777" w:rsidR="00D430A8" w:rsidRPr="00D430A8" w:rsidRDefault="00D430A8" w:rsidP="00D430A8">
            <w:pPr>
              <w:pStyle w:val="CDITable-HeaderRowCentre"/>
            </w:pPr>
            <w:r w:rsidRPr="00D430A8">
              <w:t>&lt; 1</w:t>
            </w:r>
          </w:p>
        </w:tc>
        <w:tc>
          <w:tcPr>
            <w:tcW w:w="782" w:type="dxa"/>
            <w:tcBorders>
              <w:top w:val="single" w:sz="4" w:space="0" w:color="FFFFFF" w:themeColor="background1"/>
            </w:tcBorders>
            <w:shd w:val="clear" w:color="auto" w:fill="1E4496" w:themeFill="text2"/>
            <w:tcMar>
              <w:top w:w="113" w:type="dxa"/>
              <w:left w:w="113" w:type="dxa"/>
              <w:bottom w:w="113" w:type="dxa"/>
              <w:right w:w="113" w:type="dxa"/>
            </w:tcMar>
            <w:vAlign w:val="bottom"/>
          </w:tcPr>
          <w:p w14:paraId="7091DA57" w14:textId="77777777" w:rsidR="00D430A8" w:rsidRPr="00D430A8" w:rsidRDefault="00D430A8" w:rsidP="00D430A8">
            <w:pPr>
              <w:pStyle w:val="CDITable-HeaderRowCentre"/>
            </w:pPr>
            <w:r w:rsidRPr="00D430A8">
              <w:t>1–4</w:t>
            </w:r>
          </w:p>
        </w:tc>
        <w:tc>
          <w:tcPr>
            <w:tcW w:w="782" w:type="dxa"/>
            <w:tcBorders>
              <w:top w:val="single" w:sz="4" w:space="0" w:color="FFFFFF" w:themeColor="background1"/>
            </w:tcBorders>
            <w:shd w:val="clear" w:color="auto" w:fill="1E4496" w:themeFill="text2"/>
            <w:tcMar>
              <w:top w:w="113" w:type="dxa"/>
              <w:left w:w="113" w:type="dxa"/>
              <w:bottom w:w="113" w:type="dxa"/>
              <w:right w:w="113" w:type="dxa"/>
            </w:tcMar>
            <w:vAlign w:val="bottom"/>
          </w:tcPr>
          <w:p w14:paraId="26722E06" w14:textId="77777777" w:rsidR="00D430A8" w:rsidRPr="00D430A8" w:rsidRDefault="00D430A8" w:rsidP="00D430A8">
            <w:pPr>
              <w:pStyle w:val="CDITable-HeaderRowCentre"/>
            </w:pPr>
            <w:r w:rsidRPr="00D430A8">
              <w:t>5–9</w:t>
            </w:r>
          </w:p>
        </w:tc>
        <w:tc>
          <w:tcPr>
            <w:tcW w:w="783" w:type="dxa"/>
            <w:tcBorders>
              <w:top w:val="single" w:sz="4" w:space="0" w:color="FFFFFF" w:themeColor="background1"/>
            </w:tcBorders>
            <w:shd w:val="clear" w:color="auto" w:fill="1E4496" w:themeFill="text2"/>
            <w:tcMar>
              <w:top w:w="113" w:type="dxa"/>
              <w:left w:w="113" w:type="dxa"/>
              <w:bottom w:w="113" w:type="dxa"/>
              <w:right w:w="113" w:type="dxa"/>
            </w:tcMar>
            <w:vAlign w:val="bottom"/>
          </w:tcPr>
          <w:p w14:paraId="055C5DBF" w14:textId="77777777" w:rsidR="00D430A8" w:rsidRPr="00D430A8" w:rsidRDefault="00D430A8" w:rsidP="00D430A8">
            <w:pPr>
              <w:pStyle w:val="CDITable-HeaderRowCentre"/>
            </w:pPr>
            <w:r w:rsidRPr="00D430A8">
              <w:t>10–14</w:t>
            </w:r>
          </w:p>
        </w:tc>
        <w:tc>
          <w:tcPr>
            <w:tcW w:w="782" w:type="dxa"/>
            <w:tcBorders>
              <w:top w:val="single" w:sz="4" w:space="0" w:color="FFFFFF" w:themeColor="background1"/>
            </w:tcBorders>
            <w:shd w:val="clear" w:color="auto" w:fill="1E4496" w:themeFill="text2"/>
            <w:tcMar>
              <w:top w:w="113" w:type="dxa"/>
              <w:left w:w="113" w:type="dxa"/>
              <w:bottom w:w="113" w:type="dxa"/>
              <w:right w:w="113" w:type="dxa"/>
            </w:tcMar>
            <w:vAlign w:val="bottom"/>
          </w:tcPr>
          <w:p w14:paraId="43851964" w14:textId="77777777" w:rsidR="00D430A8" w:rsidRPr="00D430A8" w:rsidRDefault="00D430A8" w:rsidP="00D430A8">
            <w:pPr>
              <w:pStyle w:val="CDITable-HeaderRowCentre"/>
            </w:pPr>
            <w:r w:rsidRPr="00D430A8">
              <w:t>15–19</w:t>
            </w:r>
          </w:p>
        </w:tc>
        <w:tc>
          <w:tcPr>
            <w:tcW w:w="782" w:type="dxa"/>
            <w:tcBorders>
              <w:top w:val="single" w:sz="4" w:space="0" w:color="FFFFFF" w:themeColor="background1"/>
            </w:tcBorders>
            <w:shd w:val="clear" w:color="auto" w:fill="1E4496" w:themeFill="text2"/>
            <w:tcMar>
              <w:top w:w="113" w:type="dxa"/>
              <w:left w:w="113" w:type="dxa"/>
              <w:bottom w:w="113" w:type="dxa"/>
              <w:right w:w="113" w:type="dxa"/>
            </w:tcMar>
            <w:vAlign w:val="bottom"/>
          </w:tcPr>
          <w:p w14:paraId="642BE339" w14:textId="77777777" w:rsidR="00D430A8" w:rsidRPr="00D430A8" w:rsidRDefault="00D430A8" w:rsidP="00D430A8">
            <w:pPr>
              <w:pStyle w:val="CDITable-HeaderRowCentre"/>
            </w:pPr>
            <w:r w:rsidRPr="00D430A8">
              <w:t>20–24</w:t>
            </w:r>
          </w:p>
        </w:tc>
        <w:tc>
          <w:tcPr>
            <w:tcW w:w="783" w:type="dxa"/>
            <w:tcBorders>
              <w:top w:val="single" w:sz="4" w:space="0" w:color="FFFFFF" w:themeColor="background1"/>
            </w:tcBorders>
            <w:shd w:val="clear" w:color="auto" w:fill="1E4496" w:themeFill="text2"/>
            <w:tcMar>
              <w:top w:w="113" w:type="dxa"/>
              <w:left w:w="113" w:type="dxa"/>
              <w:bottom w:w="113" w:type="dxa"/>
              <w:right w:w="113" w:type="dxa"/>
            </w:tcMar>
            <w:vAlign w:val="bottom"/>
          </w:tcPr>
          <w:p w14:paraId="02B8F001" w14:textId="77777777" w:rsidR="00D430A8" w:rsidRPr="00D430A8" w:rsidRDefault="00D430A8" w:rsidP="00D430A8">
            <w:pPr>
              <w:pStyle w:val="CDITable-HeaderRowCentre"/>
            </w:pPr>
            <w:r w:rsidRPr="00D430A8">
              <w:t>25–44</w:t>
            </w:r>
          </w:p>
        </w:tc>
        <w:tc>
          <w:tcPr>
            <w:tcW w:w="782" w:type="dxa"/>
            <w:tcBorders>
              <w:top w:val="single" w:sz="4" w:space="0" w:color="FFFFFF" w:themeColor="background1"/>
            </w:tcBorders>
            <w:shd w:val="clear" w:color="auto" w:fill="1E4496" w:themeFill="text2"/>
            <w:tcMar>
              <w:top w:w="113" w:type="dxa"/>
              <w:left w:w="113" w:type="dxa"/>
              <w:bottom w:w="113" w:type="dxa"/>
              <w:right w:w="113" w:type="dxa"/>
            </w:tcMar>
            <w:vAlign w:val="bottom"/>
          </w:tcPr>
          <w:p w14:paraId="0BDC183B" w14:textId="77777777" w:rsidR="00D430A8" w:rsidRPr="00D430A8" w:rsidRDefault="00D430A8" w:rsidP="00D430A8">
            <w:pPr>
              <w:pStyle w:val="CDITable-HeaderRowCentre"/>
            </w:pPr>
            <w:r w:rsidRPr="00D430A8">
              <w:t>45–64</w:t>
            </w:r>
          </w:p>
        </w:tc>
        <w:tc>
          <w:tcPr>
            <w:tcW w:w="782" w:type="dxa"/>
            <w:tcBorders>
              <w:top w:val="single" w:sz="4" w:space="0" w:color="FFFFFF" w:themeColor="background1"/>
            </w:tcBorders>
            <w:shd w:val="clear" w:color="auto" w:fill="1E4496" w:themeFill="text2"/>
            <w:tcMar>
              <w:top w:w="113" w:type="dxa"/>
              <w:left w:w="113" w:type="dxa"/>
              <w:bottom w:w="113" w:type="dxa"/>
              <w:right w:w="113" w:type="dxa"/>
            </w:tcMar>
            <w:vAlign w:val="bottom"/>
          </w:tcPr>
          <w:p w14:paraId="159A35F4" w14:textId="77777777" w:rsidR="00D430A8" w:rsidRPr="00D430A8" w:rsidRDefault="00D430A8" w:rsidP="00D430A8">
            <w:pPr>
              <w:pStyle w:val="CDITable-HeaderRowCentre"/>
            </w:pPr>
            <w:r w:rsidRPr="00D430A8">
              <w:t>65+</w:t>
            </w:r>
          </w:p>
        </w:tc>
        <w:tc>
          <w:tcPr>
            <w:tcW w:w="783" w:type="dxa"/>
            <w:vMerge/>
            <w:shd w:val="clear" w:color="auto" w:fill="1E4496" w:themeFill="text2"/>
            <w:tcMar>
              <w:top w:w="113" w:type="dxa"/>
              <w:left w:w="113" w:type="dxa"/>
              <w:bottom w:w="113" w:type="dxa"/>
              <w:right w:w="113" w:type="dxa"/>
            </w:tcMar>
          </w:tcPr>
          <w:p w14:paraId="581483AF" w14:textId="77777777" w:rsidR="00D430A8" w:rsidRPr="00D430A8" w:rsidRDefault="00D430A8" w:rsidP="00D430A8"/>
        </w:tc>
      </w:tr>
      <w:tr w:rsidR="00D430A8" w:rsidRPr="00D430A8" w14:paraId="252B48DB" w14:textId="77777777" w:rsidTr="002E50C0">
        <w:trPr>
          <w:trHeight w:val="60"/>
        </w:trPr>
        <w:tc>
          <w:tcPr>
            <w:tcW w:w="1814" w:type="dxa"/>
            <w:tcBorders>
              <w:bottom w:val="single" w:sz="6" w:space="0" w:color="1E4496" w:themeColor="text2"/>
            </w:tcBorders>
            <w:tcMar>
              <w:top w:w="113" w:type="dxa"/>
              <w:left w:w="113" w:type="dxa"/>
              <w:bottom w:w="113" w:type="dxa"/>
              <w:right w:w="113" w:type="dxa"/>
            </w:tcMar>
            <w:vAlign w:val="center"/>
          </w:tcPr>
          <w:p w14:paraId="4E97EA37" w14:textId="77777777" w:rsidR="00D430A8" w:rsidRPr="00D430A8" w:rsidRDefault="00D430A8" w:rsidP="00D430A8">
            <w:pPr>
              <w:pStyle w:val="CDITable-RowLeft"/>
            </w:pPr>
            <w:r w:rsidRPr="00D430A8">
              <w:t>B</w:t>
            </w:r>
          </w:p>
        </w:tc>
        <w:tc>
          <w:tcPr>
            <w:tcW w:w="783" w:type="dxa"/>
            <w:tcBorders>
              <w:bottom w:val="single" w:sz="6" w:space="0" w:color="1E4496" w:themeColor="text2"/>
            </w:tcBorders>
            <w:tcMar>
              <w:top w:w="113" w:type="dxa"/>
              <w:left w:w="113" w:type="dxa"/>
              <w:bottom w:w="113" w:type="dxa"/>
              <w:right w:w="113" w:type="dxa"/>
            </w:tcMar>
            <w:vAlign w:val="center"/>
          </w:tcPr>
          <w:p w14:paraId="3501249C" w14:textId="77777777" w:rsidR="00D430A8" w:rsidRPr="00D430A8" w:rsidRDefault="00D430A8" w:rsidP="00D430A8">
            <w:pPr>
              <w:pStyle w:val="CDITable-RowCentre"/>
            </w:pPr>
            <w:r w:rsidRPr="00D430A8">
              <w:t>10</w:t>
            </w:r>
          </w:p>
        </w:tc>
        <w:tc>
          <w:tcPr>
            <w:tcW w:w="782" w:type="dxa"/>
            <w:tcBorders>
              <w:bottom w:val="single" w:sz="6" w:space="0" w:color="1E4496" w:themeColor="text2"/>
            </w:tcBorders>
            <w:tcMar>
              <w:top w:w="113" w:type="dxa"/>
              <w:left w:w="113" w:type="dxa"/>
              <w:bottom w:w="113" w:type="dxa"/>
              <w:right w:w="113" w:type="dxa"/>
            </w:tcMar>
            <w:vAlign w:val="center"/>
          </w:tcPr>
          <w:p w14:paraId="07E64C57" w14:textId="77777777" w:rsidR="00D430A8" w:rsidRPr="00D430A8" w:rsidRDefault="00D430A8" w:rsidP="00D430A8">
            <w:pPr>
              <w:pStyle w:val="CDITable-RowCentre"/>
            </w:pPr>
            <w:r w:rsidRPr="00D430A8">
              <w:t>14</w:t>
            </w:r>
          </w:p>
        </w:tc>
        <w:tc>
          <w:tcPr>
            <w:tcW w:w="782" w:type="dxa"/>
            <w:tcBorders>
              <w:bottom w:val="single" w:sz="6" w:space="0" w:color="1E4496" w:themeColor="text2"/>
            </w:tcBorders>
            <w:tcMar>
              <w:top w:w="113" w:type="dxa"/>
              <w:left w:w="113" w:type="dxa"/>
              <w:bottom w:w="113" w:type="dxa"/>
              <w:right w:w="113" w:type="dxa"/>
            </w:tcMar>
            <w:vAlign w:val="center"/>
          </w:tcPr>
          <w:p w14:paraId="290B6D04" w14:textId="77777777" w:rsidR="00D430A8" w:rsidRPr="00D430A8" w:rsidRDefault="00D430A8" w:rsidP="00D430A8">
            <w:pPr>
              <w:pStyle w:val="CDITable-RowCentre"/>
            </w:pPr>
            <w:r w:rsidRPr="00D430A8">
              <w:t>8</w:t>
            </w:r>
          </w:p>
        </w:tc>
        <w:tc>
          <w:tcPr>
            <w:tcW w:w="783" w:type="dxa"/>
            <w:tcBorders>
              <w:bottom w:val="single" w:sz="6" w:space="0" w:color="1E4496" w:themeColor="text2"/>
            </w:tcBorders>
            <w:tcMar>
              <w:top w:w="113" w:type="dxa"/>
              <w:left w:w="113" w:type="dxa"/>
              <w:bottom w:w="113" w:type="dxa"/>
              <w:right w:w="113" w:type="dxa"/>
            </w:tcMar>
            <w:vAlign w:val="center"/>
          </w:tcPr>
          <w:p w14:paraId="3661E9E7" w14:textId="77777777" w:rsidR="00D430A8" w:rsidRPr="00D430A8" w:rsidRDefault="00D430A8" w:rsidP="00D430A8">
            <w:pPr>
              <w:pStyle w:val="CDITable-RowCentre"/>
            </w:pPr>
            <w:r w:rsidRPr="00D430A8">
              <w:t>7</w:t>
            </w:r>
          </w:p>
        </w:tc>
        <w:tc>
          <w:tcPr>
            <w:tcW w:w="782" w:type="dxa"/>
            <w:tcBorders>
              <w:bottom w:val="single" w:sz="6" w:space="0" w:color="1E4496" w:themeColor="text2"/>
            </w:tcBorders>
            <w:tcMar>
              <w:top w:w="113" w:type="dxa"/>
              <w:left w:w="113" w:type="dxa"/>
              <w:bottom w:w="113" w:type="dxa"/>
              <w:right w:w="113" w:type="dxa"/>
            </w:tcMar>
            <w:vAlign w:val="center"/>
          </w:tcPr>
          <w:p w14:paraId="65570647" w14:textId="77777777" w:rsidR="00D430A8" w:rsidRPr="00D430A8" w:rsidRDefault="00D430A8" w:rsidP="00D430A8">
            <w:pPr>
              <w:pStyle w:val="CDITable-RowCentre"/>
            </w:pPr>
            <w:r w:rsidRPr="00D430A8">
              <w:t>23</w:t>
            </w:r>
          </w:p>
        </w:tc>
        <w:tc>
          <w:tcPr>
            <w:tcW w:w="782" w:type="dxa"/>
            <w:tcBorders>
              <w:bottom w:val="single" w:sz="6" w:space="0" w:color="1E4496" w:themeColor="text2"/>
            </w:tcBorders>
            <w:tcMar>
              <w:top w:w="113" w:type="dxa"/>
              <w:left w:w="113" w:type="dxa"/>
              <w:bottom w:w="113" w:type="dxa"/>
              <w:right w:w="113" w:type="dxa"/>
            </w:tcMar>
            <w:vAlign w:val="center"/>
          </w:tcPr>
          <w:p w14:paraId="5698B6F2" w14:textId="77777777" w:rsidR="00D430A8" w:rsidRPr="00D430A8" w:rsidRDefault="00D430A8" w:rsidP="00D430A8">
            <w:pPr>
              <w:pStyle w:val="CDITable-RowCentre"/>
            </w:pPr>
            <w:r w:rsidRPr="00D430A8">
              <w:t>10</w:t>
            </w:r>
          </w:p>
        </w:tc>
        <w:tc>
          <w:tcPr>
            <w:tcW w:w="783" w:type="dxa"/>
            <w:tcBorders>
              <w:bottom w:val="single" w:sz="6" w:space="0" w:color="1E4496" w:themeColor="text2"/>
            </w:tcBorders>
            <w:tcMar>
              <w:top w:w="113" w:type="dxa"/>
              <w:left w:w="113" w:type="dxa"/>
              <w:bottom w:w="113" w:type="dxa"/>
              <w:right w:w="113" w:type="dxa"/>
            </w:tcMar>
            <w:vAlign w:val="center"/>
          </w:tcPr>
          <w:p w14:paraId="3BAF43FF" w14:textId="77777777" w:rsidR="00D430A8" w:rsidRPr="00D430A8" w:rsidRDefault="00D430A8" w:rsidP="00D430A8">
            <w:pPr>
              <w:pStyle w:val="CDITable-RowCentre"/>
            </w:pPr>
            <w:r w:rsidRPr="00D430A8">
              <w:t>13</w:t>
            </w:r>
          </w:p>
        </w:tc>
        <w:tc>
          <w:tcPr>
            <w:tcW w:w="782" w:type="dxa"/>
            <w:tcBorders>
              <w:bottom w:val="single" w:sz="6" w:space="0" w:color="1E4496" w:themeColor="text2"/>
            </w:tcBorders>
            <w:tcMar>
              <w:top w:w="113" w:type="dxa"/>
              <w:left w:w="113" w:type="dxa"/>
              <w:bottom w:w="113" w:type="dxa"/>
              <w:right w:w="113" w:type="dxa"/>
            </w:tcMar>
            <w:vAlign w:val="center"/>
          </w:tcPr>
          <w:p w14:paraId="4DD05E8F" w14:textId="77777777" w:rsidR="00D430A8" w:rsidRPr="00D430A8" w:rsidRDefault="00D430A8" w:rsidP="00D430A8">
            <w:pPr>
              <w:pStyle w:val="CDITable-RowCentre"/>
            </w:pPr>
            <w:r w:rsidRPr="00D430A8">
              <w:t>17</w:t>
            </w:r>
          </w:p>
        </w:tc>
        <w:tc>
          <w:tcPr>
            <w:tcW w:w="782" w:type="dxa"/>
            <w:tcBorders>
              <w:bottom w:val="single" w:sz="6" w:space="0" w:color="1E4496" w:themeColor="text2"/>
            </w:tcBorders>
            <w:tcMar>
              <w:top w:w="113" w:type="dxa"/>
              <w:left w:w="113" w:type="dxa"/>
              <w:bottom w:w="113" w:type="dxa"/>
              <w:right w:w="113" w:type="dxa"/>
            </w:tcMar>
            <w:vAlign w:val="center"/>
          </w:tcPr>
          <w:p w14:paraId="4DC87462" w14:textId="77777777" w:rsidR="00D430A8" w:rsidRPr="00D430A8" w:rsidRDefault="00D430A8" w:rsidP="00D430A8">
            <w:pPr>
              <w:pStyle w:val="CDITable-RowCentre"/>
            </w:pPr>
            <w:r w:rsidRPr="00D430A8">
              <w:t>7</w:t>
            </w:r>
          </w:p>
        </w:tc>
        <w:tc>
          <w:tcPr>
            <w:tcW w:w="783" w:type="dxa"/>
            <w:tcBorders>
              <w:bottom w:val="single" w:sz="6" w:space="0" w:color="1E4496" w:themeColor="text2"/>
            </w:tcBorders>
            <w:tcMar>
              <w:top w:w="113" w:type="dxa"/>
              <w:left w:w="113" w:type="dxa"/>
              <w:bottom w:w="113" w:type="dxa"/>
              <w:right w:w="113" w:type="dxa"/>
            </w:tcMar>
            <w:vAlign w:val="center"/>
          </w:tcPr>
          <w:p w14:paraId="1E25A4AD" w14:textId="77777777" w:rsidR="00D430A8" w:rsidRPr="00D430A8" w:rsidRDefault="00D430A8" w:rsidP="00D430A8">
            <w:pPr>
              <w:pStyle w:val="CDITable-RowCentre"/>
            </w:pPr>
            <w:r w:rsidRPr="00D430A8">
              <w:t>109</w:t>
            </w:r>
          </w:p>
        </w:tc>
      </w:tr>
      <w:tr w:rsidR="00D430A8" w:rsidRPr="00D430A8" w14:paraId="577766CF" w14:textId="77777777" w:rsidTr="002E50C0">
        <w:trPr>
          <w:trHeight w:val="60"/>
        </w:trPr>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96C265" w14:textId="77777777" w:rsidR="00D430A8" w:rsidRPr="00D430A8" w:rsidRDefault="00D430A8" w:rsidP="00D430A8">
            <w:pPr>
              <w:pStyle w:val="CDITable-RowLeft"/>
            </w:pPr>
            <w:r w:rsidRPr="00D430A8">
              <w:t>C</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AC3F16" w14:textId="77777777" w:rsidR="00D430A8" w:rsidRPr="00D430A8" w:rsidRDefault="00D430A8" w:rsidP="00D430A8">
            <w:pPr>
              <w:pStyle w:val="CDITable-RowCentre"/>
            </w:pPr>
            <w:r w:rsidRPr="00D430A8">
              <w:t>0</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FCF0C7" w14:textId="77777777" w:rsidR="00D430A8" w:rsidRPr="00D430A8" w:rsidRDefault="00D430A8" w:rsidP="00D430A8">
            <w:pPr>
              <w:pStyle w:val="CDITable-RowCentre"/>
            </w:pPr>
            <w:r w:rsidRPr="00D430A8">
              <w:t>0</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ADEE90" w14:textId="77777777" w:rsidR="00D430A8" w:rsidRPr="00D430A8" w:rsidRDefault="00D430A8" w:rsidP="00D430A8">
            <w:pPr>
              <w:pStyle w:val="CDITable-RowCentre"/>
            </w:pPr>
            <w:r w:rsidRPr="00D430A8">
              <w:t>0</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1A5F636" w14:textId="77777777" w:rsidR="00D430A8" w:rsidRPr="00D430A8" w:rsidRDefault="00D430A8" w:rsidP="00D430A8">
            <w:pPr>
              <w:pStyle w:val="CDITable-RowCentre"/>
            </w:pPr>
            <w:r w:rsidRPr="00D430A8">
              <w:t>0</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E33EAB" w14:textId="77777777" w:rsidR="00D430A8" w:rsidRPr="00D430A8" w:rsidRDefault="00D430A8" w:rsidP="00D430A8">
            <w:pPr>
              <w:pStyle w:val="CDITable-RowCentre"/>
            </w:pPr>
            <w:r w:rsidRPr="00D430A8">
              <w:t>0</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E82A26" w14:textId="77777777" w:rsidR="00D430A8" w:rsidRPr="00D430A8" w:rsidRDefault="00D430A8" w:rsidP="00D430A8">
            <w:pPr>
              <w:pStyle w:val="CDITable-RowCentre"/>
            </w:pPr>
            <w:r w:rsidRPr="00D430A8">
              <w:t>1</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A5A962" w14:textId="77777777" w:rsidR="00D430A8" w:rsidRPr="00D430A8" w:rsidRDefault="00D430A8" w:rsidP="00D430A8">
            <w:pPr>
              <w:pStyle w:val="CDITable-RowCentre"/>
            </w:pPr>
            <w:r w:rsidRPr="00D430A8">
              <w:t>0</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5FC335" w14:textId="77777777" w:rsidR="00D430A8" w:rsidRPr="00D430A8" w:rsidRDefault="00D430A8" w:rsidP="00D430A8">
            <w:pPr>
              <w:pStyle w:val="CDITable-RowCentre"/>
            </w:pPr>
            <w:r w:rsidRPr="00D430A8">
              <w:t>0</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D0A158" w14:textId="77777777" w:rsidR="00D430A8" w:rsidRPr="00D430A8" w:rsidRDefault="00D430A8" w:rsidP="00D430A8">
            <w:pPr>
              <w:pStyle w:val="CDITable-RowCentre"/>
            </w:pPr>
            <w:r w:rsidRPr="00D430A8">
              <w:t>0</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FCA85AF" w14:textId="77777777" w:rsidR="00D430A8" w:rsidRPr="00D430A8" w:rsidRDefault="00D430A8" w:rsidP="00D430A8">
            <w:pPr>
              <w:pStyle w:val="CDITable-RowCentre"/>
            </w:pPr>
            <w:r w:rsidRPr="00D430A8">
              <w:t>1</w:t>
            </w:r>
          </w:p>
        </w:tc>
      </w:tr>
      <w:tr w:rsidR="00D430A8" w:rsidRPr="00D430A8" w14:paraId="4EAEA603" w14:textId="77777777" w:rsidTr="002E50C0">
        <w:trPr>
          <w:trHeight w:val="60"/>
        </w:trPr>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AB0040B" w14:textId="77777777" w:rsidR="00D430A8" w:rsidRPr="00D430A8" w:rsidRDefault="00D430A8" w:rsidP="00D430A8">
            <w:pPr>
              <w:pStyle w:val="CDITable-RowLeft"/>
            </w:pPr>
            <w:r w:rsidRPr="00D430A8">
              <w:t>W</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D97E299" w14:textId="77777777" w:rsidR="00D430A8" w:rsidRPr="00D430A8" w:rsidRDefault="00D430A8" w:rsidP="00D430A8">
            <w:pPr>
              <w:pStyle w:val="CDITable-RowCentre"/>
            </w:pPr>
            <w:r w:rsidRPr="00D430A8">
              <w:t>0</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6DD0828" w14:textId="77777777" w:rsidR="00D430A8" w:rsidRPr="00D430A8" w:rsidRDefault="00D430A8" w:rsidP="00D430A8">
            <w:pPr>
              <w:pStyle w:val="CDITable-RowCentre"/>
            </w:pPr>
            <w:r w:rsidRPr="00D430A8">
              <w:t>0</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8EDB0C" w14:textId="77777777" w:rsidR="00D430A8" w:rsidRPr="00D430A8" w:rsidRDefault="00D430A8" w:rsidP="00D430A8">
            <w:pPr>
              <w:pStyle w:val="CDITable-RowCentre"/>
            </w:pPr>
            <w:r w:rsidRPr="00D430A8">
              <w:t>0</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762038" w14:textId="77777777" w:rsidR="00D430A8" w:rsidRPr="00D430A8" w:rsidRDefault="00D430A8" w:rsidP="00D430A8">
            <w:pPr>
              <w:pStyle w:val="CDITable-RowCentre"/>
            </w:pPr>
            <w:r w:rsidRPr="00D430A8">
              <w:t>0</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BEDB69" w14:textId="77777777" w:rsidR="00D430A8" w:rsidRPr="00D430A8" w:rsidRDefault="00D430A8" w:rsidP="00D430A8">
            <w:pPr>
              <w:pStyle w:val="CDITable-RowCentre"/>
            </w:pPr>
            <w:r w:rsidRPr="00D430A8">
              <w:t>0</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DF42788" w14:textId="77777777" w:rsidR="00D430A8" w:rsidRPr="00D430A8" w:rsidRDefault="00D430A8" w:rsidP="00D430A8">
            <w:pPr>
              <w:pStyle w:val="CDITable-RowCentre"/>
            </w:pPr>
            <w:r w:rsidRPr="00D430A8">
              <w:t>0</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9D64D2" w14:textId="77777777" w:rsidR="00D430A8" w:rsidRPr="00D430A8" w:rsidRDefault="00D430A8" w:rsidP="00D430A8">
            <w:pPr>
              <w:pStyle w:val="CDITable-RowCentre"/>
            </w:pPr>
            <w:r w:rsidRPr="00D430A8">
              <w:t>1</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331B305" w14:textId="77777777" w:rsidR="00D430A8" w:rsidRPr="00D430A8" w:rsidRDefault="00D430A8" w:rsidP="00D430A8">
            <w:pPr>
              <w:pStyle w:val="CDITable-RowCentre"/>
            </w:pPr>
            <w:r w:rsidRPr="00D430A8">
              <w:t>1</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4AD7B7E" w14:textId="77777777" w:rsidR="00D430A8" w:rsidRPr="00D430A8" w:rsidRDefault="00D430A8" w:rsidP="00D430A8">
            <w:pPr>
              <w:pStyle w:val="CDITable-RowCentre"/>
            </w:pPr>
            <w:r w:rsidRPr="00D430A8">
              <w:t>0</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675EDA" w14:textId="77777777" w:rsidR="00D430A8" w:rsidRPr="00D430A8" w:rsidRDefault="00D430A8" w:rsidP="00D430A8">
            <w:pPr>
              <w:pStyle w:val="CDITable-RowCentre"/>
            </w:pPr>
            <w:r w:rsidRPr="00D430A8">
              <w:t>2</w:t>
            </w:r>
          </w:p>
        </w:tc>
      </w:tr>
      <w:tr w:rsidR="00D430A8" w:rsidRPr="00D430A8" w14:paraId="67C947CD" w14:textId="77777777" w:rsidTr="002E50C0">
        <w:trPr>
          <w:trHeight w:val="60"/>
        </w:trPr>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D23B29C" w14:textId="77777777" w:rsidR="00D430A8" w:rsidRPr="00D430A8" w:rsidRDefault="00D430A8" w:rsidP="00D430A8">
            <w:pPr>
              <w:pStyle w:val="CDITable-RowLeft"/>
            </w:pPr>
            <w:r w:rsidRPr="00D430A8">
              <w:t>Y</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87C543" w14:textId="77777777" w:rsidR="00D430A8" w:rsidRPr="00D430A8" w:rsidRDefault="00D430A8" w:rsidP="00D430A8">
            <w:pPr>
              <w:pStyle w:val="CDITable-RowCentre"/>
            </w:pPr>
            <w:r w:rsidRPr="00D430A8">
              <w:t>1</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CA79D30" w14:textId="77777777" w:rsidR="00D430A8" w:rsidRPr="00D430A8" w:rsidRDefault="00D430A8" w:rsidP="00D430A8">
            <w:pPr>
              <w:pStyle w:val="CDITable-RowCentre"/>
            </w:pPr>
            <w:r w:rsidRPr="00D430A8">
              <w:t>1</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463266" w14:textId="77777777" w:rsidR="00D430A8" w:rsidRPr="00D430A8" w:rsidRDefault="00D430A8" w:rsidP="00D430A8">
            <w:pPr>
              <w:pStyle w:val="CDITable-RowCentre"/>
            </w:pPr>
            <w:r w:rsidRPr="00D430A8">
              <w:t>0</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108457B" w14:textId="77777777" w:rsidR="00D430A8" w:rsidRPr="00D430A8" w:rsidRDefault="00D430A8" w:rsidP="00D430A8">
            <w:pPr>
              <w:pStyle w:val="CDITable-RowCentre"/>
            </w:pPr>
            <w:r w:rsidRPr="00D430A8">
              <w:t>0</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55E2BAC" w14:textId="77777777" w:rsidR="00D430A8" w:rsidRPr="00D430A8" w:rsidRDefault="00D430A8" w:rsidP="00D430A8">
            <w:pPr>
              <w:pStyle w:val="CDITable-RowCentre"/>
            </w:pPr>
            <w:r w:rsidRPr="00D430A8">
              <w:t>1</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8BE0A81" w14:textId="77777777" w:rsidR="00D430A8" w:rsidRPr="00D430A8" w:rsidRDefault="00D430A8" w:rsidP="00D430A8">
            <w:pPr>
              <w:pStyle w:val="CDITable-RowCentre"/>
            </w:pPr>
            <w:r w:rsidRPr="00D430A8">
              <w:t>0</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DA59FFF" w14:textId="77777777" w:rsidR="00D430A8" w:rsidRPr="00D430A8" w:rsidRDefault="00D430A8" w:rsidP="00D430A8">
            <w:pPr>
              <w:pStyle w:val="CDITable-RowCentre"/>
            </w:pPr>
            <w:r w:rsidRPr="00D430A8">
              <w:t>1</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F7EF20" w14:textId="77777777" w:rsidR="00D430A8" w:rsidRPr="00D430A8" w:rsidRDefault="00D430A8" w:rsidP="00D430A8">
            <w:pPr>
              <w:pStyle w:val="CDITable-RowCentre"/>
            </w:pPr>
            <w:r w:rsidRPr="00D430A8">
              <w:t>6</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9D7146" w14:textId="77777777" w:rsidR="00D430A8" w:rsidRPr="00D430A8" w:rsidRDefault="00D430A8" w:rsidP="00D430A8">
            <w:pPr>
              <w:pStyle w:val="CDITable-RowCentre"/>
            </w:pPr>
            <w:r w:rsidRPr="00D430A8">
              <w:t>8</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0F4B51" w14:textId="77777777" w:rsidR="00D430A8" w:rsidRPr="00D430A8" w:rsidRDefault="00D430A8" w:rsidP="00D430A8">
            <w:pPr>
              <w:pStyle w:val="CDITable-RowCentre"/>
            </w:pPr>
            <w:r w:rsidRPr="00D430A8">
              <w:t>18</w:t>
            </w:r>
          </w:p>
        </w:tc>
      </w:tr>
      <w:tr w:rsidR="00D430A8" w:rsidRPr="00D430A8" w14:paraId="028403B0" w14:textId="77777777" w:rsidTr="002E50C0">
        <w:trPr>
          <w:trHeight w:val="60"/>
        </w:trPr>
        <w:tc>
          <w:tcPr>
            <w:tcW w:w="1814" w:type="dxa"/>
            <w:tcBorders>
              <w:top w:val="single" w:sz="6" w:space="0" w:color="1E4496" w:themeColor="text2"/>
            </w:tcBorders>
            <w:tcMar>
              <w:top w:w="113" w:type="dxa"/>
              <w:left w:w="113" w:type="dxa"/>
              <w:bottom w:w="113" w:type="dxa"/>
              <w:right w:w="113" w:type="dxa"/>
            </w:tcMar>
            <w:vAlign w:val="center"/>
          </w:tcPr>
          <w:p w14:paraId="2FD47A76" w14:textId="77777777" w:rsidR="00D430A8" w:rsidRPr="00D430A8" w:rsidRDefault="00D430A8" w:rsidP="00D430A8">
            <w:pPr>
              <w:pStyle w:val="CDITable-RowLeft"/>
            </w:pPr>
            <w:proofErr w:type="spellStart"/>
            <w:r w:rsidRPr="00D430A8">
              <w:t>ND</w:t>
            </w:r>
            <w:r w:rsidRPr="00D430A8">
              <w:rPr>
                <w:vertAlign w:val="superscript"/>
              </w:rPr>
              <w:t>a</w:t>
            </w:r>
            <w:proofErr w:type="spellEnd"/>
          </w:p>
        </w:tc>
        <w:tc>
          <w:tcPr>
            <w:tcW w:w="783" w:type="dxa"/>
            <w:tcBorders>
              <w:top w:val="single" w:sz="6" w:space="0" w:color="1E4496" w:themeColor="text2"/>
            </w:tcBorders>
            <w:tcMar>
              <w:top w:w="113" w:type="dxa"/>
              <w:left w:w="113" w:type="dxa"/>
              <w:bottom w:w="113" w:type="dxa"/>
              <w:right w:w="113" w:type="dxa"/>
            </w:tcMar>
            <w:vAlign w:val="center"/>
          </w:tcPr>
          <w:p w14:paraId="056AC56E" w14:textId="77777777" w:rsidR="00D430A8" w:rsidRPr="00D430A8" w:rsidRDefault="00D430A8" w:rsidP="00D430A8">
            <w:pPr>
              <w:pStyle w:val="CDITable-RowCentre"/>
            </w:pPr>
            <w:r w:rsidRPr="00D430A8">
              <w:t>0</w:t>
            </w:r>
          </w:p>
        </w:tc>
        <w:tc>
          <w:tcPr>
            <w:tcW w:w="782" w:type="dxa"/>
            <w:tcBorders>
              <w:top w:val="single" w:sz="6" w:space="0" w:color="1E4496" w:themeColor="text2"/>
            </w:tcBorders>
            <w:tcMar>
              <w:top w:w="113" w:type="dxa"/>
              <w:left w:w="113" w:type="dxa"/>
              <w:bottom w:w="113" w:type="dxa"/>
              <w:right w:w="113" w:type="dxa"/>
            </w:tcMar>
            <w:vAlign w:val="center"/>
          </w:tcPr>
          <w:p w14:paraId="6C24C827" w14:textId="77777777" w:rsidR="00D430A8" w:rsidRPr="00D430A8" w:rsidRDefault="00D430A8" w:rsidP="00D430A8">
            <w:pPr>
              <w:pStyle w:val="CDITable-RowCentre"/>
            </w:pPr>
            <w:r w:rsidRPr="00D430A8">
              <w:t>1</w:t>
            </w:r>
          </w:p>
        </w:tc>
        <w:tc>
          <w:tcPr>
            <w:tcW w:w="782" w:type="dxa"/>
            <w:tcBorders>
              <w:top w:val="single" w:sz="6" w:space="0" w:color="1E4496" w:themeColor="text2"/>
            </w:tcBorders>
            <w:tcMar>
              <w:top w:w="113" w:type="dxa"/>
              <w:left w:w="113" w:type="dxa"/>
              <w:bottom w:w="113" w:type="dxa"/>
              <w:right w:w="113" w:type="dxa"/>
            </w:tcMar>
            <w:vAlign w:val="center"/>
          </w:tcPr>
          <w:p w14:paraId="5A1F6D0A" w14:textId="77777777" w:rsidR="00D430A8" w:rsidRPr="00D430A8" w:rsidRDefault="00D430A8" w:rsidP="00D430A8">
            <w:pPr>
              <w:pStyle w:val="CDITable-RowCentre"/>
            </w:pPr>
            <w:r w:rsidRPr="00D430A8">
              <w:t>0</w:t>
            </w:r>
          </w:p>
        </w:tc>
        <w:tc>
          <w:tcPr>
            <w:tcW w:w="783" w:type="dxa"/>
            <w:tcBorders>
              <w:top w:val="single" w:sz="6" w:space="0" w:color="1E4496" w:themeColor="text2"/>
            </w:tcBorders>
            <w:tcMar>
              <w:top w:w="113" w:type="dxa"/>
              <w:left w:w="113" w:type="dxa"/>
              <w:bottom w:w="113" w:type="dxa"/>
              <w:right w:w="113" w:type="dxa"/>
            </w:tcMar>
            <w:vAlign w:val="center"/>
          </w:tcPr>
          <w:p w14:paraId="02A6EFA1" w14:textId="77777777" w:rsidR="00D430A8" w:rsidRPr="00D430A8" w:rsidRDefault="00D430A8" w:rsidP="00D430A8">
            <w:pPr>
              <w:pStyle w:val="CDITable-RowCentre"/>
            </w:pPr>
            <w:r w:rsidRPr="00D430A8">
              <w:t>0</w:t>
            </w:r>
          </w:p>
        </w:tc>
        <w:tc>
          <w:tcPr>
            <w:tcW w:w="782" w:type="dxa"/>
            <w:tcBorders>
              <w:top w:val="single" w:sz="6" w:space="0" w:color="1E4496" w:themeColor="text2"/>
            </w:tcBorders>
            <w:tcMar>
              <w:top w:w="113" w:type="dxa"/>
              <w:left w:w="113" w:type="dxa"/>
              <w:bottom w:w="113" w:type="dxa"/>
              <w:right w:w="113" w:type="dxa"/>
            </w:tcMar>
            <w:vAlign w:val="center"/>
          </w:tcPr>
          <w:p w14:paraId="5943A28B" w14:textId="77777777" w:rsidR="00D430A8" w:rsidRPr="00D430A8" w:rsidRDefault="00D430A8" w:rsidP="00D430A8">
            <w:pPr>
              <w:pStyle w:val="CDITable-RowCentre"/>
            </w:pPr>
            <w:r w:rsidRPr="00D430A8">
              <w:t>1</w:t>
            </w:r>
          </w:p>
        </w:tc>
        <w:tc>
          <w:tcPr>
            <w:tcW w:w="782" w:type="dxa"/>
            <w:tcBorders>
              <w:top w:val="single" w:sz="6" w:space="0" w:color="1E4496" w:themeColor="text2"/>
            </w:tcBorders>
            <w:tcMar>
              <w:top w:w="113" w:type="dxa"/>
              <w:left w:w="113" w:type="dxa"/>
              <w:bottom w:w="113" w:type="dxa"/>
              <w:right w:w="113" w:type="dxa"/>
            </w:tcMar>
            <w:vAlign w:val="center"/>
          </w:tcPr>
          <w:p w14:paraId="12BF8B0A" w14:textId="77777777" w:rsidR="00D430A8" w:rsidRPr="00D430A8" w:rsidRDefault="00D430A8" w:rsidP="00D430A8">
            <w:pPr>
              <w:pStyle w:val="CDITable-RowCentre"/>
            </w:pPr>
            <w:r w:rsidRPr="00D430A8">
              <w:t>2</w:t>
            </w:r>
          </w:p>
        </w:tc>
        <w:tc>
          <w:tcPr>
            <w:tcW w:w="783" w:type="dxa"/>
            <w:tcBorders>
              <w:top w:val="single" w:sz="6" w:space="0" w:color="1E4496" w:themeColor="text2"/>
            </w:tcBorders>
            <w:tcMar>
              <w:top w:w="113" w:type="dxa"/>
              <w:left w:w="113" w:type="dxa"/>
              <w:bottom w:w="113" w:type="dxa"/>
              <w:right w:w="113" w:type="dxa"/>
            </w:tcMar>
            <w:vAlign w:val="center"/>
          </w:tcPr>
          <w:p w14:paraId="5945AF43" w14:textId="77777777" w:rsidR="00D430A8" w:rsidRPr="00D430A8" w:rsidRDefault="00D430A8" w:rsidP="00D430A8">
            <w:pPr>
              <w:pStyle w:val="CDITable-RowCentre"/>
            </w:pPr>
            <w:r w:rsidRPr="00D430A8">
              <w:t>1</w:t>
            </w:r>
          </w:p>
        </w:tc>
        <w:tc>
          <w:tcPr>
            <w:tcW w:w="782" w:type="dxa"/>
            <w:tcBorders>
              <w:top w:val="single" w:sz="6" w:space="0" w:color="1E4496" w:themeColor="text2"/>
            </w:tcBorders>
            <w:tcMar>
              <w:top w:w="113" w:type="dxa"/>
              <w:left w:w="113" w:type="dxa"/>
              <w:bottom w:w="113" w:type="dxa"/>
              <w:right w:w="113" w:type="dxa"/>
            </w:tcMar>
            <w:vAlign w:val="center"/>
          </w:tcPr>
          <w:p w14:paraId="616172C2" w14:textId="77777777" w:rsidR="00D430A8" w:rsidRPr="00D430A8" w:rsidRDefault="00D430A8" w:rsidP="00D430A8">
            <w:pPr>
              <w:pStyle w:val="CDITable-RowCentre"/>
            </w:pPr>
            <w:r w:rsidRPr="00D430A8">
              <w:t>1</w:t>
            </w:r>
          </w:p>
        </w:tc>
        <w:tc>
          <w:tcPr>
            <w:tcW w:w="782" w:type="dxa"/>
            <w:tcBorders>
              <w:top w:val="single" w:sz="6" w:space="0" w:color="1E4496" w:themeColor="text2"/>
            </w:tcBorders>
            <w:tcMar>
              <w:top w:w="113" w:type="dxa"/>
              <w:left w:w="113" w:type="dxa"/>
              <w:bottom w:w="113" w:type="dxa"/>
              <w:right w:w="113" w:type="dxa"/>
            </w:tcMar>
            <w:vAlign w:val="center"/>
          </w:tcPr>
          <w:p w14:paraId="727C5903" w14:textId="77777777" w:rsidR="00D430A8" w:rsidRPr="00D430A8" w:rsidRDefault="00D430A8" w:rsidP="00D430A8">
            <w:pPr>
              <w:pStyle w:val="CDITable-RowCentre"/>
            </w:pPr>
            <w:r w:rsidRPr="00D430A8">
              <w:t>0</w:t>
            </w:r>
          </w:p>
        </w:tc>
        <w:tc>
          <w:tcPr>
            <w:tcW w:w="783" w:type="dxa"/>
            <w:tcBorders>
              <w:top w:val="single" w:sz="6" w:space="0" w:color="1E4496" w:themeColor="text2"/>
            </w:tcBorders>
            <w:tcMar>
              <w:top w:w="113" w:type="dxa"/>
              <w:left w:w="113" w:type="dxa"/>
              <w:bottom w:w="113" w:type="dxa"/>
              <w:right w:w="113" w:type="dxa"/>
            </w:tcMar>
            <w:vAlign w:val="center"/>
          </w:tcPr>
          <w:p w14:paraId="276FAE72" w14:textId="77777777" w:rsidR="00D430A8" w:rsidRPr="00D430A8" w:rsidRDefault="00D430A8" w:rsidP="00D430A8">
            <w:pPr>
              <w:pStyle w:val="CDITable-RowCentre"/>
            </w:pPr>
            <w:r w:rsidRPr="00D430A8">
              <w:t>6</w:t>
            </w:r>
          </w:p>
        </w:tc>
      </w:tr>
      <w:tr w:rsidR="00D430A8" w:rsidRPr="00D430A8" w14:paraId="50186491" w14:textId="77777777" w:rsidTr="002E50C0">
        <w:trPr>
          <w:trHeight w:val="60"/>
        </w:trPr>
        <w:tc>
          <w:tcPr>
            <w:tcW w:w="1814"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D8E3A3A" w14:textId="77777777" w:rsidR="00D430A8" w:rsidRPr="00D430A8" w:rsidRDefault="00D430A8" w:rsidP="00D430A8">
            <w:pPr>
              <w:pStyle w:val="CDITable-TotalRowLeft"/>
            </w:pPr>
            <w:r w:rsidRPr="00D430A8">
              <w:t>Total</w:t>
            </w:r>
          </w:p>
        </w:tc>
        <w:tc>
          <w:tcPr>
            <w:tcW w:w="78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45C7AE4" w14:textId="77777777" w:rsidR="00D430A8" w:rsidRPr="00D430A8" w:rsidRDefault="00D430A8" w:rsidP="00D430A8">
            <w:pPr>
              <w:pStyle w:val="CDITable-TotalRowCentre"/>
            </w:pPr>
            <w:r w:rsidRPr="00D430A8">
              <w:t>11</w:t>
            </w:r>
          </w:p>
        </w:tc>
        <w:tc>
          <w:tcPr>
            <w:tcW w:w="782"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AE37A09" w14:textId="77777777" w:rsidR="00D430A8" w:rsidRPr="00D430A8" w:rsidRDefault="00D430A8" w:rsidP="00D430A8">
            <w:pPr>
              <w:pStyle w:val="CDITable-TotalRowCentre"/>
            </w:pPr>
            <w:r w:rsidRPr="00D430A8">
              <w:t>16</w:t>
            </w:r>
          </w:p>
        </w:tc>
        <w:tc>
          <w:tcPr>
            <w:tcW w:w="782"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3CD72D4" w14:textId="77777777" w:rsidR="00D430A8" w:rsidRPr="00D430A8" w:rsidRDefault="00D430A8" w:rsidP="00D430A8">
            <w:pPr>
              <w:pStyle w:val="CDITable-TotalRowCentre"/>
            </w:pPr>
            <w:r w:rsidRPr="00D430A8">
              <w:t>8</w:t>
            </w:r>
          </w:p>
        </w:tc>
        <w:tc>
          <w:tcPr>
            <w:tcW w:w="78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1BBAF467" w14:textId="77777777" w:rsidR="00D430A8" w:rsidRPr="00D430A8" w:rsidRDefault="00D430A8" w:rsidP="00D430A8">
            <w:pPr>
              <w:pStyle w:val="CDITable-TotalRowCentre"/>
            </w:pPr>
            <w:r w:rsidRPr="00D430A8">
              <w:t>7</w:t>
            </w:r>
          </w:p>
        </w:tc>
        <w:tc>
          <w:tcPr>
            <w:tcW w:w="782"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6E3ECE89" w14:textId="77777777" w:rsidR="00D430A8" w:rsidRPr="00D430A8" w:rsidRDefault="00D430A8" w:rsidP="00D430A8">
            <w:pPr>
              <w:pStyle w:val="CDITable-TotalRowCentre"/>
            </w:pPr>
            <w:r w:rsidRPr="00D430A8">
              <w:t>25</w:t>
            </w:r>
          </w:p>
        </w:tc>
        <w:tc>
          <w:tcPr>
            <w:tcW w:w="782"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7A8643AB" w14:textId="77777777" w:rsidR="00D430A8" w:rsidRPr="00D430A8" w:rsidRDefault="00D430A8" w:rsidP="00D430A8">
            <w:pPr>
              <w:pStyle w:val="CDITable-TotalRowCentre"/>
            </w:pPr>
            <w:r w:rsidRPr="00D430A8">
              <w:t>13</w:t>
            </w:r>
          </w:p>
        </w:tc>
        <w:tc>
          <w:tcPr>
            <w:tcW w:w="78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BDEF887" w14:textId="77777777" w:rsidR="00D430A8" w:rsidRPr="00D430A8" w:rsidRDefault="00D430A8" w:rsidP="00D430A8">
            <w:pPr>
              <w:pStyle w:val="CDITable-TotalRowCentre"/>
            </w:pPr>
            <w:r w:rsidRPr="00D430A8">
              <w:t>16</w:t>
            </w:r>
          </w:p>
        </w:tc>
        <w:tc>
          <w:tcPr>
            <w:tcW w:w="782"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03F0FAD5" w14:textId="77777777" w:rsidR="00D430A8" w:rsidRPr="00D430A8" w:rsidRDefault="00D430A8" w:rsidP="00D430A8">
            <w:pPr>
              <w:pStyle w:val="CDITable-TotalRowCentre"/>
            </w:pPr>
            <w:r w:rsidRPr="00D430A8">
              <w:t>25</w:t>
            </w:r>
          </w:p>
        </w:tc>
        <w:tc>
          <w:tcPr>
            <w:tcW w:w="782"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4ED3822A" w14:textId="77777777" w:rsidR="00D430A8" w:rsidRPr="00D430A8" w:rsidRDefault="00D430A8" w:rsidP="00D430A8">
            <w:pPr>
              <w:pStyle w:val="CDITable-TotalRowCentre"/>
            </w:pPr>
            <w:r w:rsidRPr="00D430A8">
              <w:t>15</w:t>
            </w:r>
          </w:p>
        </w:tc>
        <w:tc>
          <w:tcPr>
            <w:tcW w:w="783" w:type="dxa"/>
            <w:tcBorders>
              <w:bottom w:val="single" w:sz="6" w:space="0" w:color="1E4496" w:themeColor="text2"/>
            </w:tcBorders>
            <w:shd w:val="clear" w:color="auto" w:fill="53C9F1" w:themeFill="background2"/>
            <w:tcMar>
              <w:top w:w="113" w:type="dxa"/>
              <w:left w:w="113" w:type="dxa"/>
              <w:bottom w:w="113" w:type="dxa"/>
              <w:right w:w="113" w:type="dxa"/>
            </w:tcMar>
            <w:vAlign w:val="center"/>
          </w:tcPr>
          <w:p w14:paraId="2335555C" w14:textId="77777777" w:rsidR="00D430A8" w:rsidRPr="00D430A8" w:rsidRDefault="00D430A8" w:rsidP="00D430A8">
            <w:pPr>
              <w:pStyle w:val="CDITable-TotalRowCentre"/>
            </w:pPr>
            <w:r w:rsidRPr="00D430A8">
              <w:t>136</w:t>
            </w:r>
          </w:p>
        </w:tc>
      </w:tr>
      <w:tr w:rsidR="00D430A8" w:rsidRPr="00D430A8" w14:paraId="0C465AD1" w14:textId="77777777" w:rsidTr="002E50C0">
        <w:trPr>
          <w:trHeight w:val="60"/>
        </w:trPr>
        <w:tc>
          <w:tcPr>
            <w:tcW w:w="1814"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D6E6B7" w14:textId="77777777" w:rsidR="00D430A8" w:rsidRPr="00D430A8" w:rsidRDefault="00D430A8" w:rsidP="00D430A8">
            <w:pPr>
              <w:pStyle w:val="CDITable-RowLeft"/>
            </w:pPr>
            <w:r w:rsidRPr="00D430A8">
              <w:t>% MenB IMD within age group (where a serogroup was determined)</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5DE4BB" w14:textId="77777777" w:rsidR="00D430A8" w:rsidRPr="00D430A8" w:rsidRDefault="00D430A8" w:rsidP="00D430A8">
            <w:pPr>
              <w:pStyle w:val="CDITable-RowCentre"/>
            </w:pPr>
            <w:r w:rsidRPr="00D430A8">
              <w:t>91%</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21CA324" w14:textId="77777777" w:rsidR="00D430A8" w:rsidRPr="00D430A8" w:rsidRDefault="00D430A8" w:rsidP="00D430A8">
            <w:pPr>
              <w:pStyle w:val="CDITable-RowCentre"/>
            </w:pPr>
            <w:r w:rsidRPr="00D430A8">
              <w:t>93%</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AB614F" w14:textId="77777777" w:rsidR="00D430A8" w:rsidRPr="00D430A8" w:rsidRDefault="00D430A8" w:rsidP="00D430A8">
            <w:pPr>
              <w:pStyle w:val="CDITable-RowCentre"/>
            </w:pPr>
            <w:r w:rsidRPr="00D430A8">
              <w:t>100%</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CC10D9B" w14:textId="77777777" w:rsidR="00D430A8" w:rsidRPr="00D430A8" w:rsidRDefault="00D430A8" w:rsidP="00D430A8">
            <w:pPr>
              <w:pStyle w:val="CDITable-RowCentre"/>
            </w:pPr>
            <w:r w:rsidRPr="00D430A8">
              <w:t>100%</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533E175" w14:textId="77777777" w:rsidR="00D430A8" w:rsidRPr="00D430A8" w:rsidRDefault="00D430A8" w:rsidP="00D430A8">
            <w:pPr>
              <w:pStyle w:val="CDITable-RowCentre"/>
            </w:pPr>
            <w:r w:rsidRPr="00D430A8">
              <w:t>96%</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25CF96E" w14:textId="77777777" w:rsidR="00D430A8" w:rsidRPr="00D430A8" w:rsidRDefault="00D430A8" w:rsidP="00D430A8">
            <w:pPr>
              <w:pStyle w:val="CDITable-RowCentre"/>
            </w:pPr>
            <w:r w:rsidRPr="00D430A8">
              <w:t>91%</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D9C614" w14:textId="77777777" w:rsidR="00D430A8" w:rsidRPr="00D430A8" w:rsidRDefault="00D430A8" w:rsidP="00D430A8">
            <w:pPr>
              <w:pStyle w:val="CDITable-RowCentre"/>
            </w:pPr>
            <w:r w:rsidRPr="00D430A8">
              <w:t>87%</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490D44A" w14:textId="77777777" w:rsidR="00D430A8" w:rsidRPr="00D430A8" w:rsidRDefault="00D430A8" w:rsidP="00D430A8">
            <w:pPr>
              <w:pStyle w:val="CDITable-RowCentre"/>
            </w:pPr>
            <w:r w:rsidRPr="00D430A8">
              <w:t>71%</w:t>
            </w:r>
          </w:p>
        </w:tc>
        <w:tc>
          <w:tcPr>
            <w:tcW w:w="78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32D11B9" w14:textId="77777777" w:rsidR="00D430A8" w:rsidRPr="00D430A8" w:rsidRDefault="00D430A8" w:rsidP="00D430A8">
            <w:pPr>
              <w:pStyle w:val="CDITable-RowCentre"/>
            </w:pPr>
            <w:r w:rsidRPr="00D430A8">
              <w:t>47%</w:t>
            </w:r>
          </w:p>
        </w:tc>
        <w:tc>
          <w:tcPr>
            <w:tcW w:w="783"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30D9CD5" w14:textId="77777777" w:rsidR="00D430A8" w:rsidRPr="00D430A8" w:rsidRDefault="00D430A8" w:rsidP="00D430A8">
            <w:pPr>
              <w:pStyle w:val="CDITable-RowCentre"/>
            </w:pPr>
            <w:r w:rsidRPr="00D430A8">
              <w:t>84%</w:t>
            </w:r>
          </w:p>
        </w:tc>
      </w:tr>
    </w:tbl>
    <w:p w14:paraId="41B22D15" w14:textId="4597A75B" w:rsidR="00C52BDA" w:rsidRDefault="00D430A8" w:rsidP="00D430A8">
      <w:pPr>
        <w:pStyle w:val="CDITable-FirstFootnote"/>
        <w:rPr>
          <w:lang w:val="en-GB"/>
        </w:rPr>
      </w:pPr>
      <w:r w:rsidRPr="00D430A8">
        <w:rPr>
          <w:lang w:val="en-GB"/>
        </w:rPr>
        <w:t>a</w:t>
      </w:r>
      <w:r w:rsidRPr="00D430A8">
        <w:rPr>
          <w:lang w:val="en-GB"/>
        </w:rPr>
        <w:tab/>
        <w:t>ND: serogroup not determined.</w:t>
      </w:r>
    </w:p>
    <w:p w14:paraId="4C059E78" w14:textId="534E9A2F" w:rsidR="00C52BDA" w:rsidRDefault="002E50C0" w:rsidP="002E50C0">
      <w:pPr>
        <w:pStyle w:val="CDIFigure-Title"/>
        <w:rPr>
          <w:lang w:val="en-GB"/>
        </w:rPr>
      </w:pPr>
      <w:bookmarkStart w:id="36" w:name="_Toc213314618"/>
      <w:r w:rsidRPr="002E50C0">
        <w:rPr>
          <w:lang w:val="en-GB"/>
        </w:rPr>
        <w:t>Figure 3: Number of serogroup B, C, Y and W cases of laboratory-confirmed invasive meningococcal disease, Australia, 2024, by age</w:t>
      </w:r>
      <w:bookmarkEnd w:id="36"/>
    </w:p>
    <w:p w14:paraId="1471214B" w14:textId="1C51223E" w:rsidR="00D430A8" w:rsidRDefault="002E50C0" w:rsidP="002E50C0">
      <w:pPr>
        <w:pStyle w:val="CDIFigure-Placeholder"/>
        <w:rPr>
          <w:lang w:val="en-GB"/>
        </w:rPr>
      </w:pPr>
      <w:r>
        <w:rPr>
          <w:noProof/>
          <w:lang w:val="en-GB"/>
          <w14:ligatures w14:val="none"/>
        </w:rPr>
        <w:drawing>
          <wp:inline distT="0" distB="0" distL="0" distR="0" wp14:anchorId="6F9B7179" wp14:editId="56193336">
            <wp:extent cx="6120765" cy="2482215"/>
            <wp:effectExtent l="0" t="0" r="0" b="0"/>
            <wp:docPr id="2009162629" name="Picture 4" descr="This figure shows the number of laboratory confirmations of invasive meningococcal disease (IMD) that were serogroup B, C, W or Y, in 2024 by age group. The figure shows that MenB IMD is present in all age groups; but predominates in those aged less than 5 years old (92%, 24/26) and in those aged 15-24 years (94%,33/35), where the serogroup could be determined.  IMD caused by MenB also accounts for 10-13% of disease in adults aged 25-44 years and 45-64 years. The graph also shows in 2024, MenY IMD cases were in the majority reported in adults aged 45 years and older.  In 2024, there was a reduction in MenW IMD, with only two cases reported and only one MenC IMD was detected in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162629" name="Picture 4" descr="This figure shows the number of laboratory confirmations of invasive meningococcal disease (IMD) that were serogroup B, C, W or Y, in 2024 by age group. The figure shows that MenB IMD is present in all age groups; but predominates in those aged less than 5 years old (92%, 24/26) and in those aged 15-24 years (94%,33/35), where the serogroup could be determined.  IMD caused by MenB also accounts for 10-13% of disease in adults aged 25-44 years and 45-64 years. The graph also shows in 2024, MenY IMD cases were in the majority reported in adults aged 45 years and older.  In 2024, there was a reduction in MenW IMD, with only two cases reported and only one MenC IMD was detected in Australia. "/>
                    <pic:cNvPicPr/>
                  </pic:nvPicPr>
                  <pic:blipFill>
                    <a:blip r:embed="rId21">
                      <a:extLst>
                        <a:ext uri="{28A0092B-C50C-407E-A947-70E740481C1C}">
                          <a14:useLocalDpi xmlns:a14="http://schemas.microsoft.com/office/drawing/2010/main" val="0"/>
                        </a:ext>
                      </a:extLst>
                    </a:blip>
                    <a:stretch>
                      <a:fillRect/>
                    </a:stretch>
                  </pic:blipFill>
                  <pic:spPr>
                    <a:xfrm>
                      <a:off x="0" y="0"/>
                      <a:ext cx="6120765" cy="2482215"/>
                    </a:xfrm>
                    <a:prstGeom prst="rect">
                      <a:avLst/>
                    </a:prstGeom>
                  </pic:spPr>
                </pic:pic>
              </a:graphicData>
            </a:graphic>
          </wp:inline>
        </w:drawing>
      </w:r>
    </w:p>
    <w:p w14:paraId="67433829" w14:textId="73D99A52" w:rsidR="002E50C0" w:rsidRPr="002E50C0" w:rsidRDefault="002E50C0" w:rsidP="002E50C0">
      <w:pPr>
        <w:pStyle w:val="Heading2"/>
        <w:rPr>
          <w:lang w:val="en-GB"/>
        </w:rPr>
      </w:pPr>
      <w:bookmarkStart w:id="37" w:name="_Toc213312976"/>
      <w:r w:rsidRPr="002E50C0">
        <w:rPr>
          <w:lang w:val="en-GB"/>
        </w:rPr>
        <w:lastRenderedPageBreak/>
        <w:t>IMD and genotyping</w:t>
      </w:r>
      <w:bookmarkEnd w:id="37"/>
    </w:p>
    <w:p w14:paraId="18CE6486" w14:textId="77777777" w:rsidR="002E50C0" w:rsidRPr="002E50C0" w:rsidRDefault="002E50C0" w:rsidP="002E50C0">
      <w:pPr>
        <w:rPr>
          <w:lang w:val="en-GB"/>
        </w:rPr>
      </w:pPr>
      <w:r w:rsidRPr="002E50C0">
        <w:rPr>
          <w:lang w:val="en-GB"/>
        </w:rPr>
        <w:t>Finetyping was performed on 76 of 109 MenB isolates (70%</w:t>
      </w:r>
      <w:proofErr w:type="gramStart"/>
      <w:r w:rsidRPr="002E50C0">
        <w:rPr>
          <w:lang w:val="en-GB"/>
        </w:rPr>
        <w:t>)</w:t>
      </w:r>
      <w:proofErr w:type="gramEnd"/>
      <w:r w:rsidRPr="002E50C0">
        <w:rPr>
          <w:lang w:val="en-GB"/>
        </w:rPr>
        <w:t xml:space="preserve"> and this serogroup showed the greatest variability. There were 21 </w:t>
      </w:r>
      <w:r w:rsidRPr="002E50C0">
        <w:rPr>
          <w:i/>
          <w:iCs/>
          <w:lang w:val="en-GB"/>
        </w:rPr>
        <w:t>porA</w:t>
      </w:r>
      <w:r w:rsidRPr="002E50C0">
        <w:rPr>
          <w:lang w:val="en-GB"/>
        </w:rPr>
        <w:t xml:space="preserve"> types reported nationally, with one dominant </w:t>
      </w:r>
      <w:r w:rsidRPr="002E50C0">
        <w:rPr>
          <w:i/>
          <w:iCs/>
          <w:lang w:val="en-GB"/>
        </w:rPr>
        <w:t>porA</w:t>
      </w:r>
      <w:r w:rsidRPr="002E50C0">
        <w:rPr>
          <w:lang w:val="en-GB"/>
        </w:rPr>
        <w:t xml:space="preserve"> type identified: P1.7-2,4 (29/76; 38%), as shown in Figure 4 and Table 5; this was also the dominant MenB </w:t>
      </w:r>
      <w:r w:rsidRPr="002E50C0">
        <w:rPr>
          <w:i/>
          <w:iCs/>
          <w:lang w:val="en-GB"/>
        </w:rPr>
        <w:t>porA</w:t>
      </w:r>
      <w:r w:rsidRPr="002E50C0">
        <w:rPr>
          <w:lang w:val="en-GB"/>
        </w:rPr>
        <w:t xml:space="preserve"> type detected in 2023 (26/86; 32%). The next most abundant MenB </w:t>
      </w:r>
      <w:r w:rsidRPr="002E50C0">
        <w:rPr>
          <w:i/>
          <w:iCs/>
          <w:lang w:val="en-GB"/>
        </w:rPr>
        <w:t>porA</w:t>
      </w:r>
      <w:r w:rsidRPr="002E50C0">
        <w:rPr>
          <w:lang w:val="en-GB"/>
        </w:rPr>
        <w:t xml:space="preserve"> type in both 2023 and 2024 was P1.7,16-26, accounting for 11% of finetyped MenB isolates (8/76) in 2024, a reduction from 16% in 2023. In 2024, the </w:t>
      </w:r>
      <w:r w:rsidRPr="002E50C0">
        <w:rPr>
          <w:i/>
          <w:iCs/>
          <w:lang w:val="en-GB"/>
        </w:rPr>
        <w:t>porA</w:t>
      </w:r>
      <w:r w:rsidRPr="002E50C0">
        <w:rPr>
          <w:lang w:val="en-GB"/>
        </w:rPr>
        <w:t xml:space="preserve"> type </w:t>
      </w:r>
      <w:proofErr w:type="gramStart"/>
      <w:r w:rsidRPr="002E50C0">
        <w:rPr>
          <w:lang w:val="en-GB"/>
        </w:rPr>
        <w:t>B:P</w:t>
      </w:r>
      <w:proofErr w:type="gramEnd"/>
      <w:r w:rsidRPr="002E50C0">
        <w:rPr>
          <w:lang w:val="en-GB"/>
        </w:rPr>
        <w:t xml:space="preserve">1.7-2,4 continues to be notably prevalent in Queensland (48%; 14/29) and South Australia (24%; 7/29); these two jurisdictions together represented 72% (21/29) of national isolates of this </w:t>
      </w:r>
      <w:r w:rsidRPr="002E50C0">
        <w:rPr>
          <w:i/>
          <w:iCs/>
          <w:lang w:val="en-GB"/>
        </w:rPr>
        <w:t>porA</w:t>
      </w:r>
      <w:r w:rsidRPr="002E50C0">
        <w:rPr>
          <w:lang w:val="en-GB"/>
        </w:rPr>
        <w:t xml:space="preserve"> type. </w:t>
      </w:r>
    </w:p>
    <w:p w14:paraId="40F3242C" w14:textId="77777777" w:rsidR="002E50C0" w:rsidRPr="002E50C0" w:rsidRDefault="002E50C0" w:rsidP="002E50C0">
      <w:pPr>
        <w:rPr>
          <w:lang w:val="en-GB"/>
        </w:rPr>
      </w:pPr>
      <w:r w:rsidRPr="002E50C0">
        <w:rPr>
          <w:lang w:val="en-GB"/>
        </w:rPr>
        <w:t xml:space="preserve">Of the two MenW isolates reported in 2024, one had finetyping and was a </w:t>
      </w:r>
      <w:r w:rsidRPr="002E50C0">
        <w:rPr>
          <w:i/>
          <w:iCs/>
          <w:lang w:val="en-GB"/>
        </w:rPr>
        <w:t>porA</w:t>
      </w:r>
      <w:r w:rsidRPr="002E50C0">
        <w:rPr>
          <w:lang w:val="en-GB"/>
        </w:rPr>
        <w:t xml:space="preserve"> type, P1.5,2, MLST (ST)-11 belonging to clonal complex 11 (see Figure 4 and Table 5). This </w:t>
      </w:r>
      <w:r w:rsidRPr="002E50C0">
        <w:rPr>
          <w:i/>
          <w:iCs/>
          <w:lang w:val="en-GB"/>
        </w:rPr>
        <w:t>porA</w:t>
      </w:r>
      <w:r w:rsidRPr="002E50C0">
        <w:rPr>
          <w:lang w:val="en-GB"/>
        </w:rPr>
        <w:t xml:space="preserve"> type P1.5,2 has been in circulation in recent years and is the same as the hypervirulent serogroup W strain reported in the United Kingdom and South America since 2009.</w:t>
      </w:r>
      <w:r w:rsidRPr="002E50C0">
        <w:rPr>
          <w:vertAlign w:val="superscript"/>
          <w:lang w:val="en-GB"/>
        </w:rPr>
        <w:t>10,11</w:t>
      </w:r>
      <w:r w:rsidRPr="002E50C0">
        <w:rPr>
          <w:lang w:val="en-GB"/>
        </w:rPr>
        <w:t xml:space="preserve"> </w:t>
      </w:r>
    </w:p>
    <w:p w14:paraId="4ABF8E5D" w14:textId="77777777" w:rsidR="002E50C0" w:rsidRPr="002E50C0" w:rsidRDefault="002E50C0" w:rsidP="002E50C0">
      <w:pPr>
        <w:rPr>
          <w:lang w:val="en-GB"/>
        </w:rPr>
      </w:pPr>
      <w:r w:rsidRPr="002E50C0">
        <w:rPr>
          <w:lang w:val="en-GB"/>
        </w:rPr>
        <w:t xml:space="preserve">Of MenY isolates, 15/18 had finetyping, among which six </w:t>
      </w:r>
      <w:r w:rsidRPr="002E50C0">
        <w:rPr>
          <w:i/>
          <w:iCs/>
          <w:lang w:val="en-GB"/>
        </w:rPr>
        <w:t>porA</w:t>
      </w:r>
      <w:r w:rsidRPr="002E50C0">
        <w:rPr>
          <w:lang w:val="en-GB"/>
        </w:rPr>
        <w:t xml:space="preserve"> types were detected. The </w:t>
      </w:r>
      <w:r w:rsidRPr="002E50C0">
        <w:rPr>
          <w:i/>
          <w:iCs/>
          <w:lang w:val="en-GB"/>
        </w:rPr>
        <w:t>porA</w:t>
      </w:r>
      <w:r w:rsidRPr="002E50C0">
        <w:rPr>
          <w:lang w:val="en-GB"/>
        </w:rPr>
        <w:t xml:space="preserve"> type P1.5-1,10-1 was the most prevalent (9/15, 60%) (see Figure 4 and Table 5), and, where data was available, was identified as MLST (ST) 1655 from clonal complex 23 (8/9). The </w:t>
      </w:r>
      <w:r w:rsidRPr="002E50C0">
        <w:rPr>
          <w:i/>
          <w:iCs/>
          <w:lang w:val="en-GB"/>
        </w:rPr>
        <w:t>porA</w:t>
      </w:r>
      <w:r w:rsidRPr="002E50C0">
        <w:rPr>
          <w:lang w:val="en-GB"/>
        </w:rPr>
        <w:t xml:space="preserve"> type P1.5-1,10-1 has remained the predominant MenY genotype circulating in Australia since 2015, marking the year when the increase in serogroup Y IMD was first observed. </w:t>
      </w:r>
    </w:p>
    <w:p w14:paraId="31C57295" w14:textId="77777777" w:rsidR="002E50C0" w:rsidRPr="002E50C0" w:rsidRDefault="002E50C0" w:rsidP="002E50C0">
      <w:pPr>
        <w:pStyle w:val="CDIFigure-Title"/>
        <w:rPr>
          <w:lang w:val="en-GB"/>
        </w:rPr>
      </w:pPr>
      <w:bookmarkStart w:id="38" w:name="_Toc213314619"/>
      <w:r w:rsidRPr="002E50C0">
        <w:rPr>
          <w:lang w:val="en-GB"/>
        </w:rPr>
        <w:t xml:space="preserve">Figure 4: The number of </w:t>
      </w:r>
      <w:r w:rsidRPr="002E50C0">
        <w:rPr>
          <w:i/>
          <w:iCs/>
          <w:lang w:val="en-GB"/>
        </w:rPr>
        <w:t>porA</w:t>
      </w:r>
      <w:r w:rsidRPr="002E50C0">
        <w:rPr>
          <w:lang w:val="en-GB"/>
        </w:rPr>
        <w:t xml:space="preserve"> types represented in serogroup B, W and Y invasive meningococcal disease notifications in Australia in 2024</w:t>
      </w:r>
      <w:bookmarkEnd w:id="38"/>
    </w:p>
    <w:p w14:paraId="30BC0E9D" w14:textId="0F9A5EEC" w:rsidR="00D430A8" w:rsidRDefault="002E50C0" w:rsidP="002E50C0">
      <w:pPr>
        <w:pStyle w:val="CDIFigure-Placeholder"/>
        <w:rPr>
          <w:lang w:val="en-GB"/>
        </w:rPr>
      </w:pPr>
      <w:r>
        <w:rPr>
          <w:noProof/>
          <w:lang w:val="en-GB"/>
          <w14:ligatures w14:val="none"/>
        </w:rPr>
        <w:drawing>
          <wp:inline distT="0" distB="0" distL="0" distR="0" wp14:anchorId="30383BA2" wp14:editId="2BEE296B">
            <wp:extent cx="6120765" cy="4319905"/>
            <wp:effectExtent l="0" t="0" r="0" b="4445"/>
            <wp:docPr id="177987963" name="Picture 5" descr="This figure shows the number and frequency of the porA genotypes in serogroup B, W and Y for laboratory confirmations of invasive meningococcal disease (IMD) in Australia, 2024, where finetyping data were available. There were 21 different porA types detected in MenB IMD, with P1.7-2, 4 and P1.7,16-26 and P1.22, 14 the most frequently reported. In MenY IMD, six porA types were reported with the dominant porA type P1.5-1, 10-1. One of the two MenW isolates in 2024 was finetyped and identified as porA type P1.5,2, MLST (ST) 11 and belonging to the clonal complex 11, the hypervirulent strain reported in outbreaks in Australia and overseas. The MenC isolate was not ty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87963" name="Picture 5" descr="This figure shows the number and frequency of the porA genotypes in serogroup B, W and Y for laboratory confirmations of invasive meningococcal disease (IMD) in Australia, 2024, where finetyping data were available. There were 21 different porA types detected in MenB IMD, with P1.7-2, 4 and P1.7,16-26 and P1.22, 14 the most frequently reported. In MenY IMD, six porA types were reported with the dominant porA type P1.5-1, 10-1. One of the two MenW isolates in 2024 was finetyped and identified as porA type P1.5,2, MLST (ST) 11 and belonging to the clonal complex 11, the hypervirulent strain reported in outbreaks in Australia and overseas. The MenC isolate was not typed."/>
                    <pic:cNvPicPr/>
                  </pic:nvPicPr>
                  <pic:blipFill>
                    <a:blip r:embed="rId22">
                      <a:extLst>
                        <a:ext uri="{28A0092B-C50C-407E-A947-70E740481C1C}">
                          <a14:useLocalDpi xmlns:a14="http://schemas.microsoft.com/office/drawing/2010/main" val="0"/>
                        </a:ext>
                      </a:extLst>
                    </a:blip>
                    <a:stretch>
                      <a:fillRect/>
                    </a:stretch>
                  </pic:blipFill>
                  <pic:spPr>
                    <a:xfrm>
                      <a:off x="0" y="0"/>
                      <a:ext cx="6120765" cy="4319905"/>
                    </a:xfrm>
                    <a:prstGeom prst="rect">
                      <a:avLst/>
                    </a:prstGeom>
                  </pic:spPr>
                </pic:pic>
              </a:graphicData>
            </a:graphic>
          </wp:inline>
        </w:drawing>
      </w:r>
    </w:p>
    <w:p w14:paraId="7DDD4354" w14:textId="77777777" w:rsidR="002E50C0" w:rsidRPr="002E50C0" w:rsidRDefault="002E50C0" w:rsidP="002E50C0">
      <w:pPr>
        <w:pStyle w:val="CDITable-Title"/>
        <w:rPr>
          <w:lang w:val="en-GB"/>
        </w:rPr>
      </w:pPr>
      <w:bookmarkStart w:id="39" w:name="_Toc213314625"/>
      <w:r w:rsidRPr="002E50C0">
        <w:rPr>
          <w:lang w:val="en-GB"/>
        </w:rPr>
        <w:lastRenderedPageBreak/>
        <w:t xml:space="preserve">Table 5: Distribution of </w:t>
      </w:r>
      <w:r w:rsidRPr="002E50C0">
        <w:rPr>
          <w:i/>
          <w:iCs/>
          <w:lang w:val="en-GB"/>
        </w:rPr>
        <w:t>porA</w:t>
      </w:r>
      <w:r w:rsidRPr="002E50C0">
        <w:rPr>
          <w:lang w:val="en-GB"/>
        </w:rPr>
        <w:t xml:space="preserve"> types in isolates of invasive meningococcal disease, Australia, 2024, by state or territory (n = 92/130)</w:t>
      </w:r>
      <w:bookmarkEnd w:id="39"/>
    </w:p>
    <w:tbl>
      <w:tblPr>
        <w:tblW w:w="0" w:type="auto"/>
        <w:tblLayout w:type="fixed"/>
        <w:tblCellMar>
          <w:left w:w="0" w:type="dxa"/>
          <w:right w:w="0" w:type="dxa"/>
        </w:tblCellMar>
        <w:tblLook w:val="0000" w:firstRow="0" w:lastRow="0" w:firstColumn="0" w:lastColumn="0" w:noHBand="0" w:noVBand="0"/>
        <w:tblCaption w:val="Table 5: Distribution of porA types in isolates of invasive meningococcal disease, Australia, 2024, by state or territory (n = 92/130)"/>
        <w:tblDescription w:val="Table 5 shows the jurisdictional distribution of porA types detected in laboratory-confirmed cases of invasive meningococcal disease (IMD) in 2024."/>
      </w:tblPr>
      <w:tblGrid>
        <w:gridCol w:w="1474"/>
        <w:gridCol w:w="1417"/>
        <w:gridCol w:w="750"/>
        <w:gridCol w:w="750"/>
        <w:gridCol w:w="749"/>
        <w:gridCol w:w="750"/>
        <w:gridCol w:w="749"/>
        <w:gridCol w:w="750"/>
        <w:gridCol w:w="750"/>
        <w:gridCol w:w="749"/>
        <w:gridCol w:w="750"/>
      </w:tblGrid>
      <w:tr w:rsidR="002E50C0" w:rsidRPr="002E50C0" w14:paraId="434B61E3" w14:textId="77777777" w:rsidTr="00E825BD">
        <w:trPr>
          <w:trHeight w:val="60"/>
          <w:tblHeader/>
        </w:trPr>
        <w:tc>
          <w:tcPr>
            <w:tcW w:w="2891" w:type="dxa"/>
            <w:gridSpan w:val="2"/>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7618A279" w14:textId="77777777" w:rsidR="002E50C0" w:rsidRPr="002E50C0" w:rsidRDefault="002E50C0" w:rsidP="002E50C0">
            <w:pPr>
              <w:pStyle w:val="CDITable-HeaderRowCentre"/>
            </w:pPr>
            <w:r w:rsidRPr="002E50C0">
              <w:t>2024 AMSP</w:t>
            </w:r>
          </w:p>
        </w:tc>
        <w:tc>
          <w:tcPr>
            <w:tcW w:w="5997" w:type="dxa"/>
            <w:gridSpan w:val="8"/>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2A1DEFF3" w14:textId="77777777" w:rsidR="002E50C0" w:rsidRPr="002E50C0" w:rsidRDefault="002E50C0" w:rsidP="002E50C0">
            <w:pPr>
              <w:pStyle w:val="CDITable-HeaderRowCentre"/>
            </w:pPr>
            <w:r w:rsidRPr="002E50C0">
              <w:t>Number per serogroup per state/</w:t>
            </w:r>
            <w:proofErr w:type="spellStart"/>
            <w:r w:rsidRPr="002E50C0">
              <w:t>territory</w:t>
            </w:r>
            <w:r w:rsidRPr="002E50C0">
              <w:rPr>
                <w:vertAlign w:val="superscript"/>
              </w:rPr>
              <w:t>a</w:t>
            </w:r>
            <w:proofErr w:type="spellEnd"/>
          </w:p>
        </w:tc>
        <w:tc>
          <w:tcPr>
            <w:tcW w:w="750" w:type="dxa"/>
            <w:vMerge w:val="restart"/>
            <w:shd w:val="clear" w:color="auto" w:fill="1E4496" w:themeFill="text2"/>
            <w:tcMar>
              <w:top w:w="96" w:type="dxa"/>
              <w:left w:w="113" w:type="dxa"/>
              <w:bottom w:w="96" w:type="dxa"/>
              <w:right w:w="113" w:type="dxa"/>
            </w:tcMar>
            <w:vAlign w:val="bottom"/>
          </w:tcPr>
          <w:p w14:paraId="598AF7A5" w14:textId="77777777" w:rsidR="002E50C0" w:rsidRPr="002E50C0" w:rsidRDefault="002E50C0" w:rsidP="002E50C0">
            <w:pPr>
              <w:pStyle w:val="CDITable-HeaderRowCentre"/>
            </w:pPr>
            <w:r w:rsidRPr="002E50C0">
              <w:t>Total</w:t>
            </w:r>
          </w:p>
        </w:tc>
      </w:tr>
      <w:tr w:rsidR="002E50C0" w:rsidRPr="002E50C0" w14:paraId="7B93F6C7" w14:textId="77777777" w:rsidTr="00E825BD">
        <w:trPr>
          <w:trHeight w:val="60"/>
          <w:tblHeader/>
        </w:trPr>
        <w:tc>
          <w:tcPr>
            <w:tcW w:w="1474"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3DF71F5A" w14:textId="77777777" w:rsidR="002E50C0" w:rsidRPr="002E50C0" w:rsidRDefault="002E50C0" w:rsidP="002E50C0">
            <w:pPr>
              <w:pStyle w:val="CDITable-HeaderRowLeft"/>
            </w:pPr>
            <w:r w:rsidRPr="002E50C0">
              <w:t>Serogroup</w:t>
            </w:r>
          </w:p>
        </w:tc>
        <w:tc>
          <w:tcPr>
            <w:tcW w:w="1417" w:type="dxa"/>
            <w:tcBorders>
              <w:top w:val="single" w:sz="6" w:space="0" w:color="FFFFFF" w:themeColor="background1"/>
              <w:right w:val="single" w:sz="6" w:space="0" w:color="FFFFFF" w:themeColor="background1"/>
            </w:tcBorders>
            <w:shd w:val="clear" w:color="auto" w:fill="1E4496" w:themeFill="text2"/>
            <w:tcMar>
              <w:top w:w="96" w:type="dxa"/>
              <w:left w:w="113" w:type="dxa"/>
              <w:bottom w:w="96" w:type="dxa"/>
              <w:right w:w="113" w:type="dxa"/>
            </w:tcMar>
            <w:vAlign w:val="bottom"/>
          </w:tcPr>
          <w:p w14:paraId="4C7A8A06" w14:textId="77777777" w:rsidR="002E50C0" w:rsidRPr="002E50C0" w:rsidRDefault="002E50C0" w:rsidP="002E50C0">
            <w:pPr>
              <w:pStyle w:val="CDITable-HeaderRowLeft"/>
            </w:pPr>
            <w:r w:rsidRPr="002E50C0">
              <w:rPr>
                <w:i/>
                <w:iCs/>
              </w:rPr>
              <w:t>porA</w:t>
            </w:r>
            <w:r w:rsidRPr="002E50C0">
              <w:t xml:space="preserve"> types</w:t>
            </w:r>
          </w:p>
        </w:tc>
        <w:tc>
          <w:tcPr>
            <w:tcW w:w="750" w:type="dxa"/>
            <w:tcBorders>
              <w:top w:val="single" w:sz="6" w:space="0" w:color="FFFFFF" w:themeColor="background1"/>
              <w:left w:val="single" w:sz="6" w:space="0" w:color="FFFFFF" w:themeColor="background1"/>
            </w:tcBorders>
            <w:shd w:val="clear" w:color="auto" w:fill="1E4496" w:themeFill="text2"/>
            <w:tcMar>
              <w:top w:w="96" w:type="dxa"/>
              <w:left w:w="113" w:type="dxa"/>
              <w:bottom w:w="96" w:type="dxa"/>
              <w:right w:w="113" w:type="dxa"/>
            </w:tcMar>
            <w:vAlign w:val="bottom"/>
          </w:tcPr>
          <w:p w14:paraId="140DE937" w14:textId="77777777" w:rsidR="002E50C0" w:rsidRPr="002E50C0" w:rsidRDefault="002E50C0" w:rsidP="002E50C0">
            <w:pPr>
              <w:pStyle w:val="CDITable-HeaderRowCentre"/>
            </w:pPr>
            <w:r w:rsidRPr="002E50C0">
              <w:t>ACT</w:t>
            </w:r>
          </w:p>
        </w:tc>
        <w:tc>
          <w:tcPr>
            <w:tcW w:w="750"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74B89F12" w14:textId="77777777" w:rsidR="002E50C0" w:rsidRPr="002E50C0" w:rsidRDefault="002E50C0" w:rsidP="002E50C0">
            <w:pPr>
              <w:pStyle w:val="CDITable-HeaderRowCentre"/>
            </w:pPr>
            <w:r w:rsidRPr="002E50C0">
              <w:t>NSW</w:t>
            </w:r>
          </w:p>
        </w:tc>
        <w:tc>
          <w:tcPr>
            <w:tcW w:w="749"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69BB694D" w14:textId="77777777" w:rsidR="002E50C0" w:rsidRPr="002E50C0" w:rsidRDefault="002E50C0" w:rsidP="002E50C0">
            <w:pPr>
              <w:pStyle w:val="CDITable-HeaderRowCentre"/>
            </w:pPr>
            <w:r w:rsidRPr="002E50C0">
              <w:t>NT</w:t>
            </w:r>
          </w:p>
        </w:tc>
        <w:tc>
          <w:tcPr>
            <w:tcW w:w="750"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55C3A13D" w14:textId="77777777" w:rsidR="002E50C0" w:rsidRPr="002E50C0" w:rsidRDefault="002E50C0" w:rsidP="002E50C0">
            <w:pPr>
              <w:pStyle w:val="CDITable-HeaderRowCentre"/>
            </w:pPr>
            <w:r w:rsidRPr="002E50C0">
              <w:t>Qld</w:t>
            </w:r>
          </w:p>
        </w:tc>
        <w:tc>
          <w:tcPr>
            <w:tcW w:w="749"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4D0D7B13" w14:textId="77777777" w:rsidR="002E50C0" w:rsidRPr="002E50C0" w:rsidRDefault="002E50C0" w:rsidP="002E50C0">
            <w:pPr>
              <w:pStyle w:val="CDITable-HeaderRowCentre"/>
            </w:pPr>
            <w:r w:rsidRPr="002E50C0">
              <w:t>SA</w:t>
            </w:r>
          </w:p>
        </w:tc>
        <w:tc>
          <w:tcPr>
            <w:tcW w:w="750"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1937608C" w14:textId="77777777" w:rsidR="002E50C0" w:rsidRPr="002E50C0" w:rsidRDefault="002E50C0" w:rsidP="002E50C0">
            <w:pPr>
              <w:pStyle w:val="CDITable-HeaderRowCentre"/>
            </w:pPr>
            <w:r w:rsidRPr="002E50C0">
              <w:t>Tas.</w:t>
            </w:r>
          </w:p>
        </w:tc>
        <w:tc>
          <w:tcPr>
            <w:tcW w:w="750"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7C7F89C3" w14:textId="77777777" w:rsidR="002E50C0" w:rsidRPr="002E50C0" w:rsidRDefault="002E50C0" w:rsidP="002E50C0">
            <w:pPr>
              <w:pStyle w:val="CDITable-HeaderRowCentre"/>
            </w:pPr>
            <w:r w:rsidRPr="002E50C0">
              <w:t>Vic.</w:t>
            </w:r>
          </w:p>
        </w:tc>
        <w:tc>
          <w:tcPr>
            <w:tcW w:w="749"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43D4F2CE" w14:textId="77777777" w:rsidR="002E50C0" w:rsidRPr="002E50C0" w:rsidRDefault="002E50C0" w:rsidP="002E50C0">
            <w:pPr>
              <w:pStyle w:val="CDITable-HeaderRowCentre"/>
            </w:pPr>
            <w:r w:rsidRPr="002E50C0">
              <w:t>WA</w:t>
            </w:r>
          </w:p>
        </w:tc>
        <w:tc>
          <w:tcPr>
            <w:tcW w:w="750" w:type="dxa"/>
            <w:vMerge/>
            <w:shd w:val="clear" w:color="auto" w:fill="1E4496" w:themeFill="text2"/>
            <w:tcMar>
              <w:top w:w="96" w:type="dxa"/>
              <w:bottom w:w="96" w:type="dxa"/>
            </w:tcMar>
          </w:tcPr>
          <w:p w14:paraId="5B739124" w14:textId="77777777" w:rsidR="002E50C0" w:rsidRPr="002E50C0" w:rsidRDefault="002E50C0" w:rsidP="002E50C0"/>
        </w:tc>
      </w:tr>
      <w:tr w:rsidR="002E50C0" w:rsidRPr="002E50C0" w14:paraId="3463FABE" w14:textId="77777777" w:rsidTr="00E825BD">
        <w:trPr>
          <w:trHeight w:val="60"/>
        </w:trPr>
        <w:tc>
          <w:tcPr>
            <w:tcW w:w="1474" w:type="dxa"/>
            <w:tcBorders>
              <w:bottom w:val="single" w:sz="6" w:space="0" w:color="1E4496" w:themeColor="text2"/>
            </w:tcBorders>
            <w:tcMar>
              <w:top w:w="96" w:type="dxa"/>
              <w:left w:w="113" w:type="dxa"/>
              <w:bottom w:w="96" w:type="dxa"/>
              <w:right w:w="113" w:type="dxa"/>
            </w:tcMar>
            <w:vAlign w:val="center"/>
          </w:tcPr>
          <w:p w14:paraId="766F354A" w14:textId="77777777" w:rsidR="002E50C0" w:rsidRPr="002E50C0" w:rsidRDefault="002E50C0" w:rsidP="002E50C0">
            <w:pPr>
              <w:pStyle w:val="CDITable-RowLeft"/>
            </w:pPr>
            <w:r w:rsidRPr="002E50C0">
              <w:t>B</w:t>
            </w:r>
          </w:p>
        </w:tc>
        <w:tc>
          <w:tcPr>
            <w:tcW w:w="1417" w:type="dxa"/>
            <w:tcBorders>
              <w:bottom w:val="single" w:sz="6" w:space="0" w:color="1E4496" w:themeColor="text2"/>
            </w:tcBorders>
            <w:tcMar>
              <w:top w:w="96" w:type="dxa"/>
              <w:left w:w="113" w:type="dxa"/>
              <w:bottom w:w="96" w:type="dxa"/>
              <w:right w:w="113" w:type="dxa"/>
            </w:tcMar>
            <w:vAlign w:val="center"/>
          </w:tcPr>
          <w:p w14:paraId="235C419C" w14:textId="77777777" w:rsidR="002E50C0" w:rsidRPr="002E50C0" w:rsidRDefault="002E50C0" w:rsidP="002E50C0">
            <w:pPr>
              <w:pStyle w:val="CDITable-RowLeft"/>
            </w:pPr>
            <w:r w:rsidRPr="002E50C0">
              <w:t>P1.12-1,16-50</w:t>
            </w:r>
          </w:p>
        </w:tc>
        <w:tc>
          <w:tcPr>
            <w:tcW w:w="750" w:type="dxa"/>
            <w:tcBorders>
              <w:bottom w:val="single" w:sz="6" w:space="0" w:color="1E4496" w:themeColor="text2"/>
            </w:tcBorders>
            <w:tcMar>
              <w:top w:w="96" w:type="dxa"/>
              <w:left w:w="113" w:type="dxa"/>
              <w:bottom w:w="96" w:type="dxa"/>
              <w:right w:w="113" w:type="dxa"/>
            </w:tcMar>
            <w:vAlign w:val="center"/>
          </w:tcPr>
          <w:p w14:paraId="254DBC8A" w14:textId="77777777" w:rsidR="002E50C0" w:rsidRPr="002E50C0" w:rsidRDefault="002E50C0" w:rsidP="002E50C0">
            <w:pPr>
              <w:pStyle w:val="CDITable-RowCentre"/>
            </w:pPr>
            <w:r w:rsidRPr="002E50C0">
              <w:t>0</w:t>
            </w:r>
          </w:p>
        </w:tc>
        <w:tc>
          <w:tcPr>
            <w:tcW w:w="750" w:type="dxa"/>
            <w:tcBorders>
              <w:bottom w:val="single" w:sz="6" w:space="0" w:color="1E4496" w:themeColor="text2"/>
            </w:tcBorders>
            <w:tcMar>
              <w:top w:w="96" w:type="dxa"/>
              <w:left w:w="113" w:type="dxa"/>
              <w:bottom w:w="96" w:type="dxa"/>
              <w:right w:w="113" w:type="dxa"/>
            </w:tcMar>
            <w:vAlign w:val="center"/>
          </w:tcPr>
          <w:p w14:paraId="3246BCD2" w14:textId="77777777" w:rsidR="002E50C0" w:rsidRPr="002E50C0" w:rsidRDefault="002E50C0" w:rsidP="002E50C0">
            <w:pPr>
              <w:pStyle w:val="CDITable-RowCentre"/>
            </w:pPr>
            <w:r w:rsidRPr="002E50C0">
              <w:t>0</w:t>
            </w:r>
          </w:p>
        </w:tc>
        <w:tc>
          <w:tcPr>
            <w:tcW w:w="749" w:type="dxa"/>
            <w:tcBorders>
              <w:bottom w:val="single" w:sz="6" w:space="0" w:color="1E4496" w:themeColor="text2"/>
            </w:tcBorders>
            <w:tcMar>
              <w:top w:w="96" w:type="dxa"/>
              <w:left w:w="113" w:type="dxa"/>
              <w:bottom w:w="96" w:type="dxa"/>
              <w:right w:w="113" w:type="dxa"/>
            </w:tcMar>
            <w:vAlign w:val="center"/>
          </w:tcPr>
          <w:p w14:paraId="5EC69117" w14:textId="77777777" w:rsidR="002E50C0" w:rsidRPr="002E50C0" w:rsidRDefault="002E50C0" w:rsidP="002E50C0">
            <w:pPr>
              <w:pStyle w:val="CDITable-RowCentre"/>
            </w:pPr>
            <w:r w:rsidRPr="002E50C0">
              <w:t>0</w:t>
            </w:r>
          </w:p>
        </w:tc>
        <w:tc>
          <w:tcPr>
            <w:tcW w:w="750" w:type="dxa"/>
            <w:tcBorders>
              <w:bottom w:val="single" w:sz="6" w:space="0" w:color="1E4496" w:themeColor="text2"/>
            </w:tcBorders>
            <w:tcMar>
              <w:top w:w="96" w:type="dxa"/>
              <w:left w:w="113" w:type="dxa"/>
              <w:bottom w:w="96" w:type="dxa"/>
              <w:right w:w="113" w:type="dxa"/>
            </w:tcMar>
            <w:vAlign w:val="center"/>
          </w:tcPr>
          <w:p w14:paraId="02B9002B" w14:textId="77777777" w:rsidR="002E50C0" w:rsidRPr="002E50C0" w:rsidRDefault="002E50C0" w:rsidP="002E50C0">
            <w:pPr>
              <w:pStyle w:val="CDITable-RowCentre"/>
            </w:pPr>
            <w:r w:rsidRPr="002E50C0">
              <w:t>0</w:t>
            </w:r>
          </w:p>
        </w:tc>
        <w:tc>
          <w:tcPr>
            <w:tcW w:w="749" w:type="dxa"/>
            <w:tcBorders>
              <w:bottom w:val="single" w:sz="6" w:space="0" w:color="1E4496" w:themeColor="text2"/>
            </w:tcBorders>
            <w:tcMar>
              <w:top w:w="96" w:type="dxa"/>
              <w:left w:w="113" w:type="dxa"/>
              <w:bottom w:w="96" w:type="dxa"/>
              <w:right w:w="113" w:type="dxa"/>
            </w:tcMar>
            <w:vAlign w:val="center"/>
          </w:tcPr>
          <w:p w14:paraId="0E4818D0" w14:textId="77777777" w:rsidR="002E50C0" w:rsidRPr="002E50C0" w:rsidRDefault="002E50C0" w:rsidP="002E50C0">
            <w:pPr>
              <w:pStyle w:val="CDITable-RowCentre"/>
            </w:pPr>
            <w:r w:rsidRPr="002E50C0">
              <w:t>0</w:t>
            </w:r>
          </w:p>
        </w:tc>
        <w:tc>
          <w:tcPr>
            <w:tcW w:w="750" w:type="dxa"/>
            <w:tcBorders>
              <w:bottom w:val="single" w:sz="6" w:space="0" w:color="1E4496" w:themeColor="text2"/>
            </w:tcBorders>
            <w:tcMar>
              <w:top w:w="96" w:type="dxa"/>
              <w:left w:w="113" w:type="dxa"/>
              <w:bottom w:w="96" w:type="dxa"/>
              <w:right w:w="113" w:type="dxa"/>
            </w:tcMar>
            <w:vAlign w:val="center"/>
          </w:tcPr>
          <w:p w14:paraId="7EEC96F6" w14:textId="77777777" w:rsidR="002E50C0" w:rsidRPr="002E50C0" w:rsidRDefault="002E50C0" w:rsidP="002E50C0">
            <w:pPr>
              <w:pStyle w:val="CDITable-RowCentre"/>
            </w:pPr>
            <w:r w:rsidRPr="002E50C0">
              <w:t>0</w:t>
            </w:r>
          </w:p>
        </w:tc>
        <w:tc>
          <w:tcPr>
            <w:tcW w:w="750" w:type="dxa"/>
            <w:tcBorders>
              <w:bottom w:val="single" w:sz="6" w:space="0" w:color="1E4496" w:themeColor="text2"/>
            </w:tcBorders>
            <w:tcMar>
              <w:top w:w="96" w:type="dxa"/>
              <w:left w:w="113" w:type="dxa"/>
              <w:bottom w:w="96" w:type="dxa"/>
              <w:right w:w="113" w:type="dxa"/>
            </w:tcMar>
            <w:vAlign w:val="center"/>
          </w:tcPr>
          <w:p w14:paraId="55686370" w14:textId="77777777" w:rsidR="002E50C0" w:rsidRPr="002E50C0" w:rsidRDefault="002E50C0" w:rsidP="002E50C0">
            <w:pPr>
              <w:pStyle w:val="CDITable-RowCentre"/>
            </w:pPr>
            <w:r w:rsidRPr="002E50C0">
              <w:t>1</w:t>
            </w:r>
          </w:p>
        </w:tc>
        <w:tc>
          <w:tcPr>
            <w:tcW w:w="749" w:type="dxa"/>
            <w:tcBorders>
              <w:bottom w:val="single" w:sz="6" w:space="0" w:color="1E4496" w:themeColor="text2"/>
            </w:tcBorders>
            <w:tcMar>
              <w:top w:w="96" w:type="dxa"/>
              <w:left w:w="113" w:type="dxa"/>
              <w:bottom w:w="96" w:type="dxa"/>
              <w:right w:w="113" w:type="dxa"/>
            </w:tcMar>
            <w:vAlign w:val="center"/>
          </w:tcPr>
          <w:p w14:paraId="20BB9422" w14:textId="77777777" w:rsidR="002E50C0" w:rsidRPr="002E50C0" w:rsidRDefault="002E50C0" w:rsidP="002E50C0">
            <w:pPr>
              <w:pStyle w:val="CDITable-RowCentre"/>
            </w:pPr>
            <w:r w:rsidRPr="002E50C0">
              <w:t>0</w:t>
            </w:r>
          </w:p>
        </w:tc>
        <w:tc>
          <w:tcPr>
            <w:tcW w:w="750" w:type="dxa"/>
            <w:tcBorders>
              <w:bottom w:val="single" w:sz="6" w:space="0" w:color="1E4496" w:themeColor="text2"/>
            </w:tcBorders>
            <w:tcMar>
              <w:top w:w="96" w:type="dxa"/>
              <w:left w:w="113" w:type="dxa"/>
              <w:bottom w:w="96" w:type="dxa"/>
              <w:right w:w="113" w:type="dxa"/>
            </w:tcMar>
            <w:vAlign w:val="center"/>
          </w:tcPr>
          <w:p w14:paraId="572EAB06" w14:textId="77777777" w:rsidR="002E50C0" w:rsidRPr="002E50C0" w:rsidRDefault="002E50C0" w:rsidP="002E50C0">
            <w:pPr>
              <w:pStyle w:val="CDITable-RowCentre"/>
            </w:pPr>
            <w:r w:rsidRPr="002E50C0">
              <w:t>1</w:t>
            </w:r>
          </w:p>
        </w:tc>
      </w:tr>
      <w:tr w:rsidR="002E50C0" w:rsidRPr="002E50C0" w14:paraId="39AED6D1"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A9724A2"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656459" w14:textId="77777777" w:rsidR="002E50C0" w:rsidRPr="002E50C0" w:rsidRDefault="002E50C0" w:rsidP="002E50C0">
            <w:pPr>
              <w:pStyle w:val="CDITable-RowLeft"/>
            </w:pPr>
            <w:r w:rsidRPr="002E50C0">
              <w:t>P1.12-6,13-13</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3C769CC"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328B2F"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21235E9"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AAE916"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ABCC8BC" w14:textId="77777777" w:rsidR="002E50C0" w:rsidRPr="002E50C0" w:rsidRDefault="002E50C0" w:rsidP="002E50C0">
            <w:pPr>
              <w:pStyle w:val="CDITable-RowCentre"/>
            </w:pPr>
            <w:r w:rsidRPr="002E50C0">
              <w:t>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6DA2AC"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067A2C"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89D416"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D9A0B43" w14:textId="77777777" w:rsidR="002E50C0" w:rsidRPr="002E50C0" w:rsidRDefault="002E50C0" w:rsidP="002E50C0">
            <w:pPr>
              <w:pStyle w:val="CDITable-RowCentre"/>
            </w:pPr>
            <w:r w:rsidRPr="002E50C0">
              <w:t>1</w:t>
            </w:r>
          </w:p>
        </w:tc>
      </w:tr>
      <w:tr w:rsidR="002E50C0" w:rsidRPr="002E50C0" w14:paraId="63E58CDB"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373E2BA"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CDA209" w14:textId="77777777" w:rsidR="002E50C0" w:rsidRPr="002E50C0" w:rsidRDefault="002E50C0" w:rsidP="002E50C0">
            <w:pPr>
              <w:pStyle w:val="CDITable-RowLeft"/>
            </w:pPr>
            <w:r w:rsidRPr="002E50C0">
              <w:t>P1.17,16-3</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CDEA0A"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98795F"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074EF08"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102BE41"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1498DDF"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DD457B7"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35C7B1"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83AC4B2"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19889A6" w14:textId="77777777" w:rsidR="002E50C0" w:rsidRPr="002E50C0" w:rsidRDefault="002E50C0" w:rsidP="002E50C0">
            <w:pPr>
              <w:pStyle w:val="CDITable-RowCentre"/>
            </w:pPr>
            <w:r w:rsidRPr="002E50C0">
              <w:t>2</w:t>
            </w:r>
          </w:p>
        </w:tc>
      </w:tr>
      <w:tr w:rsidR="002E50C0" w:rsidRPr="002E50C0" w14:paraId="74F76931"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8598872"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DD463EB" w14:textId="77777777" w:rsidR="002E50C0" w:rsidRPr="002E50C0" w:rsidRDefault="002E50C0" w:rsidP="002E50C0">
            <w:pPr>
              <w:pStyle w:val="CDITable-RowLeft"/>
            </w:pPr>
            <w:r w:rsidRPr="002E50C0">
              <w:t>P1.18-1,3</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809F46D"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F2F36F"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371AA49"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A9E9EDD"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41774C"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48A97D9"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3F00F43"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B86565B" w14:textId="77777777" w:rsidR="002E50C0" w:rsidRPr="002E50C0" w:rsidRDefault="002E50C0" w:rsidP="002E50C0">
            <w:pPr>
              <w:pStyle w:val="CDITable-RowCentre"/>
            </w:pPr>
            <w:r w:rsidRPr="002E50C0">
              <w:t>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BABB2CF" w14:textId="77777777" w:rsidR="002E50C0" w:rsidRPr="002E50C0" w:rsidRDefault="002E50C0" w:rsidP="002E50C0">
            <w:pPr>
              <w:pStyle w:val="CDITable-RowCentre"/>
            </w:pPr>
            <w:r w:rsidRPr="002E50C0">
              <w:t>2</w:t>
            </w:r>
          </w:p>
        </w:tc>
      </w:tr>
      <w:tr w:rsidR="002E50C0" w:rsidRPr="002E50C0" w14:paraId="361B3E9D"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28B6D44"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EBBC45" w14:textId="77777777" w:rsidR="002E50C0" w:rsidRPr="002E50C0" w:rsidRDefault="002E50C0" w:rsidP="002E50C0">
            <w:pPr>
              <w:pStyle w:val="CDITable-RowLeft"/>
            </w:pPr>
            <w:r w:rsidRPr="002E50C0">
              <w:t>P1.18-1,34</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3A2727D"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A0F13EE" w14:textId="77777777" w:rsidR="002E50C0" w:rsidRPr="002E50C0" w:rsidRDefault="002E50C0" w:rsidP="002E50C0">
            <w:pPr>
              <w:pStyle w:val="CDITable-RowCentre"/>
            </w:pPr>
            <w:r w:rsidRPr="002E50C0">
              <w:t>3</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F7C684D" w14:textId="77777777" w:rsidR="002E50C0" w:rsidRPr="002E50C0" w:rsidRDefault="002E50C0" w:rsidP="002E50C0">
            <w:pPr>
              <w:pStyle w:val="CDITable-RowCentre"/>
            </w:pPr>
            <w:r w:rsidRPr="002E50C0">
              <w:t>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BA3FD2" w14:textId="77777777" w:rsidR="002E50C0" w:rsidRPr="002E50C0" w:rsidRDefault="002E50C0" w:rsidP="002E50C0">
            <w:pPr>
              <w:pStyle w:val="CDITable-RowCentre"/>
            </w:pPr>
            <w:r w:rsidRPr="002E50C0">
              <w:t>2</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2F19DC"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FFFB3BC" w14:textId="77777777" w:rsidR="002E50C0" w:rsidRPr="002E50C0" w:rsidRDefault="002E50C0" w:rsidP="002E50C0">
            <w:pPr>
              <w:pStyle w:val="CDITable-RowCentre"/>
            </w:pPr>
            <w:r w:rsidRPr="002E50C0">
              <w:t>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F9F1095"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44C0371"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2CBB54" w14:textId="77777777" w:rsidR="002E50C0" w:rsidRPr="002E50C0" w:rsidRDefault="002E50C0" w:rsidP="002E50C0">
            <w:pPr>
              <w:pStyle w:val="CDITable-RowCentre"/>
            </w:pPr>
            <w:r w:rsidRPr="002E50C0">
              <w:t>7</w:t>
            </w:r>
          </w:p>
        </w:tc>
      </w:tr>
      <w:tr w:rsidR="002E50C0" w:rsidRPr="002E50C0" w14:paraId="5C65B333"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E3DD03F"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6AD81B" w14:textId="77777777" w:rsidR="002E50C0" w:rsidRPr="002E50C0" w:rsidRDefault="002E50C0" w:rsidP="002E50C0">
            <w:pPr>
              <w:pStyle w:val="CDITable-RowLeft"/>
            </w:pPr>
            <w:r w:rsidRPr="002E50C0">
              <w:t>P1.18-4,25</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F147C6"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05B20BE"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303DA23"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5D45BA4"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ECC5DC5"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1363B6F"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8930E9A"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A41EC2"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3CD935" w14:textId="77777777" w:rsidR="002E50C0" w:rsidRPr="002E50C0" w:rsidRDefault="002E50C0" w:rsidP="002E50C0">
            <w:pPr>
              <w:pStyle w:val="CDITable-RowCentre"/>
            </w:pPr>
            <w:r w:rsidRPr="002E50C0">
              <w:t>1</w:t>
            </w:r>
          </w:p>
        </w:tc>
      </w:tr>
      <w:tr w:rsidR="002E50C0" w:rsidRPr="002E50C0" w14:paraId="32E9FDB4"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4988990"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AE23194" w14:textId="77777777" w:rsidR="002E50C0" w:rsidRPr="002E50C0" w:rsidRDefault="002E50C0" w:rsidP="002E50C0">
            <w:pPr>
              <w:pStyle w:val="CDITable-RowLeft"/>
            </w:pPr>
            <w:r w:rsidRPr="002E50C0">
              <w:t>P1.19,15</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294D38E"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84D1CA"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711F1B"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AC317CA" w14:textId="77777777" w:rsidR="002E50C0" w:rsidRPr="002E50C0" w:rsidRDefault="002E50C0" w:rsidP="002E50C0">
            <w:pPr>
              <w:pStyle w:val="CDITable-RowCentre"/>
            </w:pPr>
            <w:r w:rsidRPr="002E50C0">
              <w:t>5</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9747713"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08F3D0"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7E3938"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65FE33"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AD5B0BC" w14:textId="77777777" w:rsidR="002E50C0" w:rsidRPr="002E50C0" w:rsidRDefault="002E50C0" w:rsidP="002E50C0">
            <w:pPr>
              <w:pStyle w:val="CDITable-RowCentre"/>
            </w:pPr>
            <w:r w:rsidRPr="002E50C0">
              <w:t>5</w:t>
            </w:r>
          </w:p>
        </w:tc>
      </w:tr>
      <w:tr w:rsidR="002E50C0" w:rsidRPr="002E50C0" w14:paraId="14F95288"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5B6C153"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F236C4F" w14:textId="77777777" w:rsidR="002E50C0" w:rsidRPr="002E50C0" w:rsidRDefault="002E50C0" w:rsidP="002E50C0">
            <w:pPr>
              <w:pStyle w:val="CDITable-RowLeft"/>
            </w:pPr>
            <w:r w:rsidRPr="002E50C0">
              <w:t>P1.21-</w:t>
            </w:r>
            <w:proofErr w:type="gramStart"/>
            <w:r w:rsidRPr="002E50C0">
              <w:t>2,-</w:t>
            </w:r>
            <w:proofErr w:type="gramEnd"/>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FF06C3"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B34E8B"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D8ECF6"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0075144"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3C56484"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6ADC204"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F8F7C9"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44695CF"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2EE2474" w14:textId="77777777" w:rsidR="002E50C0" w:rsidRPr="002E50C0" w:rsidRDefault="002E50C0" w:rsidP="002E50C0">
            <w:pPr>
              <w:pStyle w:val="CDITable-RowCentre"/>
            </w:pPr>
            <w:r w:rsidRPr="002E50C0">
              <w:t>1</w:t>
            </w:r>
          </w:p>
        </w:tc>
      </w:tr>
      <w:tr w:rsidR="002E50C0" w:rsidRPr="002E50C0" w14:paraId="6724E6FC"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BDFDD75"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63FB83C" w14:textId="77777777" w:rsidR="002E50C0" w:rsidRPr="002E50C0" w:rsidRDefault="002E50C0" w:rsidP="002E50C0">
            <w:pPr>
              <w:pStyle w:val="CDITable-RowLeft"/>
            </w:pPr>
            <w:r w:rsidRPr="002E50C0">
              <w:t>P1.21-7</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58B8A66"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5493229"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163733"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3504D03"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AA72962"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9EB5E67"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5919267"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CAA2BFF"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766A06A" w14:textId="77777777" w:rsidR="002E50C0" w:rsidRPr="002E50C0" w:rsidRDefault="002E50C0" w:rsidP="002E50C0">
            <w:pPr>
              <w:pStyle w:val="CDITable-RowCentre"/>
            </w:pPr>
            <w:r w:rsidRPr="002E50C0">
              <w:t>1</w:t>
            </w:r>
          </w:p>
        </w:tc>
      </w:tr>
      <w:tr w:rsidR="002E50C0" w:rsidRPr="002E50C0" w14:paraId="58C31BCB"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DBE41A5"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E9003A" w14:textId="77777777" w:rsidR="002E50C0" w:rsidRPr="002E50C0" w:rsidRDefault="002E50C0" w:rsidP="002E50C0">
            <w:pPr>
              <w:pStyle w:val="CDITable-RowLeft"/>
            </w:pPr>
            <w:r w:rsidRPr="002E50C0">
              <w:t>P1.22,14</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BA8E22"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6EB78C1"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2846C1C"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3472DE" w14:textId="77777777" w:rsidR="002E50C0" w:rsidRPr="002E50C0" w:rsidRDefault="002E50C0" w:rsidP="002E50C0">
            <w:pPr>
              <w:pStyle w:val="CDITable-RowCentre"/>
            </w:pPr>
            <w:r w:rsidRPr="002E50C0">
              <w:t>2</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027A2DD" w14:textId="77777777" w:rsidR="002E50C0" w:rsidRPr="002E50C0" w:rsidRDefault="002E50C0" w:rsidP="002E50C0">
            <w:pPr>
              <w:pStyle w:val="CDITable-RowCentre"/>
            </w:pPr>
            <w:r w:rsidRPr="002E50C0">
              <w:t>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B9FC78F"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BB79988"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89D56A" w14:textId="77777777" w:rsidR="002E50C0" w:rsidRPr="002E50C0" w:rsidRDefault="002E50C0" w:rsidP="002E50C0">
            <w:pPr>
              <w:pStyle w:val="CDITable-RowCentre"/>
            </w:pPr>
            <w:r w:rsidRPr="002E50C0">
              <w:t>2</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BCD29A3" w14:textId="77777777" w:rsidR="002E50C0" w:rsidRPr="002E50C0" w:rsidRDefault="002E50C0" w:rsidP="002E50C0">
            <w:pPr>
              <w:pStyle w:val="CDITable-RowCentre"/>
            </w:pPr>
            <w:r w:rsidRPr="002E50C0">
              <w:t>6</w:t>
            </w:r>
          </w:p>
        </w:tc>
      </w:tr>
      <w:tr w:rsidR="002E50C0" w:rsidRPr="002E50C0" w14:paraId="2494B296"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00E22D2"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5AB798" w14:textId="77777777" w:rsidR="002E50C0" w:rsidRPr="002E50C0" w:rsidRDefault="002E50C0" w:rsidP="002E50C0">
            <w:pPr>
              <w:pStyle w:val="CDITable-RowLeft"/>
            </w:pPr>
            <w:r w:rsidRPr="002E50C0">
              <w:t>P1.22,44</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8420BE0"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CE590E"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3B4F44"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15CD419"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141883F" w14:textId="77777777" w:rsidR="002E50C0" w:rsidRPr="002E50C0" w:rsidRDefault="002E50C0" w:rsidP="002E50C0">
            <w:pPr>
              <w:pStyle w:val="CDITable-RowCentre"/>
            </w:pPr>
            <w:r w:rsidRPr="002E50C0">
              <w:t>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A147F1A"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5CD45A"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4B3FB5"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D7F9BE" w14:textId="77777777" w:rsidR="002E50C0" w:rsidRPr="002E50C0" w:rsidRDefault="002E50C0" w:rsidP="002E50C0">
            <w:pPr>
              <w:pStyle w:val="CDITable-RowCentre"/>
            </w:pPr>
            <w:r w:rsidRPr="002E50C0">
              <w:t>1</w:t>
            </w:r>
          </w:p>
        </w:tc>
      </w:tr>
      <w:tr w:rsidR="002E50C0" w:rsidRPr="002E50C0" w14:paraId="00FD9EAB"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93DFAF"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EF92971" w14:textId="77777777" w:rsidR="002E50C0" w:rsidRPr="002E50C0" w:rsidRDefault="002E50C0" w:rsidP="002E50C0">
            <w:pPr>
              <w:pStyle w:val="CDITable-RowLeft"/>
            </w:pPr>
            <w:r w:rsidRPr="002E50C0">
              <w:t>P1.22-1,14</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B7D168"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1E95847"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EC58F0"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91CAB0D"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DB16F2"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0C1A40"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580F60"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3528EBE"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3B0A0E" w14:textId="77777777" w:rsidR="002E50C0" w:rsidRPr="002E50C0" w:rsidRDefault="002E50C0" w:rsidP="002E50C0">
            <w:pPr>
              <w:pStyle w:val="CDITable-RowCentre"/>
            </w:pPr>
            <w:r w:rsidRPr="002E50C0">
              <w:t>1</w:t>
            </w:r>
          </w:p>
        </w:tc>
      </w:tr>
      <w:tr w:rsidR="002E50C0" w:rsidRPr="002E50C0" w14:paraId="3F6E5242"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CBCC909"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179199E" w14:textId="77777777" w:rsidR="002E50C0" w:rsidRPr="002E50C0" w:rsidRDefault="002E50C0" w:rsidP="002E50C0">
            <w:pPr>
              <w:pStyle w:val="CDITable-RowLeft"/>
            </w:pPr>
            <w:r w:rsidRPr="002E50C0">
              <w:t>P1.5-2,2</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D87BFA"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5192982"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15A2FE0"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BEB8170"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4D17017"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1C60A5B"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882365"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2C2A778"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09F6EE6" w14:textId="77777777" w:rsidR="002E50C0" w:rsidRPr="002E50C0" w:rsidRDefault="002E50C0" w:rsidP="002E50C0">
            <w:pPr>
              <w:pStyle w:val="CDITable-RowCentre"/>
            </w:pPr>
            <w:r w:rsidRPr="002E50C0">
              <w:t>1</w:t>
            </w:r>
          </w:p>
        </w:tc>
      </w:tr>
      <w:tr w:rsidR="002E50C0" w:rsidRPr="002E50C0" w14:paraId="5A4A3BDD"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6568C9D"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15D2652" w14:textId="77777777" w:rsidR="002E50C0" w:rsidRPr="002E50C0" w:rsidRDefault="002E50C0" w:rsidP="002E50C0">
            <w:pPr>
              <w:pStyle w:val="CDITable-RowLeft"/>
            </w:pPr>
            <w:r w:rsidRPr="002E50C0">
              <w:t>P1.7,16-26</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D93F5FA"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05037A9" w14:textId="77777777" w:rsidR="002E50C0" w:rsidRPr="002E50C0" w:rsidRDefault="002E50C0" w:rsidP="002E50C0">
            <w:pPr>
              <w:pStyle w:val="CDITable-RowCentre"/>
            </w:pPr>
            <w:r w:rsidRPr="002E50C0">
              <w:t>3</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0741EF1"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1D3E781"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965258A" w14:textId="77777777" w:rsidR="002E50C0" w:rsidRPr="002E50C0" w:rsidRDefault="002E50C0" w:rsidP="002E50C0">
            <w:pPr>
              <w:pStyle w:val="CDITable-RowCentre"/>
            </w:pPr>
            <w:r w:rsidRPr="002E50C0">
              <w:t>3</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85E0BA1"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AF0F9EE" w14:textId="77777777" w:rsidR="002E50C0" w:rsidRPr="002E50C0" w:rsidRDefault="002E50C0" w:rsidP="002E50C0">
            <w:pPr>
              <w:pStyle w:val="CDITable-RowCentre"/>
            </w:pPr>
            <w:r w:rsidRPr="002E50C0">
              <w:t>2</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B0DC27"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0FAA2F3" w14:textId="77777777" w:rsidR="002E50C0" w:rsidRPr="002E50C0" w:rsidRDefault="002E50C0" w:rsidP="002E50C0">
            <w:pPr>
              <w:pStyle w:val="CDITable-RowCentre"/>
            </w:pPr>
            <w:r w:rsidRPr="002E50C0">
              <w:t>8</w:t>
            </w:r>
          </w:p>
        </w:tc>
      </w:tr>
      <w:tr w:rsidR="002E50C0" w:rsidRPr="002E50C0" w14:paraId="58B0CFE8"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E7633A"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3D68F07" w14:textId="77777777" w:rsidR="002E50C0" w:rsidRPr="002E50C0" w:rsidRDefault="002E50C0" w:rsidP="002E50C0">
            <w:pPr>
              <w:pStyle w:val="CDITable-RowLeft"/>
            </w:pPr>
            <w:r w:rsidRPr="002E50C0">
              <w:t>P1.7-1,1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39A2D5"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28B46D"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B9E746B"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8E4F6E7"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2E0C113"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35BE8D8"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8007285"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436402A"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488204" w14:textId="77777777" w:rsidR="002E50C0" w:rsidRPr="002E50C0" w:rsidRDefault="002E50C0" w:rsidP="002E50C0">
            <w:pPr>
              <w:pStyle w:val="CDITable-RowCentre"/>
            </w:pPr>
            <w:r w:rsidRPr="002E50C0">
              <w:t>2</w:t>
            </w:r>
          </w:p>
        </w:tc>
      </w:tr>
      <w:tr w:rsidR="002E50C0" w:rsidRPr="002E50C0" w14:paraId="4340555D"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224EC2C"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D851540" w14:textId="77777777" w:rsidR="002E50C0" w:rsidRPr="002E50C0" w:rsidRDefault="002E50C0" w:rsidP="002E50C0">
            <w:pPr>
              <w:pStyle w:val="CDITable-RowLeft"/>
            </w:pPr>
            <w:r w:rsidRPr="002E50C0">
              <w:t>P1.7-12,14</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8CF3BE"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B6FA267"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B63637"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4AABEE" w14:textId="77777777" w:rsidR="002E50C0" w:rsidRPr="002E50C0" w:rsidRDefault="002E50C0" w:rsidP="002E50C0">
            <w:pPr>
              <w:pStyle w:val="CDITable-RowCentre"/>
            </w:pPr>
            <w:r w:rsidRPr="002E50C0">
              <w:t>2</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4B29C08"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18BF31"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76B7DF0"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1CB3070" w14:textId="77777777" w:rsidR="002E50C0" w:rsidRPr="002E50C0" w:rsidRDefault="002E50C0" w:rsidP="002E50C0">
            <w:pPr>
              <w:pStyle w:val="CDITable-RowCentre"/>
            </w:pPr>
            <w:r w:rsidRPr="002E50C0">
              <w:t>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B0E00C4" w14:textId="77777777" w:rsidR="002E50C0" w:rsidRPr="002E50C0" w:rsidRDefault="002E50C0" w:rsidP="002E50C0">
            <w:pPr>
              <w:pStyle w:val="CDITable-RowCentre"/>
            </w:pPr>
            <w:r w:rsidRPr="002E50C0">
              <w:t>3</w:t>
            </w:r>
          </w:p>
        </w:tc>
      </w:tr>
      <w:tr w:rsidR="002E50C0" w:rsidRPr="002E50C0" w14:paraId="6D595A21"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617BBC9"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78BD02F" w14:textId="77777777" w:rsidR="002E50C0" w:rsidRPr="002E50C0" w:rsidRDefault="002E50C0" w:rsidP="002E50C0">
            <w:pPr>
              <w:pStyle w:val="CDITable-RowLeft"/>
            </w:pPr>
            <w:r w:rsidRPr="002E50C0">
              <w:t>P1.7-2</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BE5D76"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7144F28"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12DA2D3"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CC44B5"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D74953E"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C8E3BED"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79DA2C0"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5798DAC"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3CC4DF" w14:textId="77777777" w:rsidR="002E50C0" w:rsidRPr="002E50C0" w:rsidRDefault="002E50C0" w:rsidP="002E50C0">
            <w:pPr>
              <w:pStyle w:val="CDITable-RowCentre"/>
            </w:pPr>
            <w:r w:rsidRPr="002E50C0">
              <w:t>1</w:t>
            </w:r>
          </w:p>
        </w:tc>
      </w:tr>
      <w:tr w:rsidR="002E50C0" w:rsidRPr="002E50C0" w14:paraId="4F92B791"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7E389E5"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2DCADF" w14:textId="77777777" w:rsidR="002E50C0" w:rsidRPr="002E50C0" w:rsidRDefault="002E50C0" w:rsidP="002E50C0">
            <w:pPr>
              <w:pStyle w:val="CDITable-RowLeft"/>
            </w:pPr>
            <w:r w:rsidRPr="002E50C0">
              <w:t>P1.7-2, new</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ACC74B9"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0A6C163"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55C742"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CA1613"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CBDD4B4" w14:textId="77777777" w:rsidR="002E50C0" w:rsidRPr="002E50C0" w:rsidRDefault="002E50C0" w:rsidP="002E50C0">
            <w:pPr>
              <w:pStyle w:val="CDITable-RowCentre"/>
            </w:pPr>
            <w:r w:rsidRPr="002E50C0">
              <w:t>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95FCB2"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A0C0385"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9EFCA67"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F349706" w14:textId="77777777" w:rsidR="002E50C0" w:rsidRPr="002E50C0" w:rsidRDefault="002E50C0" w:rsidP="002E50C0">
            <w:pPr>
              <w:pStyle w:val="CDITable-RowCentre"/>
            </w:pPr>
            <w:r w:rsidRPr="002E50C0">
              <w:t>1</w:t>
            </w:r>
          </w:p>
        </w:tc>
      </w:tr>
      <w:tr w:rsidR="002E50C0" w:rsidRPr="002E50C0" w14:paraId="19773DF6"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A990F37"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CE98D24" w14:textId="77777777" w:rsidR="002E50C0" w:rsidRPr="002E50C0" w:rsidRDefault="002E50C0" w:rsidP="002E50C0">
            <w:pPr>
              <w:pStyle w:val="CDITable-RowLeft"/>
            </w:pPr>
            <w:r w:rsidRPr="002E50C0">
              <w:t>P1.7-2,16-26</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D887F3"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BE46871"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48797DC"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D9A079"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7EE1BB9"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4AA52E8"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53B9228"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62D662"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C73CDF" w14:textId="77777777" w:rsidR="002E50C0" w:rsidRPr="002E50C0" w:rsidRDefault="002E50C0" w:rsidP="002E50C0">
            <w:pPr>
              <w:pStyle w:val="CDITable-RowCentre"/>
            </w:pPr>
            <w:r w:rsidRPr="002E50C0">
              <w:t>1</w:t>
            </w:r>
          </w:p>
        </w:tc>
      </w:tr>
      <w:tr w:rsidR="002E50C0" w:rsidRPr="002E50C0" w14:paraId="7958F3DA"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E90BF17"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1FF9C16" w14:textId="77777777" w:rsidR="002E50C0" w:rsidRPr="002E50C0" w:rsidRDefault="002E50C0" w:rsidP="002E50C0">
            <w:pPr>
              <w:pStyle w:val="CDITable-RowLeft"/>
            </w:pPr>
            <w:r w:rsidRPr="002E50C0">
              <w:t>P1.7-2,4</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613E3D1"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4178B03" w14:textId="77777777" w:rsidR="002E50C0" w:rsidRPr="002E50C0" w:rsidRDefault="002E50C0" w:rsidP="002E50C0">
            <w:pPr>
              <w:pStyle w:val="CDITable-RowCentre"/>
            </w:pPr>
            <w:r w:rsidRPr="002E50C0">
              <w:t>2</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3CD3DE" w14:textId="77777777" w:rsidR="002E50C0" w:rsidRPr="002E50C0" w:rsidRDefault="002E50C0" w:rsidP="002E50C0">
            <w:pPr>
              <w:pStyle w:val="CDITable-RowCentre"/>
            </w:pPr>
            <w:r w:rsidRPr="002E50C0">
              <w:t>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698ED6D" w14:textId="77777777" w:rsidR="002E50C0" w:rsidRPr="002E50C0" w:rsidRDefault="002E50C0" w:rsidP="002E50C0">
            <w:pPr>
              <w:pStyle w:val="CDITable-RowCentre"/>
            </w:pPr>
            <w:r w:rsidRPr="002E50C0">
              <w:t>14</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3D93928" w14:textId="77777777" w:rsidR="002E50C0" w:rsidRPr="002E50C0" w:rsidRDefault="002E50C0" w:rsidP="002E50C0">
            <w:pPr>
              <w:pStyle w:val="CDITable-RowCentre"/>
            </w:pPr>
            <w:r w:rsidRPr="002E50C0">
              <w:t>7</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F725CBE"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15CBB1E" w14:textId="77777777" w:rsidR="002E50C0" w:rsidRPr="002E50C0" w:rsidRDefault="002E50C0" w:rsidP="002E50C0">
            <w:pPr>
              <w:pStyle w:val="CDITable-RowCentre"/>
            </w:pPr>
            <w:r w:rsidRPr="002E50C0">
              <w:t>3</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D833C6B" w14:textId="77777777" w:rsidR="002E50C0" w:rsidRPr="002E50C0" w:rsidRDefault="002E50C0" w:rsidP="002E50C0">
            <w:pPr>
              <w:pStyle w:val="CDITable-RowCentre"/>
            </w:pPr>
            <w:r w:rsidRPr="002E50C0">
              <w:t>2</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EB1E2DD" w14:textId="77777777" w:rsidR="002E50C0" w:rsidRPr="002E50C0" w:rsidRDefault="002E50C0" w:rsidP="002E50C0">
            <w:pPr>
              <w:pStyle w:val="CDITable-RowCentre"/>
            </w:pPr>
            <w:r w:rsidRPr="002E50C0">
              <w:t>29</w:t>
            </w:r>
          </w:p>
        </w:tc>
      </w:tr>
      <w:tr w:rsidR="002E50C0" w:rsidRPr="002E50C0" w14:paraId="423269EF"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48FDB8B" w14:textId="77777777" w:rsidR="002E50C0" w:rsidRPr="002E50C0" w:rsidRDefault="002E50C0" w:rsidP="002E50C0">
            <w:pPr>
              <w:pStyle w:val="CDITable-RowLeft"/>
            </w:pPr>
            <w:r w:rsidRPr="002E50C0">
              <w:t>B</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DE64C51" w14:textId="77777777" w:rsidR="002E50C0" w:rsidRPr="002E50C0" w:rsidRDefault="002E50C0" w:rsidP="002E50C0">
            <w:pPr>
              <w:pStyle w:val="CDITable-RowLeft"/>
            </w:pPr>
            <w:r w:rsidRPr="002E50C0">
              <w:t>P1.7-36,14</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70AC40D"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0FEDAE"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51E0693"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BEF117C"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D7ECB51"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44AB347"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0CC5DE4"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B3AEF63"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EFE7099" w14:textId="77777777" w:rsidR="002E50C0" w:rsidRPr="002E50C0" w:rsidRDefault="002E50C0" w:rsidP="002E50C0">
            <w:pPr>
              <w:pStyle w:val="CDITable-RowCentre"/>
            </w:pPr>
            <w:r w:rsidRPr="002E50C0">
              <w:t>1</w:t>
            </w:r>
          </w:p>
        </w:tc>
      </w:tr>
      <w:tr w:rsidR="002E50C0" w:rsidRPr="002E50C0" w14:paraId="031A62C8"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16D330" w14:textId="77777777" w:rsidR="002E50C0" w:rsidRPr="002E50C0" w:rsidRDefault="002E50C0" w:rsidP="002E50C0">
            <w:pPr>
              <w:pStyle w:val="CDITable-RowLeft"/>
            </w:pPr>
            <w:r w:rsidRPr="002E50C0">
              <w:t>W</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B0985A" w14:textId="77777777" w:rsidR="002E50C0" w:rsidRPr="002E50C0" w:rsidRDefault="002E50C0" w:rsidP="002E50C0">
            <w:pPr>
              <w:pStyle w:val="CDITable-RowLeft"/>
            </w:pPr>
            <w:r w:rsidRPr="002E50C0">
              <w:t>P1.5,2</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AD18C36"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FCD374"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548C8D4"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4D55FE"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5E8B71C"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BC56BBD"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C2FED5"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B73506" w14:textId="77777777" w:rsidR="002E50C0" w:rsidRPr="002E50C0" w:rsidRDefault="002E50C0" w:rsidP="002E50C0">
            <w:pPr>
              <w:pStyle w:val="CDITable-RowCentre"/>
            </w:pPr>
            <w:r w:rsidRPr="002E50C0">
              <w:t>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D7A2CED" w14:textId="77777777" w:rsidR="002E50C0" w:rsidRPr="002E50C0" w:rsidRDefault="002E50C0" w:rsidP="002E50C0">
            <w:pPr>
              <w:pStyle w:val="CDITable-RowCentre"/>
            </w:pPr>
            <w:r w:rsidRPr="002E50C0">
              <w:t>1</w:t>
            </w:r>
          </w:p>
        </w:tc>
      </w:tr>
      <w:tr w:rsidR="002E50C0" w:rsidRPr="002E50C0" w14:paraId="18384863"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64C4EAD" w14:textId="77777777" w:rsidR="002E50C0" w:rsidRPr="002E50C0" w:rsidRDefault="002E50C0" w:rsidP="002E50C0">
            <w:pPr>
              <w:pStyle w:val="CDITable-RowLeft"/>
            </w:pPr>
            <w:r w:rsidRPr="002E50C0">
              <w:t>Y</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8730948" w14:textId="77777777" w:rsidR="002E50C0" w:rsidRPr="002E50C0" w:rsidRDefault="002E50C0" w:rsidP="002E50C0">
            <w:pPr>
              <w:pStyle w:val="CDITable-RowLeft"/>
            </w:pPr>
            <w:r w:rsidRPr="002E50C0">
              <w:t>P1.12-6,13-13</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037F61B"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DE959AE"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C2222F4"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4A3D410"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0B5975"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A73A9B5"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242542D"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5A430DE"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6F38B6B" w14:textId="77777777" w:rsidR="002E50C0" w:rsidRPr="002E50C0" w:rsidRDefault="002E50C0" w:rsidP="002E50C0">
            <w:pPr>
              <w:pStyle w:val="CDITable-RowCentre"/>
            </w:pPr>
            <w:r w:rsidRPr="002E50C0">
              <w:t>1</w:t>
            </w:r>
          </w:p>
        </w:tc>
      </w:tr>
      <w:tr w:rsidR="002E50C0" w:rsidRPr="002E50C0" w14:paraId="1C02E475"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23DC080" w14:textId="77777777" w:rsidR="002E50C0" w:rsidRPr="002E50C0" w:rsidRDefault="002E50C0" w:rsidP="002E50C0">
            <w:pPr>
              <w:pStyle w:val="CDITable-RowLeft"/>
            </w:pPr>
            <w:r w:rsidRPr="002E50C0">
              <w:t>Y</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0ED3BA" w14:textId="77777777" w:rsidR="002E50C0" w:rsidRPr="002E50C0" w:rsidRDefault="002E50C0" w:rsidP="002E50C0">
            <w:pPr>
              <w:pStyle w:val="CDITable-RowLeft"/>
            </w:pPr>
            <w:r w:rsidRPr="002E50C0">
              <w:t>P1.21,16</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1DD6F9F"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70FF38F"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9FFBC1F"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2E0BED1"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050B54"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3906039"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4C821DB"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CC79C69"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0C8376C" w14:textId="77777777" w:rsidR="002E50C0" w:rsidRPr="002E50C0" w:rsidRDefault="002E50C0" w:rsidP="002E50C0">
            <w:pPr>
              <w:pStyle w:val="CDITable-RowCentre"/>
            </w:pPr>
            <w:r w:rsidRPr="002E50C0">
              <w:t>1</w:t>
            </w:r>
          </w:p>
        </w:tc>
      </w:tr>
      <w:tr w:rsidR="002E50C0" w:rsidRPr="002E50C0" w14:paraId="5DD691E2"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6031527" w14:textId="77777777" w:rsidR="002E50C0" w:rsidRPr="002E50C0" w:rsidRDefault="002E50C0" w:rsidP="002E50C0">
            <w:pPr>
              <w:pStyle w:val="CDITable-RowLeft"/>
            </w:pPr>
            <w:r w:rsidRPr="002E50C0">
              <w:t>Y</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F4F446F" w14:textId="77777777" w:rsidR="002E50C0" w:rsidRPr="002E50C0" w:rsidRDefault="002E50C0" w:rsidP="002E50C0">
            <w:pPr>
              <w:pStyle w:val="CDITable-RowLeft"/>
            </w:pPr>
            <w:r w:rsidRPr="002E50C0">
              <w:t>P1.5-1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F012E98"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B652FA5"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3E1B026"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42F6829"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9BBDC3D"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6FCE701"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F36D8D7"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629BB3F"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A014591" w14:textId="77777777" w:rsidR="002E50C0" w:rsidRPr="002E50C0" w:rsidRDefault="002E50C0" w:rsidP="002E50C0">
            <w:pPr>
              <w:pStyle w:val="CDITable-RowCentre"/>
            </w:pPr>
            <w:r w:rsidRPr="002E50C0">
              <w:t>1</w:t>
            </w:r>
          </w:p>
        </w:tc>
      </w:tr>
      <w:tr w:rsidR="002E50C0" w:rsidRPr="002E50C0" w14:paraId="0B1940F8"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BA76C83" w14:textId="77777777" w:rsidR="002E50C0" w:rsidRPr="002E50C0" w:rsidRDefault="002E50C0" w:rsidP="002E50C0">
            <w:pPr>
              <w:pStyle w:val="CDITable-RowLeft"/>
            </w:pPr>
            <w:r w:rsidRPr="002E50C0">
              <w:t>Y</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0FA9629" w14:textId="77777777" w:rsidR="002E50C0" w:rsidRPr="002E50C0" w:rsidRDefault="002E50C0" w:rsidP="002E50C0">
            <w:pPr>
              <w:pStyle w:val="CDITable-RowLeft"/>
            </w:pPr>
            <w:r w:rsidRPr="002E50C0">
              <w:t>P1.5-1,10-1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85F820E"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30D20CA"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9AFA6B8"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29BC9AA" w14:textId="77777777" w:rsidR="002E50C0" w:rsidRPr="002E50C0" w:rsidRDefault="002E50C0" w:rsidP="002E50C0">
            <w:pPr>
              <w:pStyle w:val="CDITable-RowCentre"/>
            </w:pPr>
            <w:r w:rsidRPr="002E50C0">
              <w:t>4</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D948361"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5810D90"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F20150" w14:textId="77777777" w:rsidR="002E50C0" w:rsidRPr="002E50C0" w:rsidRDefault="002E50C0" w:rsidP="002E50C0">
            <w:pPr>
              <w:pStyle w:val="CDITable-RowCentre"/>
            </w:pPr>
            <w:r w:rsidRPr="002E50C0">
              <w:t>3</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9293625" w14:textId="77777777" w:rsidR="002E50C0" w:rsidRPr="002E50C0" w:rsidRDefault="002E50C0" w:rsidP="002E50C0">
            <w:pPr>
              <w:pStyle w:val="CDITable-RowCentre"/>
            </w:pPr>
            <w:r w:rsidRPr="002E50C0">
              <w:t>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D0F32B6" w14:textId="77777777" w:rsidR="002E50C0" w:rsidRPr="002E50C0" w:rsidRDefault="002E50C0" w:rsidP="002E50C0">
            <w:pPr>
              <w:pStyle w:val="CDITable-RowCentre"/>
            </w:pPr>
            <w:r w:rsidRPr="002E50C0">
              <w:t>9</w:t>
            </w:r>
          </w:p>
        </w:tc>
      </w:tr>
      <w:tr w:rsidR="002E50C0" w:rsidRPr="002E50C0" w14:paraId="4547792D"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DE1D31" w14:textId="77777777" w:rsidR="002E50C0" w:rsidRPr="002E50C0" w:rsidRDefault="002E50C0" w:rsidP="002E50C0">
            <w:pPr>
              <w:pStyle w:val="CDITable-RowLeft"/>
            </w:pPr>
            <w:r w:rsidRPr="002E50C0">
              <w:t>Y</w:t>
            </w:r>
          </w:p>
        </w:tc>
        <w:tc>
          <w:tcPr>
            <w:tcW w:w="141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E12DC5B" w14:textId="77777777" w:rsidR="002E50C0" w:rsidRPr="002E50C0" w:rsidRDefault="002E50C0" w:rsidP="002E50C0">
            <w:pPr>
              <w:pStyle w:val="CDITable-RowLeft"/>
            </w:pPr>
            <w:r w:rsidRPr="002E50C0">
              <w:t>P1.5-2,10-1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49C7D0E"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2764E6F"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FABFC0C"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F13EC9" w14:textId="77777777" w:rsidR="002E50C0" w:rsidRPr="002E50C0" w:rsidRDefault="002E50C0" w:rsidP="002E50C0">
            <w:pPr>
              <w:pStyle w:val="CDITable-RowCentre"/>
            </w:pPr>
            <w:r w:rsidRPr="002E50C0">
              <w:t>0</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9028A7A" w14:textId="77777777" w:rsidR="002E50C0" w:rsidRPr="002E50C0" w:rsidRDefault="002E50C0" w:rsidP="002E50C0">
            <w:pPr>
              <w:pStyle w:val="CDITable-RowCentre"/>
            </w:pPr>
            <w:r w:rsidRPr="002E50C0">
              <w:t>1</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1871B8D"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0738B0AA" w14:textId="77777777" w:rsidR="002E50C0" w:rsidRPr="002E50C0" w:rsidRDefault="002E50C0" w:rsidP="002E50C0">
            <w:pPr>
              <w:pStyle w:val="CDITable-RowCentre"/>
            </w:pPr>
            <w:r w:rsidRPr="002E50C0">
              <w:t>1</w:t>
            </w:r>
          </w:p>
        </w:tc>
        <w:tc>
          <w:tcPr>
            <w:tcW w:w="749"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4DE2554" w14:textId="77777777" w:rsidR="002E50C0" w:rsidRPr="002E50C0" w:rsidRDefault="002E50C0" w:rsidP="002E50C0">
            <w:pPr>
              <w:pStyle w:val="CDITable-RowCentre"/>
            </w:pPr>
            <w:r w:rsidRPr="002E50C0">
              <w:t>0</w:t>
            </w:r>
          </w:p>
        </w:tc>
        <w:tc>
          <w:tcPr>
            <w:tcW w:w="750"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94ACA80" w14:textId="77777777" w:rsidR="002E50C0" w:rsidRPr="002E50C0" w:rsidRDefault="002E50C0" w:rsidP="002E50C0">
            <w:pPr>
              <w:pStyle w:val="CDITable-RowCentre"/>
            </w:pPr>
            <w:r w:rsidRPr="002E50C0">
              <w:t>2</w:t>
            </w:r>
          </w:p>
        </w:tc>
      </w:tr>
      <w:tr w:rsidR="002E50C0" w:rsidRPr="002E50C0" w14:paraId="41894550" w14:textId="77777777" w:rsidTr="00E825BD">
        <w:trPr>
          <w:trHeight w:val="60"/>
        </w:trPr>
        <w:tc>
          <w:tcPr>
            <w:tcW w:w="1474" w:type="dxa"/>
            <w:tcBorders>
              <w:top w:val="single" w:sz="6" w:space="0" w:color="1E4496" w:themeColor="text2"/>
            </w:tcBorders>
            <w:tcMar>
              <w:top w:w="96" w:type="dxa"/>
              <w:left w:w="113" w:type="dxa"/>
              <w:bottom w:w="96" w:type="dxa"/>
              <w:right w:w="113" w:type="dxa"/>
            </w:tcMar>
            <w:vAlign w:val="center"/>
          </w:tcPr>
          <w:p w14:paraId="620083BE" w14:textId="77777777" w:rsidR="002E50C0" w:rsidRPr="002E50C0" w:rsidRDefault="002E50C0" w:rsidP="002E50C0">
            <w:pPr>
              <w:pStyle w:val="CDITable-RowLeft"/>
            </w:pPr>
            <w:r w:rsidRPr="002E50C0">
              <w:t>Y</w:t>
            </w:r>
          </w:p>
        </w:tc>
        <w:tc>
          <w:tcPr>
            <w:tcW w:w="1417" w:type="dxa"/>
            <w:tcBorders>
              <w:top w:val="single" w:sz="6" w:space="0" w:color="1E4496" w:themeColor="text2"/>
            </w:tcBorders>
            <w:tcMar>
              <w:top w:w="96" w:type="dxa"/>
              <w:left w:w="113" w:type="dxa"/>
              <w:bottom w:w="96" w:type="dxa"/>
              <w:right w:w="113" w:type="dxa"/>
            </w:tcMar>
            <w:vAlign w:val="center"/>
          </w:tcPr>
          <w:p w14:paraId="48CB0C67" w14:textId="77777777" w:rsidR="002E50C0" w:rsidRPr="002E50C0" w:rsidRDefault="002E50C0" w:rsidP="002E50C0">
            <w:pPr>
              <w:pStyle w:val="CDITable-RowLeft"/>
            </w:pPr>
            <w:r w:rsidRPr="002E50C0">
              <w:t>P1.7-2,30</w:t>
            </w:r>
          </w:p>
        </w:tc>
        <w:tc>
          <w:tcPr>
            <w:tcW w:w="750" w:type="dxa"/>
            <w:tcBorders>
              <w:top w:val="single" w:sz="6" w:space="0" w:color="1E4496" w:themeColor="text2"/>
            </w:tcBorders>
            <w:tcMar>
              <w:top w:w="96" w:type="dxa"/>
              <w:left w:w="113" w:type="dxa"/>
              <w:bottom w:w="96" w:type="dxa"/>
              <w:right w:w="113" w:type="dxa"/>
            </w:tcMar>
            <w:vAlign w:val="center"/>
          </w:tcPr>
          <w:p w14:paraId="30A7B957" w14:textId="77777777" w:rsidR="002E50C0" w:rsidRPr="002E50C0" w:rsidRDefault="002E50C0" w:rsidP="002E50C0">
            <w:pPr>
              <w:pStyle w:val="CDITable-RowCentre"/>
            </w:pPr>
            <w:r w:rsidRPr="002E50C0">
              <w:t>0</w:t>
            </w:r>
          </w:p>
        </w:tc>
        <w:tc>
          <w:tcPr>
            <w:tcW w:w="750" w:type="dxa"/>
            <w:tcBorders>
              <w:top w:val="single" w:sz="6" w:space="0" w:color="1E4496" w:themeColor="text2"/>
            </w:tcBorders>
            <w:tcMar>
              <w:top w:w="96" w:type="dxa"/>
              <w:left w:w="113" w:type="dxa"/>
              <w:bottom w:w="96" w:type="dxa"/>
              <w:right w:w="113" w:type="dxa"/>
            </w:tcMar>
            <w:vAlign w:val="center"/>
          </w:tcPr>
          <w:p w14:paraId="2D7E03FE" w14:textId="77777777" w:rsidR="002E50C0" w:rsidRPr="002E50C0" w:rsidRDefault="002E50C0" w:rsidP="002E50C0">
            <w:pPr>
              <w:pStyle w:val="CDITable-RowCentre"/>
            </w:pPr>
            <w:r w:rsidRPr="002E50C0">
              <w:t>1</w:t>
            </w:r>
          </w:p>
        </w:tc>
        <w:tc>
          <w:tcPr>
            <w:tcW w:w="749" w:type="dxa"/>
            <w:tcBorders>
              <w:top w:val="single" w:sz="6" w:space="0" w:color="1E4496" w:themeColor="text2"/>
            </w:tcBorders>
            <w:tcMar>
              <w:top w:w="96" w:type="dxa"/>
              <w:left w:w="113" w:type="dxa"/>
              <w:bottom w:w="96" w:type="dxa"/>
              <w:right w:w="113" w:type="dxa"/>
            </w:tcMar>
            <w:vAlign w:val="center"/>
          </w:tcPr>
          <w:p w14:paraId="566BE264" w14:textId="77777777" w:rsidR="002E50C0" w:rsidRPr="002E50C0" w:rsidRDefault="002E50C0" w:rsidP="002E50C0">
            <w:pPr>
              <w:pStyle w:val="CDITable-RowCentre"/>
            </w:pPr>
            <w:r w:rsidRPr="002E50C0">
              <w:t>0</w:t>
            </w:r>
          </w:p>
        </w:tc>
        <w:tc>
          <w:tcPr>
            <w:tcW w:w="750" w:type="dxa"/>
            <w:tcBorders>
              <w:top w:val="single" w:sz="6" w:space="0" w:color="1E4496" w:themeColor="text2"/>
            </w:tcBorders>
            <w:tcMar>
              <w:top w:w="96" w:type="dxa"/>
              <w:left w:w="113" w:type="dxa"/>
              <w:bottom w:w="96" w:type="dxa"/>
              <w:right w:w="113" w:type="dxa"/>
            </w:tcMar>
            <w:vAlign w:val="center"/>
          </w:tcPr>
          <w:p w14:paraId="03D8FC3C" w14:textId="77777777" w:rsidR="002E50C0" w:rsidRPr="002E50C0" w:rsidRDefault="002E50C0" w:rsidP="002E50C0">
            <w:pPr>
              <w:pStyle w:val="CDITable-RowCentre"/>
            </w:pPr>
            <w:r w:rsidRPr="002E50C0">
              <w:t>0</w:t>
            </w:r>
          </w:p>
        </w:tc>
        <w:tc>
          <w:tcPr>
            <w:tcW w:w="749" w:type="dxa"/>
            <w:tcBorders>
              <w:top w:val="single" w:sz="6" w:space="0" w:color="1E4496" w:themeColor="text2"/>
            </w:tcBorders>
            <w:tcMar>
              <w:top w:w="96" w:type="dxa"/>
              <w:left w:w="113" w:type="dxa"/>
              <w:bottom w:w="96" w:type="dxa"/>
              <w:right w:w="113" w:type="dxa"/>
            </w:tcMar>
            <w:vAlign w:val="center"/>
          </w:tcPr>
          <w:p w14:paraId="36513E79" w14:textId="77777777" w:rsidR="002E50C0" w:rsidRPr="002E50C0" w:rsidRDefault="002E50C0" w:rsidP="002E50C0">
            <w:pPr>
              <w:pStyle w:val="CDITable-RowCentre"/>
            </w:pPr>
            <w:r w:rsidRPr="002E50C0">
              <w:t>0</w:t>
            </w:r>
          </w:p>
        </w:tc>
        <w:tc>
          <w:tcPr>
            <w:tcW w:w="750" w:type="dxa"/>
            <w:tcBorders>
              <w:top w:val="single" w:sz="6" w:space="0" w:color="1E4496" w:themeColor="text2"/>
            </w:tcBorders>
            <w:tcMar>
              <w:top w:w="96" w:type="dxa"/>
              <w:left w:w="113" w:type="dxa"/>
              <w:bottom w:w="96" w:type="dxa"/>
              <w:right w:w="113" w:type="dxa"/>
            </w:tcMar>
            <w:vAlign w:val="center"/>
          </w:tcPr>
          <w:p w14:paraId="65D67608" w14:textId="77777777" w:rsidR="002E50C0" w:rsidRPr="002E50C0" w:rsidRDefault="002E50C0" w:rsidP="002E50C0">
            <w:pPr>
              <w:pStyle w:val="CDITable-RowCentre"/>
            </w:pPr>
            <w:r w:rsidRPr="002E50C0">
              <w:t>0</w:t>
            </w:r>
          </w:p>
        </w:tc>
        <w:tc>
          <w:tcPr>
            <w:tcW w:w="750" w:type="dxa"/>
            <w:tcBorders>
              <w:top w:val="single" w:sz="6" w:space="0" w:color="1E4496" w:themeColor="text2"/>
            </w:tcBorders>
            <w:tcMar>
              <w:top w:w="96" w:type="dxa"/>
              <w:left w:w="113" w:type="dxa"/>
              <w:bottom w:w="96" w:type="dxa"/>
              <w:right w:w="113" w:type="dxa"/>
            </w:tcMar>
            <w:vAlign w:val="center"/>
          </w:tcPr>
          <w:p w14:paraId="6F7AF515" w14:textId="77777777" w:rsidR="002E50C0" w:rsidRPr="002E50C0" w:rsidRDefault="002E50C0" w:rsidP="002E50C0">
            <w:pPr>
              <w:pStyle w:val="CDITable-RowCentre"/>
            </w:pPr>
            <w:r w:rsidRPr="002E50C0">
              <w:t>0</w:t>
            </w:r>
          </w:p>
        </w:tc>
        <w:tc>
          <w:tcPr>
            <w:tcW w:w="749" w:type="dxa"/>
            <w:tcBorders>
              <w:top w:val="single" w:sz="6" w:space="0" w:color="1E4496" w:themeColor="text2"/>
            </w:tcBorders>
            <w:tcMar>
              <w:top w:w="96" w:type="dxa"/>
              <w:left w:w="113" w:type="dxa"/>
              <w:bottom w:w="96" w:type="dxa"/>
              <w:right w:w="113" w:type="dxa"/>
            </w:tcMar>
            <w:vAlign w:val="center"/>
          </w:tcPr>
          <w:p w14:paraId="5B192136" w14:textId="77777777" w:rsidR="002E50C0" w:rsidRPr="002E50C0" w:rsidRDefault="002E50C0" w:rsidP="002E50C0">
            <w:pPr>
              <w:pStyle w:val="CDITable-RowCentre"/>
            </w:pPr>
            <w:r w:rsidRPr="002E50C0">
              <w:t>0</w:t>
            </w:r>
          </w:p>
        </w:tc>
        <w:tc>
          <w:tcPr>
            <w:tcW w:w="750" w:type="dxa"/>
            <w:tcBorders>
              <w:top w:val="single" w:sz="6" w:space="0" w:color="1E4496" w:themeColor="text2"/>
            </w:tcBorders>
            <w:tcMar>
              <w:top w:w="96" w:type="dxa"/>
              <w:left w:w="113" w:type="dxa"/>
              <w:bottom w:w="96" w:type="dxa"/>
              <w:right w:w="113" w:type="dxa"/>
            </w:tcMar>
            <w:vAlign w:val="center"/>
          </w:tcPr>
          <w:p w14:paraId="6E1BF4BF" w14:textId="77777777" w:rsidR="002E50C0" w:rsidRPr="002E50C0" w:rsidRDefault="002E50C0" w:rsidP="002E50C0">
            <w:pPr>
              <w:pStyle w:val="CDITable-RowCentre"/>
            </w:pPr>
            <w:r w:rsidRPr="002E50C0">
              <w:t>1</w:t>
            </w:r>
          </w:p>
        </w:tc>
      </w:tr>
      <w:tr w:rsidR="002E50C0" w:rsidRPr="002E50C0" w14:paraId="529CF7A9" w14:textId="77777777" w:rsidTr="00E825BD">
        <w:trPr>
          <w:trHeight w:val="60"/>
        </w:trPr>
        <w:tc>
          <w:tcPr>
            <w:tcW w:w="1474"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4A34E6B4" w14:textId="77777777" w:rsidR="002E50C0" w:rsidRPr="002E50C0" w:rsidRDefault="002E50C0" w:rsidP="002E50C0">
            <w:pPr>
              <w:pStyle w:val="CDITable-TotalRowLeft"/>
            </w:pPr>
            <w:r w:rsidRPr="002E50C0">
              <w:t>Totals with typing results</w:t>
            </w:r>
          </w:p>
        </w:tc>
        <w:tc>
          <w:tcPr>
            <w:tcW w:w="1417"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6A835CA8" w14:textId="77777777" w:rsidR="002E50C0" w:rsidRPr="002E50C0" w:rsidRDefault="002E50C0" w:rsidP="002E50C0">
            <w:pPr>
              <w:pStyle w:val="CDITable-TotalRowLeft"/>
            </w:pPr>
          </w:p>
        </w:tc>
        <w:tc>
          <w:tcPr>
            <w:tcW w:w="750"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4C868DFE" w14:textId="77777777" w:rsidR="002E50C0" w:rsidRPr="002E50C0" w:rsidRDefault="002E50C0" w:rsidP="002E50C0">
            <w:pPr>
              <w:pStyle w:val="CDITable-TotalRowCentre"/>
            </w:pPr>
            <w:r w:rsidRPr="002E50C0">
              <w:t>0</w:t>
            </w:r>
          </w:p>
        </w:tc>
        <w:tc>
          <w:tcPr>
            <w:tcW w:w="750"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610237DE" w14:textId="77777777" w:rsidR="002E50C0" w:rsidRPr="002E50C0" w:rsidRDefault="002E50C0" w:rsidP="002E50C0">
            <w:pPr>
              <w:pStyle w:val="CDITable-TotalRowCentre"/>
            </w:pPr>
            <w:r w:rsidRPr="002E50C0">
              <w:t>18</w:t>
            </w:r>
          </w:p>
        </w:tc>
        <w:tc>
          <w:tcPr>
            <w:tcW w:w="749"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2D261D63" w14:textId="77777777" w:rsidR="002E50C0" w:rsidRPr="002E50C0" w:rsidRDefault="002E50C0" w:rsidP="002E50C0">
            <w:pPr>
              <w:pStyle w:val="CDITable-TotalRowCentre"/>
            </w:pPr>
            <w:r w:rsidRPr="002E50C0">
              <w:t>2</w:t>
            </w:r>
          </w:p>
        </w:tc>
        <w:tc>
          <w:tcPr>
            <w:tcW w:w="750"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2A421B5C" w14:textId="77777777" w:rsidR="002E50C0" w:rsidRPr="002E50C0" w:rsidRDefault="002E50C0" w:rsidP="002E50C0">
            <w:pPr>
              <w:pStyle w:val="CDITable-TotalRowCentre"/>
            </w:pPr>
            <w:r w:rsidRPr="002E50C0">
              <w:t>36</w:t>
            </w:r>
          </w:p>
        </w:tc>
        <w:tc>
          <w:tcPr>
            <w:tcW w:w="749"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45205B55" w14:textId="77777777" w:rsidR="002E50C0" w:rsidRPr="002E50C0" w:rsidRDefault="002E50C0" w:rsidP="002E50C0">
            <w:pPr>
              <w:pStyle w:val="CDITable-TotalRowCentre"/>
            </w:pPr>
            <w:r w:rsidRPr="002E50C0">
              <w:t>15</w:t>
            </w:r>
          </w:p>
        </w:tc>
        <w:tc>
          <w:tcPr>
            <w:tcW w:w="750"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055CAD97" w14:textId="77777777" w:rsidR="002E50C0" w:rsidRPr="002E50C0" w:rsidRDefault="002E50C0" w:rsidP="002E50C0">
            <w:pPr>
              <w:pStyle w:val="CDITable-TotalRowCentre"/>
            </w:pPr>
            <w:r w:rsidRPr="002E50C0">
              <w:t>1</w:t>
            </w:r>
          </w:p>
        </w:tc>
        <w:tc>
          <w:tcPr>
            <w:tcW w:w="750"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4F7C27F0" w14:textId="77777777" w:rsidR="002E50C0" w:rsidRPr="002E50C0" w:rsidRDefault="002E50C0" w:rsidP="002E50C0">
            <w:pPr>
              <w:pStyle w:val="CDITable-TotalRowCentre"/>
            </w:pPr>
            <w:r w:rsidRPr="002E50C0">
              <w:t>12</w:t>
            </w:r>
          </w:p>
        </w:tc>
        <w:tc>
          <w:tcPr>
            <w:tcW w:w="749"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6914F0DC" w14:textId="77777777" w:rsidR="002E50C0" w:rsidRPr="002E50C0" w:rsidRDefault="002E50C0" w:rsidP="002E50C0">
            <w:pPr>
              <w:pStyle w:val="CDITable-TotalRowCentre"/>
            </w:pPr>
            <w:r w:rsidRPr="002E50C0">
              <w:t>8</w:t>
            </w:r>
          </w:p>
        </w:tc>
        <w:tc>
          <w:tcPr>
            <w:tcW w:w="750" w:type="dxa"/>
            <w:tcBorders>
              <w:bottom w:val="single" w:sz="6" w:space="0" w:color="1E4496" w:themeColor="text2"/>
            </w:tcBorders>
            <w:shd w:val="clear" w:color="auto" w:fill="53C9F1" w:themeFill="background2"/>
            <w:tcMar>
              <w:top w:w="96" w:type="dxa"/>
              <w:left w:w="113" w:type="dxa"/>
              <w:bottom w:w="96" w:type="dxa"/>
              <w:right w:w="113" w:type="dxa"/>
            </w:tcMar>
            <w:vAlign w:val="center"/>
          </w:tcPr>
          <w:p w14:paraId="63691D7C" w14:textId="77777777" w:rsidR="002E50C0" w:rsidRPr="002E50C0" w:rsidRDefault="002E50C0" w:rsidP="002E50C0">
            <w:pPr>
              <w:pStyle w:val="CDITable-TotalRowCentre"/>
            </w:pPr>
            <w:r w:rsidRPr="002E50C0">
              <w:t>92</w:t>
            </w:r>
          </w:p>
        </w:tc>
      </w:tr>
    </w:tbl>
    <w:p w14:paraId="501D33DC" w14:textId="77777777" w:rsidR="002E50C0" w:rsidRPr="002E50C0" w:rsidRDefault="002E50C0" w:rsidP="002E50C0">
      <w:pPr>
        <w:pStyle w:val="CDITable-FirstFootnote"/>
        <w:rPr>
          <w:lang w:val="en-GB"/>
        </w:rPr>
      </w:pPr>
      <w:proofErr w:type="gramStart"/>
      <w:r w:rsidRPr="002E50C0">
        <w:rPr>
          <w:lang w:val="en-GB"/>
        </w:rPr>
        <w:t>a</w:t>
      </w:r>
      <w:proofErr w:type="gramEnd"/>
      <w:r w:rsidRPr="002E50C0">
        <w:rPr>
          <w:lang w:val="en-GB"/>
        </w:rPr>
        <w:tab/>
        <w:t>ACT: Australian Capital Territory; NSW: New South Wales; NT: Northern Territory; Qld: Queensland; SA: South Australia; Tas.: Tasmania; Vic.: Victoria; WA: Western Australia.</w:t>
      </w:r>
    </w:p>
    <w:p w14:paraId="17C0D922" w14:textId="09158E28" w:rsidR="00E825BD" w:rsidRPr="00E825BD" w:rsidRDefault="00E825BD" w:rsidP="00E825BD">
      <w:pPr>
        <w:pStyle w:val="Heading2"/>
        <w:rPr>
          <w:lang w:val="en-GB"/>
        </w:rPr>
      </w:pPr>
      <w:bookmarkStart w:id="40" w:name="_Toc213312977"/>
      <w:r w:rsidRPr="00E825BD">
        <w:rPr>
          <w:lang w:val="en-GB"/>
        </w:rPr>
        <w:lastRenderedPageBreak/>
        <w:t>Antimicrobial susceptibility testing</w:t>
      </w:r>
      <w:bookmarkEnd w:id="40"/>
    </w:p>
    <w:p w14:paraId="5C56A985" w14:textId="348AABF6" w:rsidR="00E825BD" w:rsidRPr="00E825BD" w:rsidRDefault="00E825BD" w:rsidP="00E825BD">
      <w:pPr>
        <w:rPr>
          <w:lang w:val="en-GB"/>
        </w:rPr>
      </w:pPr>
      <w:r w:rsidRPr="00E825BD">
        <w:rPr>
          <w:lang w:val="en-GB"/>
        </w:rPr>
        <w:t xml:space="preserve">Sixty-three percent of laboratory-confirmed IMD (86/136) had </w:t>
      </w:r>
      <w:r w:rsidRPr="00E825BD">
        <w:rPr>
          <w:i/>
          <w:iCs/>
          <w:lang w:val="en-GB"/>
        </w:rPr>
        <w:t>N. meningitidis</w:t>
      </w:r>
      <w:r w:rsidRPr="00E825BD">
        <w:rPr>
          <w:lang w:val="en-GB"/>
        </w:rPr>
        <w:t xml:space="preserve"> cultures, permitting AST by NNN laboratories. Ceftriaxone AST was performed on all 86 isolates, with all testing susceptible. The distribution of penicillin MIC values is shown in Table 6. Regarding penicillin, 33% of IMD isolates (28/86) tested susceptible; 60% (52/86) demonstrated intermediate susceptibility; and 7% (6/86) were resistant (Figure 5, Table 6). The proportion of penicillin-resistant isolates in 2024 was lower than that reported in 2023 (9%, 8/90). Of the isolates that tested penicillin-resistant, there were four MenB isolates; one MenC isolate; and one MenW isolate. In recent years, MenW has demonstrated higher penicillin MIC values and higher proportions of resistance. In 2024, there was one resistant MenB isolated from Queensland with a penicillin MIC value of 1.0</w:t>
      </w:r>
      <w:r>
        <w:rPr>
          <w:lang w:val="en-GB"/>
        </w:rPr>
        <w:t> </w:t>
      </w:r>
      <w:r w:rsidRPr="00E825BD">
        <w:rPr>
          <w:lang w:val="en-GB"/>
        </w:rPr>
        <w:t xml:space="preserve">mg/L, identified as </w:t>
      </w:r>
      <w:r w:rsidRPr="00E825BD">
        <w:rPr>
          <w:i/>
          <w:iCs/>
          <w:lang w:val="en-GB"/>
        </w:rPr>
        <w:t>porA</w:t>
      </w:r>
      <w:r w:rsidRPr="00E825BD">
        <w:rPr>
          <w:lang w:val="en-GB"/>
        </w:rPr>
        <w:t xml:space="preserve"> type P1.22,14 and belonging to clonal complex 32. All isolates tested in 2024 were susceptible to ciprofloxacin and rifampicin.</w:t>
      </w:r>
    </w:p>
    <w:p w14:paraId="03B23331" w14:textId="77777777" w:rsidR="00E825BD" w:rsidRPr="00E825BD" w:rsidRDefault="00E825BD" w:rsidP="00E825BD">
      <w:pPr>
        <w:pStyle w:val="CDITable-Title"/>
        <w:rPr>
          <w:lang w:val="en-GB"/>
        </w:rPr>
      </w:pPr>
      <w:bookmarkStart w:id="41" w:name="_Toc213314626"/>
      <w:r w:rsidRPr="00E825BD">
        <w:rPr>
          <w:lang w:val="en-GB"/>
        </w:rPr>
        <w:t>Table 6: Penicillin MIC distribution of laboratory-confirmed invasive meningococcal disease isolates, Australia, 2024</w:t>
      </w:r>
      <w:bookmarkEnd w:id="41"/>
    </w:p>
    <w:tbl>
      <w:tblPr>
        <w:tblW w:w="0" w:type="auto"/>
        <w:tblLayout w:type="fixed"/>
        <w:tblCellMar>
          <w:left w:w="0" w:type="dxa"/>
          <w:right w:w="0" w:type="dxa"/>
        </w:tblCellMar>
        <w:tblLook w:val="0000" w:firstRow="0" w:lastRow="0" w:firstColumn="0" w:lastColumn="0" w:noHBand="0" w:noVBand="0"/>
        <w:tblCaption w:val="Table 6: Penicillin MIC distribution of laboratory-confirmed invasive meningococcal disease isolates, Australia, 2024"/>
        <w:tblDescription w:val="Table 6 shows the number and percentage of penicillin minimum inhibitory concentration (MIC) determinations of invasive meningococcal disease (IMD) isolates tested in Australia in 2024."/>
      </w:tblPr>
      <w:tblGrid>
        <w:gridCol w:w="1474"/>
        <w:gridCol w:w="907"/>
        <w:gridCol w:w="907"/>
        <w:gridCol w:w="907"/>
        <w:gridCol w:w="907"/>
        <w:gridCol w:w="907"/>
        <w:gridCol w:w="908"/>
        <w:gridCol w:w="907"/>
        <w:gridCol w:w="907"/>
        <w:gridCol w:w="907"/>
      </w:tblGrid>
      <w:tr w:rsidR="00E825BD" w:rsidRPr="00E825BD" w14:paraId="0C7769A3" w14:textId="77777777" w:rsidTr="00E825BD">
        <w:trPr>
          <w:trHeight w:val="60"/>
          <w:tblHeader/>
        </w:trPr>
        <w:tc>
          <w:tcPr>
            <w:tcW w:w="1474" w:type="dxa"/>
            <w:vMerge w:val="restart"/>
            <w:shd w:val="clear" w:color="auto" w:fill="1E4496" w:themeFill="text2"/>
            <w:tcMar>
              <w:top w:w="96" w:type="dxa"/>
              <w:left w:w="113" w:type="dxa"/>
              <w:bottom w:w="96" w:type="dxa"/>
              <w:right w:w="113" w:type="dxa"/>
            </w:tcMar>
            <w:vAlign w:val="bottom"/>
          </w:tcPr>
          <w:p w14:paraId="5630A6D4" w14:textId="77777777" w:rsidR="00E825BD" w:rsidRPr="00E825BD" w:rsidRDefault="00E825BD" w:rsidP="00E825BD">
            <w:pPr>
              <w:pStyle w:val="CDITable-HeaderRowLeft"/>
            </w:pPr>
            <w:r w:rsidRPr="00E825BD">
              <w:t>MIC mg/L</w:t>
            </w:r>
          </w:p>
        </w:tc>
        <w:tc>
          <w:tcPr>
            <w:tcW w:w="8164" w:type="dxa"/>
            <w:gridSpan w:val="9"/>
            <w:tcBorders>
              <w:bottom w:val="single" w:sz="6" w:space="0" w:color="FFFFFF" w:themeColor="background1"/>
            </w:tcBorders>
            <w:shd w:val="clear" w:color="auto" w:fill="1E4496" w:themeFill="text2"/>
            <w:tcMar>
              <w:top w:w="96" w:type="dxa"/>
              <w:left w:w="113" w:type="dxa"/>
              <w:bottom w:w="96" w:type="dxa"/>
              <w:right w:w="113" w:type="dxa"/>
            </w:tcMar>
            <w:vAlign w:val="bottom"/>
          </w:tcPr>
          <w:p w14:paraId="237CF95F" w14:textId="77777777" w:rsidR="00E825BD" w:rsidRPr="00E825BD" w:rsidRDefault="00E825BD" w:rsidP="00E825BD">
            <w:pPr>
              <w:pStyle w:val="CDITable-HeaderRowCentre"/>
            </w:pPr>
            <w:r w:rsidRPr="00E825BD">
              <w:t>Penicillin MIC distribution</w:t>
            </w:r>
          </w:p>
        </w:tc>
      </w:tr>
      <w:tr w:rsidR="00E825BD" w:rsidRPr="00E825BD" w14:paraId="3D1F6BF5" w14:textId="77777777" w:rsidTr="00E825BD">
        <w:trPr>
          <w:trHeight w:val="60"/>
          <w:tblHeader/>
        </w:trPr>
        <w:tc>
          <w:tcPr>
            <w:tcW w:w="1474" w:type="dxa"/>
            <w:vMerge/>
            <w:shd w:val="clear" w:color="auto" w:fill="1E4496" w:themeFill="text2"/>
            <w:tcMar>
              <w:top w:w="96" w:type="dxa"/>
              <w:bottom w:w="96" w:type="dxa"/>
            </w:tcMar>
          </w:tcPr>
          <w:p w14:paraId="5C1C4790" w14:textId="77777777" w:rsidR="00E825BD" w:rsidRPr="00E825BD" w:rsidRDefault="00E825BD" w:rsidP="00E825BD"/>
        </w:tc>
        <w:tc>
          <w:tcPr>
            <w:tcW w:w="907"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43F245BD" w14:textId="77777777" w:rsidR="00E825BD" w:rsidRPr="00E825BD" w:rsidRDefault="00E825BD" w:rsidP="00E825BD">
            <w:pPr>
              <w:pStyle w:val="CDITable-HeaderRowCentre"/>
            </w:pPr>
            <w:r w:rsidRPr="00E825BD">
              <w:t>≤ 0.032</w:t>
            </w:r>
          </w:p>
        </w:tc>
        <w:tc>
          <w:tcPr>
            <w:tcW w:w="907"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406A491D" w14:textId="77777777" w:rsidR="00E825BD" w:rsidRPr="00E825BD" w:rsidRDefault="00E825BD" w:rsidP="00E825BD">
            <w:pPr>
              <w:pStyle w:val="CDITable-HeaderRowCentre"/>
            </w:pPr>
            <w:r w:rsidRPr="00E825BD">
              <w:t>0.064</w:t>
            </w:r>
          </w:p>
        </w:tc>
        <w:tc>
          <w:tcPr>
            <w:tcW w:w="907"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4883B520" w14:textId="77777777" w:rsidR="00E825BD" w:rsidRPr="00E825BD" w:rsidRDefault="00E825BD" w:rsidP="00E825BD">
            <w:pPr>
              <w:pStyle w:val="CDITable-HeaderRowCentre"/>
            </w:pPr>
            <w:r w:rsidRPr="00E825BD">
              <w:t>0.125</w:t>
            </w:r>
          </w:p>
        </w:tc>
        <w:tc>
          <w:tcPr>
            <w:tcW w:w="907"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7FC8736C" w14:textId="77777777" w:rsidR="00E825BD" w:rsidRPr="00E825BD" w:rsidRDefault="00E825BD" w:rsidP="00E825BD">
            <w:pPr>
              <w:pStyle w:val="CDITable-HeaderRowCentre"/>
            </w:pPr>
            <w:r w:rsidRPr="00E825BD">
              <w:t>0.25</w:t>
            </w:r>
          </w:p>
        </w:tc>
        <w:tc>
          <w:tcPr>
            <w:tcW w:w="907"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4800FE87" w14:textId="77777777" w:rsidR="00E825BD" w:rsidRPr="00E825BD" w:rsidRDefault="00E825BD" w:rsidP="00E825BD">
            <w:pPr>
              <w:pStyle w:val="CDITable-HeaderRowCentre"/>
            </w:pPr>
            <w:r w:rsidRPr="00E825BD">
              <w:t>0.5</w:t>
            </w:r>
          </w:p>
        </w:tc>
        <w:tc>
          <w:tcPr>
            <w:tcW w:w="908"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69316A77" w14:textId="77777777" w:rsidR="00E825BD" w:rsidRPr="00E825BD" w:rsidRDefault="00E825BD" w:rsidP="00E825BD">
            <w:pPr>
              <w:pStyle w:val="CDITable-HeaderRowCentre"/>
            </w:pPr>
            <w:r w:rsidRPr="00E825BD">
              <w:t>1</w:t>
            </w:r>
          </w:p>
        </w:tc>
        <w:tc>
          <w:tcPr>
            <w:tcW w:w="907"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27CE46E0" w14:textId="77777777" w:rsidR="00E825BD" w:rsidRPr="00E825BD" w:rsidRDefault="00E825BD" w:rsidP="00E825BD">
            <w:pPr>
              <w:pStyle w:val="CDITable-HeaderRowCentre"/>
            </w:pPr>
            <w:r w:rsidRPr="00E825BD">
              <w:t>2</w:t>
            </w:r>
          </w:p>
        </w:tc>
        <w:tc>
          <w:tcPr>
            <w:tcW w:w="907"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2F81CB94" w14:textId="77777777" w:rsidR="00E825BD" w:rsidRPr="00E825BD" w:rsidRDefault="00E825BD" w:rsidP="00E825BD">
            <w:pPr>
              <w:pStyle w:val="CDITable-HeaderRowCentre"/>
            </w:pPr>
            <w:r w:rsidRPr="00E825BD">
              <w:t>≥ 4</w:t>
            </w:r>
          </w:p>
        </w:tc>
        <w:tc>
          <w:tcPr>
            <w:tcW w:w="907" w:type="dxa"/>
            <w:tcBorders>
              <w:top w:val="single" w:sz="6" w:space="0" w:color="FFFFFF" w:themeColor="background1"/>
            </w:tcBorders>
            <w:shd w:val="clear" w:color="auto" w:fill="1E4496" w:themeFill="text2"/>
            <w:tcMar>
              <w:top w:w="96" w:type="dxa"/>
              <w:left w:w="113" w:type="dxa"/>
              <w:bottom w:w="96" w:type="dxa"/>
              <w:right w:w="113" w:type="dxa"/>
            </w:tcMar>
            <w:vAlign w:val="bottom"/>
          </w:tcPr>
          <w:p w14:paraId="216BBC31" w14:textId="77777777" w:rsidR="00E825BD" w:rsidRPr="00E825BD" w:rsidRDefault="00E825BD" w:rsidP="00E825BD">
            <w:pPr>
              <w:pStyle w:val="CDITable-HeaderRowCentre"/>
            </w:pPr>
            <w:r w:rsidRPr="00E825BD">
              <w:t>Total</w:t>
            </w:r>
          </w:p>
        </w:tc>
      </w:tr>
      <w:tr w:rsidR="00E825BD" w:rsidRPr="00E825BD" w14:paraId="1A5083C7" w14:textId="77777777" w:rsidTr="00E825BD">
        <w:trPr>
          <w:trHeight w:val="60"/>
        </w:trPr>
        <w:tc>
          <w:tcPr>
            <w:tcW w:w="1474" w:type="dxa"/>
            <w:tcBorders>
              <w:bottom w:val="single" w:sz="6" w:space="0" w:color="1E4496" w:themeColor="text2"/>
            </w:tcBorders>
            <w:tcMar>
              <w:top w:w="96" w:type="dxa"/>
              <w:left w:w="113" w:type="dxa"/>
              <w:bottom w:w="96" w:type="dxa"/>
              <w:right w:w="113" w:type="dxa"/>
            </w:tcMar>
            <w:vAlign w:val="center"/>
          </w:tcPr>
          <w:p w14:paraId="797D6CC5" w14:textId="77777777" w:rsidR="00E825BD" w:rsidRPr="00E825BD" w:rsidRDefault="00E825BD" w:rsidP="00E825BD">
            <w:pPr>
              <w:pStyle w:val="CDITable-RowLeft"/>
            </w:pPr>
            <w:r w:rsidRPr="00E825BD">
              <w:t>Number of isolates</w:t>
            </w:r>
          </w:p>
        </w:tc>
        <w:tc>
          <w:tcPr>
            <w:tcW w:w="907" w:type="dxa"/>
            <w:tcBorders>
              <w:bottom w:val="single" w:sz="6" w:space="0" w:color="1E4496" w:themeColor="text2"/>
            </w:tcBorders>
            <w:tcMar>
              <w:top w:w="96" w:type="dxa"/>
              <w:left w:w="113" w:type="dxa"/>
              <w:bottom w:w="96" w:type="dxa"/>
              <w:right w:w="113" w:type="dxa"/>
            </w:tcMar>
            <w:vAlign w:val="center"/>
          </w:tcPr>
          <w:p w14:paraId="5BC2A871" w14:textId="77777777" w:rsidR="00E825BD" w:rsidRPr="00E825BD" w:rsidRDefault="00E825BD" w:rsidP="00E825BD">
            <w:pPr>
              <w:pStyle w:val="CDITable-RowCentre"/>
            </w:pPr>
            <w:r w:rsidRPr="00E825BD">
              <w:t>12</w:t>
            </w:r>
          </w:p>
        </w:tc>
        <w:tc>
          <w:tcPr>
            <w:tcW w:w="907" w:type="dxa"/>
            <w:tcBorders>
              <w:bottom w:val="single" w:sz="6" w:space="0" w:color="1E4496" w:themeColor="text2"/>
            </w:tcBorders>
            <w:tcMar>
              <w:top w:w="96" w:type="dxa"/>
              <w:left w:w="113" w:type="dxa"/>
              <w:bottom w:w="96" w:type="dxa"/>
              <w:right w:w="113" w:type="dxa"/>
            </w:tcMar>
            <w:vAlign w:val="center"/>
          </w:tcPr>
          <w:p w14:paraId="55C4E006" w14:textId="77777777" w:rsidR="00E825BD" w:rsidRPr="00E825BD" w:rsidRDefault="00E825BD" w:rsidP="00E825BD">
            <w:pPr>
              <w:pStyle w:val="CDITable-RowCentre"/>
            </w:pPr>
            <w:r w:rsidRPr="00E825BD">
              <w:t>16</w:t>
            </w:r>
          </w:p>
        </w:tc>
        <w:tc>
          <w:tcPr>
            <w:tcW w:w="907" w:type="dxa"/>
            <w:tcBorders>
              <w:bottom w:val="single" w:sz="6" w:space="0" w:color="1E4496" w:themeColor="text2"/>
            </w:tcBorders>
            <w:tcMar>
              <w:top w:w="96" w:type="dxa"/>
              <w:left w:w="113" w:type="dxa"/>
              <w:bottom w:w="96" w:type="dxa"/>
              <w:right w:w="113" w:type="dxa"/>
            </w:tcMar>
            <w:vAlign w:val="center"/>
          </w:tcPr>
          <w:p w14:paraId="7CD3325F" w14:textId="77777777" w:rsidR="00E825BD" w:rsidRPr="00E825BD" w:rsidRDefault="00E825BD" w:rsidP="00E825BD">
            <w:pPr>
              <w:pStyle w:val="CDITable-RowCentre"/>
            </w:pPr>
            <w:r w:rsidRPr="00E825BD">
              <w:t>23</w:t>
            </w:r>
          </w:p>
        </w:tc>
        <w:tc>
          <w:tcPr>
            <w:tcW w:w="907" w:type="dxa"/>
            <w:tcBorders>
              <w:bottom w:val="single" w:sz="6" w:space="0" w:color="1E4496" w:themeColor="text2"/>
            </w:tcBorders>
            <w:tcMar>
              <w:top w:w="96" w:type="dxa"/>
              <w:left w:w="113" w:type="dxa"/>
              <w:bottom w:w="96" w:type="dxa"/>
              <w:right w:w="113" w:type="dxa"/>
            </w:tcMar>
            <w:vAlign w:val="center"/>
          </w:tcPr>
          <w:p w14:paraId="4D4071CE" w14:textId="77777777" w:rsidR="00E825BD" w:rsidRPr="00E825BD" w:rsidRDefault="00E825BD" w:rsidP="00E825BD">
            <w:pPr>
              <w:pStyle w:val="CDITable-RowCentre"/>
            </w:pPr>
            <w:r w:rsidRPr="00E825BD">
              <w:t>29</w:t>
            </w:r>
          </w:p>
        </w:tc>
        <w:tc>
          <w:tcPr>
            <w:tcW w:w="907" w:type="dxa"/>
            <w:tcBorders>
              <w:bottom w:val="single" w:sz="6" w:space="0" w:color="1E4496" w:themeColor="text2"/>
            </w:tcBorders>
            <w:tcMar>
              <w:top w:w="96" w:type="dxa"/>
              <w:left w:w="113" w:type="dxa"/>
              <w:bottom w:w="96" w:type="dxa"/>
              <w:right w:w="113" w:type="dxa"/>
            </w:tcMar>
            <w:vAlign w:val="center"/>
          </w:tcPr>
          <w:p w14:paraId="3C5AB916" w14:textId="77777777" w:rsidR="00E825BD" w:rsidRPr="00E825BD" w:rsidRDefault="00E825BD" w:rsidP="00E825BD">
            <w:pPr>
              <w:pStyle w:val="CDITable-RowCentre"/>
            </w:pPr>
            <w:r w:rsidRPr="00E825BD">
              <w:t>5</w:t>
            </w:r>
          </w:p>
        </w:tc>
        <w:tc>
          <w:tcPr>
            <w:tcW w:w="908" w:type="dxa"/>
            <w:tcBorders>
              <w:bottom w:val="single" w:sz="6" w:space="0" w:color="1E4496" w:themeColor="text2"/>
            </w:tcBorders>
            <w:tcMar>
              <w:top w:w="96" w:type="dxa"/>
              <w:left w:w="113" w:type="dxa"/>
              <w:bottom w:w="96" w:type="dxa"/>
              <w:right w:w="113" w:type="dxa"/>
            </w:tcMar>
            <w:vAlign w:val="center"/>
          </w:tcPr>
          <w:p w14:paraId="7F7B653E" w14:textId="77777777" w:rsidR="00E825BD" w:rsidRPr="00E825BD" w:rsidRDefault="00E825BD" w:rsidP="00E825BD">
            <w:pPr>
              <w:pStyle w:val="CDITable-RowCentre"/>
            </w:pPr>
            <w:r w:rsidRPr="00E825BD">
              <w:t>1</w:t>
            </w:r>
          </w:p>
        </w:tc>
        <w:tc>
          <w:tcPr>
            <w:tcW w:w="907" w:type="dxa"/>
            <w:tcBorders>
              <w:bottom w:val="single" w:sz="6" w:space="0" w:color="1E4496" w:themeColor="text2"/>
            </w:tcBorders>
            <w:tcMar>
              <w:top w:w="96" w:type="dxa"/>
              <w:left w:w="113" w:type="dxa"/>
              <w:bottom w:w="96" w:type="dxa"/>
              <w:right w:w="113" w:type="dxa"/>
            </w:tcMar>
            <w:vAlign w:val="center"/>
          </w:tcPr>
          <w:p w14:paraId="3BE7FD13" w14:textId="77777777" w:rsidR="00E825BD" w:rsidRPr="00E825BD" w:rsidRDefault="00E825BD" w:rsidP="00E825BD">
            <w:pPr>
              <w:pStyle w:val="CDITable-RowCentre"/>
            </w:pPr>
            <w:r w:rsidRPr="00E825BD">
              <w:t>0</w:t>
            </w:r>
          </w:p>
        </w:tc>
        <w:tc>
          <w:tcPr>
            <w:tcW w:w="907" w:type="dxa"/>
            <w:tcBorders>
              <w:bottom w:val="single" w:sz="6" w:space="0" w:color="1E4496" w:themeColor="text2"/>
            </w:tcBorders>
            <w:tcMar>
              <w:top w:w="96" w:type="dxa"/>
              <w:left w:w="113" w:type="dxa"/>
              <w:bottom w:w="96" w:type="dxa"/>
              <w:right w:w="113" w:type="dxa"/>
            </w:tcMar>
            <w:vAlign w:val="center"/>
          </w:tcPr>
          <w:p w14:paraId="4DE49DFD" w14:textId="77777777" w:rsidR="00E825BD" w:rsidRPr="00E825BD" w:rsidRDefault="00E825BD" w:rsidP="00E825BD">
            <w:pPr>
              <w:pStyle w:val="CDITable-RowCentre"/>
            </w:pPr>
            <w:r w:rsidRPr="00E825BD">
              <w:t>0</w:t>
            </w:r>
          </w:p>
        </w:tc>
        <w:tc>
          <w:tcPr>
            <w:tcW w:w="907" w:type="dxa"/>
            <w:tcBorders>
              <w:bottom w:val="single" w:sz="6" w:space="0" w:color="1E4496" w:themeColor="text2"/>
            </w:tcBorders>
            <w:tcMar>
              <w:top w:w="96" w:type="dxa"/>
              <w:left w:w="113" w:type="dxa"/>
              <w:bottom w:w="96" w:type="dxa"/>
              <w:right w:w="113" w:type="dxa"/>
            </w:tcMar>
            <w:vAlign w:val="center"/>
          </w:tcPr>
          <w:p w14:paraId="568DD5D0" w14:textId="77777777" w:rsidR="00E825BD" w:rsidRPr="00E825BD" w:rsidRDefault="00E825BD" w:rsidP="00E825BD">
            <w:pPr>
              <w:pStyle w:val="CDITable-RowCentre"/>
            </w:pPr>
            <w:r w:rsidRPr="00E825BD">
              <w:t>86</w:t>
            </w:r>
          </w:p>
        </w:tc>
      </w:tr>
      <w:tr w:rsidR="00E825BD" w:rsidRPr="00E825BD" w14:paraId="2A4619C3" w14:textId="77777777" w:rsidTr="00E825BD">
        <w:trPr>
          <w:trHeight w:val="60"/>
        </w:trPr>
        <w:tc>
          <w:tcPr>
            <w:tcW w:w="1474"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1DDC1C65" w14:textId="77777777" w:rsidR="00E825BD" w:rsidRPr="00E825BD" w:rsidRDefault="00E825BD" w:rsidP="00E825BD">
            <w:pPr>
              <w:pStyle w:val="CDITable-RowLeft"/>
            </w:pPr>
            <w:r w:rsidRPr="00E825BD">
              <w:t>%</w:t>
            </w:r>
          </w:p>
        </w:tc>
        <w:tc>
          <w:tcPr>
            <w:tcW w:w="90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203A23E3" w14:textId="77777777" w:rsidR="00E825BD" w:rsidRPr="00E825BD" w:rsidRDefault="00E825BD" w:rsidP="00E825BD">
            <w:pPr>
              <w:pStyle w:val="CDITable-RowCentre"/>
            </w:pPr>
            <w:r w:rsidRPr="00E825BD">
              <w:t>14%</w:t>
            </w:r>
          </w:p>
        </w:tc>
        <w:tc>
          <w:tcPr>
            <w:tcW w:w="90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717F8318" w14:textId="77777777" w:rsidR="00E825BD" w:rsidRPr="00E825BD" w:rsidRDefault="00E825BD" w:rsidP="00E825BD">
            <w:pPr>
              <w:pStyle w:val="CDITable-RowCentre"/>
            </w:pPr>
            <w:r w:rsidRPr="00E825BD">
              <w:t>19%</w:t>
            </w:r>
          </w:p>
        </w:tc>
        <w:tc>
          <w:tcPr>
            <w:tcW w:w="90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43D5226F" w14:textId="77777777" w:rsidR="00E825BD" w:rsidRPr="00E825BD" w:rsidRDefault="00E825BD" w:rsidP="00E825BD">
            <w:pPr>
              <w:pStyle w:val="CDITable-RowCentre"/>
            </w:pPr>
            <w:r w:rsidRPr="00E825BD">
              <w:t>27%</w:t>
            </w:r>
          </w:p>
        </w:tc>
        <w:tc>
          <w:tcPr>
            <w:tcW w:w="90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96D9C2" w14:textId="77777777" w:rsidR="00E825BD" w:rsidRPr="00E825BD" w:rsidRDefault="00E825BD" w:rsidP="00E825BD">
            <w:pPr>
              <w:pStyle w:val="CDITable-RowCentre"/>
            </w:pPr>
            <w:r w:rsidRPr="00E825BD">
              <w:t>34%</w:t>
            </w:r>
          </w:p>
        </w:tc>
        <w:tc>
          <w:tcPr>
            <w:tcW w:w="90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02CD4B9" w14:textId="77777777" w:rsidR="00E825BD" w:rsidRPr="00E825BD" w:rsidRDefault="00E825BD" w:rsidP="00E825BD">
            <w:pPr>
              <w:pStyle w:val="CDITable-RowCentre"/>
            </w:pPr>
            <w:r w:rsidRPr="00E825BD">
              <w:t>6%</w:t>
            </w:r>
          </w:p>
        </w:tc>
        <w:tc>
          <w:tcPr>
            <w:tcW w:w="908"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62E9909A" w14:textId="77777777" w:rsidR="00E825BD" w:rsidRPr="00E825BD" w:rsidRDefault="00E825BD" w:rsidP="00E825BD">
            <w:pPr>
              <w:pStyle w:val="CDITable-RowCentre"/>
            </w:pPr>
            <w:r w:rsidRPr="00E825BD">
              <w:t>1%</w:t>
            </w:r>
          </w:p>
        </w:tc>
        <w:tc>
          <w:tcPr>
            <w:tcW w:w="90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5D4427" w14:textId="77777777" w:rsidR="00E825BD" w:rsidRPr="00E825BD" w:rsidRDefault="00E825BD" w:rsidP="00E825BD">
            <w:pPr>
              <w:pStyle w:val="CDITable-RowCentre"/>
            </w:pPr>
            <w:r w:rsidRPr="00E825BD">
              <w:t>0%</w:t>
            </w:r>
          </w:p>
        </w:tc>
        <w:tc>
          <w:tcPr>
            <w:tcW w:w="90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560C6EB3" w14:textId="77777777" w:rsidR="00E825BD" w:rsidRPr="00E825BD" w:rsidRDefault="00E825BD" w:rsidP="00E825BD">
            <w:pPr>
              <w:pStyle w:val="CDITable-RowCentre"/>
            </w:pPr>
            <w:r w:rsidRPr="00E825BD">
              <w:t>0%</w:t>
            </w:r>
          </w:p>
        </w:tc>
        <w:tc>
          <w:tcPr>
            <w:tcW w:w="907" w:type="dxa"/>
            <w:tcBorders>
              <w:top w:val="single" w:sz="6" w:space="0" w:color="1E4496" w:themeColor="text2"/>
              <w:bottom w:val="single" w:sz="6" w:space="0" w:color="1E4496" w:themeColor="text2"/>
            </w:tcBorders>
            <w:tcMar>
              <w:top w:w="96" w:type="dxa"/>
              <w:left w:w="113" w:type="dxa"/>
              <w:bottom w:w="96" w:type="dxa"/>
              <w:right w:w="113" w:type="dxa"/>
            </w:tcMar>
            <w:vAlign w:val="center"/>
          </w:tcPr>
          <w:p w14:paraId="35FF9D66" w14:textId="77777777" w:rsidR="00E825BD" w:rsidRPr="00E825BD" w:rsidRDefault="00E825BD" w:rsidP="00E825BD">
            <w:pPr>
              <w:pStyle w:val="CDITable-RowCentre"/>
            </w:pPr>
            <w:r w:rsidRPr="00E825BD">
              <w:t>100%</w:t>
            </w:r>
          </w:p>
        </w:tc>
      </w:tr>
    </w:tbl>
    <w:p w14:paraId="6CDC482F" w14:textId="77777777" w:rsidR="00E825BD" w:rsidRPr="00E825BD" w:rsidRDefault="00E825BD" w:rsidP="00E825BD">
      <w:pPr>
        <w:pStyle w:val="CDIFigure-Title"/>
        <w:rPr>
          <w:lang w:val="en-GB"/>
        </w:rPr>
      </w:pPr>
      <w:bookmarkStart w:id="42" w:name="_Toc213314620"/>
      <w:r w:rsidRPr="00E825BD">
        <w:rPr>
          <w:lang w:val="en-GB"/>
        </w:rPr>
        <w:t>Figure 5: Proportion of invasive meningococcal disease isolates with susceptibility (S), intermediate susceptibility (I) and resistance (R) to penicillin, Australia in 2021 to 2024</w:t>
      </w:r>
      <w:r w:rsidRPr="00E825BD">
        <w:rPr>
          <w:vertAlign w:val="superscript"/>
          <w:lang w:val="en-GB"/>
        </w:rPr>
        <w:t>8</w:t>
      </w:r>
      <w:bookmarkEnd w:id="42"/>
    </w:p>
    <w:p w14:paraId="0B1BA04E" w14:textId="43B4E775" w:rsidR="002E50C0" w:rsidRDefault="00E825BD" w:rsidP="00E825BD">
      <w:pPr>
        <w:pStyle w:val="CDIFigure-Placeholder"/>
        <w:rPr>
          <w:lang w:val="en-GB"/>
        </w:rPr>
      </w:pPr>
      <w:r>
        <w:rPr>
          <w:noProof/>
          <w:lang w:val="en-GB"/>
          <w14:ligatures w14:val="none"/>
        </w:rPr>
        <w:drawing>
          <wp:inline distT="0" distB="0" distL="0" distR="0" wp14:anchorId="0E203D63" wp14:editId="70019B13">
            <wp:extent cx="5994000" cy="4032000"/>
            <wp:effectExtent l="0" t="0" r="6985" b="6985"/>
            <wp:docPr id="1514178866" name="Picture 6" descr="This figure shows the proportion of IMD isolates in Australia that have resistance, intermediate susceptibility or susceptibility to penicillin in 2021 to 2024.  AST during 2021 to 2024 were reported according to the Clinical Laboratory Standards Institute’s (CLSI) M100 interpretative guidelines.  The proportion of penicillin resistance has remained relatively stable in Australia in the range of 5% to 13%: 13% in 2021, 5% in 2022, 9% in 2023 and 7% in 20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4178866" name="Picture 6" descr="This figure shows the proportion of IMD isolates in Australia that have resistance, intermediate susceptibility or susceptibility to penicillin in 2021 to 2024.  AST during 2021 to 2024 were reported according to the Clinical Laboratory Standards Institute’s (CLSI) M100 interpretative guidelines.  The proportion of penicillin resistance has remained relatively stable in Australia in the range of 5% to 13%: 13% in 2021, 5% in 2022, 9% in 2023 and 7% in 2024. "/>
                    <pic:cNvPicPr/>
                  </pic:nvPicPr>
                  <pic:blipFill rotWithShape="1">
                    <a:blip r:embed="rId23">
                      <a:extLst>
                        <a:ext uri="{28A0092B-C50C-407E-A947-70E740481C1C}">
                          <a14:useLocalDpi xmlns:a14="http://schemas.microsoft.com/office/drawing/2010/main" val="0"/>
                        </a:ext>
                      </a:extLst>
                    </a:blip>
                    <a:srcRect t="1798" b="2913"/>
                    <a:stretch>
                      <a:fillRect/>
                    </a:stretch>
                  </pic:blipFill>
                  <pic:spPr bwMode="auto">
                    <a:xfrm>
                      <a:off x="0" y="0"/>
                      <a:ext cx="5994000" cy="4032000"/>
                    </a:xfrm>
                    <a:prstGeom prst="rect">
                      <a:avLst/>
                    </a:prstGeom>
                    <a:ln>
                      <a:noFill/>
                    </a:ln>
                    <a:extLst>
                      <a:ext uri="{53640926-AAD7-44D8-BBD7-CCE9431645EC}">
                        <a14:shadowObscured xmlns:a14="http://schemas.microsoft.com/office/drawing/2010/main"/>
                      </a:ext>
                    </a:extLst>
                  </pic:spPr>
                </pic:pic>
              </a:graphicData>
            </a:graphic>
          </wp:inline>
        </w:drawing>
      </w:r>
    </w:p>
    <w:p w14:paraId="1CBAC6A9" w14:textId="77777777" w:rsidR="006E0B0E" w:rsidRDefault="008017B6" w:rsidP="008017B6">
      <w:pPr>
        <w:pStyle w:val="Heading1"/>
      </w:pPr>
      <w:bookmarkStart w:id="43" w:name="_Toc213312978"/>
      <w:bookmarkStart w:id="44" w:name="_Toc195519590"/>
      <w:bookmarkStart w:id="45" w:name="_Toc195522359"/>
      <w:r>
        <w:lastRenderedPageBreak/>
        <w:t>Discussion</w:t>
      </w:r>
      <w:bookmarkEnd w:id="43"/>
    </w:p>
    <w:p w14:paraId="795DF99A" w14:textId="77777777" w:rsidR="00614E22" w:rsidRPr="00614E22" w:rsidRDefault="00614E22" w:rsidP="00614E22">
      <w:pPr>
        <w:rPr>
          <w:lang w:val="en-GB"/>
        </w:rPr>
      </w:pPr>
      <w:r w:rsidRPr="00614E22">
        <w:rPr>
          <w:lang w:val="en-GB"/>
        </w:rPr>
        <w:t>In 2024, there were 136 IMD notifications nationally, a 5% decrease from 2023, coincident with changes in the National Immunisation Programme (NIP) to quadrivalent MenACWY vaccine.</w:t>
      </w:r>
      <w:r w:rsidRPr="00614E22">
        <w:rPr>
          <w:vertAlign w:val="superscript"/>
          <w:lang w:val="en-GB"/>
        </w:rPr>
        <w:t>12,13</w:t>
      </w:r>
      <w:r w:rsidRPr="00614E22">
        <w:rPr>
          <w:lang w:val="en-GB"/>
        </w:rPr>
        <w:t xml:space="preserve"> The reports of the AMSP also suggest that the NIP has had an impact on the prevailing serogroup in IMD:</w:t>
      </w:r>
      <w:r w:rsidRPr="00614E22">
        <w:rPr>
          <w:vertAlign w:val="superscript"/>
          <w:lang w:val="en-GB"/>
        </w:rPr>
        <w:t>3</w:t>
      </w:r>
      <w:r w:rsidRPr="00614E22">
        <w:rPr>
          <w:lang w:val="en-GB"/>
        </w:rPr>
        <w:t xml:space="preserve"> from 2022, MenB has accounted for more than 84% of IMD in Australia.</w:t>
      </w:r>
    </w:p>
    <w:p w14:paraId="253D7212" w14:textId="77777777" w:rsidR="00614E22" w:rsidRPr="00614E22" w:rsidRDefault="00614E22" w:rsidP="00614E22">
      <w:pPr>
        <w:rPr>
          <w:lang w:val="en-GB"/>
        </w:rPr>
      </w:pPr>
      <w:r w:rsidRPr="00614E22">
        <w:rPr>
          <w:lang w:val="en-GB"/>
        </w:rPr>
        <w:t xml:space="preserve">In 2024, all IMD notifications in Australia were laboratory-confirmed. The distribution of IMD notifications across jurisdictions was proportionally higher than in 2023 for Queensland (30% to 35%), South Australia (14% to 21%) and Western Australia (5% to 10%), but lower for New South Wales (25% to 18%) and Victoria (19% to 14%). IMD notifications from the Northern Territory and Tasmania remained low, and there were no notifications from the Australian Capital Territory in 2024. </w:t>
      </w:r>
    </w:p>
    <w:p w14:paraId="414DF062" w14:textId="77777777" w:rsidR="00614E22" w:rsidRPr="00614E22" w:rsidRDefault="00614E22" w:rsidP="00614E22">
      <w:pPr>
        <w:rPr>
          <w:lang w:val="en-GB"/>
        </w:rPr>
      </w:pPr>
      <w:r w:rsidRPr="00614E22">
        <w:rPr>
          <w:lang w:val="en-GB"/>
        </w:rPr>
        <w:t>In 2024, IMD notifications were reported in all age groups. By age group, the highest proportions of cases occurred in children less than 5 years of age (27/136 cases; 20%) and in people aged 15–24 years (38/136 cases; 28%), with the proportion in this latter age group more than double the proportion of IMD cases in this age group reported in 2018 (13%). Similarly, the proportion of MenB IMD in the 15–24 years age group has increased from 57% in 2018 to 94% in 2024. In the United Kingdom (UK), following easing of pandemic restrictions, it was observed that IMD serogroup versus age distributions provide evidence that vaccination programmes are maintaining low rates of MenC, MenW and MenY disease.</w:t>
      </w:r>
      <w:r w:rsidRPr="00614E22">
        <w:rPr>
          <w:vertAlign w:val="superscript"/>
          <w:lang w:val="en-GB"/>
        </w:rPr>
        <w:t>16</w:t>
      </w:r>
      <w:r w:rsidRPr="00614E22">
        <w:rPr>
          <w:lang w:val="en-GB"/>
        </w:rPr>
        <w:t xml:space="preserve"> Further, in the UK, low rates of immunity against MenB combined with high transmission of meningococci among young people have resulted in increases in MenB disease, particularly in university students.</w:t>
      </w:r>
      <w:r w:rsidRPr="00614E22">
        <w:rPr>
          <w:vertAlign w:val="superscript"/>
          <w:lang w:val="en-GB"/>
        </w:rPr>
        <w:t>14</w:t>
      </w:r>
      <w:r w:rsidRPr="00614E22">
        <w:rPr>
          <w:lang w:val="en-GB"/>
        </w:rPr>
        <w:t xml:space="preserve"> </w:t>
      </w:r>
    </w:p>
    <w:p w14:paraId="660BC341" w14:textId="77777777" w:rsidR="00614E22" w:rsidRPr="00614E22" w:rsidRDefault="00614E22" w:rsidP="00614E22">
      <w:pPr>
        <w:rPr>
          <w:lang w:val="en-GB"/>
        </w:rPr>
      </w:pPr>
      <w:r w:rsidRPr="00614E22">
        <w:rPr>
          <w:lang w:val="en-GB"/>
        </w:rPr>
        <w:t xml:space="preserve">Finetyping of MenB isolates in 2024 revealed the continued diversity of </w:t>
      </w:r>
      <w:r w:rsidRPr="00614E22">
        <w:rPr>
          <w:i/>
          <w:iCs/>
          <w:lang w:val="en-GB"/>
        </w:rPr>
        <w:t>porA</w:t>
      </w:r>
      <w:r w:rsidRPr="00614E22">
        <w:rPr>
          <w:lang w:val="en-GB"/>
        </w:rPr>
        <w:t xml:space="preserve"> types in Australia, with 21 different MenB </w:t>
      </w:r>
      <w:r w:rsidRPr="00614E22">
        <w:rPr>
          <w:i/>
          <w:iCs/>
          <w:lang w:val="en-GB"/>
        </w:rPr>
        <w:t>porA</w:t>
      </w:r>
      <w:r w:rsidRPr="00614E22">
        <w:rPr>
          <w:lang w:val="en-GB"/>
        </w:rPr>
        <w:t xml:space="preserve"> types identified. There was an increase in the predominant MenB </w:t>
      </w:r>
      <w:r w:rsidRPr="00614E22">
        <w:rPr>
          <w:i/>
          <w:iCs/>
          <w:lang w:val="en-GB"/>
        </w:rPr>
        <w:t>porA</w:t>
      </w:r>
      <w:r w:rsidRPr="00614E22">
        <w:rPr>
          <w:lang w:val="en-GB"/>
        </w:rPr>
        <w:t xml:space="preserve"> genotype (P1.7-2,4) in Australia from 32% (26/82) in 2023 to 38% (29/76) in 2024. </w:t>
      </w:r>
      <w:proofErr w:type="gramStart"/>
      <w:r w:rsidRPr="00614E22">
        <w:rPr>
          <w:lang w:val="en-GB"/>
        </w:rPr>
        <w:t>The majority of</w:t>
      </w:r>
      <w:proofErr w:type="gramEnd"/>
      <w:r w:rsidRPr="00614E22">
        <w:rPr>
          <w:lang w:val="en-GB"/>
        </w:rPr>
        <w:t xml:space="preserve"> instances of this </w:t>
      </w:r>
      <w:r w:rsidRPr="00614E22">
        <w:rPr>
          <w:i/>
          <w:iCs/>
          <w:lang w:val="en-GB"/>
        </w:rPr>
        <w:t>porA</w:t>
      </w:r>
      <w:r w:rsidRPr="00614E22">
        <w:rPr>
          <w:lang w:val="en-GB"/>
        </w:rPr>
        <w:t xml:space="preserve"> type were detected in Queensland (14/29, 48%) and South Australia (7/29, 24%). The next most prevalent MenB </w:t>
      </w:r>
      <w:r w:rsidRPr="00614E22">
        <w:rPr>
          <w:i/>
          <w:iCs/>
          <w:lang w:val="en-GB"/>
        </w:rPr>
        <w:t>porA</w:t>
      </w:r>
      <w:r w:rsidRPr="00614E22">
        <w:rPr>
          <w:lang w:val="en-GB"/>
        </w:rPr>
        <w:t xml:space="preserve"> type, P1.7,16-26 (reported in NSW, SA and Victoria in 2024) has declined from 16% (13/82) in 2023 to 11% (8/76) in 2024. </w:t>
      </w:r>
    </w:p>
    <w:p w14:paraId="6C4E84C7" w14:textId="77777777" w:rsidR="00614E22" w:rsidRPr="00614E22" w:rsidRDefault="00614E22" w:rsidP="00614E22">
      <w:pPr>
        <w:rPr>
          <w:lang w:val="en-GB"/>
        </w:rPr>
      </w:pPr>
      <w:r w:rsidRPr="00614E22">
        <w:rPr>
          <w:lang w:val="en-GB"/>
        </w:rPr>
        <w:t xml:space="preserve">In 2024, fourteen percent of IMD (18/130) was attributable to MenY, increasing from 8% (11/134) in 2023, and predominantly affecting adults aged 45 years and above (77%; 14/18). MenY accounted for 25% of notifications (6/24) in individuals aged 45–64 years, and 53% of notifications (8/15) in individuals aged 65 years and greater. </w:t>
      </w:r>
    </w:p>
    <w:p w14:paraId="1B48C347" w14:textId="77777777" w:rsidR="00614E22" w:rsidRPr="00614E22" w:rsidRDefault="00614E22" w:rsidP="00614E22">
      <w:pPr>
        <w:rPr>
          <w:lang w:val="en-GB"/>
        </w:rPr>
      </w:pPr>
      <w:r w:rsidRPr="00614E22">
        <w:rPr>
          <w:lang w:val="en-GB"/>
        </w:rPr>
        <w:t>The predominant MenY genotype since 2014 continues to be P1.5-1,10-1, whereas previously the MenY genotype distribution had been more varied.</w:t>
      </w:r>
      <w:r w:rsidRPr="00614E22">
        <w:rPr>
          <w:vertAlign w:val="superscript"/>
          <w:lang w:val="en-GB"/>
        </w:rPr>
        <w:t>15</w:t>
      </w:r>
      <w:r w:rsidRPr="00614E22">
        <w:rPr>
          <w:lang w:val="en-GB"/>
        </w:rPr>
        <w:t xml:space="preserve"> In 2024, of the MenY with typing data available, there were 6 </w:t>
      </w:r>
      <w:r w:rsidRPr="00614E22">
        <w:rPr>
          <w:i/>
          <w:iCs/>
          <w:lang w:val="en-GB"/>
        </w:rPr>
        <w:t>porA</w:t>
      </w:r>
      <w:r w:rsidRPr="00614E22">
        <w:rPr>
          <w:lang w:val="en-GB"/>
        </w:rPr>
        <w:t xml:space="preserve"> types, displaying more heterogeneity than in 2023. </w:t>
      </w:r>
    </w:p>
    <w:p w14:paraId="51782D5E" w14:textId="77777777" w:rsidR="00614E22" w:rsidRPr="00614E22" w:rsidRDefault="00614E22" w:rsidP="00614E22">
      <w:pPr>
        <w:rPr>
          <w:lang w:val="en-GB"/>
        </w:rPr>
      </w:pPr>
      <w:r w:rsidRPr="00614E22">
        <w:rPr>
          <w:lang w:val="en-GB"/>
        </w:rPr>
        <w:t xml:space="preserve">Of note, from 2023 Australia has reported an increased number of urogenital and anorectal infections with MenY ST-1466. </w:t>
      </w:r>
      <w:proofErr w:type="gramStart"/>
      <w:r w:rsidRPr="00614E22">
        <w:rPr>
          <w:lang w:val="en-GB"/>
        </w:rPr>
        <w:t>The majority of</w:t>
      </w:r>
      <w:proofErr w:type="gramEnd"/>
      <w:r w:rsidRPr="00614E22">
        <w:rPr>
          <w:lang w:val="en-GB"/>
        </w:rPr>
        <w:t xml:space="preserve"> infections were from New South Wales, but cases have also been reported from South Australia and Victoria; genomic analysis shows limited sequence diversity and is indicative of a multijurisdictional outbreak.</w:t>
      </w:r>
      <w:r w:rsidRPr="00614E22">
        <w:rPr>
          <w:vertAlign w:val="superscript"/>
          <w:lang w:val="en-GB"/>
        </w:rPr>
        <w:t>16</w:t>
      </w:r>
      <w:r w:rsidRPr="00614E22">
        <w:rPr>
          <w:lang w:val="en-GB"/>
        </w:rPr>
        <w:t xml:space="preserve"> Urogenital and anorectal meningococcal infections continue to be reported, but the true incidence remains unknown due to varied testing and reporting practices within and across jurisdictions in Australia. Concurrently an outbreak of MenY ST-1466 IMD was reported in the United States of America (USA), with an increase in the number and proportion of MenY IMD cases overall, compared to the previous year, and 68% of 2024 MenY cases (101/148) identified as ST-1466.</w:t>
      </w:r>
      <w:r w:rsidRPr="00614E22">
        <w:rPr>
          <w:vertAlign w:val="superscript"/>
          <w:lang w:val="en-GB"/>
        </w:rPr>
        <w:t>17</w:t>
      </w:r>
      <w:r w:rsidRPr="00614E22">
        <w:rPr>
          <w:lang w:val="en-GB"/>
        </w:rPr>
        <w:t xml:space="preserve"> To assess relatedness, and to examine for genomic changes associated with meningococcal adaptation, the MenY ST-1466 </w:t>
      </w:r>
      <w:r w:rsidRPr="00614E22">
        <w:rPr>
          <w:lang w:val="en-GB"/>
        </w:rPr>
        <w:lastRenderedPageBreak/>
        <w:t>sequences from the urogenital outbreak in Australia and those from the MenY ST-1466 IMD isolates from the USA were compared in the global context.</w:t>
      </w:r>
      <w:r w:rsidRPr="00614E22">
        <w:rPr>
          <w:vertAlign w:val="superscript"/>
          <w:lang w:val="en-GB"/>
        </w:rPr>
        <w:t>18</w:t>
      </w:r>
      <w:r w:rsidRPr="00614E22">
        <w:rPr>
          <w:lang w:val="en-GB"/>
        </w:rPr>
        <w:t xml:space="preserve"> The Australian isolates’ MenY ST-1466 sequences formed a distinct clade, most closely related genomically to recent USA IMD MenY ST-1466 isolates. No specific genomic changes suggested niche adaptation or associated clinical manifestations.</w:t>
      </w:r>
      <w:r w:rsidRPr="00614E22">
        <w:rPr>
          <w:vertAlign w:val="superscript"/>
          <w:lang w:val="en-GB"/>
        </w:rPr>
        <w:t>18</w:t>
      </w:r>
      <w:r w:rsidRPr="00614E22">
        <w:rPr>
          <w:lang w:val="en-GB"/>
        </w:rPr>
        <w:t xml:space="preserve"> The MenY ST1466 </w:t>
      </w:r>
      <w:r w:rsidRPr="00614E22">
        <w:rPr>
          <w:i/>
          <w:iCs/>
          <w:lang w:val="en-GB"/>
        </w:rPr>
        <w:t>N. meningitidis</w:t>
      </w:r>
      <w:r w:rsidRPr="00614E22">
        <w:rPr>
          <w:lang w:val="en-GB"/>
        </w:rPr>
        <w:t xml:space="preserve"> isolates circulating in Australia and the USA </w:t>
      </w:r>
      <w:proofErr w:type="gramStart"/>
      <w:r w:rsidRPr="00614E22">
        <w:rPr>
          <w:lang w:val="en-GB"/>
        </w:rPr>
        <w:t>are capable of causing</w:t>
      </w:r>
      <w:proofErr w:type="gramEnd"/>
      <w:r w:rsidRPr="00614E22">
        <w:rPr>
          <w:lang w:val="en-GB"/>
        </w:rPr>
        <w:t xml:space="preserve"> both urethritis and IMD.</w:t>
      </w:r>
      <w:r w:rsidRPr="00614E22">
        <w:rPr>
          <w:vertAlign w:val="superscript"/>
          <w:lang w:val="en-GB"/>
        </w:rPr>
        <w:t>18</w:t>
      </w:r>
      <w:r w:rsidRPr="00614E22">
        <w:rPr>
          <w:lang w:val="en-GB"/>
        </w:rPr>
        <w:t xml:space="preserve"> In 2024 there was one MenY ST-1466 IMD isolate reported from NSW. </w:t>
      </w:r>
    </w:p>
    <w:p w14:paraId="0A71604B" w14:textId="77777777" w:rsidR="00614E22" w:rsidRPr="00614E22" w:rsidRDefault="00614E22" w:rsidP="00614E22">
      <w:pPr>
        <w:rPr>
          <w:lang w:val="en-GB"/>
        </w:rPr>
      </w:pPr>
      <w:r w:rsidRPr="00614E22">
        <w:rPr>
          <w:lang w:val="en-GB"/>
        </w:rPr>
        <w:t>MenW IMD continued to decline, from 38% of IMD in 2017 to 1.5% (2/130) in 2024. These two cases were reported in the 25–44 and 45–</w:t>
      </w:r>
      <w:proofErr w:type="gramStart"/>
      <w:r w:rsidRPr="00614E22">
        <w:rPr>
          <w:lang w:val="en-GB"/>
        </w:rPr>
        <w:t>64 year</w:t>
      </w:r>
      <w:proofErr w:type="gramEnd"/>
      <w:r w:rsidRPr="00614E22">
        <w:rPr>
          <w:lang w:val="en-GB"/>
        </w:rPr>
        <w:t xml:space="preserve"> age groups. One MenW IMD isolate in 2024 had genotyping data available: </w:t>
      </w:r>
      <w:r w:rsidRPr="00614E22">
        <w:rPr>
          <w:i/>
          <w:iCs/>
          <w:lang w:val="en-GB"/>
        </w:rPr>
        <w:t>porA</w:t>
      </w:r>
      <w:r w:rsidRPr="00614E22">
        <w:rPr>
          <w:lang w:val="en-GB"/>
        </w:rPr>
        <w:t xml:space="preserve"> type P1.5,2, MLST (ST) 11, clonal complex 11. This strain emerged in the UK and South America in 2009, is hypervirulent and associated with atypical clinical presentations, more severe disease, and a higher case fatality rate.</w:t>
      </w:r>
      <w:r w:rsidRPr="00614E22">
        <w:rPr>
          <w:vertAlign w:val="superscript"/>
          <w:lang w:val="en-GB"/>
        </w:rPr>
        <w:t>10,11</w:t>
      </w:r>
      <w:r w:rsidRPr="00614E22">
        <w:rPr>
          <w:lang w:val="en-GB"/>
        </w:rPr>
        <w:t xml:space="preserve"> The initial increase in MenW both overseas and in Australia was reported in older adults but subsequently was reported across all ages, particularly in adolescents and infants.</w:t>
      </w:r>
      <w:r w:rsidRPr="00614E22">
        <w:rPr>
          <w:vertAlign w:val="superscript"/>
          <w:lang w:val="en-GB"/>
        </w:rPr>
        <w:t>15</w:t>
      </w:r>
      <w:r w:rsidRPr="00614E22">
        <w:rPr>
          <w:lang w:val="en-GB"/>
        </w:rPr>
        <w:t xml:space="preserve"> </w:t>
      </w:r>
    </w:p>
    <w:p w14:paraId="3A87DB5D" w14:textId="77777777" w:rsidR="00614E22" w:rsidRPr="00614E22" w:rsidRDefault="00614E22" w:rsidP="00614E22">
      <w:pPr>
        <w:rPr>
          <w:lang w:val="en-GB"/>
        </w:rPr>
      </w:pPr>
      <w:r w:rsidRPr="00614E22">
        <w:rPr>
          <w:lang w:val="en-GB"/>
        </w:rPr>
        <w:t xml:space="preserve">Whole genome sequencing (WGS) continues to be a useful tool in both surveillance and outbreak settings. Although tools have been developed to predict vaccine escape from genomic data, these should not be seen as definitive, due to several limitations including the inability to </w:t>
      </w:r>
      <w:proofErr w:type="gramStart"/>
      <w:r w:rsidRPr="00614E22">
        <w:rPr>
          <w:lang w:val="en-GB"/>
        </w:rPr>
        <w:t>take into account</w:t>
      </w:r>
      <w:proofErr w:type="gramEnd"/>
      <w:r w:rsidRPr="00614E22">
        <w:rPr>
          <w:lang w:val="en-GB"/>
        </w:rPr>
        <w:t xml:space="preserve"> synergistic effects of multiple antigens. </w:t>
      </w:r>
    </w:p>
    <w:p w14:paraId="08F74885" w14:textId="77777777" w:rsidR="00614E22" w:rsidRPr="00614E22" w:rsidRDefault="00614E22" w:rsidP="00614E22">
      <w:pPr>
        <w:rPr>
          <w:lang w:val="en-GB"/>
        </w:rPr>
      </w:pPr>
      <w:r w:rsidRPr="00614E22">
        <w:rPr>
          <w:lang w:val="en-GB"/>
        </w:rPr>
        <w:t>Antimicrobial susceptibility testing of IMD isolates in 2024 detected 7% (6/86) penicillin resistance (MIC values ≥ 0.5 mg/L). All IMD isolates tested in 2024 were susceptible to ceftriaxone, ciprofloxacin and rifampicin. There are reports from the USA of increased notifications of IMD caused by ciprofloxacin-resistant strains since 2019 in some jurisdictions, and this has required a change in recommended prophylactic agents in some areas.</w:t>
      </w:r>
      <w:r w:rsidRPr="00614E22">
        <w:rPr>
          <w:vertAlign w:val="superscript"/>
          <w:lang w:val="en-GB"/>
        </w:rPr>
        <w:t>19</w:t>
      </w:r>
      <w:r w:rsidRPr="00614E22">
        <w:rPr>
          <w:lang w:val="en-GB"/>
        </w:rPr>
        <w:t xml:space="preserve"> Since January 2023, ciprofloxacin-resistant </w:t>
      </w:r>
      <w:r w:rsidRPr="00614E22">
        <w:rPr>
          <w:i/>
          <w:iCs/>
          <w:lang w:val="en-GB"/>
        </w:rPr>
        <w:t>N. meningitidis</w:t>
      </w:r>
      <w:r w:rsidRPr="00614E22">
        <w:rPr>
          <w:lang w:val="en-GB"/>
        </w:rPr>
        <w:t xml:space="preserve"> has been notifiable to the National Alert System for Critical Antimicrobial Resistances (CARAlert), a component of the Antimicrobial Use and Resistance in Australia (AURA) Surveillance System.</w:t>
      </w:r>
      <w:r w:rsidRPr="00614E22">
        <w:rPr>
          <w:vertAlign w:val="superscript"/>
          <w:lang w:val="en-GB"/>
        </w:rPr>
        <w:t>9</w:t>
      </w:r>
      <w:r w:rsidRPr="00614E22">
        <w:rPr>
          <w:lang w:val="en-GB"/>
        </w:rPr>
        <w:t xml:space="preserve"> </w:t>
      </w:r>
    </w:p>
    <w:p w14:paraId="4463F279" w14:textId="373B339B" w:rsidR="0001020A" w:rsidRDefault="00614E22" w:rsidP="00830AEA">
      <w:r w:rsidRPr="00614E22">
        <w:rPr>
          <w:lang w:val="en-GB"/>
        </w:rPr>
        <w:t xml:space="preserve">In 2024, the key findings of the AMSP Annual Report include a 5% decrease in IMD notifications nationally; continued predominance of MenB disease; and an increase in MenY IMD disease. Notifications of IMD, all MenB, in adolescents and young people have doubled since 2019. Reports of urogenital MenY ST-1466 continue in Australia, coincident with a MenY ST-1466 IMD outbreak in the USA. One case of MenY ST-1466 IMD was reported in Australia in 2024. The NNN is continuing to lead further investigations in collaboration with the Australian Government Department of Health, Disability and Ageing, closely monitoring the phenotypic and genotypic features of </w:t>
      </w:r>
      <w:r w:rsidRPr="00614E22">
        <w:rPr>
          <w:i/>
          <w:iCs/>
          <w:lang w:val="en-GB"/>
        </w:rPr>
        <w:t>N. meningitidis</w:t>
      </w:r>
      <w:r w:rsidRPr="00614E22">
        <w:rPr>
          <w:lang w:val="en-GB"/>
        </w:rPr>
        <w:t xml:space="preserve"> causing IMD in Australia, including AMR. Additional investigations by the NNN, including whole genome sequencing of IMD isolates, are underway to enhance IMD surveillance in Australia. The AMSP data are utilized for informing treatment guidelines and disease prevention strategies; and to monitor the effects of interventions. </w:t>
      </w:r>
    </w:p>
    <w:p w14:paraId="21B23578" w14:textId="77777777" w:rsidR="00F216F0" w:rsidRDefault="00F216F0" w:rsidP="00F216F0">
      <w:pPr>
        <w:pStyle w:val="Heading1"/>
      </w:pPr>
      <w:bookmarkStart w:id="46" w:name="_Toc195530510"/>
      <w:bookmarkStart w:id="47" w:name="_Toc213312979"/>
      <w:bookmarkStart w:id="48" w:name="_Toc195530508"/>
      <w:bookmarkEnd w:id="44"/>
      <w:bookmarkEnd w:id="45"/>
      <w:r>
        <w:lastRenderedPageBreak/>
        <w:t>Acknowledgments</w:t>
      </w:r>
      <w:bookmarkEnd w:id="46"/>
      <w:bookmarkEnd w:id="47"/>
    </w:p>
    <w:p w14:paraId="21A0DF85" w14:textId="77777777" w:rsidR="00614E22" w:rsidRPr="00614E22" w:rsidRDefault="00614E22" w:rsidP="00614E22">
      <w:pPr>
        <w:rPr>
          <w:lang w:val="en-GB"/>
        </w:rPr>
      </w:pPr>
      <w:r w:rsidRPr="00614E22">
        <w:rPr>
          <w:lang w:val="en-GB"/>
        </w:rPr>
        <w:t xml:space="preserve">Meningococcal isolates were received in the reference centres from many laboratories throughout Australia. The considerable time and effort involved in forwarding these isolates is recognised and these efforts are greatly appreciated. These data could not have been provided without this assistance and the help of clinical colleagues and public health personnel. The Australian Government Department of Health, Disability and Ageing provided funding for the National Neisseria Network. </w:t>
      </w:r>
    </w:p>
    <w:p w14:paraId="33ABBDAB" w14:textId="77777777" w:rsidR="00614E22" w:rsidRPr="00614E22" w:rsidRDefault="00614E22" w:rsidP="00614E22">
      <w:pPr>
        <w:pStyle w:val="Normal-morespaceafter"/>
        <w:rPr>
          <w:lang w:val="en-GB"/>
        </w:rPr>
      </w:pPr>
      <w:r w:rsidRPr="00614E22">
        <w:rPr>
          <w:lang w:val="en-GB"/>
        </w:rPr>
        <w:t xml:space="preserve">Members of the AMSP in 2024, to whom isolates and samples should be referred, and enquiries directed, are listed below. </w:t>
      </w:r>
    </w:p>
    <w:p w14:paraId="5E98267B" w14:textId="164B08D8" w:rsidR="00614E22" w:rsidRPr="00614E22" w:rsidRDefault="00614E22" w:rsidP="00614E22">
      <w:pPr>
        <w:spacing w:before="240"/>
        <w:rPr>
          <w:rStyle w:val="Bold"/>
          <w:lang w:val="en-GB"/>
        </w:rPr>
      </w:pPr>
      <w:r w:rsidRPr="00614E22">
        <w:rPr>
          <w:rStyle w:val="Bold"/>
          <w:lang w:val="en-GB"/>
        </w:rPr>
        <w:t>Australian Capital Territory</w:t>
      </w:r>
    </w:p>
    <w:p w14:paraId="0E0922F7" w14:textId="77777777" w:rsidR="00614E22" w:rsidRPr="00614E22" w:rsidRDefault="00614E22" w:rsidP="00614E22">
      <w:pPr>
        <w:pStyle w:val="Normal-lessspace"/>
      </w:pPr>
      <w:r w:rsidRPr="00614E22">
        <w:t>K Kennedy, S Bradbury, C O’Brien and M McKeown</w:t>
      </w:r>
    </w:p>
    <w:p w14:paraId="0F8F0EE3" w14:textId="77777777" w:rsidR="00614E22" w:rsidRPr="00614E22" w:rsidRDefault="00614E22" w:rsidP="00614E22">
      <w:pPr>
        <w:pStyle w:val="Normal-lessspace"/>
      </w:pPr>
      <w:r w:rsidRPr="00614E22">
        <w:t>Microbiology Department, The Canberra Hospital, Gilmore Crescent, Garran ACT 2605</w:t>
      </w:r>
    </w:p>
    <w:p w14:paraId="7E3AD3EE" w14:textId="77777777" w:rsidR="00614E22" w:rsidRPr="00614E22" w:rsidRDefault="00614E22" w:rsidP="00614E22">
      <w:pPr>
        <w:pStyle w:val="Normal-lessspace"/>
      </w:pPr>
      <w:r w:rsidRPr="00614E22">
        <w:t>Telephone: +61 2 5124 2510</w:t>
      </w:r>
    </w:p>
    <w:p w14:paraId="31E15DE1" w14:textId="77777777" w:rsidR="00614E22" w:rsidRPr="00614E22" w:rsidRDefault="00614E22" w:rsidP="00614E22">
      <w:pPr>
        <w:pStyle w:val="Normal-lessspace"/>
      </w:pPr>
      <w:r w:rsidRPr="00614E22">
        <w:t>Facsimile: +61 2 5124 4646</w:t>
      </w:r>
    </w:p>
    <w:p w14:paraId="2DDB4380" w14:textId="7BBDE022" w:rsidR="00614E22" w:rsidRPr="00614E22" w:rsidRDefault="00614E22" w:rsidP="00614E22">
      <w:pPr>
        <w:pStyle w:val="Normal-lessspace"/>
      </w:pPr>
      <w:r w:rsidRPr="00614E22">
        <w:t xml:space="preserve">Email: </w:t>
      </w:r>
      <w:hyperlink r:id="rId24" w:history="1">
        <w:r w:rsidRPr="005116F9">
          <w:rPr>
            <w:rStyle w:val="Hyperlink"/>
          </w:rPr>
          <w:t>karina.kennedy@act.gov.au</w:t>
        </w:r>
      </w:hyperlink>
      <w:r>
        <w:t xml:space="preserve"> </w:t>
      </w:r>
    </w:p>
    <w:p w14:paraId="4FB95945" w14:textId="77777777" w:rsidR="00614E22" w:rsidRPr="00614E22" w:rsidRDefault="00614E22" w:rsidP="00614E22">
      <w:pPr>
        <w:spacing w:before="240"/>
        <w:rPr>
          <w:rStyle w:val="Bold"/>
          <w:lang w:val="en-GB"/>
        </w:rPr>
      </w:pPr>
      <w:r w:rsidRPr="00614E22">
        <w:rPr>
          <w:rStyle w:val="Bold"/>
          <w:lang w:val="en-GB"/>
        </w:rPr>
        <w:t xml:space="preserve">New South Wales </w:t>
      </w:r>
    </w:p>
    <w:p w14:paraId="14A288C1" w14:textId="77777777" w:rsidR="00614E22" w:rsidRPr="00614E22" w:rsidRDefault="00614E22" w:rsidP="00614E22">
      <w:pPr>
        <w:pStyle w:val="Normal-lessspace"/>
      </w:pPr>
      <w:r w:rsidRPr="00614E22">
        <w:t xml:space="preserve">MM Lahra, EA </w:t>
      </w:r>
      <w:proofErr w:type="spellStart"/>
      <w:r w:rsidRPr="00614E22">
        <w:t>Limnios</w:t>
      </w:r>
      <w:proofErr w:type="spellEnd"/>
      <w:r w:rsidRPr="00614E22">
        <w:t xml:space="preserve">, TR Hogan, RL Kundu, and J, </w:t>
      </w:r>
      <w:proofErr w:type="spellStart"/>
      <w:r w:rsidRPr="00614E22">
        <w:t>Bastakoti</w:t>
      </w:r>
      <w:proofErr w:type="spellEnd"/>
    </w:p>
    <w:p w14:paraId="3A65220A" w14:textId="77777777" w:rsidR="00614E22" w:rsidRPr="00614E22" w:rsidRDefault="00614E22" w:rsidP="00614E22">
      <w:pPr>
        <w:pStyle w:val="Normal-lessspace"/>
      </w:pPr>
      <w:r w:rsidRPr="00614E22">
        <w:t>Microbiology Department, New South Wales Health Pathology, The Prince of Wales Hospital, Barker Street, Randwick NSW 2031</w:t>
      </w:r>
    </w:p>
    <w:p w14:paraId="54D7AFE0" w14:textId="77777777" w:rsidR="00614E22" w:rsidRPr="00614E22" w:rsidRDefault="00614E22" w:rsidP="00614E22">
      <w:pPr>
        <w:pStyle w:val="Normal-lessspace"/>
      </w:pPr>
      <w:r w:rsidRPr="00614E22">
        <w:t>Telephone: +61 2 9382 3689</w:t>
      </w:r>
    </w:p>
    <w:p w14:paraId="718300D5" w14:textId="77777777" w:rsidR="00614E22" w:rsidRPr="00614E22" w:rsidRDefault="00614E22" w:rsidP="00614E22">
      <w:pPr>
        <w:pStyle w:val="Normal-lessspace"/>
      </w:pPr>
      <w:r w:rsidRPr="00614E22">
        <w:t>Facsimile: +61 2 9382 3719</w:t>
      </w:r>
    </w:p>
    <w:p w14:paraId="49C3F120" w14:textId="3111CC38" w:rsidR="00614E22" w:rsidRPr="00614E22" w:rsidRDefault="00614E22" w:rsidP="00614E22">
      <w:pPr>
        <w:pStyle w:val="Normal-lessspace"/>
      </w:pPr>
      <w:r w:rsidRPr="00614E22">
        <w:t xml:space="preserve">Email: </w:t>
      </w:r>
      <w:hyperlink r:id="rId25" w:history="1">
        <w:r w:rsidRPr="005116F9">
          <w:rPr>
            <w:rStyle w:val="Hyperlink"/>
          </w:rPr>
          <w:t>monica.lahra@health.nsw.gov.au</w:t>
        </w:r>
      </w:hyperlink>
      <w:r>
        <w:t xml:space="preserve"> </w:t>
      </w:r>
    </w:p>
    <w:p w14:paraId="7D063B4D" w14:textId="77777777" w:rsidR="00614E22" w:rsidRPr="00614E22" w:rsidRDefault="00614E22" w:rsidP="00614E22">
      <w:pPr>
        <w:pStyle w:val="Normal-morespacebefore"/>
        <w:rPr>
          <w:lang w:val="en-GB"/>
        </w:rPr>
      </w:pPr>
      <w:r w:rsidRPr="00614E22">
        <w:rPr>
          <w:lang w:val="en-GB"/>
        </w:rPr>
        <w:t>M Maley, K Thapa, Y Kwok</w:t>
      </w:r>
    </w:p>
    <w:p w14:paraId="731E01A4" w14:textId="77777777" w:rsidR="00614E22" w:rsidRPr="00614E22" w:rsidRDefault="00614E22" w:rsidP="00614E22">
      <w:pPr>
        <w:pStyle w:val="Normal-lessspace"/>
      </w:pPr>
      <w:r w:rsidRPr="00614E22">
        <w:t>Department of Microbiology and Infectious Diseases, New South Wales Health Pathology, Liverpool Hospital, Liverpool NSW 2170</w:t>
      </w:r>
    </w:p>
    <w:p w14:paraId="6131D667" w14:textId="77777777" w:rsidR="00614E22" w:rsidRPr="00614E22" w:rsidRDefault="00614E22" w:rsidP="00614E22">
      <w:pPr>
        <w:pStyle w:val="Normal-lessspace"/>
      </w:pPr>
      <w:r w:rsidRPr="00614E22">
        <w:t>Telephone: +61 8738 5124</w:t>
      </w:r>
    </w:p>
    <w:p w14:paraId="4FFB27ED" w14:textId="77777777" w:rsidR="00614E22" w:rsidRPr="00614E22" w:rsidRDefault="00614E22" w:rsidP="00614E22">
      <w:pPr>
        <w:pStyle w:val="Normal-lessspace"/>
      </w:pPr>
      <w:r w:rsidRPr="00614E22">
        <w:t>Facsimile: +61 2 8738 5129</w:t>
      </w:r>
    </w:p>
    <w:p w14:paraId="71378842" w14:textId="74EB1092" w:rsidR="00614E22" w:rsidRPr="00614E22" w:rsidRDefault="00614E22" w:rsidP="00614E22">
      <w:pPr>
        <w:pStyle w:val="Normal-lessspace"/>
      </w:pPr>
      <w:r w:rsidRPr="00614E22">
        <w:t xml:space="preserve">Email: </w:t>
      </w:r>
      <w:hyperlink r:id="rId26" w:history="1">
        <w:r w:rsidRPr="005116F9">
          <w:rPr>
            <w:rStyle w:val="Hyperlink"/>
          </w:rPr>
          <w:t>Michael.maley@health.nsw.gov.au</w:t>
        </w:r>
      </w:hyperlink>
      <w:r>
        <w:t xml:space="preserve"> </w:t>
      </w:r>
    </w:p>
    <w:p w14:paraId="7A735205" w14:textId="59F77C6D" w:rsidR="00614E22" w:rsidRPr="00614E22" w:rsidRDefault="00614E22" w:rsidP="00614E22">
      <w:pPr>
        <w:spacing w:before="240"/>
        <w:rPr>
          <w:rStyle w:val="Bold"/>
          <w:lang w:val="en-GB"/>
        </w:rPr>
      </w:pPr>
      <w:r w:rsidRPr="00614E22">
        <w:rPr>
          <w:rStyle w:val="Bold"/>
          <w:lang w:val="en-GB"/>
        </w:rPr>
        <w:t>Northern Territory</w:t>
      </w:r>
    </w:p>
    <w:p w14:paraId="351E885F" w14:textId="77777777" w:rsidR="00614E22" w:rsidRPr="00614E22" w:rsidRDefault="00614E22" w:rsidP="00614E22">
      <w:pPr>
        <w:pStyle w:val="Normal-lessspace"/>
      </w:pPr>
      <w:r w:rsidRPr="00614E22">
        <w:t>R Baird, K Freeman</w:t>
      </w:r>
    </w:p>
    <w:p w14:paraId="6F627668" w14:textId="198C0795" w:rsidR="00614E22" w:rsidRPr="00614E22" w:rsidRDefault="00614E22" w:rsidP="00614E22">
      <w:pPr>
        <w:pStyle w:val="Normal-lessspace"/>
      </w:pPr>
      <w:r w:rsidRPr="00614E22">
        <w:t>Microbiology Department, Territory Pathology, Royal Darwin Hospital, Rocklands Drive, Tiwi</w:t>
      </w:r>
      <w:r>
        <w:t> </w:t>
      </w:r>
      <w:r w:rsidRPr="00614E22">
        <w:t>NT</w:t>
      </w:r>
      <w:r>
        <w:t> </w:t>
      </w:r>
      <w:r w:rsidRPr="00614E22">
        <w:t xml:space="preserve">0810 </w:t>
      </w:r>
    </w:p>
    <w:p w14:paraId="2F656214" w14:textId="77777777" w:rsidR="00614E22" w:rsidRPr="00614E22" w:rsidRDefault="00614E22" w:rsidP="00614E22">
      <w:pPr>
        <w:pStyle w:val="Normal-lessspace"/>
      </w:pPr>
      <w:r w:rsidRPr="00614E22">
        <w:t>Telephone: +61 8 8922 8685</w:t>
      </w:r>
    </w:p>
    <w:p w14:paraId="5F705B20" w14:textId="77777777" w:rsidR="00614E22" w:rsidRPr="00614E22" w:rsidRDefault="00614E22" w:rsidP="00614E22">
      <w:pPr>
        <w:pStyle w:val="Normal-lessspace"/>
      </w:pPr>
      <w:r w:rsidRPr="00614E22">
        <w:t>Facsimile: +61 8 8922 7788</w:t>
      </w:r>
    </w:p>
    <w:p w14:paraId="7464CDDD" w14:textId="67182F30" w:rsidR="00614E22" w:rsidRPr="00614E22" w:rsidRDefault="00614E22" w:rsidP="00614E22">
      <w:pPr>
        <w:pStyle w:val="Normal-lessspace"/>
      </w:pPr>
      <w:r w:rsidRPr="00614E22">
        <w:t xml:space="preserve">Email: </w:t>
      </w:r>
      <w:hyperlink r:id="rId27" w:history="1">
        <w:r w:rsidRPr="005116F9">
          <w:rPr>
            <w:rStyle w:val="Hyperlink"/>
          </w:rPr>
          <w:t>rob.baird@nt.gov.au</w:t>
        </w:r>
      </w:hyperlink>
      <w:r>
        <w:t xml:space="preserve"> </w:t>
      </w:r>
    </w:p>
    <w:p w14:paraId="5A3A7F0F" w14:textId="77777777" w:rsidR="00614E22" w:rsidRPr="00614E22" w:rsidRDefault="00614E22" w:rsidP="00614E22">
      <w:pPr>
        <w:spacing w:before="240"/>
        <w:rPr>
          <w:rStyle w:val="Bold"/>
          <w:lang w:val="en-GB"/>
        </w:rPr>
      </w:pPr>
      <w:r w:rsidRPr="00614E22">
        <w:rPr>
          <w:rStyle w:val="Bold"/>
          <w:lang w:val="en-GB"/>
        </w:rPr>
        <w:lastRenderedPageBreak/>
        <w:t xml:space="preserve">Queensland </w:t>
      </w:r>
    </w:p>
    <w:p w14:paraId="11295252" w14:textId="77777777" w:rsidR="00614E22" w:rsidRPr="00614E22" w:rsidRDefault="00614E22" w:rsidP="00614E22">
      <w:pPr>
        <w:pStyle w:val="Normal-lessspace"/>
      </w:pPr>
      <w:r w:rsidRPr="00614E22">
        <w:t>S Schlebusch, R Graham, A Jennison and K Le</w:t>
      </w:r>
    </w:p>
    <w:p w14:paraId="7947CE88" w14:textId="77777777" w:rsidR="00614E22" w:rsidRPr="00614E22" w:rsidRDefault="00614E22" w:rsidP="00614E22">
      <w:pPr>
        <w:pStyle w:val="Normal-lessspace"/>
      </w:pPr>
      <w:r w:rsidRPr="00614E22">
        <w:t xml:space="preserve">Public Health Microbiology, Queensland Health Forensic and Scientific Services, 39 </w:t>
      </w:r>
      <w:proofErr w:type="spellStart"/>
      <w:r w:rsidRPr="00614E22">
        <w:t>Kessels</w:t>
      </w:r>
      <w:proofErr w:type="spellEnd"/>
      <w:r w:rsidRPr="00614E22">
        <w:t xml:space="preserve"> Road, Coopers Plains Qld 4108</w:t>
      </w:r>
    </w:p>
    <w:p w14:paraId="52CB20D4" w14:textId="77777777" w:rsidR="00614E22" w:rsidRPr="00614E22" w:rsidRDefault="00614E22" w:rsidP="00614E22">
      <w:pPr>
        <w:pStyle w:val="Normal-lessspace"/>
      </w:pPr>
      <w:r w:rsidRPr="00614E22">
        <w:t>Telephone: +61 7 3096 2919</w:t>
      </w:r>
    </w:p>
    <w:p w14:paraId="55B754BC" w14:textId="77777777" w:rsidR="00614E22" w:rsidRPr="00614E22" w:rsidRDefault="00614E22" w:rsidP="00614E22">
      <w:pPr>
        <w:pStyle w:val="Normal-lessspace"/>
      </w:pPr>
      <w:r w:rsidRPr="00614E22">
        <w:t>Facsimile: +61 7 3096 2973, +61 7 3274 9175</w:t>
      </w:r>
    </w:p>
    <w:p w14:paraId="753A8377" w14:textId="5A7E797E" w:rsidR="00614E22" w:rsidRPr="00614E22" w:rsidRDefault="00614E22" w:rsidP="00614E22">
      <w:pPr>
        <w:pStyle w:val="Normal-lessspace"/>
      </w:pPr>
      <w:r w:rsidRPr="00614E22">
        <w:t xml:space="preserve">Email: </w:t>
      </w:r>
      <w:hyperlink r:id="rId28" w:history="1">
        <w:r w:rsidRPr="005116F9">
          <w:rPr>
            <w:rStyle w:val="Hyperlink"/>
          </w:rPr>
          <w:t>Amy.Jennison@health.qld.gov.au</w:t>
        </w:r>
      </w:hyperlink>
      <w:r>
        <w:t xml:space="preserve"> </w:t>
      </w:r>
    </w:p>
    <w:p w14:paraId="60D25DE5" w14:textId="77777777" w:rsidR="00614E22" w:rsidRPr="00614E22" w:rsidRDefault="00614E22" w:rsidP="00614E22">
      <w:pPr>
        <w:spacing w:before="240"/>
        <w:rPr>
          <w:rStyle w:val="Bold"/>
          <w:lang w:val="en-GB"/>
        </w:rPr>
      </w:pPr>
      <w:r w:rsidRPr="00614E22">
        <w:rPr>
          <w:rStyle w:val="Bold"/>
          <w:lang w:val="en-GB"/>
        </w:rPr>
        <w:t xml:space="preserve">South Australia </w:t>
      </w:r>
    </w:p>
    <w:p w14:paraId="0169092A" w14:textId="77777777" w:rsidR="00614E22" w:rsidRPr="00614E22" w:rsidRDefault="00614E22" w:rsidP="00614E22">
      <w:pPr>
        <w:pStyle w:val="Normal-lessspace"/>
      </w:pPr>
      <w:r w:rsidRPr="00614E22">
        <w:t>M Warner, L Leong, M Hodgson</w:t>
      </w:r>
    </w:p>
    <w:p w14:paraId="3591441C" w14:textId="77777777" w:rsidR="00614E22" w:rsidRPr="00614E22" w:rsidRDefault="00614E22" w:rsidP="00614E22">
      <w:pPr>
        <w:pStyle w:val="Normal-lessspace"/>
      </w:pPr>
      <w:r w:rsidRPr="00614E22">
        <w:t>SA Pathology, Royal Adelaide Hospital Site, Microbiology and Infectious Diseases, Royal Adelaide Hospital, North Terrace, Adelaide, SA 5000</w:t>
      </w:r>
    </w:p>
    <w:p w14:paraId="20EEB453" w14:textId="77777777" w:rsidR="00614E22" w:rsidRPr="00614E22" w:rsidRDefault="00614E22" w:rsidP="00614E22">
      <w:pPr>
        <w:pStyle w:val="Normal-lessspace"/>
      </w:pPr>
      <w:r w:rsidRPr="00614E22">
        <w:t>Telephone: +61 8 8222 3382</w:t>
      </w:r>
    </w:p>
    <w:p w14:paraId="0088A468" w14:textId="77777777" w:rsidR="00614E22" w:rsidRPr="00614E22" w:rsidRDefault="00614E22" w:rsidP="00614E22">
      <w:pPr>
        <w:pStyle w:val="Normal-lessspace"/>
      </w:pPr>
      <w:r w:rsidRPr="00614E22">
        <w:t>Facsimile: +61 8 222 3543</w:t>
      </w:r>
    </w:p>
    <w:p w14:paraId="1517CB80" w14:textId="4636E418" w:rsidR="00614E22" w:rsidRPr="00614E22" w:rsidRDefault="00614E22" w:rsidP="00614E22">
      <w:pPr>
        <w:pStyle w:val="Normal-lessspace"/>
      </w:pPr>
      <w:r w:rsidRPr="00614E22">
        <w:t xml:space="preserve">Email: </w:t>
      </w:r>
      <w:hyperlink r:id="rId29" w:history="1">
        <w:r w:rsidRPr="005116F9">
          <w:rPr>
            <w:rStyle w:val="Hyperlink"/>
          </w:rPr>
          <w:t>Lex.Leong@sa.gov.au</w:t>
        </w:r>
      </w:hyperlink>
      <w:r>
        <w:t xml:space="preserve"> </w:t>
      </w:r>
    </w:p>
    <w:p w14:paraId="4CE6BD4D" w14:textId="77777777" w:rsidR="00614E22" w:rsidRPr="00614E22" w:rsidRDefault="00614E22" w:rsidP="00614E22">
      <w:pPr>
        <w:spacing w:before="240"/>
        <w:rPr>
          <w:rStyle w:val="Bold"/>
          <w:lang w:val="en-GB"/>
        </w:rPr>
      </w:pPr>
      <w:r w:rsidRPr="00614E22">
        <w:rPr>
          <w:rStyle w:val="Bold"/>
          <w:lang w:val="en-GB"/>
        </w:rPr>
        <w:t xml:space="preserve">Tasmania </w:t>
      </w:r>
    </w:p>
    <w:p w14:paraId="4AF9031C" w14:textId="77777777" w:rsidR="00614E22" w:rsidRPr="00614E22" w:rsidRDefault="00614E22" w:rsidP="00614E22">
      <w:pPr>
        <w:pStyle w:val="Normal-lessspace"/>
      </w:pPr>
      <w:r w:rsidRPr="00614E22">
        <w:t>L Cooley, B McEwan</w:t>
      </w:r>
    </w:p>
    <w:p w14:paraId="4DF919F2" w14:textId="77777777" w:rsidR="00614E22" w:rsidRPr="00614E22" w:rsidRDefault="00614E22" w:rsidP="00614E22">
      <w:pPr>
        <w:pStyle w:val="Normal-lessspace"/>
      </w:pPr>
      <w:r w:rsidRPr="00614E22">
        <w:t xml:space="preserve">Department of Microbiology and Infectious Diseases, Royal Hobart Hospital, 48 Liverpool Street, Hobart Tasmania 7000 </w:t>
      </w:r>
    </w:p>
    <w:p w14:paraId="68652B68" w14:textId="77777777" w:rsidR="00614E22" w:rsidRPr="00614E22" w:rsidRDefault="00614E22" w:rsidP="00614E22">
      <w:pPr>
        <w:pStyle w:val="Normal-lessspace"/>
      </w:pPr>
      <w:r w:rsidRPr="00614E22">
        <w:t>Telephone: +61 3 6166 8417</w:t>
      </w:r>
    </w:p>
    <w:p w14:paraId="0C3F3476" w14:textId="2AE79053" w:rsidR="00614E22" w:rsidRPr="00614E22" w:rsidRDefault="00614E22" w:rsidP="00614E22">
      <w:pPr>
        <w:pStyle w:val="Normal-lessspace"/>
      </w:pPr>
      <w:r w:rsidRPr="00614E22">
        <w:t xml:space="preserve">Email: </w:t>
      </w:r>
      <w:hyperlink r:id="rId30" w:history="1">
        <w:r w:rsidRPr="005116F9">
          <w:rPr>
            <w:rStyle w:val="Hyperlink"/>
          </w:rPr>
          <w:t>belinda.mcewan@ths.tas.gov.au</w:t>
        </w:r>
      </w:hyperlink>
      <w:r>
        <w:t xml:space="preserve"> </w:t>
      </w:r>
    </w:p>
    <w:p w14:paraId="6FCC5A1F" w14:textId="77777777" w:rsidR="00614E22" w:rsidRPr="00614E22" w:rsidRDefault="00614E22" w:rsidP="00614E22">
      <w:pPr>
        <w:spacing w:before="240"/>
        <w:rPr>
          <w:rStyle w:val="Bold"/>
          <w:lang w:val="en-GB"/>
        </w:rPr>
      </w:pPr>
      <w:r w:rsidRPr="00614E22">
        <w:rPr>
          <w:rStyle w:val="Bold"/>
          <w:lang w:val="en-GB"/>
        </w:rPr>
        <w:t xml:space="preserve">Victoria </w:t>
      </w:r>
    </w:p>
    <w:p w14:paraId="0DAA4D81" w14:textId="77777777" w:rsidR="00614E22" w:rsidRPr="00614E22" w:rsidRDefault="00614E22" w:rsidP="00614E22">
      <w:pPr>
        <w:pStyle w:val="Normal-lessspace"/>
      </w:pPr>
      <w:r w:rsidRPr="00614E22">
        <w:t xml:space="preserve">B Howden, P </w:t>
      </w:r>
      <w:proofErr w:type="spellStart"/>
      <w:r w:rsidRPr="00614E22">
        <w:t>Roydhouse</w:t>
      </w:r>
      <w:proofErr w:type="spellEnd"/>
      <w:r w:rsidRPr="00614E22">
        <w:t>, S. Tawil, M Sait</w:t>
      </w:r>
    </w:p>
    <w:p w14:paraId="596BF340" w14:textId="77777777" w:rsidR="00614E22" w:rsidRPr="00614E22" w:rsidRDefault="00614E22" w:rsidP="00614E22">
      <w:pPr>
        <w:pStyle w:val="Normal-lessspace"/>
      </w:pPr>
      <w:r w:rsidRPr="00614E22">
        <w:t>Microbiological Diagnostic Unit Public Health Laboratory, Department of Microbiology and Immunology, The Peter Doherty Institute, 792 Elizabeth Street, Melbourne, Victoria 3000</w:t>
      </w:r>
    </w:p>
    <w:p w14:paraId="1D5FD098" w14:textId="77777777" w:rsidR="00614E22" w:rsidRPr="00614E22" w:rsidRDefault="00614E22" w:rsidP="00614E22">
      <w:pPr>
        <w:pStyle w:val="Normal-lessspace"/>
      </w:pPr>
      <w:r w:rsidRPr="00614E22">
        <w:t>Telephone: +61 3 8344 5713</w:t>
      </w:r>
    </w:p>
    <w:p w14:paraId="7FD211BC" w14:textId="77777777" w:rsidR="00614E22" w:rsidRPr="00614E22" w:rsidRDefault="00614E22" w:rsidP="00614E22">
      <w:pPr>
        <w:pStyle w:val="Normal-lessspace"/>
      </w:pPr>
      <w:r w:rsidRPr="00614E22">
        <w:t>Facsimile: +61 3 8344 7833</w:t>
      </w:r>
    </w:p>
    <w:p w14:paraId="38FF542E" w14:textId="67D7E2EA" w:rsidR="00614E22" w:rsidRPr="00614E22" w:rsidRDefault="00614E22" w:rsidP="00614E22">
      <w:pPr>
        <w:pStyle w:val="Normal-lessspace"/>
      </w:pPr>
      <w:r w:rsidRPr="00614E22">
        <w:t xml:space="preserve">Email: </w:t>
      </w:r>
      <w:hyperlink r:id="rId31" w:history="1">
        <w:r w:rsidRPr="005116F9">
          <w:rPr>
            <w:rStyle w:val="Hyperlink"/>
          </w:rPr>
          <w:t>kerries@unimelb.edu.au</w:t>
        </w:r>
      </w:hyperlink>
      <w:r>
        <w:t xml:space="preserve"> </w:t>
      </w:r>
    </w:p>
    <w:p w14:paraId="364D3E5B" w14:textId="77777777" w:rsidR="00614E22" w:rsidRPr="00614E22" w:rsidRDefault="00614E22" w:rsidP="00614E22">
      <w:pPr>
        <w:spacing w:before="240"/>
        <w:rPr>
          <w:rStyle w:val="Bold"/>
          <w:lang w:val="en-GB"/>
        </w:rPr>
      </w:pPr>
      <w:r w:rsidRPr="00614E22">
        <w:rPr>
          <w:rStyle w:val="Bold"/>
          <w:lang w:val="en-GB"/>
        </w:rPr>
        <w:t xml:space="preserve">Western Australia </w:t>
      </w:r>
    </w:p>
    <w:p w14:paraId="4C5DF423" w14:textId="77777777" w:rsidR="00614E22" w:rsidRPr="00614E22" w:rsidRDefault="00614E22" w:rsidP="00614E22">
      <w:pPr>
        <w:pStyle w:val="Normal-lessspace"/>
      </w:pPr>
      <w:r w:rsidRPr="00614E22">
        <w:t>D Speers, R Ferdinand</w:t>
      </w:r>
    </w:p>
    <w:p w14:paraId="4B6BBCB4" w14:textId="77777777" w:rsidR="00614E22" w:rsidRPr="00614E22" w:rsidRDefault="00614E22" w:rsidP="00614E22">
      <w:pPr>
        <w:pStyle w:val="Normal-lessspace"/>
      </w:pPr>
      <w:r w:rsidRPr="00614E22">
        <w:t>Department of Microbiology, QEII Medical Centre, PP Block Level 5, PathWest Laboratory Medicine, Hospital Avenue, Nedlands, WA 6009</w:t>
      </w:r>
    </w:p>
    <w:p w14:paraId="7F3324FF" w14:textId="77777777" w:rsidR="00614E22" w:rsidRPr="00614E22" w:rsidRDefault="00614E22" w:rsidP="00614E22">
      <w:pPr>
        <w:pStyle w:val="Normal-lessspace"/>
      </w:pPr>
      <w:r w:rsidRPr="00614E22">
        <w:t>Telephone: +61 8 6383 4501</w:t>
      </w:r>
    </w:p>
    <w:p w14:paraId="681F4225" w14:textId="77777777" w:rsidR="00614E22" w:rsidRPr="00614E22" w:rsidRDefault="00614E22" w:rsidP="00614E22">
      <w:pPr>
        <w:pStyle w:val="Normal-lessspace"/>
      </w:pPr>
      <w:r w:rsidRPr="00614E22">
        <w:t>Facsimile: +61 8 9382 8046</w:t>
      </w:r>
    </w:p>
    <w:p w14:paraId="4CBA05F3" w14:textId="372FF378" w:rsidR="00F216F0" w:rsidRPr="008017B6" w:rsidRDefault="00614E22" w:rsidP="00614E22">
      <w:pPr>
        <w:pStyle w:val="Normal-lessspace"/>
      </w:pPr>
      <w:r w:rsidRPr="00614E22">
        <w:t xml:space="preserve">Email: </w:t>
      </w:r>
      <w:hyperlink r:id="rId32" w:history="1">
        <w:r w:rsidRPr="005116F9">
          <w:rPr>
            <w:rStyle w:val="Hyperlink"/>
          </w:rPr>
          <w:t>Rebecca.Ferdinand@health.wa.gov.au</w:t>
        </w:r>
      </w:hyperlink>
      <w:r>
        <w:t xml:space="preserve"> </w:t>
      </w:r>
    </w:p>
    <w:p w14:paraId="17830E73" w14:textId="77777777" w:rsidR="008A0736" w:rsidRDefault="008A0736" w:rsidP="008A0736">
      <w:pPr>
        <w:pStyle w:val="Heading1"/>
      </w:pPr>
      <w:bookmarkStart w:id="49" w:name="_Toc213312980"/>
      <w:r>
        <w:lastRenderedPageBreak/>
        <w:t>Author details</w:t>
      </w:r>
      <w:bookmarkEnd w:id="48"/>
      <w:bookmarkEnd w:id="49"/>
    </w:p>
    <w:p w14:paraId="7C869B1C" w14:textId="77777777" w:rsidR="00F22AA0" w:rsidRPr="00F22AA0" w:rsidRDefault="00F22AA0" w:rsidP="00F22AA0">
      <w:pPr>
        <w:rPr>
          <w:lang w:val="en-GB"/>
        </w:rPr>
      </w:pPr>
      <w:r w:rsidRPr="00F22AA0">
        <w:rPr>
          <w:lang w:val="en-GB"/>
        </w:rPr>
        <w:t>Monica M Lahra</w:t>
      </w:r>
      <w:r w:rsidRPr="00F22AA0">
        <w:rPr>
          <w:vertAlign w:val="superscript"/>
          <w:lang w:val="en-GB"/>
        </w:rPr>
        <w:t>1,2</w:t>
      </w:r>
      <w:r w:rsidRPr="00F22AA0">
        <w:rPr>
          <w:lang w:val="en-GB"/>
        </w:rPr>
        <w:t xml:space="preserve"> </w:t>
      </w:r>
    </w:p>
    <w:p w14:paraId="52F976E2" w14:textId="77777777" w:rsidR="00F22AA0" w:rsidRPr="00F22AA0" w:rsidRDefault="00F22AA0" w:rsidP="00F22AA0">
      <w:pPr>
        <w:pStyle w:val="Normal-lessspace"/>
      </w:pPr>
      <w:r w:rsidRPr="00F22AA0">
        <w:t>Siobhan M Hurley</w:t>
      </w:r>
      <w:r w:rsidRPr="00F22AA0">
        <w:rPr>
          <w:vertAlign w:val="superscript"/>
        </w:rPr>
        <w:t>1</w:t>
      </w:r>
    </w:p>
    <w:p w14:paraId="4752A3BA" w14:textId="77777777" w:rsidR="00F22AA0" w:rsidRPr="00F22AA0" w:rsidRDefault="00F22AA0" w:rsidP="00F22AA0">
      <w:pPr>
        <w:pStyle w:val="Normal-lessspace"/>
      </w:pPr>
      <w:r w:rsidRPr="00F22AA0">
        <w:t>C R Robert George</w:t>
      </w:r>
      <w:r w:rsidRPr="00F22AA0">
        <w:rPr>
          <w:vertAlign w:val="superscript"/>
        </w:rPr>
        <w:t>3</w:t>
      </w:r>
      <w:r w:rsidRPr="00F22AA0">
        <w:t xml:space="preserve"> </w:t>
      </w:r>
    </w:p>
    <w:p w14:paraId="485FF86D" w14:textId="77777777" w:rsidR="00F22AA0" w:rsidRPr="00F22AA0" w:rsidRDefault="00F22AA0" w:rsidP="00F22AA0">
      <w:pPr>
        <w:pStyle w:val="Normal-lessspace"/>
      </w:pPr>
      <w:r w:rsidRPr="00F22AA0">
        <w:t>Sebastiaan J van Hal</w:t>
      </w:r>
      <w:r w:rsidRPr="00F22AA0">
        <w:rPr>
          <w:vertAlign w:val="superscript"/>
        </w:rPr>
        <w:t>4,5</w:t>
      </w:r>
      <w:r w:rsidRPr="00F22AA0">
        <w:t xml:space="preserve"> </w:t>
      </w:r>
    </w:p>
    <w:p w14:paraId="24CA4FFB" w14:textId="77777777" w:rsidR="00F22AA0" w:rsidRPr="00F22AA0" w:rsidRDefault="00F22AA0" w:rsidP="00F22AA0">
      <w:pPr>
        <w:pStyle w:val="Normal-lessspace"/>
      </w:pPr>
      <w:r w:rsidRPr="00F22AA0">
        <w:t>Tiffany R Hogan</w:t>
      </w:r>
      <w:r w:rsidRPr="00F22AA0">
        <w:rPr>
          <w:vertAlign w:val="superscript"/>
        </w:rPr>
        <w:t>1</w:t>
      </w:r>
      <w:r w:rsidRPr="00F22AA0">
        <w:t xml:space="preserve"> </w:t>
      </w:r>
    </w:p>
    <w:p w14:paraId="006B169F" w14:textId="77777777" w:rsidR="00F22AA0" w:rsidRPr="00F22AA0" w:rsidRDefault="00F22AA0" w:rsidP="00F22AA0">
      <w:pPr>
        <w:pStyle w:val="CDINumberedList1L1"/>
        <w:rPr>
          <w:lang w:val="en-GB"/>
        </w:rPr>
      </w:pPr>
      <w:r w:rsidRPr="00F22AA0">
        <w:rPr>
          <w:lang w:val="en-GB"/>
        </w:rPr>
        <w:t xml:space="preserve">NSW Health Pathology World Health Organisation Collaborating Centre for STI and AMR, Sydney and Neisseria Reference Laboratory, Department of Microbiology, The Prince of Wales Hospital, Randwick, 2031, NSW Australia </w:t>
      </w:r>
    </w:p>
    <w:p w14:paraId="274F7B59" w14:textId="77777777" w:rsidR="00F22AA0" w:rsidRPr="00F22AA0" w:rsidRDefault="00F22AA0" w:rsidP="00F22AA0">
      <w:pPr>
        <w:pStyle w:val="CDINumberedList1L1"/>
        <w:rPr>
          <w:lang w:val="en-GB"/>
        </w:rPr>
      </w:pPr>
      <w:r w:rsidRPr="00F22AA0">
        <w:rPr>
          <w:lang w:val="en-GB"/>
        </w:rPr>
        <w:t xml:space="preserve">School of Medical Sciences, Faculty of Medicine, The University of New South Wales, NSW, 2052 Australia </w:t>
      </w:r>
    </w:p>
    <w:p w14:paraId="2F3BD7E8" w14:textId="77777777" w:rsidR="00F22AA0" w:rsidRPr="00F22AA0" w:rsidRDefault="00F22AA0" w:rsidP="00F22AA0">
      <w:pPr>
        <w:pStyle w:val="CDINumberedList1L1"/>
        <w:rPr>
          <w:lang w:val="en-GB"/>
        </w:rPr>
      </w:pPr>
      <w:r w:rsidRPr="00F22AA0">
        <w:rPr>
          <w:lang w:val="en-GB"/>
        </w:rPr>
        <w:t xml:space="preserve">NSW Health Pathology, John Hunter Hospital, Newcastle, 2300, NSW Australia </w:t>
      </w:r>
    </w:p>
    <w:p w14:paraId="25D6A4B4" w14:textId="77777777" w:rsidR="00F22AA0" w:rsidRPr="00F22AA0" w:rsidRDefault="00F22AA0" w:rsidP="00F22AA0">
      <w:pPr>
        <w:pStyle w:val="CDINumberedList1L1"/>
        <w:rPr>
          <w:lang w:val="en-GB"/>
        </w:rPr>
      </w:pPr>
      <w:r w:rsidRPr="00F22AA0">
        <w:rPr>
          <w:lang w:val="en-GB"/>
        </w:rPr>
        <w:t xml:space="preserve">NSW Health Pathology, Microbiology, Royal Prince Alfred Hospital Camperdown, NSW, Australia </w:t>
      </w:r>
    </w:p>
    <w:p w14:paraId="36795F2D" w14:textId="77777777" w:rsidR="00F22AA0" w:rsidRPr="00F22AA0" w:rsidRDefault="00F22AA0" w:rsidP="00F22AA0">
      <w:pPr>
        <w:pStyle w:val="CDINumberedList1L1"/>
        <w:rPr>
          <w:lang w:val="en-GB"/>
        </w:rPr>
      </w:pPr>
      <w:r w:rsidRPr="00F22AA0">
        <w:rPr>
          <w:lang w:val="en-GB"/>
        </w:rPr>
        <w:t xml:space="preserve">School of Medicine, University of Sydney </w:t>
      </w:r>
    </w:p>
    <w:p w14:paraId="133E772A" w14:textId="77777777" w:rsidR="00423436" w:rsidRDefault="00423436" w:rsidP="00423436">
      <w:pPr>
        <w:pStyle w:val="CDICorrespondingauthor"/>
      </w:pPr>
      <w:r>
        <w:t>Corresponding author</w:t>
      </w:r>
    </w:p>
    <w:p w14:paraId="61D188F7" w14:textId="77777777" w:rsidR="009F6EB2" w:rsidRPr="009F6EB2" w:rsidRDefault="009F6EB2" w:rsidP="009F6EB2">
      <w:pPr>
        <w:rPr>
          <w:lang w:val="en-GB"/>
        </w:rPr>
      </w:pPr>
      <w:r w:rsidRPr="009F6EB2">
        <w:rPr>
          <w:lang w:val="en-GB"/>
        </w:rPr>
        <w:t xml:space="preserve">Professor Monica M. Lahra </w:t>
      </w:r>
    </w:p>
    <w:p w14:paraId="3E805FF2" w14:textId="77777777" w:rsidR="009F6EB2" w:rsidRPr="009F6EB2" w:rsidRDefault="009F6EB2" w:rsidP="009F6EB2">
      <w:pPr>
        <w:rPr>
          <w:lang w:val="en-GB"/>
        </w:rPr>
      </w:pPr>
      <w:r w:rsidRPr="009F6EB2">
        <w:rPr>
          <w:lang w:val="en-GB"/>
        </w:rPr>
        <w:t>Director, Microbiology Department Neisseria Reference Laboratory and</w:t>
      </w:r>
      <w:r w:rsidRPr="009F6EB2">
        <w:rPr>
          <w:lang w:val="en-GB"/>
        </w:rPr>
        <w:br/>
        <w:t>WHO Collaborating Centre for STI and AMR,</w:t>
      </w:r>
      <w:r w:rsidRPr="009F6EB2">
        <w:rPr>
          <w:lang w:val="en-GB"/>
        </w:rPr>
        <w:br/>
        <w:t>NSW Health Pathology, Level 4, Campus Centre, The Prince of Wales Hospital, Randwick NSW, 2031</w:t>
      </w:r>
    </w:p>
    <w:p w14:paraId="5DED9630" w14:textId="77777777" w:rsidR="009F6EB2" w:rsidRPr="009F6EB2" w:rsidRDefault="009F6EB2" w:rsidP="009F6EB2">
      <w:pPr>
        <w:rPr>
          <w:lang w:val="en-GB"/>
        </w:rPr>
      </w:pPr>
      <w:r w:rsidRPr="009F6EB2">
        <w:rPr>
          <w:lang w:val="en-GB"/>
        </w:rPr>
        <w:t>Telephone: +61 2 9382 3689</w:t>
      </w:r>
    </w:p>
    <w:p w14:paraId="7EA79004" w14:textId="77777777" w:rsidR="009F6EB2" w:rsidRPr="009F6EB2" w:rsidRDefault="009F6EB2" w:rsidP="009F6EB2">
      <w:pPr>
        <w:rPr>
          <w:lang w:val="en-GB"/>
        </w:rPr>
      </w:pPr>
      <w:r w:rsidRPr="009F6EB2">
        <w:rPr>
          <w:lang w:val="en-GB"/>
        </w:rPr>
        <w:t>Facsimile: +61 2 9382 3719</w:t>
      </w:r>
    </w:p>
    <w:p w14:paraId="5E6E3323" w14:textId="073F749D" w:rsidR="008A0736" w:rsidRDefault="009F6EB2" w:rsidP="00423436">
      <w:r w:rsidRPr="009F6EB2">
        <w:rPr>
          <w:lang w:val="en-GB"/>
        </w:rPr>
        <w:t xml:space="preserve">Email: </w:t>
      </w:r>
      <w:hyperlink r:id="rId33" w:history="1">
        <w:r w:rsidRPr="009F6EB2">
          <w:rPr>
            <w:rStyle w:val="Hyperlink"/>
            <w:lang w:val="en-GB"/>
          </w:rPr>
          <w:t>monica.lahra@health.nsw.gov.au</w:t>
        </w:r>
      </w:hyperlink>
      <w:r>
        <w:rPr>
          <w:lang w:val="en-GB"/>
        </w:rPr>
        <w:t xml:space="preserve"> </w:t>
      </w:r>
    </w:p>
    <w:p w14:paraId="44ACBE59" w14:textId="77777777" w:rsidR="008A0736" w:rsidRDefault="008A0736" w:rsidP="00122ADA">
      <w:pPr>
        <w:pStyle w:val="Heading1"/>
      </w:pPr>
      <w:bookmarkStart w:id="50" w:name="_Toc195530511"/>
      <w:bookmarkStart w:id="51" w:name="_Toc213312981"/>
      <w:r>
        <w:lastRenderedPageBreak/>
        <w:t>References</w:t>
      </w:r>
      <w:bookmarkEnd w:id="50"/>
      <w:bookmarkEnd w:id="51"/>
    </w:p>
    <w:p w14:paraId="7D6B8EC8" w14:textId="77777777" w:rsidR="00B168FD" w:rsidRPr="00EC747A" w:rsidRDefault="00B168FD" w:rsidP="00EC747A">
      <w:pPr>
        <w:pStyle w:val="CDINumberedList1L1"/>
        <w:numPr>
          <w:ilvl w:val="0"/>
          <w:numId w:val="10"/>
        </w:numPr>
        <w:ind w:left="397" w:hanging="397"/>
        <w:rPr>
          <w:lang w:val="en-GB"/>
        </w:rPr>
      </w:pPr>
      <w:r w:rsidRPr="00EC747A">
        <w:rPr>
          <w:lang w:val="en-GB"/>
        </w:rPr>
        <w:t xml:space="preserve">National Neisseria Network. Meningococcal Isolate Surveillance Australia 1994. </w:t>
      </w:r>
      <w:r w:rsidRPr="00EC747A">
        <w:rPr>
          <w:i/>
          <w:iCs/>
          <w:lang w:val="en-GB"/>
        </w:rPr>
        <w:t>Commun Dis Intell</w:t>
      </w:r>
      <w:r w:rsidRPr="00EC747A">
        <w:rPr>
          <w:lang w:val="en-GB"/>
        </w:rPr>
        <w:t xml:space="preserve">. 1995;19(12):286–9. </w:t>
      </w:r>
    </w:p>
    <w:p w14:paraId="22519B39" w14:textId="31461D3D" w:rsidR="00B168FD" w:rsidRPr="00EC747A" w:rsidRDefault="00B168FD" w:rsidP="00EC747A">
      <w:pPr>
        <w:pStyle w:val="CDINumberedList1L1"/>
        <w:ind w:left="397" w:hanging="397"/>
        <w:rPr>
          <w:lang w:val="en-GB"/>
        </w:rPr>
      </w:pPr>
      <w:r w:rsidRPr="00EC747A">
        <w:rPr>
          <w:lang w:val="en-GB"/>
        </w:rPr>
        <w:t xml:space="preserve">Australian Government Department of Health, Disability and Ageing. National Notifiable Diseases Surveillance System (NNDSS) data visualisation tool. [Webpage.] Canberra: Australian Government Department of Health, Disability and Ageing; 14 December 2022. [Accessed on 20 January 2025.] Available from: </w:t>
      </w:r>
      <w:hyperlink r:id="rId34" w:history="1">
        <w:r w:rsidR="00493407" w:rsidRPr="005116F9">
          <w:rPr>
            <w:rStyle w:val="Hyperlink"/>
            <w:lang w:val="en-GB"/>
          </w:rPr>
          <w:t>https://www.health.gov.au/resources/apps-and-tools/national-notifiable-diseases-surveillance-system-nndss-data-visualisation-tool</w:t>
        </w:r>
      </w:hyperlink>
      <w:r w:rsidRPr="00EC747A">
        <w:rPr>
          <w:lang w:val="en-GB"/>
        </w:rPr>
        <w:t>.</w:t>
      </w:r>
    </w:p>
    <w:p w14:paraId="2FBCAA42" w14:textId="296DC778" w:rsidR="00B168FD" w:rsidRPr="00EC747A" w:rsidRDefault="00B168FD" w:rsidP="00EC747A">
      <w:pPr>
        <w:pStyle w:val="CDINumberedList1L1"/>
        <w:ind w:left="397" w:hanging="397"/>
        <w:rPr>
          <w:lang w:val="en-GB"/>
        </w:rPr>
      </w:pPr>
      <w:r w:rsidRPr="00EC747A">
        <w:rPr>
          <w:lang w:val="en-GB"/>
        </w:rPr>
        <w:t xml:space="preserve">George CR, Booy R, Nissen MD, Lahra MM. The decline of invasive meningococcal disease and influenza in the time of COVID-19: the silver linings of the pandemic playbook. </w:t>
      </w:r>
      <w:r w:rsidRPr="00EC747A">
        <w:rPr>
          <w:i/>
          <w:iCs/>
          <w:lang w:val="en-GB"/>
        </w:rPr>
        <w:t>Med J Aust</w:t>
      </w:r>
      <w:r w:rsidRPr="00EC747A">
        <w:rPr>
          <w:lang w:val="en-GB"/>
        </w:rPr>
        <w:t xml:space="preserve">. 2022. doi: </w:t>
      </w:r>
      <w:hyperlink r:id="rId35" w:history="1">
        <w:r w:rsidR="00493407" w:rsidRPr="005116F9">
          <w:rPr>
            <w:rStyle w:val="Hyperlink"/>
            <w:lang w:val="en-GB"/>
          </w:rPr>
          <w:t>https://doi.org/10.5694/mja2.51463</w:t>
        </w:r>
      </w:hyperlink>
      <w:r w:rsidRPr="00EC747A">
        <w:rPr>
          <w:lang w:val="en-GB"/>
        </w:rPr>
        <w:t xml:space="preserve">. </w:t>
      </w:r>
    </w:p>
    <w:p w14:paraId="73DC6391" w14:textId="5050A50B" w:rsidR="00B168FD" w:rsidRPr="00EC747A" w:rsidRDefault="00B168FD" w:rsidP="00EC747A">
      <w:pPr>
        <w:pStyle w:val="CDINumberedList1L1"/>
        <w:ind w:left="397" w:hanging="397"/>
        <w:rPr>
          <w:lang w:val="en-GB"/>
        </w:rPr>
      </w:pPr>
      <w:r w:rsidRPr="00EC747A">
        <w:rPr>
          <w:lang w:val="en-GB"/>
        </w:rPr>
        <w:t xml:space="preserve">National Notifiable Diseases Surveillance System (NNDSS). Number of notifications of Meningococcal disease (invasive), received from State and Territory health authorities in the period of 1991 to 2012 and year-to-date notifications for 2014–2021. [Accessed on 20 January 2025.] Available from: </w:t>
      </w:r>
      <w:hyperlink r:id="rId36" w:history="1">
        <w:r w:rsidR="00493407" w:rsidRPr="005116F9">
          <w:rPr>
            <w:rStyle w:val="Hyperlink"/>
            <w:lang w:val="en-GB"/>
          </w:rPr>
          <w:t>http://www9.health.gov.au/cda/source/rpt_4_sel.cfm</w:t>
        </w:r>
      </w:hyperlink>
      <w:r w:rsidRPr="00EC747A">
        <w:rPr>
          <w:lang w:val="en-GB"/>
        </w:rPr>
        <w:t>.</w:t>
      </w:r>
    </w:p>
    <w:p w14:paraId="68E4975A" w14:textId="7671C6EC" w:rsidR="00B168FD" w:rsidRPr="00EC747A" w:rsidRDefault="00B168FD" w:rsidP="00EC747A">
      <w:pPr>
        <w:pStyle w:val="CDINumberedList1L1"/>
        <w:ind w:left="397" w:hanging="397"/>
        <w:rPr>
          <w:lang w:val="en-GB"/>
        </w:rPr>
      </w:pPr>
      <w:r w:rsidRPr="00EC747A">
        <w:rPr>
          <w:lang w:val="en-GB"/>
        </w:rPr>
        <w:t xml:space="preserve">Australian Government Department of Health, Disability and Ageing. Invasive meningococcal disease. [Internet.] Canberra: Australian Government Department of Health, Disability and Ageing; 12 July 2022. [Accessed on 20 January 2025.] Available from: </w:t>
      </w:r>
      <w:hyperlink r:id="rId37" w:history="1">
        <w:r w:rsidR="00493407" w:rsidRPr="005116F9">
          <w:rPr>
            <w:rStyle w:val="Hyperlink"/>
            <w:lang w:val="en-GB"/>
          </w:rPr>
          <w:t>https://www.health.gov.au/internet/main/publishing.nsf/Content/ohp-meningococcal-W.htm</w:t>
        </w:r>
      </w:hyperlink>
      <w:r w:rsidRPr="00EC747A">
        <w:rPr>
          <w:lang w:val="en-GB"/>
        </w:rPr>
        <w:t xml:space="preserve">. </w:t>
      </w:r>
    </w:p>
    <w:p w14:paraId="248F4445" w14:textId="24E25533" w:rsidR="00B168FD" w:rsidRPr="00EC747A" w:rsidRDefault="00B168FD" w:rsidP="00EC747A">
      <w:pPr>
        <w:pStyle w:val="CDINumberedList1L1"/>
        <w:ind w:left="397" w:hanging="397"/>
        <w:rPr>
          <w:lang w:val="en-GB"/>
        </w:rPr>
      </w:pPr>
      <w:r w:rsidRPr="00EC747A">
        <w:rPr>
          <w:lang w:val="en-GB"/>
        </w:rPr>
        <w:t xml:space="preserve">Australian Government Department of Health, Disability and Ageing, Communicable Diseases Network Australia (CDNA). </w:t>
      </w:r>
      <w:r w:rsidRPr="00EC747A">
        <w:rPr>
          <w:i/>
          <w:iCs/>
          <w:lang w:val="en-GB"/>
        </w:rPr>
        <w:t>Invasive Meningococcal Disease: CDNA National Guidelines for Public Health Units</w:t>
      </w:r>
      <w:r w:rsidRPr="00EC747A">
        <w:rPr>
          <w:lang w:val="en-GB"/>
        </w:rPr>
        <w:t xml:space="preserve">. Canberra: Australian Government Department of Health, Disability and Ageing; July 2024. [Accessed on 20 January 2025.] Available from: </w:t>
      </w:r>
      <w:hyperlink r:id="rId38" w:history="1">
        <w:r w:rsidR="00493407" w:rsidRPr="005116F9">
          <w:rPr>
            <w:rStyle w:val="Hyperlink"/>
            <w:lang w:val="en-GB"/>
          </w:rPr>
          <w:t>https://www.health.gov.au/sites/default/files/2024-07/invasive-meningococcal-disease-cdna-national-guidelines-for-public-health-units.pdf</w:t>
        </w:r>
      </w:hyperlink>
      <w:r w:rsidRPr="00EC747A">
        <w:rPr>
          <w:lang w:val="en-GB"/>
        </w:rPr>
        <w:t xml:space="preserve">. </w:t>
      </w:r>
    </w:p>
    <w:p w14:paraId="273AC61D" w14:textId="77777777" w:rsidR="00B168FD" w:rsidRPr="00EC747A" w:rsidRDefault="00B168FD" w:rsidP="00EC747A">
      <w:pPr>
        <w:pStyle w:val="CDINumberedList1L1"/>
        <w:ind w:left="397" w:hanging="397"/>
        <w:rPr>
          <w:lang w:val="en-GB"/>
        </w:rPr>
      </w:pPr>
      <w:r w:rsidRPr="00EC747A">
        <w:rPr>
          <w:lang w:val="en-GB"/>
        </w:rPr>
        <w:t xml:space="preserve">George CRR, Smith HV, Lahra MM. </w:t>
      </w:r>
      <w:r w:rsidRPr="00EC747A">
        <w:rPr>
          <w:i/>
          <w:iCs/>
          <w:lang w:val="en-GB"/>
        </w:rPr>
        <w:t>Neisseria meningitidis</w:t>
      </w:r>
      <w:r w:rsidRPr="00EC747A">
        <w:rPr>
          <w:lang w:val="en-GB"/>
        </w:rPr>
        <w:t xml:space="preserve">. In de Filippis I, ed. </w:t>
      </w:r>
      <w:r w:rsidRPr="00EC747A">
        <w:rPr>
          <w:i/>
          <w:iCs/>
          <w:lang w:val="en-GB"/>
        </w:rPr>
        <w:t>Molecular Typing in Bacterial Infections, Volume I</w:t>
      </w:r>
      <w:r w:rsidRPr="00EC747A">
        <w:rPr>
          <w:lang w:val="en-GB"/>
        </w:rPr>
        <w:t xml:space="preserve">. London: Springer International Publishing, Springer Cham, 2022;85–99. </w:t>
      </w:r>
    </w:p>
    <w:p w14:paraId="14CEFF1C" w14:textId="77777777" w:rsidR="00B168FD" w:rsidRPr="00EC747A" w:rsidRDefault="00B168FD" w:rsidP="00EC747A">
      <w:pPr>
        <w:pStyle w:val="CDINumberedList1L1"/>
        <w:ind w:left="397" w:hanging="397"/>
        <w:rPr>
          <w:lang w:val="en-GB"/>
        </w:rPr>
      </w:pPr>
      <w:r w:rsidRPr="00EC747A">
        <w:rPr>
          <w:lang w:val="en-GB"/>
        </w:rPr>
        <w:t xml:space="preserve">Clinical and Laboratory Standards Institute (CLSI). </w:t>
      </w:r>
      <w:r w:rsidRPr="00EC747A">
        <w:rPr>
          <w:i/>
          <w:iCs/>
          <w:lang w:val="en-GB"/>
        </w:rPr>
        <w:t>Performance standards for antimicrobial susceptibility testing</w:t>
      </w:r>
      <w:r w:rsidRPr="00EC747A">
        <w:rPr>
          <w:lang w:val="en-GB"/>
        </w:rPr>
        <w:t xml:space="preserve">. 34th ed. CLSI supplement M100. Wayne, PA: CLSI; 2024. </w:t>
      </w:r>
    </w:p>
    <w:p w14:paraId="641D8DF7" w14:textId="3A2E42DF" w:rsidR="00B168FD" w:rsidRPr="00EC747A" w:rsidRDefault="00B168FD" w:rsidP="00EC747A">
      <w:pPr>
        <w:pStyle w:val="CDINumberedList1L1"/>
        <w:ind w:left="397" w:hanging="397"/>
        <w:rPr>
          <w:lang w:val="en-GB"/>
        </w:rPr>
      </w:pPr>
      <w:r w:rsidRPr="00EC747A">
        <w:rPr>
          <w:lang w:val="en-GB"/>
        </w:rPr>
        <w:t xml:space="preserve">Australian Commission on Safety and Quality in Health Care (ACSQHC). National Alert System for Critical Antimicrobial Resistances (CARAlert). [Internet.] Sydney: ACSQHC; 23 Apr 2024. Available from: </w:t>
      </w:r>
      <w:hyperlink r:id="rId39" w:history="1">
        <w:r w:rsidR="00493407" w:rsidRPr="005116F9">
          <w:rPr>
            <w:rStyle w:val="Hyperlink"/>
            <w:lang w:val="en-GB"/>
          </w:rPr>
          <w:t>https://www.safetyandquality.gov.au/our-work/antimicrobial-resistance/antimicrobial-use-and-resistance-australia-aura/hospital-and-community-antimicrobial-resistance/national-alert-system-critical-antimicrobial-resistances-caralert</w:t>
        </w:r>
      </w:hyperlink>
      <w:r w:rsidRPr="00EC747A">
        <w:rPr>
          <w:lang w:val="en-GB"/>
        </w:rPr>
        <w:t>.</w:t>
      </w:r>
    </w:p>
    <w:p w14:paraId="5CDC30CB" w14:textId="1A89576D" w:rsidR="00B168FD" w:rsidRPr="00EC747A" w:rsidRDefault="00B168FD" w:rsidP="00EC747A">
      <w:pPr>
        <w:pStyle w:val="CDINumberedList1L1"/>
        <w:ind w:left="397" w:hanging="397"/>
        <w:rPr>
          <w:lang w:val="en-GB"/>
        </w:rPr>
      </w:pPr>
      <w:r w:rsidRPr="00EC747A">
        <w:rPr>
          <w:lang w:val="en-GB"/>
        </w:rPr>
        <w:t xml:space="preserve">Abad R, López EL, </w:t>
      </w:r>
      <w:proofErr w:type="spellStart"/>
      <w:r w:rsidRPr="00EC747A">
        <w:rPr>
          <w:lang w:val="en-GB"/>
        </w:rPr>
        <w:t>Debbag</w:t>
      </w:r>
      <w:proofErr w:type="spellEnd"/>
      <w:r w:rsidRPr="00EC747A">
        <w:rPr>
          <w:lang w:val="en-GB"/>
        </w:rPr>
        <w:t xml:space="preserve"> R, Vázquez JA. Serogroup W meningococcal disease: global spread and current </w:t>
      </w:r>
      <w:proofErr w:type="spellStart"/>
      <w:r w:rsidRPr="00EC747A">
        <w:rPr>
          <w:lang w:val="en-GB"/>
        </w:rPr>
        <w:t>affect</w:t>
      </w:r>
      <w:proofErr w:type="spellEnd"/>
      <w:r w:rsidRPr="00EC747A">
        <w:rPr>
          <w:lang w:val="en-GB"/>
        </w:rPr>
        <w:t xml:space="preserve"> on the Southern Cone in Latin America. </w:t>
      </w:r>
      <w:r w:rsidRPr="00EC747A">
        <w:rPr>
          <w:i/>
          <w:iCs/>
          <w:lang w:val="en-GB"/>
        </w:rPr>
        <w:t>Epidemiol Infect</w:t>
      </w:r>
      <w:r w:rsidRPr="00EC747A">
        <w:rPr>
          <w:lang w:val="en-GB"/>
        </w:rPr>
        <w:t xml:space="preserve">. 2014;142(12):2461–70. doi: </w:t>
      </w:r>
      <w:hyperlink r:id="rId40" w:history="1">
        <w:r w:rsidR="007E6B3C" w:rsidRPr="005116F9">
          <w:rPr>
            <w:rStyle w:val="Hyperlink"/>
            <w:lang w:val="en-GB"/>
          </w:rPr>
          <w:t>https://doi.org/10.1017/S0950268814001149</w:t>
        </w:r>
      </w:hyperlink>
      <w:r w:rsidRPr="00EC747A">
        <w:rPr>
          <w:lang w:val="en-GB"/>
        </w:rPr>
        <w:t xml:space="preserve">. </w:t>
      </w:r>
    </w:p>
    <w:p w14:paraId="0648C373" w14:textId="1A6942FA" w:rsidR="00B168FD" w:rsidRPr="00EC747A" w:rsidRDefault="00B168FD" w:rsidP="00EC747A">
      <w:pPr>
        <w:pStyle w:val="CDINumberedList1L1"/>
        <w:ind w:left="397" w:hanging="397"/>
        <w:rPr>
          <w:lang w:val="en-GB"/>
        </w:rPr>
      </w:pPr>
      <w:r w:rsidRPr="00EC747A">
        <w:rPr>
          <w:lang w:val="en-GB"/>
        </w:rPr>
        <w:lastRenderedPageBreak/>
        <w:t xml:space="preserve">Ladhani SN, Beebeejaun K, </w:t>
      </w:r>
      <w:proofErr w:type="spellStart"/>
      <w:r w:rsidRPr="00EC747A">
        <w:rPr>
          <w:lang w:val="en-GB"/>
        </w:rPr>
        <w:t>Lucidarme</w:t>
      </w:r>
      <w:proofErr w:type="spellEnd"/>
      <w:r w:rsidRPr="00EC747A">
        <w:rPr>
          <w:lang w:val="en-GB"/>
        </w:rPr>
        <w:t xml:space="preserve"> J, Campbell H, Gray S, Kaczmarski E et al. Increase in endemic </w:t>
      </w:r>
      <w:r w:rsidRPr="00EC747A">
        <w:rPr>
          <w:i/>
          <w:iCs/>
          <w:lang w:val="en-GB"/>
        </w:rPr>
        <w:t>Neisseria meningitidis</w:t>
      </w:r>
      <w:r w:rsidRPr="00EC747A">
        <w:rPr>
          <w:lang w:val="en-GB"/>
        </w:rPr>
        <w:t xml:space="preserve"> capsular group W sequence type 11 complex associated with severe invasive disease in England and Wales. </w:t>
      </w:r>
      <w:r w:rsidRPr="00EC747A">
        <w:rPr>
          <w:i/>
          <w:iCs/>
          <w:lang w:val="en-GB"/>
        </w:rPr>
        <w:t>Clin Infect Dis</w:t>
      </w:r>
      <w:r w:rsidRPr="00EC747A">
        <w:rPr>
          <w:lang w:val="en-GB"/>
        </w:rPr>
        <w:t>. 2015;60(4):578–85. doi:</w:t>
      </w:r>
      <w:r w:rsidR="007E6B3C">
        <w:rPr>
          <w:lang w:val="en-GB"/>
        </w:rPr>
        <w:t> </w:t>
      </w:r>
      <w:hyperlink r:id="rId41" w:history="1">
        <w:r w:rsidR="007E6B3C" w:rsidRPr="005116F9">
          <w:rPr>
            <w:rStyle w:val="Hyperlink"/>
            <w:lang w:val="en-GB"/>
          </w:rPr>
          <w:t>https://doi.org/10.1093/cid/ciu881</w:t>
        </w:r>
      </w:hyperlink>
      <w:r w:rsidRPr="00EC747A">
        <w:rPr>
          <w:lang w:val="en-GB"/>
        </w:rPr>
        <w:t xml:space="preserve">. </w:t>
      </w:r>
    </w:p>
    <w:p w14:paraId="307ED53D" w14:textId="7F4EA1F0" w:rsidR="00B168FD" w:rsidRPr="00EC747A" w:rsidRDefault="00B168FD" w:rsidP="00EC747A">
      <w:pPr>
        <w:pStyle w:val="CDINumberedList1L1"/>
        <w:ind w:left="397" w:hanging="397"/>
        <w:rPr>
          <w:lang w:val="en-GB"/>
        </w:rPr>
      </w:pPr>
      <w:r w:rsidRPr="00EC747A">
        <w:rPr>
          <w:lang w:val="en-GB"/>
        </w:rPr>
        <w:t xml:space="preserve">Australian Government Department of Health, Disability and Ageing. Immunise Australia Program. Meningococcal Disease. [Internet.] Canberra: Australian Government Department of Health, Disability and Ageing; 20 April 2015. Available from: </w:t>
      </w:r>
      <w:hyperlink r:id="rId42" w:history="1">
        <w:r w:rsidR="007E6B3C" w:rsidRPr="005116F9">
          <w:rPr>
            <w:rStyle w:val="Hyperlink"/>
            <w:lang w:val="en-GB"/>
          </w:rPr>
          <w:t>https://www.health.gov.au/internet/immunise/publishing.nsf/Content/immunise-meningococcal</w:t>
        </w:r>
      </w:hyperlink>
      <w:r w:rsidRPr="00EC747A">
        <w:rPr>
          <w:lang w:val="en-GB"/>
        </w:rPr>
        <w:t>.</w:t>
      </w:r>
    </w:p>
    <w:p w14:paraId="0CC7636C" w14:textId="2BC72497" w:rsidR="00B168FD" w:rsidRPr="00EC747A" w:rsidRDefault="00B168FD" w:rsidP="00EC747A">
      <w:pPr>
        <w:pStyle w:val="CDINumberedList1L1"/>
        <w:ind w:left="397" w:hanging="397"/>
        <w:rPr>
          <w:lang w:val="en-GB"/>
        </w:rPr>
      </w:pPr>
      <w:r w:rsidRPr="00EC747A">
        <w:rPr>
          <w:lang w:val="en-GB"/>
        </w:rPr>
        <w:t xml:space="preserve">Chiu C, Dey A, Wang H, Menzies R, Deeks S, Mahajan D et al. Vaccine preventable diseases in Australia, 2005 to 2007. </w:t>
      </w:r>
      <w:r w:rsidRPr="00EC747A">
        <w:rPr>
          <w:i/>
          <w:iCs/>
          <w:lang w:val="en-GB"/>
        </w:rPr>
        <w:t>Commun Dis Intell Q Rep</w:t>
      </w:r>
      <w:r w:rsidRPr="00EC747A">
        <w:rPr>
          <w:lang w:val="en-GB"/>
        </w:rPr>
        <w:t>. 2010;34(</w:t>
      </w:r>
      <w:proofErr w:type="spellStart"/>
      <w:r w:rsidRPr="00EC747A">
        <w:rPr>
          <w:lang w:val="en-GB"/>
        </w:rPr>
        <w:t>Suppl</w:t>
      </w:r>
      <w:proofErr w:type="spellEnd"/>
      <w:proofErr w:type="gramStart"/>
      <w:r w:rsidRPr="00EC747A">
        <w:rPr>
          <w:lang w:val="en-GB"/>
        </w:rPr>
        <w:t>):S</w:t>
      </w:r>
      <w:proofErr w:type="gramEnd"/>
      <w:r w:rsidRPr="00EC747A">
        <w:rPr>
          <w:lang w:val="en-GB"/>
        </w:rPr>
        <w:t>1–167. doi:</w:t>
      </w:r>
      <w:r w:rsidR="007E6B3C">
        <w:rPr>
          <w:lang w:val="en-GB"/>
        </w:rPr>
        <w:t> </w:t>
      </w:r>
      <w:hyperlink r:id="rId43" w:history="1">
        <w:r w:rsidR="007E6B3C" w:rsidRPr="005116F9">
          <w:rPr>
            <w:rStyle w:val="Hyperlink"/>
            <w:lang w:val="en-GB"/>
          </w:rPr>
          <w:t>https://doi.org/10.33321/cdi.2010.34.48</w:t>
        </w:r>
      </w:hyperlink>
      <w:r w:rsidRPr="00EC747A">
        <w:rPr>
          <w:lang w:val="en-GB"/>
        </w:rPr>
        <w:t>.</w:t>
      </w:r>
    </w:p>
    <w:p w14:paraId="583DED0A" w14:textId="40924FF6" w:rsidR="00B168FD" w:rsidRPr="00EC747A" w:rsidRDefault="00B168FD" w:rsidP="00EC747A">
      <w:pPr>
        <w:pStyle w:val="CDINumberedList1L1"/>
        <w:ind w:left="397" w:hanging="397"/>
        <w:rPr>
          <w:lang w:val="en-GB"/>
        </w:rPr>
      </w:pPr>
      <w:r w:rsidRPr="00EC747A">
        <w:rPr>
          <w:lang w:val="en-GB"/>
        </w:rPr>
        <w:t>Clark S, Campbell H, Mensah AA, Lekshmi A, Walker A, Ribeiro S et al. An increase in group B invasive meningococcal disease among adolescents and young adults in England following easing of COVID-19 containment measures. [Online preprint.] Amsterdam: Elsevier, Social Science Research Network (SSRN); 8 January 2022. doi:</w:t>
      </w:r>
      <w:r w:rsidR="007E6B3C">
        <w:rPr>
          <w:lang w:val="en-GB"/>
        </w:rPr>
        <w:t> </w:t>
      </w:r>
      <w:hyperlink r:id="rId44" w:history="1">
        <w:r w:rsidR="007E6B3C" w:rsidRPr="005116F9">
          <w:rPr>
            <w:rStyle w:val="Hyperlink"/>
            <w:lang w:val="en-GB"/>
          </w:rPr>
          <w:t>https://doi.org/10.2139/ssrn.3998164</w:t>
        </w:r>
      </w:hyperlink>
      <w:r w:rsidRPr="00EC747A">
        <w:rPr>
          <w:lang w:val="en-GB"/>
        </w:rPr>
        <w:t xml:space="preserve">. </w:t>
      </w:r>
    </w:p>
    <w:p w14:paraId="5ABB8B6C" w14:textId="42E7AED9" w:rsidR="00B168FD" w:rsidRPr="00EC747A" w:rsidRDefault="00B168FD" w:rsidP="00EC747A">
      <w:pPr>
        <w:pStyle w:val="CDINumberedList1L1"/>
        <w:ind w:left="397" w:hanging="397"/>
        <w:rPr>
          <w:lang w:val="en-GB"/>
        </w:rPr>
      </w:pPr>
      <w:proofErr w:type="spellStart"/>
      <w:r w:rsidRPr="00EC747A">
        <w:rPr>
          <w:lang w:val="en-GB"/>
        </w:rPr>
        <w:t>Bröker</w:t>
      </w:r>
      <w:proofErr w:type="spellEnd"/>
      <w:r w:rsidRPr="00EC747A">
        <w:rPr>
          <w:lang w:val="en-GB"/>
        </w:rPr>
        <w:t xml:space="preserve"> M, Jacobsson S, Kuusi M, Pace D, Simões MJ, </w:t>
      </w:r>
      <w:proofErr w:type="spellStart"/>
      <w:r w:rsidRPr="00EC747A">
        <w:rPr>
          <w:lang w:val="en-GB"/>
        </w:rPr>
        <w:t>Skoczynska</w:t>
      </w:r>
      <w:proofErr w:type="spellEnd"/>
      <w:r w:rsidRPr="00EC747A">
        <w:rPr>
          <w:lang w:val="en-GB"/>
        </w:rPr>
        <w:t xml:space="preserve"> A et al. Meningococcal serogroup Y emergence in Europe: update 2011. Hum </w:t>
      </w:r>
      <w:proofErr w:type="spellStart"/>
      <w:r w:rsidRPr="00EC747A">
        <w:rPr>
          <w:lang w:val="en-GB"/>
        </w:rPr>
        <w:t>Vaccin</w:t>
      </w:r>
      <w:proofErr w:type="spellEnd"/>
      <w:r w:rsidRPr="00EC747A">
        <w:rPr>
          <w:lang w:val="en-GB"/>
        </w:rPr>
        <w:t xml:space="preserve"> </w:t>
      </w:r>
      <w:proofErr w:type="spellStart"/>
      <w:r w:rsidRPr="00EC747A">
        <w:rPr>
          <w:lang w:val="en-GB"/>
        </w:rPr>
        <w:t>Immunother</w:t>
      </w:r>
      <w:proofErr w:type="spellEnd"/>
      <w:r w:rsidRPr="00EC747A">
        <w:rPr>
          <w:lang w:val="en-GB"/>
        </w:rPr>
        <w:t xml:space="preserve">. 2012;8(12):1907–11. doi: </w:t>
      </w:r>
      <w:hyperlink r:id="rId45" w:history="1">
        <w:r w:rsidR="007E6B3C" w:rsidRPr="005116F9">
          <w:rPr>
            <w:rStyle w:val="Hyperlink"/>
            <w:lang w:val="en-GB"/>
          </w:rPr>
          <w:t>https://doi.org/10.4161/hv.21794</w:t>
        </w:r>
      </w:hyperlink>
      <w:r w:rsidRPr="00EC747A">
        <w:rPr>
          <w:lang w:val="en-GB"/>
        </w:rPr>
        <w:t xml:space="preserve">. </w:t>
      </w:r>
    </w:p>
    <w:p w14:paraId="67E09290" w14:textId="3E3993C4" w:rsidR="00B168FD" w:rsidRPr="00EC747A" w:rsidRDefault="00B168FD" w:rsidP="00EC747A">
      <w:pPr>
        <w:pStyle w:val="CDINumberedList1L1"/>
        <w:ind w:left="397" w:hanging="397"/>
        <w:rPr>
          <w:lang w:val="en-GB"/>
        </w:rPr>
      </w:pPr>
      <w:r w:rsidRPr="00EC747A">
        <w:rPr>
          <w:lang w:val="en-GB"/>
        </w:rPr>
        <w:t xml:space="preserve">Lahra MM, Latham NH, Templeton DJ, Read P, Carmody C, Ryder N et al. Investigation and response to an outbreak of </w:t>
      </w:r>
      <w:r w:rsidRPr="00EC747A">
        <w:rPr>
          <w:i/>
          <w:iCs/>
          <w:lang w:val="en-GB"/>
        </w:rPr>
        <w:t>Neisseria meningitidis</w:t>
      </w:r>
      <w:r w:rsidRPr="00EC747A">
        <w:rPr>
          <w:lang w:val="en-GB"/>
        </w:rPr>
        <w:t xml:space="preserve"> serogroup Y ST-1466 urogenital infections, Australia. </w:t>
      </w:r>
      <w:r w:rsidRPr="00EC747A">
        <w:rPr>
          <w:i/>
          <w:iCs/>
          <w:lang w:val="en-GB"/>
        </w:rPr>
        <w:t>Commun Dis Intell (2018)</w:t>
      </w:r>
      <w:r w:rsidRPr="00EC747A">
        <w:rPr>
          <w:lang w:val="en-GB"/>
        </w:rPr>
        <w:t xml:space="preserve">. 2024;48. doi: </w:t>
      </w:r>
      <w:hyperlink r:id="rId46" w:history="1">
        <w:r w:rsidR="007E6B3C" w:rsidRPr="005116F9">
          <w:rPr>
            <w:rStyle w:val="Hyperlink"/>
            <w:lang w:val="en-GB"/>
          </w:rPr>
          <w:t>https://doi.org/10.33321/cdi.2024.48.20</w:t>
        </w:r>
      </w:hyperlink>
      <w:r w:rsidRPr="00EC747A">
        <w:rPr>
          <w:lang w:val="en-GB"/>
        </w:rPr>
        <w:t xml:space="preserve">. </w:t>
      </w:r>
    </w:p>
    <w:p w14:paraId="2D638078" w14:textId="379BE6D6" w:rsidR="00B168FD" w:rsidRPr="00EC747A" w:rsidRDefault="00B168FD" w:rsidP="00EC747A">
      <w:pPr>
        <w:pStyle w:val="CDINumberedList1L1"/>
        <w:ind w:left="397" w:hanging="397"/>
        <w:rPr>
          <w:lang w:val="en-GB"/>
        </w:rPr>
      </w:pPr>
      <w:r w:rsidRPr="00EC747A">
        <w:rPr>
          <w:lang w:val="en-GB"/>
        </w:rPr>
        <w:t xml:space="preserve">Health Alert Network. Increase in invasive serogroup Y meningococcal disease in the United States. [Online health advisory.] Atlanta: United States Government Department of Health and Human Resources, Centers for Disease Control and Prevention (CDC), CDC Health Alert Network; 28 March 2024. [Accessed on 31 March 2024.] Available from: </w:t>
      </w:r>
      <w:hyperlink r:id="rId47" w:history="1">
        <w:r w:rsidR="007E6B3C" w:rsidRPr="005116F9">
          <w:rPr>
            <w:rStyle w:val="Hyperlink"/>
            <w:lang w:val="en-GB"/>
          </w:rPr>
          <w:t>https://emergency.cdc.gov/han/2024/han00505.asp</w:t>
        </w:r>
      </w:hyperlink>
      <w:r w:rsidRPr="00EC747A">
        <w:rPr>
          <w:lang w:val="en-GB"/>
        </w:rPr>
        <w:t>.</w:t>
      </w:r>
    </w:p>
    <w:p w14:paraId="5D44537C" w14:textId="07AF6668" w:rsidR="00B168FD" w:rsidRPr="00EC747A" w:rsidRDefault="00B168FD" w:rsidP="00EC747A">
      <w:pPr>
        <w:pStyle w:val="CDINumberedList1L1"/>
        <w:ind w:left="397" w:hanging="397"/>
        <w:rPr>
          <w:lang w:val="en-GB"/>
        </w:rPr>
      </w:pPr>
      <w:r w:rsidRPr="00EC747A">
        <w:rPr>
          <w:lang w:val="en-GB"/>
        </w:rPr>
        <w:t xml:space="preserve">van Hal SJ, Le T, Jenkins F, Kundu RL, </w:t>
      </w:r>
      <w:proofErr w:type="spellStart"/>
      <w:r w:rsidRPr="00EC747A">
        <w:rPr>
          <w:lang w:val="en-GB"/>
        </w:rPr>
        <w:t>Limnios</w:t>
      </w:r>
      <w:proofErr w:type="spellEnd"/>
      <w:r w:rsidRPr="00EC747A">
        <w:rPr>
          <w:lang w:val="en-GB"/>
        </w:rPr>
        <w:t xml:space="preserve"> EA, McNamara LA et al. </w:t>
      </w:r>
      <w:r w:rsidRPr="00EC747A">
        <w:rPr>
          <w:i/>
          <w:iCs/>
          <w:lang w:val="en-GB"/>
        </w:rPr>
        <w:t>Neisseria meningitidis</w:t>
      </w:r>
      <w:r w:rsidRPr="00EC747A">
        <w:rPr>
          <w:lang w:val="en-GB"/>
        </w:rPr>
        <w:t xml:space="preserve"> serogroup Y sequence type 1466 and urogenital infections. </w:t>
      </w:r>
      <w:r w:rsidRPr="00EC747A">
        <w:rPr>
          <w:i/>
          <w:iCs/>
          <w:lang w:val="en-GB"/>
        </w:rPr>
        <w:t>Emerg Infect Dis</w:t>
      </w:r>
      <w:r w:rsidRPr="00EC747A">
        <w:rPr>
          <w:lang w:val="en-GB"/>
        </w:rPr>
        <w:t xml:space="preserve">. 2025;31(1):86–93. doi: </w:t>
      </w:r>
      <w:hyperlink r:id="rId48" w:history="1">
        <w:r w:rsidR="007E6B3C" w:rsidRPr="005116F9">
          <w:rPr>
            <w:rStyle w:val="Hyperlink"/>
            <w:lang w:val="en-GB"/>
          </w:rPr>
          <w:t>https://doi.org/10.3201/eid3101.240940</w:t>
        </w:r>
      </w:hyperlink>
      <w:r w:rsidRPr="00EC747A">
        <w:rPr>
          <w:lang w:val="en-GB"/>
        </w:rPr>
        <w:t>.</w:t>
      </w:r>
    </w:p>
    <w:p w14:paraId="320F471B" w14:textId="532969AA" w:rsidR="0058264F" w:rsidRPr="00EC747A" w:rsidRDefault="00B168FD" w:rsidP="00EC747A">
      <w:pPr>
        <w:pStyle w:val="CDINumberedList1L1"/>
        <w:ind w:left="397" w:hanging="397"/>
      </w:pPr>
      <w:r w:rsidRPr="00EC747A">
        <w:rPr>
          <w:lang w:val="en-GB"/>
        </w:rPr>
        <w:t xml:space="preserve">Berry I, Rubis AB, Howie RL, Sharma S, </w:t>
      </w:r>
      <w:proofErr w:type="spellStart"/>
      <w:r w:rsidRPr="00EC747A">
        <w:rPr>
          <w:lang w:val="en-GB"/>
        </w:rPr>
        <w:t>Marasini</w:t>
      </w:r>
      <w:proofErr w:type="spellEnd"/>
      <w:r w:rsidRPr="00EC747A">
        <w:rPr>
          <w:lang w:val="en-GB"/>
        </w:rPr>
        <w:t xml:space="preserve"> D, </w:t>
      </w:r>
      <w:proofErr w:type="spellStart"/>
      <w:r w:rsidRPr="00EC747A">
        <w:rPr>
          <w:lang w:val="en-GB"/>
        </w:rPr>
        <w:t>Marjuki</w:t>
      </w:r>
      <w:proofErr w:type="spellEnd"/>
      <w:r w:rsidRPr="00EC747A">
        <w:rPr>
          <w:lang w:val="en-GB"/>
        </w:rPr>
        <w:t xml:space="preserve"> H et al. Selection of antibiotics as prophylaxis for close contacts of patients with meningococcal disease in areas with ciprofloxacin resistance — United States, 2024. </w:t>
      </w:r>
      <w:r w:rsidRPr="00EC747A">
        <w:rPr>
          <w:i/>
          <w:iCs/>
          <w:lang w:val="en-GB"/>
        </w:rPr>
        <w:t xml:space="preserve">MMWR </w:t>
      </w:r>
      <w:proofErr w:type="spellStart"/>
      <w:r w:rsidRPr="00EC747A">
        <w:rPr>
          <w:i/>
          <w:iCs/>
          <w:lang w:val="en-GB"/>
        </w:rPr>
        <w:t>Morb</w:t>
      </w:r>
      <w:proofErr w:type="spellEnd"/>
      <w:r w:rsidRPr="00EC747A">
        <w:rPr>
          <w:i/>
          <w:iCs/>
          <w:lang w:val="en-GB"/>
        </w:rPr>
        <w:t xml:space="preserve"> Mortal </w:t>
      </w:r>
      <w:proofErr w:type="spellStart"/>
      <w:r w:rsidRPr="00EC747A">
        <w:rPr>
          <w:i/>
          <w:iCs/>
          <w:lang w:val="en-GB"/>
        </w:rPr>
        <w:t>Wkly</w:t>
      </w:r>
      <w:proofErr w:type="spellEnd"/>
      <w:r w:rsidRPr="00EC747A">
        <w:rPr>
          <w:i/>
          <w:iCs/>
          <w:lang w:val="en-GB"/>
        </w:rPr>
        <w:t xml:space="preserve"> Rep</w:t>
      </w:r>
      <w:r w:rsidRPr="00EC747A">
        <w:rPr>
          <w:lang w:val="en-GB"/>
        </w:rPr>
        <w:t xml:space="preserve">. 2024;73(5):99–103. doi: </w:t>
      </w:r>
      <w:hyperlink r:id="rId49" w:history="1">
        <w:r w:rsidR="007E6B3C" w:rsidRPr="005116F9">
          <w:rPr>
            <w:rStyle w:val="Hyperlink"/>
            <w:lang w:val="en-GB"/>
          </w:rPr>
          <w:t>http://dx.doi.org/10.15585/mmwr.mm7305a2</w:t>
        </w:r>
      </w:hyperlink>
      <w:r w:rsidRPr="00EC747A">
        <w:rPr>
          <w:lang w:val="en-GB"/>
        </w:rPr>
        <w:t>.</w:t>
      </w:r>
    </w:p>
    <w:sectPr w:rsidR="0058264F" w:rsidRPr="00EC747A" w:rsidSect="001E3ECB">
      <w:headerReference w:type="even" r:id="rId50"/>
      <w:headerReference w:type="default" r:id="rId51"/>
      <w:footerReference w:type="even" r:id="rId52"/>
      <w:footerReference w:type="default" r:id="rId53"/>
      <w:headerReference w:type="first" r:id="rId54"/>
      <w:footerReference w:type="first" r:id="rId55"/>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2A90D" w14:textId="77777777" w:rsidR="009B4A13" w:rsidRDefault="009B4A13" w:rsidP="00E54DBA">
      <w:r>
        <w:separator/>
      </w:r>
    </w:p>
    <w:p w14:paraId="564C4CC2" w14:textId="77777777" w:rsidR="009B4A13" w:rsidRDefault="009B4A13"/>
    <w:p w14:paraId="4829A430" w14:textId="77777777" w:rsidR="009B4A13" w:rsidRDefault="009B4A13" w:rsidP="008714B0"/>
  </w:endnote>
  <w:endnote w:type="continuationSeparator" w:id="0">
    <w:p w14:paraId="2FD540CD" w14:textId="77777777" w:rsidR="009B4A13" w:rsidRDefault="009B4A13" w:rsidP="00E54DBA">
      <w:r>
        <w:continuationSeparator/>
      </w:r>
    </w:p>
    <w:p w14:paraId="2323B89D" w14:textId="77777777" w:rsidR="009B4A13" w:rsidRDefault="009B4A13"/>
    <w:p w14:paraId="2C6E3099" w14:textId="77777777" w:rsidR="009B4A13" w:rsidRDefault="009B4A13"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333C" w14:textId="77777777" w:rsidR="00B87589" w:rsidRDefault="00FA4A4C">
    <w:r>
      <w:rPr>
        <w:noProof/>
        <w14:ligatures w14:val="none"/>
      </w:rPr>
      <mc:AlternateContent>
        <mc:Choice Requires="wps">
          <w:drawing>
            <wp:anchor distT="0" distB="0" distL="0" distR="0" simplePos="0" relativeHeight="251662336" behindDoc="0" locked="0" layoutInCell="1" allowOverlap="1" wp14:anchorId="65D22B44" wp14:editId="4AD2B84D">
              <wp:simplePos x="635" y="635"/>
              <wp:positionH relativeFrom="page">
                <wp:align>center</wp:align>
              </wp:positionH>
              <wp:positionV relativeFrom="page">
                <wp:align>bottom</wp:align>
              </wp:positionV>
              <wp:extent cx="551815" cy="518795"/>
              <wp:effectExtent l="0" t="0" r="635" b="0"/>
              <wp:wrapNone/>
              <wp:docPr id="2285096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802FF34"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22B44"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4802FF34"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482E5" w14:textId="0DCD209C"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FC1685">
        <w:t>2025</w:t>
      </w:r>
    </w:fldSimple>
    <w:r w:rsidR="009B78A9">
      <w:t>;</w:t>
    </w:r>
    <w:fldSimple w:instr=" DOCPROPERTY  Vol  \* MERGEFORMAT ">
      <w:r w:rsidR="00FC1685">
        <w:t>49</w:t>
      </w:r>
    </w:fldSimple>
    <w:r w:rsidR="00385655" w:rsidRPr="001D0612">
      <w:t xml:space="preserve"> </w:t>
    </w:r>
    <w:r w:rsidR="00385655" w:rsidRPr="00B85B74">
      <w:t>•</w:t>
    </w:r>
    <w:r w:rsidR="00385655">
      <w:t xml:space="preserve"> </w:t>
    </w:r>
    <w:fldSimple w:instr=" DOCPROPERTY  DOI  \* MERGEFORMAT ">
      <w:r w:rsidR="00331C76">
        <w:t>doi.org/10.33321/cdi.2025.49.057</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331C76">
        <w:t>18.11.2025</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A39D" w14:textId="77777777" w:rsidR="00B87589" w:rsidRDefault="00FA4A4C">
    <w:r>
      <w:rPr>
        <w:noProof/>
        <w14:ligatures w14:val="none"/>
      </w:rPr>
      <mc:AlternateContent>
        <mc:Choice Requires="wps">
          <w:drawing>
            <wp:anchor distT="0" distB="0" distL="0" distR="0" simplePos="0" relativeHeight="251661312" behindDoc="0" locked="0" layoutInCell="1" allowOverlap="1" wp14:anchorId="2C09DB43" wp14:editId="112D61E0">
              <wp:simplePos x="635" y="635"/>
              <wp:positionH relativeFrom="page">
                <wp:align>center</wp:align>
              </wp:positionH>
              <wp:positionV relativeFrom="page">
                <wp:align>bottom</wp:align>
              </wp:positionV>
              <wp:extent cx="551815" cy="518795"/>
              <wp:effectExtent l="0" t="0" r="635" b="0"/>
              <wp:wrapNone/>
              <wp:docPr id="14237039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5D7605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09DB43"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45D7605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5A3CC" w14:textId="77777777" w:rsidR="009B4A13" w:rsidRPr="00B91FB5" w:rsidRDefault="009B4A13" w:rsidP="00B91FB5">
      <w:pPr>
        <w:spacing w:line="240" w:lineRule="auto"/>
        <w:rPr>
          <w:sz w:val="18"/>
          <w:szCs w:val="18"/>
        </w:rPr>
      </w:pPr>
      <w:r w:rsidRPr="00B91FB5">
        <w:rPr>
          <w:sz w:val="18"/>
          <w:szCs w:val="18"/>
        </w:rPr>
        <w:separator/>
      </w:r>
    </w:p>
  </w:footnote>
  <w:footnote w:type="continuationSeparator" w:id="0">
    <w:p w14:paraId="5B095220" w14:textId="77777777" w:rsidR="009B4A13" w:rsidRDefault="009B4A13" w:rsidP="00E54DBA">
      <w:r>
        <w:continuationSeparator/>
      </w:r>
    </w:p>
  </w:footnote>
  <w:footnote w:type="continuationNotice" w:id="1">
    <w:p w14:paraId="1A370A84" w14:textId="77777777" w:rsidR="009B4A13" w:rsidRPr="00224EFF" w:rsidRDefault="009B4A13"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B4946" w14:textId="77777777" w:rsidR="00B87589" w:rsidRDefault="00FA4A4C">
    <w:pPr>
      <w:pStyle w:val="Header"/>
    </w:pPr>
    <w:r>
      <w:rPr>
        <w:noProof/>
        <w14:ligatures w14:val="none"/>
      </w:rPr>
      <mc:AlternateContent>
        <mc:Choice Requires="wps">
          <w:drawing>
            <wp:anchor distT="0" distB="0" distL="0" distR="0" simplePos="0" relativeHeight="251659264" behindDoc="0" locked="0" layoutInCell="1" allowOverlap="1" wp14:anchorId="37EE8FD7" wp14:editId="561103F8">
              <wp:simplePos x="635" y="635"/>
              <wp:positionH relativeFrom="page">
                <wp:align>center</wp:align>
              </wp:positionH>
              <wp:positionV relativeFrom="page">
                <wp:align>top</wp:align>
              </wp:positionV>
              <wp:extent cx="551815" cy="518795"/>
              <wp:effectExtent l="0" t="0" r="635" b="14605"/>
              <wp:wrapNone/>
              <wp:docPr id="739219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B1A0CA9"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EE8FD7"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4B1A0CA9"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6E4EB" w14:textId="77777777" w:rsidR="00B87589" w:rsidRDefault="00B87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2BDBD" w14:textId="77777777" w:rsidR="00B87589" w:rsidRDefault="00FA4A4C">
    <w:pPr>
      <w:pStyle w:val="Header"/>
    </w:pPr>
    <w:r>
      <w:rPr>
        <w:noProof/>
        <w14:ligatures w14:val="none"/>
      </w:rPr>
      <mc:AlternateContent>
        <mc:Choice Requires="wps">
          <w:drawing>
            <wp:anchor distT="0" distB="0" distL="0" distR="0" simplePos="0" relativeHeight="251658240" behindDoc="0" locked="0" layoutInCell="1" allowOverlap="1" wp14:anchorId="10F551B2" wp14:editId="2E4BC679">
              <wp:simplePos x="635" y="635"/>
              <wp:positionH relativeFrom="page">
                <wp:align>center</wp:align>
              </wp:positionH>
              <wp:positionV relativeFrom="page">
                <wp:align>top</wp:align>
              </wp:positionV>
              <wp:extent cx="551815" cy="518795"/>
              <wp:effectExtent l="0" t="0" r="635" b="14605"/>
              <wp:wrapNone/>
              <wp:docPr id="16822606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0310C8F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F551B2"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0310C8F2" w14:textId="77777777" w:rsidR="00FA4A4C" w:rsidRPr="00FA4A4C" w:rsidRDefault="00FA4A4C" w:rsidP="00FA4A4C">
                    <w:pPr>
                      <w:rPr>
                        <w:rFonts w:ascii="Calibri" w:eastAsia="Calibri" w:hAnsi="Calibri" w:cs="Calibri"/>
                        <w:noProof/>
                        <w:color w:val="FF0000"/>
                        <w:sz w:val="24"/>
                        <w:szCs w:val="24"/>
                      </w:rPr>
                    </w:pPr>
                    <w:r w:rsidRPr="00FA4A4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85B6376C"/>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654598742">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85"/>
    <w:rsid w:val="00000B5B"/>
    <w:rsid w:val="00001611"/>
    <w:rsid w:val="00002B8D"/>
    <w:rsid w:val="00007178"/>
    <w:rsid w:val="000073ED"/>
    <w:rsid w:val="0001020A"/>
    <w:rsid w:val="000104A8"/>
    <w:rsid w:val="0001246E"/>
    <w:rsid w:val="000124B1"/>
    <w:rsid w:val="00013B65"/>
    <w:rsid w:val="000147ED"/>
    <w:rsid w:val="00014B0F"/>
    <w:rsid w:val="00015416"/>
    <w:rsid w:val="0001562E"/>
    <w:rsid w:val="00016FE6"/>
    <w:rsid w:val="0002642D"/>
    <w:rsid w:val="000264AB"/>
    <w:rsid w:val="00026D55"/>
    <w:rsid w:val="000306B9"/>
    <w:rsid w:val="00031064"/>
    <w:rsid w:val="00031692"/>
    <w:rsid w:val="00032531"/>
    <w:rsid w:val="000325A0"/>
    <w:rsid w:val="00032BCB"/>
    <w:rsid w:val="00034DCB"/>
    <w:rsid w:val="00040B99"/>
    <w:rsid w:val="000420DA"/>
    <w:rsid w:val="00043B80"/>
    <w:rsid w:val="000471BF"/>
    <w:rsid w:val="00047B68"/>
    <w:rsid w:val="000522C6"/>
    <w:rsid w:val="00052600"/>
    <w:rsid w:val="0005643C"/>
    <w:rsid w:val="0006264A"/>
    <w:rsid w:val="00065A6B"/>
    <w:rsid w:val="00066764"/>
    <w:rsid w:val="000705FF"/>
    <w:rsid w:val="00072909"/>
    <w:rsid w:val="000733B3"/>
    <w:rsid w:val="00073D77"/>
    <w:rsid w:val="0007479B"/>
    <w:rsid w:val="00074D39"/>
    <w:rsid w:val="00080A4B"/>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10B7D"/>
    <w:rsid w:val="00112E44"/>
    <w:rsid w:val="00113D58"/>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756D9"/>
    <w:rsid w:val="00180BC2"/>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BD1"/>
    <w:rsid w:val="001C1CB9"/>
    <w:rsid w:val="001C2B4B"/>
    <w:rsid w:val="001C2C3A"/>
    <w:rsid w:val="001C5BB1"/>
    <w:rsid w:val="001C5F09"/>
    <w:rsid w:val="001C70B2"/>
    <w:rsid w:val="001C7CE1"/>
    <w:rsid w:val="001D0612"/>
    <w:rsid w:val="001D37C7"/>
    <w:rsid w:val="001D5B20"/>
    <w:rsid w:val="001D6888"/>
    <w:rsid w:val="001E3ECB"/>
    <w:rsid w:val="001E4E1D"/>
    <w:rsid w:val="001E4E30"/>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AFA"/>
    <w:rsid w:val="00275C5C"/>
    <w:rsid w:val="00275C78"/>
    <w:rsid w:val="00275F5D"/>
    <w:rsid w:val="00280594"/>
    <w:rsid w:val="00281EE3"/>
    <w:rsid w:val="00282B56"/>
    <w:rsid w:val="00284E4A"/>
    <w:rsid w:val="00290E04"/>
    <w:rsid w:val="002A3799"/>
    <w:rsid w:val="002A3BCC"/>
    <w:rsid w:val="002A4516"/>
    <w:rsid w:val="002A569F"/>
    <w:rsid w:val="002A5B2C"/>
    <w:rsid w:val="002A7066"/>
    <w:rsid w:val="002B001E"/>
    <w:rsid w:val="002B09B7"/>
    <w:rsid w:val="002B3482"/>
    <w:rsid w:val="002B493C"/>
    <w:rsid w:val="002B75A9"/>
    <w:rsid w:val="002B7779"/>
    <w:rsid w:val="002C21B0"/>
    <w:rsid w:val="002C3003"/>
    <w:rsid w:val="002C4CD7"/>
    <w:rsid w:val="002C5D55"/>
    <w:rsid w:val="002D74C3"/>
    <w:rsid w:val="002E12D6"/>
    <w:rsid w:val="002E2FB3"/>
    <w:rsid w:val="002E50C0"/>
    <w:rsid w:val="002E5438"/>
    <w:rsid w:val="002F327B"/>
    <w:rsid w:val="00301626"/>
    <w:rsid w:val="003052F5"/>
    <w:rsid w:val="003059EC"/>
    <w:rsid w:val="00313406"/>
    <w:rsid w:val="00316727"/>
    <w:rsid w:val="00316CCD"/>
    <w:rsid w:val="00324F7E"/>
    <w:rsid w:val="0032526F"/>
    <w:rsid w:val="00325841"/>
    <w:rsid w:val="003316F4"/>
    <w:rsid w:val="00331C76"/>
    <w:rsid w:val="003323BC"/>
    <w:rsid w:val="003370A9"/>
    <w:rsid w:val="0034063D"/>
    <w:rsid w:val="0034139B"/>
    <w:rsid w:val="00341720"/>
    <w:rsid w:val="00343003"/>
    <w:rsid w:val="00343991"/>
    <w:rsid w:val="003452F7"/>
    <w:rsid w:val="00345738"/>
    <w:rsid w:val="00346D42"/>
    <w:rsid w:val="00346E11"/>
    <w:rsid w:val="00350D1D"/>
    <w:rsid w:val="00351337"/>
    <w:rsid w:val="00351364"/>
    <w:rsid w:val="00351A5A"/>
    <w:rsid w:val="003601C0"/>
    <w:rsid w:val="00360B3A"/>
    <w:rsid w:val="003635F5"/>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3487"/>
    <w:rsid w:val="003B5B8C"/>
    <w:rsid w:val="003B7ADD"/>
    <w:rsid w:val="003C02BF"/>
    <w:rsid w:val="003C2299"/>
    <w:rsid w:val="003C23C9"/>
    <w:rsid w:val="003C2718"/>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3407"/>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A4E9D"/>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14850"/>
    <w:rsid w:val="00614E22"/>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6427"/>
    <w:rsid w:val="00656FDA"/>
    <w:rsid w:val="00660255"/>
    <w:rsid w:val="00661FE1"/>
    <w:rsid w:val="00662078"/>
    <w:rsid w:val="0066362A"/>
    <w:rsid w:val="00663EA5"/>
    <w:rsid w:val="00666D94"/>
    <w:rsid w:val="006728F3"/>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FEC"/>
    <w:rsid w:val="00700338"/>
    <w:rsid w:val="0070113C"/>
    <w:rsid w:val="00702D05"/>
    <w:rsid w:val="00703009"/>
    <w:rsid w:val="00704CA9"/>
    <w:rsid w:val="0071048D"/>
    <w:rsid w:val="00710F86"/>
    <w:rsid w:val="007111A8"/>
    <w:rsid w:val="007114BA"/>
    <w:rsid w:val="00714CD2"/>
    <w:rsid w:val="0071536A"/>
    <w:rsid w:val="00723B5F"/>
    <w:rsid w:val="00725C33"/>
    <w:rsid w:val="00726C6A"/>
    <w:rsid w:val="00731BC3"/>
    <w:rsid w:val="00731FF7"/>
    <w:rsid w:val="00733198"/>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57ED"/>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7854"/>
    <w:rsid w:val="007C1CF5"/>
    <w:rsid w:val="007C457F"/>
    <w:rsid w:val="007C482B"/>
    <w:rsid w:val="007C56A1"/>
    <w:rsid w:val="007C6454"/>
    <w:rsid w:val="007D5B5D"/>
    <w:rsid w:val="007D6F3B"/>
    <w:rsid w:val="007E01E0"/>
    <w:rsid w:val="007E0C24"/>
    <w:rsid w:val="007E5CA0"/>
    <w:rsid w:val="007E610C"/>
    <w:rsid w:val="007E6297"/>
    <w:rsid w:val="007E6B3C"/>
    <w:rsid w:val="007E7486"/>
    <w:rsid w:val="007F0B93"/>
    <w:rsid w:val="007F21B9"/>
    <w:rsid w:val="007F2B27"/>
    <w:rsid w:val="007F2ECA"/>
    <w:rsid w:val="007F7B26"/>
    <w:rsid w:val="00800288"/>
    <w:rsid w:val="008017B6"/>
    <w:rsid w:val="008019B9"/>
    <w:rsid w:val="00802960"/>
    <w:rsid w:val="0080547B"/>
    <w:rsid w:val="00805663"/>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2451"/>
    <w:rsid w:val="00834BCC"/>
    <w:rsid w:val="008355D9"/>
    <w:rsid w:val="00836451"/>
    <w:rsid w:val="00845F68"/>
    <w:rsid w:val="00850D54"/>
    <w:rsid w:val="00852E2B"/>
    <w:rsid w:val="00854079"/>
    <w:rsid w:val="00856EC6"/>
    <w:rsid w:val="00856FF3"/>
    <w:rsid w:val="0086228F"/>
    <w:rsid w:val="00862C50"/>
    <w:rsid w:val="00863F8D"/>
    <w:rsid w:val="008673F6"/>
    <w:rsid w:val="00867976"/>
    <w:rsid w:val="008714B0"/>
    <w:rsid w:val="00872A7F"/>
    <w:rsid w:val="0087374B"/>
    <w:rsid w:val="00876331"/>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5166"/>
    <w:rsid w:val="009A76F8"/>
    <w:rsid w:val="009B2B11"/>
    <w:rsid w:val="009B2B83"/>
    <w:rsid w:val="009B4A13"/>
    <w:rsid w:val="009B720F"/>
    <w:rsid w:val="009B78A9"/>
    <w:rsid w:val="009C31B2"/>
    <w:rsid w:val="009C49F8"/>
    <w:rsid w:val="009D0F93"/>
    <w:rsid w:val="009D3947"/>
    <w:rsid w:val="009D56E7"/>
    <w:rsid w:val="009D77CC"/>
    <w:rsid w:val="009D797A"/>
    <w:rsid w:val="009E0F9D"/>
    <w:rsid w:val="009E2423"/>
    <w:rsid w:val="009E491D"/>
    <w:rsid w:val="009E5490"/>
    <w:rsid w:val="009E55D7"/>
    <w:rsid w:val="009E703E"/>
    <w:rsid w:val="009F4150"/>
    <w:rsid w:val="009F5151"/>
    <w:rsid w:val="009F5665"/>
    <w:rsid w:val="009F5DAD"/>
    <w:rsid w:val="009F6EB2"/>
    <w:rsid w:val="009F71CB"/>
    <w:rsid w:val="009F752C"/>
    <w:rsid w:val="00A01BCA"/>
    <w:rsid w:val="00A01FD5"/>
    <w:rsid w:val="00A03E3F"/>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40894"/>
    <w:rsid w:val="00A41BBE"/>
    <w:rsid w:val="00A443E3"/>
    <w:rsid w:val="00A45BDD"/>
    <w:rsid w:val="00A46060"/>
    <w:rsid w:val="00A46A0A"/>
    <w:rsid w:val="00A51E0E"/>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5A81"/>
    <w:rsid w:val="00AA3329"/>
    <w:rsid w:val="00AA35E6"/>
    <w:rsid w:val="00AA50B6"/>
    <w:rsid w:val="00AA78FF"/>
    <w:rsid w:val="00AB1606"/>
    <w:rsid w:val="00AB3472"/>
    <w:rsid w:val="00AB3C13"/>
    <w:rsid w:val="00AB7613"/>
    <w:rsid w:val="00AC0F5D"/>
    <w:rsid w:val="00AC27EF"/>
    <w:rsid w:val="00AC4595"/>
    <w:rsid w:val="00AC46DC"/>
    <w:rsid w:val="00AC659C"/>
    <w:rsid w:val="00AC66D9"/>
    <w:rsid w:val="00AC7CD7"/>
    <w:rsid w:val="00AD0762"/>
    <w:rsid w:val="00AD1230"/>
    <w:rsid w:val="00AD3C9E"/>
    <w:rsid w:val="00AE0209"/>
    <w:rsid w:val="00AE3DCF"/>
    <w:rsid w:val="00AE4452"/>
    <w:rsid w:val="00AE6604"/>
    <w:rsid w:val="00AE7C38"/>
    <w:rsid w:val="00AF1538"/>
    <w:rsid w:val="00AF1FAC"/>
    <w:rsid w:val="00AF2679"/>
    <w:rsid w:val="00AF2814"/>
    <w:rsid w:val="00AF5008"/>
    <w:rsid w:val="00AF6920"/>
    <w:rsid w:val="00B007D5"/>
    <w:rsid w:val="00B01F99"/>
    <w:rsid w:val="00B02B37"/>
    <w:rsid w:val="00B05276"/>
    <w:rsid w:val="00B0666B"/>
    <w:rsid w:val="00B132DB"/>
    <w:rsid w:val="00B14264"/>
    <w:rsid w:val="00B15F5B"/>
    <w:rsid w:val="00B168FD"/>
    <w:rsid w:val="00B20A91"/>
    <w:rsid w:val="00B23214"/>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86"/>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B0C53"/>
    <w:rsid w:val="00BB3320"/>
    <w:rsid w:val="00BB5378"/>
    <w:rsid w:val="00BB589B"/>
    <w:rsid w:val="00BB6F53"/>
    <w:rsid w:val="00BC086C"/>
    <w:rsid w:val="00BC0BD3"/>
    <w:rsid w:val="00BC4B9A"/>
    <w:rsid w:val="00BC4EAA"/>
    <w:rsid w:val="00BC5BA6"/>
    <w:rsid w:val="00BD0107"/>
    <w:rsid w:val="00BD2220"/>
    <w:rsid w:val="00BD22B4"/>
    <w:rsid w:val="00BD4DBE"/>
    <w:rsid w:val="00BE0C33"/>
    <w:rsid w:val="00BE0FE9"/>
    <w:rsid w:val="00BE262C"/>
    <w:rsid w:val="00BE4C25"/>
    <w:rsid w:val="00BE6C3D"/>
    <w:rsid w:val="00BE73E6"/>
    <w:rsid w:val="00BF1476"/>
    <w:rsid w:val="00BF209E"/>
    <w:rsid w:val="00BF42FE"/>
    <w:rsid w:val="00C02B29"/>
    <w:rsid w:val="00C06DA4"/>
    <w:rsid w:val="00C07606"/>
    <w:rsid w:val="00C12542"/>
    <w:rsid w:val="00C130EE"/>
    <w:rsid w:val="00C230DA"/>
    <w:rsid w:val="00C24725"/>
    <w:rsid w:val="00C30BA9"/>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2BDA"/>
    <w:rsid w:val="00C57018"/>
    <w:rsid w:val="00C62EAC"/>
    <w:rsid w:val="00C63F9F"/>
    <w:rsid w:val="00C641B4"/>
    <w:rsid w:val="00C6558E"/>
    <w:rsid w:val="00C66F97"/>
    <w:rsid w:val="00C735E0"/>
    <w:rsid w:val="00C7723C"/>
    <w:rsid w:val="00C81439"/>
    <w:rsid w:val="00C82027"/>
    <w:rsid w:val="00C838F5"/>
    <w:rsid w:val="00C841C0"/>
    <w:rsid w:val="00C91F37"/>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1D28"/>
    <w:rsid w:val="00D05837"/>
    <w:rsid w:val="00D11736"/>
    <w:rsid w:val="00D12D8A"/>
    <w:rsid w:val="00D13948"/>
    <w:rsid w:val="00D13E0C"/>
    <w:rsid w:val="00D20FB5"/>
    <w:rsid w:val="00D22CC8"/>
    <w:rsid w:val="00D25896"/>
    <w:rsid w:val="00D26EE6"/>
    <w:rsid w:val="00D32A59"/>
    <w:rsid w:val="00D33918"/>
    <w:rsid w:val="00D34AAF"/>
    <w:rsid w:val="00D36033"/>
    <w:rsid w:val="00D373A1"/>
    <w:rsid w:val="00D37C0F"/>
    <w:rsid w:val="00D4113F"/>
    <w:rsid w:val="00D430A8"/>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E56"/>
    <w:rsid w:val="00DA78DD"/>
    <w:rsid w:val="00DB0DF2"/>
    <w:rsid w:val="00DB1C65"/>
    <w:rsid w:val="00DC0C4C"/>
    <w:rsid w:val="00DC24E5"/>
    <w:rsid w:val="00DC3B05"/>
    <w:rsid w:val="00DC6705"/>
    <w:rsid w:val="00DD1EF6"/>
    <w:rsid w:val="00DD2DE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1A68"/>
    <w:rsid w:val="00E62A74"/>
    <w:rsid w:val="00E62A9E"/>
    <w:rsid w:val="00E63D7C"/>
    <w:rsid w:val="00E640D5"/>
    <w:rsid w:val="00E64C4F"/>
    <w:rsid w:val="00E66E2E"/>
    <w:rsid w:val="00E67691"/>
    <w:rsid w:val="00E6790C"/>
    <w:rsid w:val="00E714F6"/>
    <w:rsid w:val="00E80F90"/>
    <w:rsid w:val="00E825BD"/>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C747A"/>
    <w:rsid w:val="00ED14CC"/>
    <w:rsid w:val="00ED3E32"/>
    <w:rsid w:val="00ED442D"/>
    <w:rsid w:val="00ED70C2"/>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2AA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059E"/>
    <w:rsid w:val="00FA4A4C"/>
    <w:rsid w:val="00FB17AB"/>
    <w:rsid w:val="00FB48CF"/>
    <w:rsid w:val="00FC002E"/>
    <w:rsid w:val="00FC1685"/>
    <w:rsid w:val="00FC4C23"/>
    <w:rsid w:val="00FC6204"/>
    <w:rsid w:val="00FC642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85D9C3"/>
  <w15:docId w15:val="{576D23B8-E36A-4AF8-9321-7846EBB4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5BD"/>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B3320"/>
    <w:pPr>
      <w:spacing w:before="400"/>
    </w:pPr>
    <w:rPr>
      <w:rFonts w:asciiTheme="majorHAnsi" w:hAnsiTheme="majorHAnsi" w:cs="Arial"/>
      <w:b/>
      <w:bCs/>
      <w:sz w:val="48"/>
      <w:szCs w:val="54"/>
    </w:rPr>
  </w:style>
  <w:style w:type="character" w:customStyle="1" w:styleId="TitleChar">
    <w:name w:val="Title Char"/>
    <w:basedOn w:val="DefaultParagraphFont"/>
    <w:link w:val="Title"/>
    <w:uiPriority w:val="10"/>
    <w:rsid w:val="00BB3320"/>
    <w:rPr>
      <w:rFonts w:asciiTheme="majorHAnsi" w:hAnsiTheme="majorHAnsi" w:cs="Arial"/>
      <w:b/>
      <w:bCs/>
      <w:sz w:val="48"/>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E15CF6"/>
    <w:pPr>
      <w:keepNext/>
      <w:spacing w:before="240"/>
    </w:pPr>
    <w:rPr>
      <w:rFonts w:asciiTheme="majorHAnsi" w:hAnsiTheme="majorHAnsi"/>
      <w:sz w:val="28"/>
    </w:rPr>
  </w:style>
  <w:style w:type="character" w:customStyle="1" w:styleId="SubtitleChar">
    <w:name w:val="Subtitle Char"/>
    <w:basedOn w:val="DefaultParagraphFont"/>
    <w:link w:val="Subtitle"/>
    <w:uiPriority w:val="11"/>
    <w:rsid w:val="00E15CF6"/>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662078"/>
    <w:pPr>
      <w:numPr>
        <w:numId w:val="2"/>
      </w:numPr>
      <w:suppressAutoHyphens/>
      <w:autoSpaceDE w:val="0"/>
      <w:autoSpaceDN w:val="0"/>
      <w:adjustRightInd w:val="0"/>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955A0C"/>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00338"/>
    <w:pPr>
      <w:spacing w:before="264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10033C"/>
    <w:pPr>
      <w:numPr>
        <w:numId w:val="3"/>
      </w:numPr>
      <w:spacing w:before="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00338"/>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897881"/>
    <w:pPr>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Text">
    <w:name w:val="annotation text"/>
    <w:basedOn w:val="Normal"/>
    <w:link w:val="CommentTextChar"/>
    <w:uiPriority w:val="99"/>
    <w:unhideWhenUsed/>
    <w:rsid w:val="007B537E"/>
    <w:pPr>
      <w:spacing w:line="240" w:lineRule="auto"/>
    </w:pPr>
    <w:rPr>
      <w:sz w:val="20"/>
      <w:szCs w:val="20"/>
    </w:rPr>
  </w:style>
  <w:style w:type="character" w:customStyle="1" w:styleId="CommentTextChar">
    <w:name w:val="Comment Text Char"/>
    <w:basedOn w:val="DefaultParagraphFont"/>
    <w:link w:val="CommentText"/>
    <w:uiPriority w:val="99"/>
    <w:rsid w:val="007B537E"/>
    <w:rPr>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7B537E"/>
    <w:rPr>
      <w:b/>
      <w:bCs/>
    </w:rPr>
  </w:style>
  <w:style w:type="character" w:customStyle="1" w:styleId="CommentSubjectChar">
    <w:name w:val="Comment Subject Char"/>
    <w:basedOn w:val="CommentTextChar"/>
    <w:link w:val="CommentSubject"/>
    <w:uiPriority w:val="99"/>
    <w:semiHidden/>
    <w:rsid w:val="007B537E"/>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662078"/>
    <w:pPr>
      <w:numPr>
        <w:numId w:val="9"/>
      </w:numPr>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 w:type="character" w:customStyle="1" w:styleId="Subscript">
    <w:name w:val="Subscript"/>
    <w:basedOn w:val="DefaultParagraphFont"/>
    <w:qFormat/>
    <w:rsid w:val="00FC1685"/>
    <w:rPr>
      <w:position w:val="-3"/>
      <w:vertAlign w:val="subscript"/>
    </w:rPr>
  </w:style>
  <w:style w:type="character" w:customStyle="1" w:styleId="NoBreak">
    <w:name w:val="No Break"/>
    <w:uiPriority w:val="99"/>
    <w:rsid w:val="00832451"/>
  </w:style>
  <w:style w:type="character" w:customStyle="1" w:styleId="Bold">
    <w:name w:val="Bold"/>
    <w:uiPriority w:val="99"/>
    <w:rsid w:val="008324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topics/communicable-diseases/cdi/eab" TargetMode="External"/><Relationship Id="rId18" Type="http://schemas.openxmlformats.org/officeDocument/2006/relationships/image" Target="media/image2.jpg"/><Relationship Id="rId26" Type="http://schemas.openxmlformats.org/officeDocument/2006/relationships/hyperlink" Target="mailto:Michael.maley@health.nsw.gov.au" TargetMode="External"/><Relationship Id="rId39" Type="http://schemas.openxmlformats.org/officeDocument/2006/relationships/hyperlink" Target="https://www.safetyandquality.gov.au/our-work/antimicrobial-resistance/antimicrobial-use-and-resistance-australia-aura/hospital-and-community-antimicrobial-resistance/national-alert-system-critical-antimicrobial-resistances-caralert" TargetMode="External"/><Relationship Id="rId21" Type="http://schemas.openxmlformats.org/officeDocument/2006/relationships/image" Target="media/image4.jpg"/><Relationship Id="rId34" Type="http://schemas.openxmlformats.org/officeDocument/2006/relationships/hyperlink" Target="https://www.health.gov.au/resources/apps-and-tools/national-notifiable-diseases-surveillance-system-nndss-data-visualisation-tool" TargetMode="External"/><Relationship Id="rId42" Type="http://schemas.openxmlformats.org/officeDocument/2006/relationships/hyperlink" Target="https://www.health.gov.au/internet/immunise/publishing.nsf/Content/immunise-meningococcal" TargetMode="External"/><Relationship Id="rId47" Type="http://schemas.openxmlformats.org/officeDocument/2006/relationships/hyperlink" Target="https://emergency.cdc.gov/han/2024/han00505.asp"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dc.gov.au/topics/communicable-diseases/cdi" TargetMode="External"/><Relationship Id="rId29" Type="http://schemas.openxmlformats.org/officeDocument/2006/relationships/hyperlink" Target="mailto:Lex.Leong@sa.gov.au" TargetMode="External"/><Relationship Id="rId11" Type="http://schemas.openxmlformats.org/officeDocument/2006/relationships/hyperlink" Target="https://creativecommons.org/licenses/by-nc-nd/4.0/legalcode" TargetMode="External"/><Relationship Id="rId24" Type="http://schemas.openxmlformats.org/officeDocument/2006/relationships/hyperlink" Target="mailto:karina.kennedy@act.gov.au" TargetMode="External"/><Relationship Id="rId32" Type="http://schemas.openxmlformats.org/officeDocument/2006/relationships/hyperlink" Target="mailto:Rebecca.Ferdinand@health.wa.gov.au" TargetMode="External"/><Relationship Id="rId37" Type="http://schemas.openxmlformats.org/officeDocument/2006/relationships/hyperlink" Target="https://www.health.gov.au/internet/main/publishing.nsf/Content/ohp-meningococcal-W.htm" TargetMode="External"/><Relationship Id="rId40" Type="http://schemas.openxmlformats.org/officeDocument/2006/relationships/hyperlink" Target="https://doi.org/10.1017/S0950268814001149" TargetMode="External"/><Relationship Id="rId45" Type="http://schemas.openxmlformats.org/officeDocument/2006/relationships/hyperlink" Target="https://doi.org/10.4161/hv.21794" TargetMode="External"/><Relationship Id="rId53" Type="http://schemas.openxmlformats.org/officeDocument/2006/relationships/footer" Target="footer2.xml"/><Relationship Id="rId5" Type="http://schemas.openxmlformats.org/officeDocument/2006/relationships/settings" Target="settings.xml"/><Relationship Id="rId19" Type="http://schemas.openxmlformats.org/officeDocument/2006/relationships/hyperlink" Target="https://nindss.health.gov.au/pbi-dashboar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cdc.gov.au/topics/communicable-diseases/cdi/authors" TargetMode="External"/><Relationship Id="rId22" Type="http://schemas.openxmlformats.org/officeDocument/2006/relationships/image" Target="media/image5.jpg"/><Relationship Id="rId27" Type="http://schemas.openxmlformats.org/officeDocument/2006/relationships/hyperlink" Target="mailto:rob.baird@nt.gov.au" TargetMode="External"/><Relationship Id="rId30" Type="http://schemas.openxmlformats.org/officeDocument/2006/relationships/hyperlink" Target="mailto:belinda.mcewan@ths.tas.gov.au" TargetMode="External"/><Relationship Id="rId35" Type="http://schemas.openxmlformats.org/officeDocument/2006/relationships/hyperlink" Target="https://doi.org/10.5694/mja2.51463" TargetMode="External"/><Relationship Id="rId43" Type="http://schemas.openxmlformats.org/officeDocument/2006/relationships/hyperlink" Target="https://doi.org/10.33321/cdi.2010.34.48" TargetMode="External"/><Relationship Id="rId48" Type="http://schemas.openxmlformats.org/officeDocument/2006/relationships/hyperlink" Target="https://doi.org/10.3201/eid3101.240940"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numbering" Target="numbering.xml"/><Relationship Id="rId12" Type="http://schemas.openxmlformats.org/officeDocument/2006/relationships/hyperlink" Target="mailto:cdi.editor@health.gov.au" TargetMode="External"/><Relationship Id="rId17" Type="http://schemas.openxmlformats.org/officeDocument/2006/relationships/hyperlink" Target="mailto:cdi.editor@health.gov.au" TargetMode="External"/><Relationship Id="rId25" Type="http://schemas.openxmlformats.org/officeDocument/2006/relationships/hyperlink" Target="mailto:monica.lahra@health.nsw.gov.au" TargetMode="External"/><Relationship Id="rId33" Type="http://schemas.openxmlformats.org/officeDocument/2006/relationships/hyperlink" Target="mailto:monica.lahra@health.nsw.gov.au" TargetMode="External"/><Relationship Id="rId38" Type="http://schemas.openxmlformats.org/officeDocument/2006/relationships/hyperlink" Target="https://www.health.gov.au/sites/default/files/2024-07/invasive-meningococcal-disease-cdna-national-guidelines-for-public-health-units.pdf" TargetMode="External"/><Relationship Id="rId46" Type="http://schemas.openxmlformats.org/officeDocument/2006/relationships/hyperlink" Target="https://doi.org/10.33321/cdi.2024.48.20" TargetMode="External"/><Relationship Id="rId20" Type="http://schemas.openxmlformats.org/officeDocument/2006/relationships/image" Target="media/image3.jpg"/><Relationship Id="rId41" Type="http://schemas.openxmlformats.org/officeDocument/2006/relationships/hyperlink" Target="https://doi.org/10.1093/cid/ciu881"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health.gov.au" TargetMode="External"/><Relationship Id="rId23" Type="http://schemas.openxmlformats.org/officeDocument/2006/relationships/image" Target="media/image6.jpg"/><Relationship Id="rId28" Type="http://schemas.openxmlformats.org/officeDocument/2006/relationships/hyperlink" Target="mailto:Amy.Jennison@health.qld.gov.au" TargetMode="External"/><Relationship Id="rId36" Type="http://schemas.openxmlformats.org/officeDocument/2006/relationships/hyperlink" Target="http://www9.health.gov.au/cda/source/rpt_4_sel.cfm" TargetMode="External"/><Relationship Id="rId49" Type="http://schemas.openxmlformats.org/officeDocument/2006/relationships/hyperlink" Target="http://dx.doi.org/10.15585/mmwr.mm7305a2" TargetMode="External"/><Relationship Id="rId57" Type="http://schemas.openxmlformats.org/officeDocument/2006/relationships/theme" Target="theme/theme1.xml"/><Relationship Id="rId10" Type="http://schemas.openxmlformats.org/officeDocument/2006/relationships/hyperlink" Target="https://www.cdc.gov.au/topics/communicable-diseases/cdi" TargetMode="External"/><Relationship Id="rId31" Type="http://schemas.openxmlformats.org/officeDocument/2006/relationships/hyperlink" Target="mailto:kerries@unimelb.edu.au" TargetMode="External"/><Relationship Id="rId44" Type="http://schemas.openxmlformats.org/officeDocument/2006/relationships/hyperlink" Target="https://doi.org/10.2139/ssrn.3998164" TargetMode="External"/><Relationship Id="rId5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long-report-template-2025.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CDI-long-report-template-2025.dotx</Template>
  <TotalTime>16</TotalTime>
  <Pages>22</Pages>
  <Words>6414</Words>
  <Characters>35066</Characters>
  <Application>Microsoft Office Word</Application>
  <DocSecurity>0</DocSecurity>
  <Lines>1165</Lines>
  <Paragraphs>809</Paragraphs>
  <ScaleCrop>false</ScaleCrop>
  <HeadingPairs>
    <vt:vector size="2" baseType="variant">
      <vt:variant>
        <vt:lpstr>Title</vt:lpstr>
      </vt:variant>
      <vt:variant>
        <vt:i4>1</vt:i4>
      </vt:variant>
    </vt:vector>
  </HeadingPairs>
  <TitlesOfParts>
    <vt:vector size="1" baseType="lpstr">
      <vt:lpstr>Communicable Diseases Intelligence - Australian Meningococcal Surveillance Programme Annual Report, 2024</vt:lpstr>
    </vt:vector>
  </TitlesOfParts>
  <Company>interim Australian Centre for Disease Control within the Department of Health, Disability and Ageing</Company>
  <LinksUpToDate>false</LinksUpToDate>
  <CharactersWithSpaces>40700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Meningococcal Surveillance Programme Annual Report, 2024</dc:title>
  <dc:subject>The reference laboratories of the Australian National Neisseria Network (NNN) report data on the number of laboratory confirmations of invasive meningococcal disease (IMD) using culture and by molecular based techniques for the Australian Meningococcal Surveillance Programme (AMSP). In 2024, there were 136 laboratory confirmations of invasive meningococcal disease (IMD) analysed by the Australian National Neisseria Network (NNN).</dc:subject>
  <dc:creator>Monica M Lahra;Siobhan M. Hurley;C R Robert George;Sebastiaan J van Hal;Tiffany R Hogan;National Neisseria Network</dc:creator>
  <cp:keywords>antimicrobial resistance; disease surveillance; invasive meningococcal disease; Neisseria meningitidis</cp:keywords>
  <dc:description>© 2025 Commonwealth of Australia as represented by the Department of Health, Disability and Ageing. This publication is licenced under a CC BY-NC-ND licence.</dc:description>
  <cp:revision>23</cp:revision>
  <cp:lastPrinted>2024-03-07T01:06:00Z</cp:lastPrinted>
  <dcterms:created xsi:type="dcterms:W3CDTF">2025-11-05T22:37:00Z</dcterms:created>
  <dcterms:modified xsi:type="dcterms:W3CDTF">2025-11-05T23:57:00Z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18.11.2025</vt:lpwstr>
  </property>
  <property fmtid="{D5CDD505-2E9C-101B-9397-08002B2CF9AE}" pid="5" name="DOI">
    <vt:lpwstr>doi.org/10.33321/cdi.2025.49.057</vt:lpwstr>
  </property>
  <property fmtid="{D5CDD505-2E9C-101B-9397-08002B2CF9AE}" pid="6" name="ClassificationContentMarkingHeaderShapeIds">
    <vt:lpwstr>644542cc,2c0f9685,2068767b</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54dbff6a,d9ec7c5,1b473874</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2025-08-24T23:10:09Z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63deb136-61c8-46ac-96d2-abcdfae7a143</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