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18A64" w14:textId="7F4A7DC3"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673CC844" wp14:editId="21DBCCD8">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8566F5">
          <w:t>2025</w:t>
        </w:r>
      </w:fldSimple>
      <w:r w:rsidR="00D22CC8" w:rsidRPr="00B85B74">
        <w:t xml:space="preserve"> • Volume </w:t>
      </w:r>
      <w:fldSimple w:instr=" DOCPROPERTY  Vol  \* MERGEFORMAT ">
        <w:r w:rsidR="008566F5">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882E98">
          <w:t>18.11.2025</w:t>
        </w:r>
      </w:fldSimple>
      <w:r w:rsidR="00700338">
        <w:t xml:space="preserve"> </w:t>
      </w:r>
      <w:r w:rsidR="00700338" w:rsidRPr="00B85B74">
        <w:t xml:space="preserve">• </w:t>
      </w:r>
      <w:fldSimple w:instr=" DOCPROPERTY  DOI  \* MERGEFORMAT ">
        <w:r w:rsidR="00882E98">
          <w:t>doi.org/10.33321/cdi.2025.49.056</w:t>
        </w:r>
      </w:fldSimple>
    </w:p>
    <w:p w14:paraId="0FC70894" w14:textId="24939505" w:rsidR="006B16A5" w:rsidRPr="00142578" w:rsidRDefault="00D32C4E" w:rsidP="00CE2CC7">
      <w:pPr>
        <w:pStyle w:val="Title"/>
      </w:pPr>
      <w:r w:rsidRPr="00D32C4E">
        <w:t>Australian Gonococcal Surveillance Programme Annual Report, 2024</w:t>
      </w:r>
    </w:p>
    <w:p w14:paraId="61A0DEF8" w14:textId="3E1AC471" w:rsidR="00013B65" w:rsidRDefault="00D32C4E" w:rsidP="00BB3320">
      <w:pPr>
        <w:pStyle w:val="Subtitle"/>
      </w:pPr>
      <w:r w:rsidRPr="00D32C4E">
        <w:t>Monica M Lahra, Siobhan M Hurley, Sebastiaan J van Hal and Tiffany</w:t>
      </w:r>
      <w:r>
        <w:t> </w:t>
      </w:r>
      <w:r w:rsidRPr="00D32C4E">
        <w:t>R</w:t>
      </w:r>
      <w:r>
        <w:t> </w:t>
      </w:r>
      <w:r w:rsidRPr="00D32C4E">
        <w:t>Hogan for the National Neisseria Network, Australia</w:t>
      </w:r>
      <w:r w:rsidR="00013B65">
        <w:br w:type="page"/>
      </w:r>
    </w:p>
    <w:p w14:paraId="7396BBB0"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8566F5">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78AB48D8" w14:textId="77777777" w:rsidR="00B52457" w:rsidRPr="0089025E" w:rsidRDefault="00B52457" w:rsidP="00087CC4">
      <w:pPr>
        <w:pStyle w:val="CDICopyright"/>
      </w:pPr>
      <w:r w:rsidRPr="0089025E">
        <w:t>ISSN: 2209-6051 Online</w:t>
      </w:r>
    </w:p>
    <w:p w14:paraId="5E1674B0" w14:textId="77777777" w:rsidR="00B52457" w:rsidRDefault="00B52457" w:rsidP="00087CC4">
      <w:pPr>
        <w:pStyle w:val="CDICopyright"/>
      </w:pPr>
      <w:r w:rsidRPr="0089025E">
        <w:t>This journal is indexed by Index Medicus and Medline.</w:t>
      </w:r>
    </w:p>
    <w:p w14:paraId="1E876546" w14:textId="77777777" w:rsidR="00B52457" w:rsidRPr="007F2B27" w:rsidRDefault="00B52457" w:rsidP="00CC3648">
      <w:pPr>
        <w:pStyle w:val="CDICopyrightHeading"/>
      </w:pPr>
      <w:r w:rsidRPr="007F2B27">
        <w:t>Creative Commons Licence</w:t>
      </w:r>
    </w:p>
    <w:p w14:paraId="4B44E008"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2C537630" w14:textId="77777777" w:rsidR="00B52457" w:rsidRPr="007F2B27" w:rsidRDefault="00B52457" w:rsidP="00CC3648">
      <w:pPr>
        <w:pStyle w:val="CDICopyrightHeading"/>
      </w:pPr>
      <w:r w:rsidRPr="007F2B27">
        <w:t>Restrictions</w:t>
      </w:r>
    </w:p>
    <w:p w14:paraId="18E9DCC4"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5EC71010"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15C00CE2"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03BAF021"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359AD40B" w14:textId="77777777" w:rsidR="00B52457" w:rsidRPr="00E9313B" w:rsidRDefault="00B52457" w:rsidP="00E9313B">
      <w:pPr>
        <w:pStyle w:val="CDICopyrightBullets"/>
      </w:pPr>
      <w:r w:rsidRPr="00E9313B">
        <w:t>any signatures; and</w:t>
      </w:r>
    </w:p>
    <w:p w14:paraId="0FC56A5D" w14:textId="77777777" w:rsidR="00B52457" w:rsidRPr="003C23C9" w:rsidRDefault="00B52457" w:rsidP="00E9313B">
      <w:pPr>
        <w:pStyle w:val="CDICopyrightBullets"/>
      </w:pPr>
      <w:r w:rsidRPr="00E9313B">
        <w:t>any</w:t>
      </w:r>
      <w:r w:rsidRPr="003C23C9">
        <w:t xml:space="preserve"> material belonging to third parties.</w:t>
      </w:r>
    </w:p>
    <w:p w14:paraId="238E2663" w14:textId="77777777" w:rsidR="00B52457" w:rsidRPr="00CC3648" w:rsidRDefault="00B52457" w:rsidP="00CC3648">
      <w:pPr>
        <w:pStyle w:val="CDICopyrightHeading"/>
      </w:pPr>
      <w:r w:rsidRPr="00CC3648">
        <w:t>Disclaimer</w:t>
      </w:r>
    </w:p>
    <w:p w14:paraId="1F636B13"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440F79D7" w14:textId="77777777" w:rsidR="00B52457" w:rsidRPr="007F2B27" w:rsidRDefault="00B52457" w:rsidP="00CC3648">
      <w:pPr>
        <w:pStyle w:val="CDICopyrightHeading"/>
      </w:pPr>
      <w:r w:rsidRPr="007F2B27">
        <w:t>Enquiries</w:t>
      </w:r>
    </w:p>
    <w:p w14:paraId="20C200F4"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4DAB4DEE" w14:textId="77777777" w:rsidR="00B52457" w:rsidRPr="00A65DFA" w:rsidRDefault="00B52457" w:rsidP="00B52457">
      <w:pPr>
        <w:pStyle w:val="CDIAbout"/>
      </w:pPr>
      <w:bookmarkStart w:id="1" w:name="_Toc190257376"/>
      <w:r>
        <w:t xml:space="preserve">About </w:t>
      </w:r>
      <w:bookmarkEnd w:id="1"/>
      <w:r w:rsidR="0022524E">
        <w:t>CDI</w:t>
      </w:r>
    </w:p>
    <w:p w14:paraId="3FD993A1"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19015E1C"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64840ABF"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389D3287"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01A84987"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30196369"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590782CB" w14:textId="77777777" w:rsidR="00B52457" w:rsidRPr="00B87589" w:rsidRDefault="00B52457" w:rsidP="00B87589">
      <w:pPr>
        <w:pStyle w:val="CDIAbouttext"/>
        <w:rPr>
          <w:b/>
          <w:bCs/>
        </w:rPr>
      </w:pPr>
      <w:r w:rsidRPr="00B87589">
        <w:rPr>
          <w:b/>
          <w:bCs/>
        </w:rPr>
        <w:t>Contact us</w:t>
      </w:r>
    </w:p>
    <w:p w14:paraId="10318E50" w14:textId="77777777" w:rsidR="00B52457" w:rsidRPr="00087CC4" w:rsidRDefault="00B52457" w:rsidP="00360B3A">
      <w:pPr>
        <w:pStyle w:val="CDIAbouttextLess"/>
      </w:pPr>
      <w:r w:rsidRPr="009572C6">
        <w:t>Communicable Diseases Intelligence</w:t>
      </w:r>
      <w:r w:rsidRPr="00087CC4">
        <w:t xml:space="preserve"> (CDI)</w:t>
      </w:r>
    </w:p>
    <w:p w14:paraId="582D45B6" w14:textId="77777777" w:rsidR="00B52457" w:rsidRPr="00087CC4" w:rsidRDefault="009572C6" w:rsidP="00360B3A">
      <w:pPr>
        <w:pStyle w:val="CDIAbouttextLess"/>
      </w:pPr>
      <w:r>
        <w:t>interim Australian Centre for Disease Control, Department of Health, Disability and Ageing</w:t>
      </w:r>
    </w:p>
    <w:p w14:paraId="5BD84F3A" w14:textId="77777777" w:rsidR="00B52457" w:rsidRPr="0089025E" w:rsidRDefault="00B52457" w:rsidP="00360B3A">
      <w:pPr>
        <w:pStyle w:val="CDIAbouttextLess"/>
      </w:pPr>
      <w:r w:rsidRPr="00087CC4">
        <w:t>GPO Box 9848, CANBERRA</w:t>
      </w:r>
      <w:r w:rsidRPr="0089025E">
        <w:t xml:space="preserve"> ACT 2601</w:t>
      </w:r>
    </w:p>
    <w:p w14:paraId="1464446E"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65A1FA10"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12032A4E"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3238298"/>
      <w:bookmarkStart w:id="7" w:name="_Toc213239642"/>
      <w:bookmarkStart w:id="8" w:name="_Toc195530496"/>
      <w:r>
        <w:lastRenderedPageBreak/>
        <w:t>Contents</w:t>
      </w:r>
      <w:bookmarkEnd w:id="2"/>
      <w:bookmarkEnd w:id="3"/>
      <w:bookmarkEnd w:id="4"/>
      <w:bookmarkEnd w:id="5"/>
      <w:bookmarkEnd w:id="6"/>
      <w:bookmarkEnd w:id="7"/>
    </w:p>
    <w:p w14:paraId="4BB63876" w14:textId="3E6B68FE" w:rsidR="008E6FB1" w:rsidRPr="008E6FB1" w:rsidRDefault="005A4E9D" w:rsidP="008E6FB1">
      <w:pPr>
        <w:pStyle w:val="TOC1"/>
        <w:rPr>
          <w:noProof/>
        </w:rPr>
      </w:pPr>
      <w:r>
        <w:fldChar w:fldCharType="begin"/>
      </w:r>
      <w:r>
        <w:instrText xml:space="preserve"> TOC \o "1-1" \h \z \t "Heading 2,2,Heading 2 - no space before,2,Heading 2 - less space before,2,Heading 2 - new page,2" </w:instrText>
      </w:r>
      <w:r>
        <w:fldChar w:fldCharType="separate"/>
      </w:r>
      <w:hyperlink w:anchor="_Toc213239643" w:history="1">
        <w:r w:rsidR="008E6FB1" w:rsidRPr="00440B41">
          <w:rPr>
            <w:rStyle w:val="Hyperlink"/>
            <w:noProof/>
          </w:rPr>
          <w:t>List of figures</w:t>
        </w:r>
        <w:r w:rsidR="008E6FB1">
          <w:rPr>
            <w:noProof/>
            <w:webHidden/>
          </w:rPr>
          <w:tab/>
        </w:r>
        <w:r w:rsidR="008E6FB1">
          <w:rPr>
            <w:noProof/>
            <w:webHidden/>
          </w:rPr>
          <w:fldChar w:fldCharType="begin"/>
        </w:r>
        <w:r w:rsidR="008E6FB1">
          <w:rPr>
            <w:noProof/>
            <w:webHidden/>
          </w:rPr>
          <w:instrText xml:space="preserve"> PAGEREF _Toc213239643 \h </w:instrText>
        </w:r>
        <w:r w:rsidR="008E6FB1">
          <w:rPr>
            <w:noProof/>
            <w:webHidden/>
          </w:rPr>
        </w:r>
        <w:r w:rsidR="008E6FB1">
          <w:rPr>
            <w:noProof/>
            <w:webHidden/>
          </w:rPr>
          <w:fldChar w:fldCharType="separate"/>
        </w:r>
        <w:r w:rsidR="008E6FB1">
          <w:rPr>
            <w:noProof/>
            <w:webHidden/>
          </w:rPr>
          <w:t>4</w:t>
        </w:r>
        <w:r w:rsidR="008E6FB1">
          <w:rPr>
            <w:noProof/>
            <w:webHidden/>
          </w:rPr>
          <w:fldChar w:fldCharType="end"/>
        </w:r>
      </w:hyperlink>
    </w:p>
    <w:p w14:paraId="28A0D971" w14:textId="708E5E08" w:rsidR="008E6FB1" w:rsidRPr="008E6FB1" w:rsidRDefault="008E6FB1" w:rsidP="008E6FB1">
      <w:pPr>
        <w:pStyle w:val="TOC1"/>
        <w:rPr>
          <w:noProof/>
        </w:rPr>
      </w:pPr>
      <w:hyperlink w:anchor="_Toc213239644" w:history="1">
        <w:r w:rsidRPr="00440B41">
          <w:rPr>
            <w:rStyle w:val="Hyperlink"/>
            <w:noProof/>
          </w:rPr>
          <w:t>List of tables</w:t>
        </w:r>
        <w:r>
          <w:rPr>
            <w:noProof/>
            <w:webHidden/>
          </w:rPr>
          <w:tab/>
        </w:r>
        <w:r>
          <w:rPr>
            <w:noProof/>
            <w:webHidden/>
          </w:rPr>
          <w:fldChar w:fldCharType="begin"/>
        </w:r>
        <w:r>
          <w:rPr>
            <w:noProof/>
            <w:webHidden/>
          </w:rPr>
          <w:instrText xml:space="preserve"> PAGEREF _Toc213239644 \h </w:instrText>
        </w:r>
        <w:r>
          <w:rPr>
            <w:noProof/>
            <w:webHidden/>
          </w:rPr>
        </w:r>
        <w:r>
          <w:rPr>
            <w:noProof/>
            <w:webHidden/>
          </w:rPr>
          <w:fldChar w:fldCharType="separate"/>
        </w:r>
        <w:r>
          <w:rPr>
            <w:noProof/>
            <w:webHidden/>
          </w:rPr>
          <w:t>4</w:t>
        </w:r>
        <w:r>
          <w:rPr>
            <w:noProof/>
            <w:webHidden/>
          </w:rPr>
          <w:fldChar w:fldCharType="end"/>
        </w:r>
      </w:hyperlink>
    </w:p>
    <w:p w14:paraId="3DC27DF9" w14:textId="28D98ED5" w:rsidR="008E6FB1" w:rsidRPr="008E6FB1" w:rsidRDefault="008E6FB1">
      <w:pPr>
        <w:pStyle w:val="TOC1"/>
        <w:rPr>
          <w:noProof/>
        </w:rPr>
      </w:pPr>
      <w:hyperlink w:anchor="_Toc213239645" w:history="1">
        <w:r w:rsidRPr="00440B41">
          <w:rPr>
            <w:rStyle w:val="Hyperlink"/>
            <w:noProof/>
          </w:rPr>
          <w:t>Abstract</w:t>
        </w:r>
        <w:r>
          <w:rPr>
            <w:noProof/>
            <w:webHidden/>
          </w:rPr>
          <w:tab/>
        </w:r>
        <w:r>
          <w:rPr>
            <w:noProof/>
            <w:webHidden/>
          </w:rPr>
          <w:fldChar w:fldCharType="begin"/>
        </w:r>
        <w:r>
          <w:rPr>
            <w:noProof/>
            <w:webHidden/>
          </w:rPr>
          <w:instrText xml:space="preserve"> PAGEREF _Toc213239645 \h </w:instrText>
        </w:r>
        <w:r>
          <w:rPr>
            <w:noProof/>
            <w:webHidden/>
          </w:rPr>
        </w:r>
        <w:r>
          <w:rPr>
            <w:noProof/>
            <w:webHidden/>
          </w:rPr>
          <w:fldChar w:fldCharType="separate"/>
        </w:r>
        <w:r>
          <w:rPr>
            <w:noProof/>
            <w:webHidden/>
          </w:rPr>
          <w:t>5</w:t>
        </w:r>
        <w:r>
          <w:rPr>
            <w:noProof/>
            <w:webHidden/>
          </w:rPr>
          <w:fldChar w:fldCharType="end"/>
        </w:r>
      </w:hyperlink>
    </w:p>
    <w:p w14:paraId="69677C97" w14:textId="4109B2DB" w:rsidR="008E6FB1" w:rsidRPr="008E6FB1" w:rsidRDefault="008E6FB1">
      <w:pPr>
        <w:pStyle w:val="TOC1"/>
        <w:rPr>
          <w:noProof/>
        </w:rPr>
      </w:pPr>
      <w:hyperlink w:anchor="_Toc213239646" w:history="1">
        <w:r w:rsidRPr="00440B41">
          <w:rPr>
            <w:rStyle w:val="Hyperlink"/>
            <w:noProof/>
          </w:rPr>
          <w:t>Introduction</w:t>
        </w:r>
        <w:r>
          <w:rPr>
            <w:noProof/>
            <w:webHidden/>
          </w:rPr>
          <w:tab/>
        </w:r>
        <w:r>
          <w:rPr>
            <w:noProof/>
            <w:webHidden/>
          </w:rPr>
          <w:fldChar w:fldCharType="begin"/>
        </w:r>
        <w:r>
          <w:rPr>
            <w:noProof/>
            <w:webHidden/>
          </w:rPr>
          <w:instrText xml:space="preserve"> PAGEREF _Toc213239646 \h </w:instrText>
        </w:r>
        <w:r>
          <w:rPr>
            <w:noProof/>
            <w:webHidden/>
          </w:rPr>
        </w:r>
        <w:r>
          <w:rPr>
            <w:noProof/>
            <w:webHidden/>
          </w:rPr>
          <w:fldChar w:fldCharType="separate"/>
        </w:r>
        <w:r>
          <w:rPr>
            <w:noProof/>
            <w:webHidden/>
          </w:rPr>
          <w:t>7</w:t>
        </w:r>
        <w:r>
          <w:rPr>
            <w:noProof/>
            <w:webHidden/>
          </w:rPr>
          <w:fldChar w:fldCharType="end"/>
        </w:r>
      </w:hyperlink>
    </w:p>
    <w:p w14:paraId="4223A378" w14:textId="46223DFF" w:rsidR="008E6FB1" w:rsidRPr="008E6FB1" w:rsidRDefault="008E6FB1">
      <w:pPr>
        <w:pStyle w:val="TOC1"/>
        <w:rPr>
          <w:noProof/>
        </w:rPr>
      </w:pPr>
      <w:hyperlink w:anchor="_Toc213239647" w:history="1">
        <w:r w:rsidRPr="00440B41">
          <w:rPr>
            <w:rStyle w:val="Hyperlink"/>
            <w:noProof/>
            <w:lang w:val="en-GB"/>
          </w:rPr>
          <w:t>Methods</w:t>
        </w:r>
        <w:r>
          <w:rPr>
            <w:noProof/>
            <w:webHidden/>
          </w:rPr>
          <w:tab/>
        </w:r>
        <w:r>
          <w:rPr>
            <w:noProof/>
            <w:webHidden/>
          </w:rPr>
          <w:fldChar w:fldCharType="begin"/>
        </w:r>
        <w:r>
          <w:rPr>
            <w:noProof/>
            <w:webHidden/>
          </w:rPr>
          <w:instrText xml:space="preserve"> PAGEREF _Toc213239647 \h </w:instrText>
        </w:r>
        <w:r>
          <w:rPr>
            <w:noProof/>
            <w:webHidden/>
          </w:rPr>
        </w:r>
        <w:r>
          <w:rPr>
            <w:noProof/>
            <w:webHidden/>
          </w:rPr>
          <w:fldChar w:fldCharType="separate"/>
        </w:r>
        <w:r>
          <w:rPr>
            <w:noProof/>
            <w:webHidden/>
          </w:rPr>
          <w:t>8</w:t>
        </w:r>
        <w:r>
          <w:rPr>
            <w:noProof/>
            <w:webHidden/>
          </w:rPr>
          <w:fldChar w:fldCharType="end"/>
        </w:r>
      </w:hyperlink>
    </w:p>
    <w:p w14:paraId="6C42FAAC" w14:textId="6E9490DB" w:rsidR="008E6FB1" w:rsidRPr="008E6FB1" w:rsidRDefault="008E6FB1">
      <w:pPr>
        <w:pStyle w:val="TOC1"/>
        <w:rPr>
          <w:noProof/>
        </w:rPr>
      </w:pPr>
      <w:hyperlink w:anchor="_Toc213239648" w:history="1">
        <w:r w:rsidRPr="00440B41">
          <w:rPr>
            <w:rStyle w:val="Hyperlink"/>
            <w:noProof/>
          </w:rPr>
          <w:t>Results</w:t>
        </w:r>
        <w:r>
          <w:rPr>
            <w:noProof/>
            <w:webHidden/>
          </w:rPr>
          <w:tab/>
        </w:r>
        <w:r>
          <w:rPr>
            <w:noProof/>
            <w:webHidden/>
          </w:rPr>
          <w:fldChar w:fldCharType="begin"/>
        </w:r>
        <w:r>
          <w:rPr>
            <w:noProof/>
            <w:webHidden/>
          </w:rPr>
          <w:instrText xml:space="preserve"> PAGEREF _Toc213239648 \h </w:instrText>
        </w:r>
        <w:r>
          <w:rPr>
            <w:noProof/>
            <w:webHidden/>
          </w:rPr>
        </w:r>
        <w:r>
          <w:rPr>
            <w:noProof/>
            <w:webHidden/>
          </w:rPr>
          <w:fldChar w:fldCharType="separate"/>
        </w:r>
        <w:r>
          <w:rPr>
            <w:noProof/>
            <w:webHidden/>
          </w:rPr>
          <w:t>9</w:t>
        </w:r>
        <w:r>
          <w:rPr>
            <w:noProof/>
            <w:webHidden/>
          </w:rPr>
          <w:fldChar w:fldCharType="end"/>
        </w:r>
      </w:hyperlink>
    </w:p>
    <w:p w14:paraId="60978EA5" w14:textId="388DAA61" w:rsidR="008E6FB1" w:rsidRPr="008E6FB1" w:rsidRDefault="008E6FB1">
      <w:pPr>
        <w:pStyle w:val="TOC2"/>
        <w:tabs>
          <w:tab w:val="right" w:leader="dot" w:pos="9629"/>
        </w:tabs>
        <w:rPr>
          <w:noProof/>
        </w:rPr>
      </w:pPr>
      <w:hyperlink w:anchor="_Toc213239649" w:history="1">
        <w:r w:rsidRPr="00440B41">
          <w:rPr>
            <w:rStyle w:val="Hyperlink"/>
            <w:noProof/>
          </w:rPr>
          <w:t>Proportion of gonococcal infections with antimicrobial susceptibility testing</w:t>
        </w:r>
        <w:r>
          <w:rPr>
            <w:noProof/>
            <w:webHidden/>
          </w:rPr>
          <w:tab/>
        </w:r>
        <w:r>
          <w:rPr>
            <w:noProof/>
            <w:webHidden/>
          </w:rPr>
          <w:fldChar w:fldCharType="begin"/>
        </w:r>
        <w:r>
          <w:rPr>
            <w:noProof/>
            <w:webHidden/>
          </w:rPr>
          <w:instrText xml:space="preserve"> PAGEREF _Toc213239649 \h </w:instrText>
        </w:r>
        <w:r>
          <w:rPr>
            <w:noProof/>
            <w:webHidden/>
          </w:rPr>
        </w:r>
        <w:r>
          <w:rPr>
            <w:noProof/>
            <w:webHidden/>
          </w:rPr>
          <w:fldChar w:fldCharType="separate"/>
        </w:r>
        <w:r>
          <w:rPr>
            <w:noProof/>
            <w:webHidden/>
          </w:rPr>
          <w:t>9</w:t>
        </w:r>
        <w:r>
          <w:rPr>
            <w:noProof/>
            <w:webHidden/>
          </w:rPr>
          <w:fldChar w:fldCharType="end"/>
        </w:r>
      </w:hyperlink>
    </w:p>
    <w:p w14:paraId="31483B04" w14:textId="562F7BEE" w:rsidR="008E6FB1" w:rsidRPr="008E6FB1" w:rsidRDefault="008E6FB1">
      <w:pPr>
        <w:pStyle w:val="TOC2"/>
        <w:tabs>
          <w:tab w:val="right" w:leader="dot" w:pos="9629"/>
        </w:tabs>
        <w:rPr>
          <w:noProof/>
        </w:rPr>
      </w:pPr>
      <w:hyperlink w:anchor="_Toc213239650" w:history="1">
        <w:r w:rsidRPr="00440B41">
          <w:rPr>
            <w:rStyle w:val="Hyperlink"/>
            <w:noProof/>
            <w:lang w:val="en-GB"/>
          </w:rPr>
          <w:t>Gonococcal isolates by sex, site and jurisdiction tested</w:t>
        </w:r>
        <w:r>
          <w:rPr>
            <w:noProof/>
            <w:webHidden/>
          </w:rPr>
          <w:tab/>
        </w:r>
        <w:r>
          <w:rPr>
            <w:noProof/>
            <w:webHidden/>
          </w:rPr>
          <w:fldChar w:fldCharType="begin"/>
        </w:r>
        <w:r>
          <w:rPr>
            <w:noProof/>
            <w:webHidden/>
          </w:rPr>
          <w:instrText xml:space="preserve"> PAGEREF _Toc213239650 \h </w:instrText>
        </w:r>
        <w:r>
          <w:rPr>
            <w:noProof/>
            <w:webHidden/>
          </w:rPr>
        </w:r>
        <w:r>
          <w:rPr>
            <w:noProof/>
            <w:webHidden/>
          </w:rPr>
          <w:fldChar w:fldCharType="separate"/>
        </w:r>
        <w:r>
          <w:rPr>
            <w:noProof/>
            <w:webHidden/>
          </w:rPr>
          <w:t>10</w:t>
        </w:r>
        <w:r>
          <w:rPr>
            <w:noProof/>
            <w:webHidden/>
          </w:rPr>
          <w:fldChar w:fldCharType="end"/>
        </w:r>
      </w:hyperlink>
    </w:p>
    <w:p w14:paraId="3B0CD195" w14:textId="30BC9C3C" w:rsidR="008E6FB1" w:rsidRPr="008E6FB1" w:rsidRDefault="008E6FB1">
      <w:pPr>
        <w:pStyle w:val="TOC2"/>
        <w:tabs>
          <w:tab w:val="right" w:leader="dot" w:pos="9629"/>
        </w:tabs>
        <w:rPr>
          <w:noProof/>
        </w:rPr>
      </w:pPr>
      <w:hyperlink w:anchor="_Toc213239651" w:history="1">
        <w:r w:rsidRPr="00440B41">
          <w:rPr>
            <w:rStyle w:val="Hyperlink"/>
            <w:noProof/>
            <w:lang w:val="en-GB"/>
          </w:rPr>
          <w:t xml:space="preserve">Antimicrobial resistance profile of </w:t>
        </w:r>
        <w:r w:rsidRPr="00440B41">
          <w:rPr>
            <w:rStyle w:val="Hyperlink"/>
            <w:i/>
            <w:iCs/>
            <w:noProof/>
            <w:lang w:val="en-GB"/>
          </w:rPr>
          <w:t>Neisseria gonorrhoeae</w:t>
        </w:r>
        <w:r>
          <w:rPr>
            <w:noProof/>
            <w:webHidden/>
          </w:rPr>
          <w:tab/>
        </w:r>
        <w:r>
          <w:rPr>
            <w:noProof/>
            <w:webHidden/>
          </w:rPr>
          <w:fldChar w:fldCharType="begin"/>
        </w:r>
        <w:r>
          <w:rPr>
            <w:noProof/>
            <w:webHidden/>
          </w:rPr>
          <w:instrText xml:space="preserve"> PAGEREF _Toc213239651 \h </w:instrText>
        </w:r>
        <w:r>
          <w:rPr>
            <w:noProof/>
            <w:webHidden/>
          </w:rPr>
        </w:r>
        <w:r>
          <w:rPr>
            <w:noProof/>
            <w:webHidden/>
          </w:rPr>
          <w:fldChar w:fldCharType="separate"/>
        </w:r>
        <w:r>
          <w:rPr>
            <w:noProof/>
            <w:webHidden/>
          </w:rPr>
          <w:t>12</w:t>
        </w:r>
        <w:r>
          <w:rPr>
            <w:noProof/>
            <w:webHidden/>
          </w:rPr>
          <w:fldChar w:fldCharType="end"/>
        </w:r>
      </w:hyperlink>
    </w:p>
    <w:p w14:paraId="75D125C1" w14:textId="17BF5033" w:rsidR="008E6FB1" w:rsidRPr="008E6FB1" w:rsidRDefault="008E6FB1">
      <w:pPr>
        <w:pStyle w:val="TOC1"/>
        <w:rPr>
          <w:noProof/>
        </w:rPr>
      </w:pPr>
      <w:hyperlink w:anchor="_Toc213239652" w:history="1">
        <w:r w:rsidRPr="00440B41">
          <w:rPr>
            <w:rStyle w:val="Hyperlink"/>
            <w:noProof/>
          </w:rPr>
          <w:t>Discussion</w:t>
        </w:r>
        <w:r>
          <w:rPr>
            <w:noProof/>
            <w:webHidden/>
          </w:rPr>
          <w:tab/>
        </w:r>
        <w:r>
          <w:rPr>
            <w:noProof/>
            <w:webHidden/>
          </w:rPr>
          <w:fldChar w:fldCharType="begin"/>
        </w:r>
        <w:r>
          <w:rPr>
            <w:noProof/>
            <w:webHidden/>
          </w:rPr>
          <w:instrText xml:space="preserve"> PAGEREF _Toc213239652 \h </w:instrText>
        </w:r>
        <w:r>
          <w:rPr>
            <w:noProof/>
            <w:webHidden/>
          </w:rPr>
        </w:r>
        <w:r>
          <w:rPr>
            <w:noProof/>
            <w:webHidden/>
          </w:rPr>
          <w:fldChar w:fldCharType="separate"/>
        </w:r>
        <w:r>
          <w:rPr>
            <w:noProof/>
            <w:webHidden/>
          </w:rPr>
          <w:t>19</w:t>
        </w:r>
        <w:r>
          <w:rPr>
            <w:noProof/>
            <w:webHidden/>
          </w:rPr>
          <w:fldChar w:fldCharType="end"/>
        </w:r>
      </w:hyperlink>
    </w:p>
    <w:p w14:paraId="73A25B24" w14:textId="0B47EEB6" w:rsidR="008E6FB1" w:rsidRPr="008E6FB1" w:rsidRDefault="008E6FB1">
      <w:pPr>
        <w:pStyle w:val="TOC1"/>
        <w:rPr>
          <w:noProof/>
        </w:rPr>
      </w:pPr>
      <w:hyperlink w:anchor="_Toc213239653" w:history="1">
        <w:r w:rsidRPr="00440B41">
          <w:rPr>
            <w:rStyle w:val="Hyperlink"/>
            <w:noProof/>
          </w:rPr>
          <w:t>Acknowledgments</w:t>
        </w:r>
        <w:r>
          <w:rPr>
            <w:noProof/>
            <w:webHidden/>
          </w:rPr>
          <w:tab/>
        </w:r>
        <w:r>
          <w:rPr>
            <w:noProof/>
            <w:webHidden/>
          </w:rPr>
          <w:fldChar w:fldCharType="begin"/>
        </w:r>
        <w:r>
          <w:rPr>
            <w:noProof/>
            <w:webHidden/>
          </w:rPr>
          <w:instrText xml:space="preserve"> PAGEREF _Toc213239653 \h </w:instrText>
        </w:r>
        <w:r>
          <w:rPr>
            <w:noProof/>
            <w:webHidden/>
          </w:rPr>
        </w:r>
        <w:r>
          <w:rPr>
            <w:noProof/>
            <w:webHidden/>
          </w:rPr>
          <w:fldChar w:fldCharType="separate"/>
        </w:r>
        <w:r>
          <w:rPr>
            <w:noProof/>
            <w:webHidden/>
          </w:rPr>
          <w:t>22</w:t>
        </w:r>
        <w:r>
          <w:rPr>
            <w:noProof/>
            <w:webHidden/>
          </w:rPr>
          <w:fldChar w:fldCharType="end"/>
        </w:r>
      </w:hyperlink>
    </w:p>
    <w:p w14:paraId="368F6200" w14:textId="6D7906CA" w:rsidR="008E6FB1" w:rsidRPr="008E6FB1" w:rsidRDefault="008E6FB1">
      <w:pPr>
        <w:pStyle w:val="TOC1"/>
        <w:rPr>
          <w:noProof/>
        </w:rPr>
      </w:pPr>
      <w:hyperlink w:anchor="_Toc213239654" w:history="1">
        <w:r w:rsidRPr="00440B41">
          <w:rPr>
            <w:rStyle w:val="Hyperlink"/>
            <w:noProof/>
          </w:rPr>
          <w:t>Author details</w:t>
        </w:r>
        <w:r>
          <w:rPr>
            <w:noProof/>
            <w:webHidden/>
          </w:rPr>
          <w:tab/>
        </w:r>
        <w:r>
          <w:rPr>
            <w:noProof/>
            <w:webHidden/>
          </w:rPr>
          <w:fldChar w:fldCharType="begin"/>
        </w:r>
        <w:r>
          <w:rPr>
            <w:noProof/>
            <w:webHidden/>
          </w:rPr>
          <w:instrText xml:space="preserve"> PAGEREF _Toc213239654 \h </w:instrText>
        </w:r>
        <w:r>
          <w:rPr>
            <w:noProof/>
            <w:webHidden/>
          </w:rPr>
        </w:r>
        <w:r>
          <w:rPr>
            <w:noProof/>
            <w:webHidden/>
          </w:rPr>
          <w:fldChar w:fldCharType="separate"/>
        </w:r>
        <w:r>
          <w:rPr>
            <w:noProof/>
            <w:webHidden/>
          </w:rPr>
          <w:t>23</w:t>
        </w:r>
        <w:r>
          <w:rPr>
            <w:noProof/>
            <w:webHidden/>
          </w:rPr>
          <w:fldChar w:fldCharType="end"/>
        </w:r>
      </w:hyperlink>
    </w:p>
    <w:p w14:paraId="35AF5F76" w14:textId="29B5FF78" w:rsidR="008E6FB1" w:rsidRPr="008E6FB1" w:rsidRDefault="008E6FB1">
      <w:pPr>
        <w:pStyle w:val="TOC1"/>
        <w:rPr>
          <w:noProof/>
        </w:rPr>
      </w:pPr>
      <w:hyperlink w:anchor="_Toc213239655" w:history="1">
        <w:r w:rsidRPr="00440B41">
          <w:rPr>
            <w:rStyle w:val="Hyperlink"/>
            <w:noProof/>
          </w:rPr>
          <w:t>References</w:t>
        </w:r>
        <w:r>
          <w:rPr>
            <w:noProof/>
            <w:webHidden/>
          </w:rPr>
          <w:tab/>
        </w:r>
        <w:r>
          <w:rPr>
            <w:noProof/>
            <w:webHidden/>
          </w:rPr>
          <w:fldChar w:fldCharType="begin"/>
        </w:r>
        <w:r>
          <w:rPr>
            <w:noProof/>
            <w:webHidden/>
          </w:rPr>
          <w:instrText xml:space="preserve"> PAGEREF _Toc213239655 \h </w:instrText>
        </w:r>
        <w:r>
          <w:rPr>
            <w:noProof/>
            <w:webHidden/>
          </w:rPr>
        </w:r>
        <w:r>
          <w:rPr>
            <w:noProof/>
            <w:webHidden/>
          </w:rPr>
          <w:fldChar w:fldCharType="separate"/>
        </w:r>
        <w:r>
          <w:rPr>
            <w:noProof/>
            <w:webHidden/>
          </w:rPr>
          <w:t>24</w:t>
        </w:r>
        <w:r>
          <w:rPr>
            <w:noProof/>
            <w:webHidden/>
          </w:rPr>
          <w:fldChar w:fldCharType="end"/>
        </w:r>
      </w:hyperlink>
    </w:p>
    <w:p w14:paraId="62749770" w14:textId="23EDF3F5" w:rsidR="00F216F0" w:rsidRPr="00F216F0" w:rsidRDefault="005A4E9D" w:rsidP="00F216F0">
      <w:r>
        <w:rPr>
          <w:rFonts w:eastAsiaTheme="minorHAnsi" w:cstheme="minorHAnsi"/>
          <w:szCs w:val="24"/>
          <w:lang w:eastAsia="en-US"/>
        </w:rPr>
        <w:fldChar w:fldCharType="end"/>
      </w:r>
    </w:p>
    <w:p w14:paraId="69B93EE1" w14:textId="77777777" w:rsidR="00F216F0" w:rsidRDefault="00F216F0" w:rsidP="00ED4C85">
      <w:pPr>
        <w:pStyle w:val="Heading2-newpage"/>
      </w:pPr>
      <w:bookmarkStart w:id="9" w:name="_Toc195530497"/>
      <w:bookmarkStart w:id="10" w:name="_Toc195609227"/>
      <w:bookmarkStart w:id="11" w:name="_Toc213239643"/>
      <w:bookmarkStart w:id="12" w:name="_Toc195609226"/>
      <w:r>
        <w:lastRenderedPageBreak/>
        <w:t>List of figures</w:t>
      </w:r>
      <w:bookmarkEnd w:id="9"/>
      <w:bookmarkEnd w:id="10"/>
      <w:bookmarkEnd w:id="11"/>
    </w:p>
    <w:p w14:paraId="776E68B1" w14:textId="5878E1BE" w:rsidR="00211A71" w:rsidRPr="008E6FB1" w:rsidRDefault="005A4E9D">
      <w:pPr>
        <w:pStyle w:val="TableofFigures"/>
        <w:tabs>
          <w:tab w:val="right" w:leader="dot" w:pos="9629"/>
        </w:tabs>
      </w:pPr>
      <w:r>
        <w:fldChar w:fldCharType="begin"/>
      </w:r>
      <w:r>
        <w:instrText xml:space="preserve"> TOC \h \z \t "CDI Figure - Title" \c </w:instrText>
      </w:r>
      <w:r>
        <w:fldChar w:fldCharType="separate"/>
      </w:r>
      <w:hyperlink w:anchor="_Toc213238203" w:history="1">
        <w:r w:rsidR="00211A71" w:rsidRPr="000F2CC2">
          <w:rPr>
            <w:rStyle w:val="Hyperlink"/>
            <w:noProof/>
            <w:lang w:val="en-GB"/>
          </w:rPr>
          <w:t xml:space="preserve">Figure 1: Number of gonococcal disease cases reported to the National Notifiable Diseases Surveillance System, compared with </w:t>
        </w:r>
        <w:r w:rsidR="00211A71" w:rsidRPr="000F2CC2">
          <w:rPr>
            <w:rStyle w:val="Hyperlink"/>
            <w:i/>
            <w:iCs/>
            <w:noProof/>
            <w:lang w:val="en-GB"/>
          </w:rPr>
          <w:t>Neisseria gonorrhoeae</w:t>
        </w:r>
        <w:r w:rsidR="00211A71" w:rsidRPr="000F2CC2">
          <w:rPr>
            <w:rStyle w:val="Hyperlink"/>
            <w:noProof/>
            <w:lang w:val="en-GB"/>
          </w:rPr>
          <w:t xml:space="preserve"> isolates available for laboratory testing</w:t>
        </w:r>
        <w:r w:rsidR="00211A71">
          <w:rPr>
            <w:rStyle w:val="Hyperlink"/>
            <w:noProof/>
            <w:lang w:val="en-GB"/>
          </w:rPr>
          <w:t> </w:t>
        </w:r>
        <w:r w:rsidR="00211A71" w:rsidRPr="000F2CC2">
          <w:rPr>
            <w:rStyle w:val="Hyperlink"/>
            <w:noProof/>
            <w:lang w:val="en-GB"/>
          </w:rPr>
          <w:t>by the Australian Gonococcal Surveillance Programme, Australia,</w:t>
        </w:r>
        <w:r w:rsidR="00211A71" w:rsidRPr="000F2CC2">
          <w:rPr>
            <w:rStyle w:val="Hyperlink"/>
            <w:noProof/>
            <w:vertAlign w:val="superscript"/>
            <w:lang w:val="en-GB"/>
          </w:rPr>
          <w:t>a</w:t>
        </w:r>
        <w:r w:rsidR="00211A71" w:rsidRPr="000F2CC2">
          <w:rPr>
            <w:rStyle w:val="Hyperlink"/>
            <w:noProof/>
            <w:lang w:val="en-GB"/>
          </w:rPr>
          <w:t xml:space="preserve"> 1991–2024</w:t>
        </w:r>
        <w:r w:rsidR="00211A71">
          <w:rPr>
            <w:noProof/>
            <w:webHidden/>
          </w:rPr>
          <w:tab/>
        </w:r>
        <w:r w:rsidR="00211A71">
          <w:rPr>
            <w:noProof/>
            <w:webHidden/>
          </w:rPr>
          <w:fldChar w:fldCharType="begin"/>
        </w:r>
        <w:r w:rsidR="00211A71">
          <w:rPr>
            <w:noProof/>
            <w:webHidden/>
          </w:rPr>
          <w:instrText xml:space="preserve"> PAGEREF _Toc213238203 \h </w:instrText>
        </w:r>
        <w:r w:rsidR="00211A71">
          <w:rPr>
            <w:noProof/>
            <w:webHidden/>
          </w:rPr>
        </w:r>
        <w:r w:rsidR="00211A71">
          <w:rPr>
            <w:noProof/>
            <w:webHidden/>
          </w:rPr>
          <w:fldChar w:fldCharType="separate"/>
        </w:r>
        <w:r w:rsidR="00211A71">
          <w:rPr>
            <w:noProof/>
            <w:webHidden/>
          </w:rPr>
          <w:t>10</w:t>
        </w:r>
        <w:r w:rsidR="00211A71">
          <w:rPr>
            <w:noProof/>
            <w:webHidden/>
          </w:rPr>
          <w:fldChar w:fldCharType="end"/>
        </w:r>
      </w:hyperlink>
    </w:p>
    <w:p w14:paraId="74CDCFEF" w14:textId="61B3431D" w:rsidR="004F4D5E" w:rsidRDefault="005A4E9D" w:rsidP="00F216F0">
      <w:r>
        <w:fldChar w:fldCharType="end"/>
      </w:r>
    </w:p>
    <w:p w14:paraId="2E5A3652" w14:textId="77777777" w:rsidR="00144F10" w:rsidRDefault="00FE3ED6" w:rsidP="00ED4C85">
      <w:pPr>
        <w:pStyle w:val="Heading2"/>
      </w:pPr>
      <w:bookmarkStart w:id="13" w:name="_Toc213239644"/>
      <w:r>
        <w:t xml:space="preserve">List of </w:t>
      </w:r>
      <w:r w:rsidR="00F216F0">
        <w:t>t</w:t>
      </w:r>
      <w:r w:rsidR="00144F10">
        <w:t>ables</w:t>
      </w:r>
      <w:bookmarkEnd w:id="8"/>
      <w:bookmarkEnd w:id="12"/>
      <w:bookmarkEnd w:id="13"/>
    </w:p>
    <w:p w14:paraId="077EFDA0" w14:textId="668FF213" w:rsidR="00211A71" w:rsidRPr="008E6FB1" w:rsidRDefault="00A709F0">
      <w:pPr>
        <w:pStyle w:val="TableofFigures"/>
        <w:tabs>
          <w:tab w:val="right" w:leader="dot" w:pos="9629"/>
        </w:tabs>
        <w:rPr>
          <w:noProof/>
        </w:rPr>
      </w:pPr>
      <w:r>
        <w:fldChar w:fldCharType="begin"/>
      </w:r>
      <w:r>
        <w:instrText xml:space="preserve"> TOC \h \z \t "CDI Table - Title" \c </w:instrText>
      </w:r>
      <w:r>
        <w:fldChar w:fldCharType="separate"/>
      </w:r>
      <w:hyperlink w:anchor="_Toc213238232" w:history="1">
        <w:r w:rsidR="00211A71" w:rsidRPr="0097780A">
          <w:rPr>
            <w:rStyle w:val="Hyperlink"/>
            <w:noProof/>
            <w:lang w:val="en-GB"/>
          </w:rPr>
          <w:t>Table 1: Number of Australian Gonococcal Surveillance Programme gonococcal isolates tested as</w:t>
        </w:r>
        <w:r w:rsidR="00211A71">
          <w:rPr>
            <w:rStyle w:val="Hyperlink"/>
            <w:noProof/>
            <w:lang w:val="en-GB"/>
          </w:rPr>
          <w:t> </w:t>
        </w:r>
        <w:r w:rsidR="00211A71" w:rsidRPr="0097780A">
          <w:rPr>
            <w:rStyle w:val="Hyperlink"/>
            <w:noProof/>
            <w:lang w:val="en-GB"/>
          </w:rPr>
          <w:t>a proportion of National Notifiable Diseases Surveillance System (NNDSS) gonorrhoea notifications, Australia, 2024,</w:t>
        </w:r>
        <w:r w:rsidR="00211A71" w:rsidRPr="0097780A">
          <w:rPr>
            <w:rStyle w:val="Hyperlink"/>
            <w:noProof/>
            <w:vertAlign w:val="superscript"/>
            <w:lang w:val="en-GB"/>
          </w:rPr>
          <w:t>a</w:t>
        </w:r>
        <w:r w:rsidR="00211A71" w:rsidRPr="0097780A">
          <w:rPr>
            <w:rStyle w:val="Hyperlink"/>
            <w:noProof/>
            <w:lang w:val="en-GB"/>
          </w:rPr>
          <w:t xml:space="preserve"> by state or territory</w:t>
        </w:r>
        <w:r w:rsidR="00211A71">
          <w:rPr>
            <w:noProof/>
            <w:webHidden/>
          </w:rPr>
          <w:tab/>
        </w:r>
        <w:r w:rsidR="00211A71">
          <w:rPr>
            <w:noProof/>
            <w:webHidden/>
          </w:rPr>
          <w:fldChar w:fldCharType="begin"/>
        </w:r>
        <w:r w:rsidR="00211A71">
          <w:rPr>
            <w:noProof/>
            <w:webHidden/>
          </w:rPr>
          <w:instrText xml:space="preserve"> PAGEREF _Toc213238232 \h </w:instrText>
        </w:r>
        <w:r w:rsidR="00211A71">
          <w:rPr>
            <w:noProof/>
            <w:webHidden/>
          </w:rPr>
        </w:r>
        <w:r w:rsidR="00211A71">
          <w:rPr>
            <w:noProof/>
            <w:webHidden/>
          </w:rPr>
          <w:fldChar w:fldCharType="separate"/>
        </w:r>
        <w:r w:rsidR="008E6FB1">
          <w:rPr>
            <w:noProof/>
            <w:webHidden/>
          </w:rPr>
          <w:t>9</w:t>
        </w:r>
        <w:r w:rsidR="00211A71">
          <w:rPr>
            <w:noProof/>
            <w:webHidden/>
          </w:rPr>
          <w:fldChar w:fldCharType="end"/>
        </w:r>
      </w:hyperlink>
    </w:p>
    <w:p w14:paraId="2DD4A07E" w14:textId="1F2E943E" w:rsidR="00211A71" w:rsidRPr="008E6FB1" w:rsidRDefault="00211A71">
      <w:pPr>
        <w:pStyle w:val="TableofFigures"/>
        <w:tabs>
          <w:tab w:val="right" w:leader="dot" w:pos="9629"/>
        </w:tabs>
        <w:rPr>
          <w:noProof/>
        </w:rPr>
      </w:pPr>
      <w:hyperlink w:anchor="_Toc213238233" w:history="1">
        <w:r w:rsidRPr="0097780A">
          <w:rPr>
            <w:rStyle w:val="Hyperlink"/>
            <w:noProof/>
            <w:lang w:val="en-GB"/>
          </w:rPr>
          <w:t>Table 2: Gonococcal isolates, Australia, 2024, by sex, site and jurisdiction</w:t>
        </w:r>
        <w:r w:rsidRPr="0097780A">
          <w:rPr>
            <w:rStyle w:val="Hyperlink"/>
            <w:noProof/>
            <w:vertAlign w:val="superscript"/>
            <w:lang w:val="en-GB"/>
          </w:rPr>
          <w:t>a</w:t>
        </w:r>
        <w:r w:rsidRPr="0097780A">
          <w:rPr>
            <w:rStyle w:val="Hyperlink"/>
            <w:noProof/>
            <w:lang w:val="en-GB"/>
          </w:rPr>
          <w:t xml:space="preserve"> tested</w:t>
        </w:r>
        <w:r>
          <w:rPr>
            <w:noProof/>
            <w:webHidden/>
          </w:rPr>
          <w:tab/>
        </w:r>
        <w:r>
          <w:rPr>
            <w:noProof/>
            <w:webHidden/>
          </w:rPr>
          <w:fldChar w:fldCharType="begin"/>
        </w:r>
        <w:r>
          <w:rPr>
            <w:noProof/>
            <w:webHidden/>
          </w:rPr>
          <w:instrText xml:space="preserve"> PAGEREF _Toc213238233 \h </w:instrText>
        </w:r>
        <w:r>
          <w:rPr>
            <w:noProof/>
            <w:webHidden/>
          </w:rPr>
        </w:r>
        <w:r>
          <w:rPr>
            <w:noProof/>
            <w:webHidden/>
          </w:rPr>
          <w:fldChar w:fldCharType="separate"/>
        </w:r>
        <w:r w:rsidR="008E6FB1">
          <w:rPr>
            <w:noProof/>
            <w:webHidden/>
          </w:rPr>
          <w:t>11</w:t>
        </w:r>
        <w:r>
          <w:rPr>
            <w:noProof/>
            <w:webHidden/>
          </w:rPr>
          <w:fldChar w:fldCharType="end"/>
        </w:r>
      </w:hyperlink>
    </w:p>
    <w:p w14:paraId="511DD28C" w14:textId="0046AF2B" w:rsidR="00211A71" w:rsidRPr="008E6FB1" w:rsidRDefault="00211A71">
      <w:pPr>
        <w:pStyle w:val="TableofFigures"/>
        <w:tabs>
          <w:tab w:val="right" w:leader="dot" w:pos="9629"/>
        </w:tabs>
        <w:rPr>
          <w:noProof/>
        </w:rPr>
      </w:pPr>
      <w:hyperlink w:anchor="_Toc213238234" w:history="1">
        <w:r w:rsidRPr="0097780A">
          <w:rPr>
            <w:rStyle w:val="Hyperlink"/>
            <w:noProof/>
            <w:lang w:val="en-GB"/>
          </w:rPr>
          <w:t>Table 3: Number and proportion (%) of gonococcal isolates with resistance to azithromycin, ciprofloxacin and penicillin reported, Australia, 2024, by state or territory</w:t>
        </w:r>
        <w:r>
          <w:rPr>
            <w:noProof/>
            <w:webHidden/>
          </w:rPr>
          <w:tab/>
        </w:r>
        <w:r>
          <w:rPr>
            <w:noProof/>
            <w:webHidden/>
          </w:rPr>
          <w:fldChar w:fldCharType="begin"/>
        </w:r>
        <w:r>
          <w:rPr>
            <w:noProof/>
            <w:webHidden/>
          </w:rPr>
          <w:instrText xml:space="preserve"> PAGEREF _Toc213238234 \h </w:instrText>
        </w:r>
        <w:r>
          <w:rPr>
            <w:noProof/>
            <w:webHidden/>
          </w:rPr>
        </w:r>
        <w:r>
          <w:rPr>
            <w:noProof/>
            <w:webHidden/>
          </w:rPr>
          <w:fldChar w:fldCharType="separate"/>
        </w:r>
        <w:r w:rsidR="008E6FB1">
          <w:rPr>
            <w:noProof/>
            <w:webHidden/>
          </w:rPr>
          <w:t>12</w:t>
        </w:r>
        <w:r>
          <w:rPr>
            <w:noProof/>
            <w:webHidden/>
          </w:rPr>
          <w:fldChar w:fldCharType="end"/>
        </w:r>
      </w:hyperlink>
    </w:p>
    <w:p w14:paraId="0023175C" w14:textId="3F919021" w:rsidR="00211A71" w:rsidRPr="008E6FB1" w:rsidRDefault="00211A71">
      <w:pPr>
        <w:pStyle w:val="TableofFigures"/>
        <w:tabs>
          <w:tab w:val="right" w:leader="dot" w:pos="9629"/>
        </w:tabs>
        <w:rPr>
          <w:noProof/>
        </w:rPr>
      </w:pPr>
      <w:hyperlink w:anchor="_Toc213238235" w:history="1">
        <w:r w:rsidRPr="0097780A">
          <w:rPr>
            <w:rStyle w:val="Hyperlink"/>
            <w:noProof/>
            <w:lang w:val="en-GB"/>
          </w:rPr>
          <w:t>Table 4: Number and proportion (%) of gonococcal isolates with ceftriaxone MIC values ≥</w:t>
        </w:r>
        <w:r>
          <w:rPr>
            <w:rStyle w:val="Hyperlink"/>
            <w:noProof/>
            <w:lang w:val="en-GB"/>
          </w:rPr>
          <w:t> </w:t>
        </w:r>
        <w:r w:rsidRPr="0097780A">
          <w:rPr>
            <w:rStyle w:val="Hyperlink"/>
            <w:noProof/>
            <w:lang w:val="en-GB"/>
          </w:rPr>
          <w:t>0.064</w:t>
        </w:r>
        <w:r>
          <w:rPr>
            <w:rStyle w:val="Hyperlink"/>
            <w:noProof/>
            <w:lang w:val="en-GB"/>
          </w:rPr>
          <w:t> </w:t>
        </w:r>
        <w:r w:rsidRPr="0097780A">
          <w:rPr>
            <w:rStyle w:val="Hyperlink"/>
            <w:noProof/>
            <w:lang w:val="en-GB"/>
          </w:rPr>
          <w:t>mg/L, Australia, 2014 to 2024, by state or territory</w:t>
        </w:r>
        <w:r>
          <w:rPr>
            <w:noProof/>
            <w:webHidden/>
          </w:rPr>
          <w:tab/>
        </w:r>
        <w:r>
          <w:rPr>
            <w:noProof/>
            <w:webHidden/>
          </w:rPr>
          <w:fldChar w:fldCharType="begin"/>
        </w:r>
        <w:r>
          <w:rPr>
            <w:noProof/>
            <w:webHidden/>
          </w:rPr>
          <w:instrText xml:space="preserve"> PAGEREF _Toc213238235 \h </w:instrText>
        </w:r>
        <w:r>
          <w:rPr>
            <w:noProof/>
            <w:webHidden/>
          </w:rPr>
        </w:r>
        <w:r>
          <w:rPr>
            <w:noProof/>
            <w:webHidden/>
          </w:rPr>
          <w:fldChar w:fldCharType="separate"/>
        </w:r>
        <w:r w:rsidR="008E6FB1">
          <w:rPr>
            <w:noProof/>
            <w:webHidden/>
          </w:rPr>
          <w:t>14</w:t>
        </w:r>
        <w:r>
          <w:rPr>
            <w:noProof/>
            <w:webHidden/>
          </w:rPr>
          <w:fldChar w:fldCharType="end"/>
        </w:r>
      </w:hyperlink>
    </w:p>
    <w:p w14:paraId="5D43D75F" w14:textId="626B67B3" w:rsidR="00211A71" w:rsidRPr="008E6FB1" w:rsidRDefault="00211A71">
      <w:pPr>
        <w:pStyle w:val="TableofFigures"/>
        <w:tabs>
          <w:tab w:val="right" w:leader="dot" w:pos="9629"/>
        </w:tabs>
        <w:rPr>
          <w:noProof/>
        </w:rPr>
      </w:pPr>
      <w:hyperlink w:anchor="_Toc213238236" w:history="1">
        <w:r w:rsidRPr="0097780A">
          <w:rPr>
            <w:rStyle w:val="Hyperlink"/>
            <w:noProof/>
            <w:lang w:val="en-GB"/>
          </w:rPr>
          <w:t>Table 5: Proportion (%) of gonococcal isolates tested in Australia with ceftriaxone MIC values at</w:t>
        </w:r>
        <w:r>
          <w:rPr>
            <w:rStyle w:val="Hyperlink"/>
            <w:noProof/>
            <w:lang w:val="en-GB"/>
          </w:rPr>
          <w:t> </w:t>
        </w:r>
        <w:r w:rsidRPr="0097780A">
          <w:rPr>
            <w:rStyle w:val="Hyperlink"/>
            <w:noProof/>
            <w:lang w:val="en-GB"/>
          </w:rPr>
          <w:t>0.064 mg/L and ≥ 0.125 mg/L</w:t>
        </w:r>
        <w:r w:rsidRPr="0097780A">
          <w:rPr>
            <w:rStyle w:val="Hyperlink"/>
            <w:noProof/>
            <w:vertAlign w:val="superscript"/>
            <w:lang w:val="en-GB"/>
          </w:rPr>
          <w:t>7</w:t>
        </w:r>
        <w:r w:rsidRPr="0097780A">
          <w:rPr>
            <w:rStyle w:val="Hyperlink"/>
            <w:noProof/>
            <w:lang w:val="en-GB"/>
          </w:rPr>
          <w:t xml:space="preserve"> and resistance to azithromycin, 2010 to 2024</w:t>
        </w:r>
        <w:r>
          <w:rPr>
            <w:noProof/>
            <w:webHidden/>
          </w:rPr>
          <w:tab/>
        </w:r>
        <w:r>
          <w:rPr>
            <w:noProof/>
            <w:webHidden/>
          </w:rPr>
          <w:fldChar w:fldCharType="begin"/>
        </w:r>
        <w:r>
          <w:rPr>
            <w:noProof/>
            <w:webHidden/>
          </w:rPr>
          <w:instrText xml:space="preserve"> PAGEREF _Toc213238236 \h </w:instrText>
        </w:r>
        <w:r>
          <w:rPr>
            <w:noProof/>
            <w:webHidden/>
          </w:rPr>
        </w:r>
        <w:r>
          <w:rPr>
            <w:noProof/>
            <w:webHidden/>
          </w:rPr>
          <w:fldChar w:fldCharType="separate"/>
        </w:r>
        <w:r w:rsidR="008E6FB1">
          <w:rPr>
            <w:noProof/>
            <w:webHidden/>
          </w:rPr>
          <w:t>15</w:t>
        </w:r>
        <w:r>
          <w:rPr>
            <w:noProof/>
            <w:webHidden/>
          </w:rPr>
          <w:fldChar w:fldCharType="end"/>
        </w:r>
      </w:hyperlink>
    </w:p>
    <w:p w14:paraId="0EAA4523" w14:textId="47E0016A" w:rsidR="00211A71" w:rsidRPr="008E6FB1" w:rsidRDefault="00211A71">
      <w:pPr>
        <w:pStyle w:val="TableofFigures"/>
        <w:tabs>
          <w:tab w:val="right" w:leader="dot" w:pos="9629"/>
        </w:tabs>
        <w:rPr>
          <w:noProof/>
        </w:rPr>
      </w:pPr>
      <w:hyperlink w:anchor="_Toc213238237" w:history="1">
        <w:r w:rsidRPr="0097780A">
          <w:rPr>
            <w:rStyle w:val="Hyperlink"/>
            <w:noProof/>
            <w:lang w:val="en-GB"/>
          </w:rPr>
          <w:t>Table 6: Number and proportion (%) of gonococcal isolates with resistance to azithromycin, Australia, 2014 to 2024, by state or territory</w:t>
        </w:r>
        <w:r>
          <w:rPr>
            <w:noProof/>
            <w:webHidden/>
          </w:rPr>
          <w:tab/>
        </w:r>
        <w:r>
          <w:rPr>
            <w:noProof/>
            <w:webHidden/>
          </w:rPr>
          <w:fldChar w:fldCharType="begin"/>
        </w:r>
        <w:r>
          <w:rPr>
            <w:noProof/>
            <w:webHidden/>
          </w:rPr>
          <w:instrText xml:space="preserve"> PAGEREF _Toc213238237 \h </w:instrText>
        </w:r>
        <w:r>
          <w:rPr>
            <w:noProof/>
            <w:webHidden/>
          </w:rPr>
        </w:r>
        <w:r>
          <w:rPr>
            <w:noProof/>
            <w:webHidden/>
          </w:rPr>
          <w:fldChar w:fldCharType="separate"/>
        </w:r>
        <w:r w:rsidR="008E6FB1">
          <w:rPr>
            <w:noProof/>
            <w:webHidden/>
          </w:rPr>
          <w:t>16</w:t>
        </w:r>
        <w:r>
          <w:rPr>
            <w:noProof/>
            <w:webHidden/>
          </w:rPr>
          <w:fldChar w:fldCharType="end"/>
        </w:r>
      </w:hyperlink>
    </w:p>
    <w:p w14:paraId="352B079D" w14:textId="02D8A5B3" w:rsidR="00211A71" w:rsidRPr="008E6FB1" w:rsidRDefault="00211A71">
      <w:pPr>
        <w:pStyle w:val="TableofFigures"/>
        <w:tabs>
          <w:tab w:val="right" w:leader="dot" w:pos="9629"/>
        </w:tabs>
        <w:rPr>
          <w:noProof/>
        </w:rPr>
      </w:pPr>
      <w:hyperlink w:anchor="_Toc213238238" w:history="1">
        <w:r w:rsidRPr="0097780A">
          <w:rPr>
            <w:rStyle w:val="Hyperlink"/>
            <w:noProof/>
            <w:lang w:val="en-GB"/>
          </w:rPr>
          <w:t>Table 7: Number and proportion (%) of gonococcal isolates with resistance to tetracycline (MIC</w:t>
        </w:r>
        <w:r w:rsidR="00D503AF">
          <w:rPr>
            <w:rStyle w:val="Hyperlink"/>
            <w:noProof/>
            <w:lang w:val="en-GB"/>
          </w:rPr>
          <w:t> </w:t>
        </w:r>
        <w:r w:rsidRPr="0097780A">
          <w:rPr>
            <w:rStyle w:val="Hyperlink"/>
            <w:noProof/>
            <w:lang w:val="en-GB"/>
          </w:rPr>
          <w:t>≥</w:t>
        </w:r>
        <w:r w:rsidR="00D503AF">
          <w:rPr>
            <w:rStyle w:val="Hyperlink"/>
            <w:noProof/>
            <w:lang w:val="en-GB"/>
          </w:rPr>
          <w:t> </w:t>
        </w:r>
        <w:r w:rsidRPr="0097780A">
          <w:rPr>
            <w:rStyle w:val="Hyperlink"/>
            <w:noProof/>
            <w:lang w:val="en-GB"/>
          </w:rPr>
          <w:t>2</w:t>
        </w:r>
        <w:r>
          <w:rPr>
            <w:rStyle w:val="Hyperlink"/>
            <w:noProof/>
            <w:lang w:val="en-GB"/>
          </w:rPr>
          <w:t> </w:t>
        </w:r>
        <w:r w:rsidRPr="0097780A">
          <w:rPr>
            <w:rStyle w:val="Hyperlink"/>
            <w:noProof/>
            <w:lang w:val="en-GB"/>
          </w:rPr>
          <w:t>mg/L), Australia, 2024, by state or territory</w:t>
        </w:r>
        <w:r>
          <w:rPr>
            <w:noProof/>
            <w:webHidden/>
          </w:rPr>
          <w:tab/>
        </w:r>
        <w:r>
          <w:rPr>
            <w:noProof/>
            <w:webHidden/>
          </w:rPr>
          <w:fldChar w:fldCharType="begin"/>
        </w:r>
        <w:r>
          <w:rPr>
            <w:noProof/>
            <w:webHidden/>
          </w:rPr>
          <w:instrText xml:space="preserve"> PAGEREF _Toc213238238 \h </w:instrText>
        </w:r>
        <w:r>
          <w:rPr>
            <w:noProof/>
            <w:webHidden/>
          </w:rPr>
        </w:r>
        <w:r>
          <w:rPr>
            <w:noProof/>
            <w:webHidden/>
          </w:rPr>
          <w:fldChar w:fldCharType="separate"/>
        </w:r>
        <w:r w:rsidR="008E6FB1">
          <w:rPr>
            <w:noProof/>
            <w:webHidden/>
          </w:rPr>
          <w:t>18</w:t>
        </w:r>
        <w:r>
          <w:rPr>
            <w:noProof/>
            <w:webHidden/>
          </w:rPr>
          <w:fldChar w:fldCharType="end"/>
        </w:r>
      </w:hyperlink>
    </w:p>
    <w:p w14:paraId="2EB566DB" w14:textId="4ECFD8D8" w:rsidR="00425757" w:rsidRDefault="00A709F0" w:rsidP="00144F10">
      <w:r>
        <w:fldChar w:fldCharType="end"/>
      </w:r>
    </w:p>
    <w:p w14:paraId="748B52D4" w14:textId="77777777" w:rsidR="00F25C00" w:rsidRDefault="0098426C" w:rsidP="00A24E95">
      <w:pPr>
        <w:pStyle w:val="Heading1"/>
      </w:pPr>
      <w:bookmarkStart w:id="14" w:name="_Toc195530498"/>
      <w:bookmarkStart w:id="15" w:name="_Toc213239645"/>
      <w:r>
        <w:lastRenderedPageBreak/>
        <w:t>Abstract</w:t>
      </w:r>
      <w:bookmarkEnd w:id="14"/>
      <w:bookmarkEnd w:id="15"/>
    </w:p>
    <w:p w14:paraId="3A85C9BB" w14:textId="77777777" w:rsidR="004F4D5E" w:rsidRPr="004F4D5E" w:rsidRDefault="004F4D5E" w:rsidP="004F4D5E">
      <w:pPr>
        <w:rPr>
          <w:lang w:val="en-GB"/>
        </w:rPr>
      </w:pPr>
      <w:r w:rsidRPr="004F4D5E">
        <w:rPr>
          <w:lang w:val="en-GB"/>
        </w:rPr>
        <w:t xml:space="preserve">The Australian Gonococcal Surveillance Programme (AGSP) has continuously monitored antimicrobial resistance in </w:t>
      </w:r>
      <w:r w:rsidRPr="004F4D5E">
        <w:rPr>
          <w:i/>
          <w:iCs/>
          <w:lang w:val="en-GB"/>
        </w:rPr>
        <w:t>Neisseria gonorrhoeae</w:t>
      </w:r>
      <w:r w:rsidRPr="004F4D5E">
        <w:rPr>
          <w:lang w:val="en-GB"/>
        </w:rPr>
        <w:t xml:space="preserve"> (NG) for more than 40 years through the system of jurisdictional Neisseria reference laboratories, the National Neisseria Network (NNN). In 2024, a total of 10,702 isolates across Australia, from public and private sectors, were tested for </w:t>
      </w:r>
      <w:r w:rsidRPr="004F4D5E">
        <w:rPr>
          <w:i/>
          <w:iCs/>
          <w:lang w:val="en-GB"/>
        </w:rPr>
        <w:t>in vitro</w:t>
      </w:r>
      <w:r w:rsidRPr="004F4D5E">
        <w:rPr>
          <w:lang w:val="en-GB"/>
        </w:rPr>
        <w:t xml:space="preserve"> antimicrobial susceptibility by standardised methods. In 2024, the AGSP captured antimicrobial susceptibility data for 24.0% of all gonococcal infection notifications nationally. The current treatment recommendation for gonorrhoea, for the majority of Australia, continues to be dual therapy with ceftriaxone and azithromycin.</w:t>
      </w:r>
    </w:p>
    <w:p w14:paraId="3998D663" w14:textId="77777777" w:rsidR="004F4D5E" w:rsidRPr="004F4D5E" w:rsidRDefault="004F4D5E" w:rsidP="004F4D5E">
      <w:pPr>
        <w:rPr>
          <w:lang w:val="en-GB"/>
        </w:rPr>
      </w:pPr>
      <w:r w:rsidRPr="004F4D5E">
        <w:rPr>
          <w:lang w:val="en-GB"/>
        </w:rPr>
        <w:t xml:space="preserve">In 2024, of NG isolates tested, 0.51% (55/10,702) met the World Health Organization (WHO) criterion for decreased susceptibility (DS) to ceftriaxone, defined as a minimum inhibitory concentration (MIC) ≥ 0.125 mg/L. This proportion of isolates meeting the ceftriaxone DS criterion was more than double that reported in 2023 (0.22%), with the majority from New South Wales and Victoria. Genomic analysis indicated that 76.4% of these isolates (42/55) possessed the mosaic </w:t>
      </w:r>
      <w:r w:rsidRPr="004F4D5E">
        <w:rPr>
          <w:i/>
          <w:iCs/>
          <w:lang w:val="en-GB"/>
        </w:rPr>
        <w:t>penA 60.001</w:t>
      </w:r>
      <w:r w:rsidRPr="004F4D5E">
        <w:rPr>
          <w:lang w:val="en-GB"/>
        </w:rPr>
        <w:t xml:space="preserve"> allele, the key target associated with ceftriaxone resistance. </w:t>
      </w:r>
    </w:p>
    <w:p w14:paraId="37656A6F" w14:textId="77777777" w:rsidR="004F4D5E" w:rsidRPr="004F4D5E" w:rsidRDefault="004F4D5E" w:rsidP="004F4D5E">
      <w:pPr>
        <w:rPr>
          <w:lang w:val="en-GB"/>
        </w:rPr>
      </w:pPr>
      <w:r w:rsidRPr="004F4D5E">
        <w:rPr>
          <w:lang w:val="en-GB"/>
        </w:rPr>
        <w:t>Resistance to azithromycin was reported in 4.6% of NG isolates nationally, proportionally stable since 2019. Of these, 0.43% (46/10,702) exhibited high-level resistance to azithromycin (MIC value ≥ 256 mg/L), with cases reported across Australia, predominantly in New South Wales and Victoria.</w:t>
      </w:r>
    </w:p>
    <w:p w14:paraId="48B0EF54" w14:textId="3A07F34F" w:rsidR="004F4D5E" w:rsidRPr="004F4D5E" w:rsidRDefault="004F4D5E" w:rsidP="004F4D5E">
      <w:pPr>
        <w:rPr>
          <w:lang w:val="en-GB"/>
        </w:rPr>
      </w:pPr>
      <w:r w:rsidRPr="004F4D5E">
        <w:rPr>
          <w:lang w:val="en-GB"/>
        </w:rPr>
        <w:t>There were nine isolates in 2024 that had an extensively drug-resistant (XDR) phenotype: i.e.,</w:t>
      </w:r>
      <w:r>
        <w:rPr>
          <w:lang w:val="en-GB"/>
        </w:rPr>
        <w:t> </w:t>
      </w:r>
      <w:r w:rsidRPr="004F4D5E">
        <w:rPr>
          <w:lang w:val="en-GB"/>
        </w:rPr>
        <w:t xml:space="preserve">displaying both high-level resistance to azithromycin and decreased susceptibility to ceftriaxone (MIC ≥ 0.125 mg/L). When added to the five XDR isolates reported during 2022–2023, this brings the total to 14 XDR NG isolates reported in Australia since 2022. Genomic analyses of the nine XDR isolates reported in 2024 indicated the presence of the mosaic </w:t>
      </w:r>
      <w:r w:rsidRPr="004F4D5E">
        <w:rPr>
          <w:i/>
          <w:iCs/>
          <w:lang w:val="en-GB"/>
        </w:rPr>
        <w:t>penA 60.001</w:t>
      </w:r>
      <w:r w:rsidRPr="004F4D5E">
        <w:rPr>
          <w:lang w:val="en-GB"/>
        </w:rPr>
        <w:t xml:space="preserve"> allele and identified the isolates as belonging to sequence type (ST) 16406, consistent with recent reports from Europe, England and Southeast Asia of an increase in detection since 2022. Travel information, where available, indicates most were associated with travel or contact in the Asia-Pacific region. </w:t>
      </w:r>
    </w:p>
    <w:p w14:paraId="46DA3C89" w14:textId="77777777" w:rsidR="004F4D5E" w:rsidRPr="004F4D5E" w:rsidRDefault="004F4D5E" w:rsidP="004F4D5E">
      <w:pPr>
        <w:rPr>
          <w:lang w:val="en-GB"/>
        </w:rPr>
      </w:pPr>
      <w:r w:rsidRPr="004F4D5E">
        <w:rPr>
          <w:lang w:val="en-GB"/>
        </w:rPr>
        <w:t xml:space="preserve">In 2024, penicillin resistance was found in 30.8% of gonococcal isolates, and ciprofloxacin resistance in 57.5% of isolates where tested, although there was variation by jurisdiction particularly in remote settings, where acquisition of cultures for antimicrobial susceptibility testing is low. </w:t>
      </w:r>
    </w:p>
    <w:p w14:paraId="3D513780" w14:textId="77777777" w:rsidR="004F4D5E" w:rsidRPr="004F4D5E" w:rsidRDefault="004F4D5E" w:rsidP="004F4D5E">
      <w:pPr>
        <w:pStyle w:val="Normal-morespaceafter"/>
        <w:rPr>
          <w:lang w:val="en-GB"/>
        </w:rPr>
      </w:pPr>
      <w:r w:rsidRPr="004F4D5E">
        <w:rPr>
          <w:lang w:val="en-GB"/>
        </w:rPr>
        <w:t xml:space="preserve">Tetracycline resistance has been reported in the AGSP in recent years, coincident with increasing use of doxycycline post-exposure prophylaxis for syphilis and chlamydia. Nationally 35.2% of NG isolates in 2024 were tetracycline resistant, with variation by jurisdiction. No isolates were resistant to spectinomycin; data for gentamicin, whilst no breakpoints are defined, are reported by the AGSP as these data are reportable to the WHO Global Antimicrobial Resistance and Use Surveillance System (GLASS). The emergence of antimicrobial resistant NG in Australia has largely occurred through importation, spread and local transmission. In 2024, in Australia and overseas, increased detection of drug-resistant NG isolates is of significant concern as the threat for the future of the current recommended therapeutic agents is increasingly evident, and no ideal alternate therapeutic agent has been identified. Disease prevention strategies under investigation for the future include the MenB-4C vaccine, designed to protect against meningococcal disease but shown to be moderately effective against gonorrhoea in various populations, although the duration of protection </w:t>
      </w:r>
      <w:r w:rsidRPr="004F4D5E">
        <w:rPr>
          <w:lang w:val="en-GB"/>
        </w:rPr>
        <w:lastRenderedPageBreak/>
        <w:t xml:space="preserve">is uncertain. The AGSP continues to monitor antimicrobial resistance and to identify emerging resistant clones by enhanced surveillance approaches, to inform strategies for disease management and treatment of gonorrhoea in Australia. </w:t>
      </w:r>
    </w:p>
    <w:p w14:paraId="0C414B29" w14:textId="268960B5" w:rsidR="00B73144" w:rsidRDefault="00B73144" w:rsidP="00E61A68">
      <w:pPr>
        <w:pStyle w:val="CDIBoxText"/>
        <w:rPr>
          <w:lang w:val="en-GB"/>
        </w:rPr>
      </w:pPr>
      <w:r w:rsidRPr="00E61A68">
        <w:t>Keywords</w:t>
      </w:r>
      <w:r w:rsidR="00BF1476">
        <w:t xml:space="preserve">: </w:t>
      </w:r>
      <w:r w:rsidR="004F4D5E" w:rsidRPr="004F4D5E">
        <w:rPr>
          <w:lang w:val="en-GB"/>
        </w:rPr>
        <w:t xml:space="preserve">antimicrobial resistance; disease surveillance; gonococcal infection; </w:t>
      </w:r>
      <w:r w:rsidR="004F4D5E" w:rsidRPr="004F4D5E">
        <w:rPr>
          <w:i/>
          <w:iCs/>
          <w:lang w:val="en-GB"/>
        </w:rPr>
        <w:t>Neisseria gonorrhoeae</w:t>
      </w:r>
      <w:r w:rsidR="004F4D5E" w:rsidRPr="004F4D5E">
        <w:rPr>
          <w:lang w:val="en-GB"/>
        </w:rPr>
        <w:t xml:space="preserve"> </w:t>
      </w:r>
    </w:p>
    <w:p w14:paraId="3FED0F94" w14:textId="77777777" w:rsidR="0037146D" w:rsidRDefault="00B73144" w:rsidP="00B73144">
      <w:pPr>
        <w:pStyle w:val="Heading1"/>
      </w:pPr>
      <w:bookmarkStart w:id="16" w:name="_Toc195530501"/>
      <w:bookmarkStart w:id="17" w:name="_Toc213239646"/>
      <w:r>
        <w:lastRenderedPageBreak/>
        <w:t>Introduction</w:t>
      </w:r>
      <w:bookmarkEnd w:id="16"/>
      <w:bookmarkEnd w:id="17"/>
    </w:p>
    <w:p w14:paraId="77F94E9D" w14:textId="1DD5FED7" w:rsidR="004F4D5E" w:rsidRPr="004F4D5E" w:rsidRDefault="004F4D5E" w:rsidP="004F4D5E">
      <w:pPr>
        <w:rPr>
          <w:lang w:val="en-GB"/>
        </w:rPr>
      </w:pPr>
      <w:r w:rsidRPr="004F4D5E">
        <w:rPr>
          <w:lang w:val="en-GB"/>
        </w:rPr>
        <w:t xml:space="preserve">The National Neisseria Network (NNN) was established in the late 1970s and comprises jurisdictional </w:t>
      </w:r>
      <w:r w:rsidRPr="004F4D5E">
        <w:rPr>
          <w:i/>
          <w:iCs/>
          <w:lang w:val="en-GB"/>
        </w:rPr>
        <w:t>Neisseria</w:t>
      </w:r>
      <w:r w:rsidRPr="004F4D5E">
        <w:rPr>
          <w:lang w:val="en-GB"/>
        </w:rPr>
        <w:t xml:space="preserve"> reference laboratories across Australia. The NNN laboratories provide reference-level services for the pathogenic </w:t>
      </w:r>
      <w:r w:rsidRPr="004F4D5E">
        <w:rPr>
          <w:i/>
          <w:iCs/>
          <w:lang w:val="en-GB"/>
        </w:rPr>
        <w:t>Neisseria</w:t>
      </w:r>
      <w:r w:rsidRPr="004F4D5E">
        <w:rPr>
          <w:lang w:val="en-GB"/>
        </w:rPr>
        <w:t xml:space="preserve"> species: </w:t>
      </w:r>
      <w:r w:rsidRPr="004F4D5E">
        <w:rPr>
          <w:i/>
          <w:iCs/>
          <w:lang w:val="en-GB"/>
        </w:rPr>
        <w:t>N. gonorrhoeae</w:t>
      </w:r>
      <w:r w:rsidRPr="004F4D5E">
        <w:rPr>
          <w:lang w:val="en-GB"/>
        </w:rPr>
        <w:t xml:space="preserve"> (NG) and </w:t>
      </w:r>
      <w:r w:rsidRPr="004F4D5E">
        <w:rPr>
          <w:i/>
          <w:iCs/>
          <w:lang w:val="en-GB"/>
        </w:rPr>
        <w:t>N.</w:t>
      </w:r>
      <w:r>
        <w:rPr>
          <w:i/>
          <w:iCs/>
          <w:lang w:val="en-GB"/>
        </w:rPr>
        <w:t> </w:t>
      </w:r>
      <w:r w:rsidRPr="004F4D5E">
        <w:rPr>
          <w:i/>
          <w:iCs/>
          <w:lang w:val="en-GB"/>
        </w:rPr>
        <w:t>meningitidis</w:t>
      </w:r>
      <w:r w:rsidRPr="004F4D5E">
        <w:rPr>
          <w:lang w:val="en-GB"/>
        </w:rPr>
        <w:t>. The Australian Gonococcal Surveillance Programme (AGSP) is a key activity of the NNN and has been operational for more than 40 years.</w:t>
      </w:r>
      <w:r w:rsidRPr="004F4D5E">
        <w:rPr>
          <w:vertAlign w:val="superscript"/>
          <w:lang w:val="en-GB"/>
        </w:rPr>
        <w:t>1</w:t>
      </w:r>
      <w:r w:rsidRPr="004F4D5E">
        <w:rPr>
          <w:lang w:val="en-GB"/>
        </w:rPr>
        <w:t xml:space="preserve"> Over these decades, the AGSP has reported the emergence of resistance to all antibiotics used in the treatment of gonorrhoea. In 2017, the first evidence of sustained spread of multi-drug-resistant gonorrhoea was reported,</w:t>
      </w:r>
      <w:r w:rsidRPr="004F4D5E">
        <w:rPr>
          <w:vertAlign w:val="superscript"/>
          <w:lang w:val="en-GB"/>
        </w:rPr>
        <w:t>2</w:t>
      </w:r>
      <w:r w:rsidRPr="004F4D5E">
        <w:rPr>
          <w:lang w:val="en-GB"/>
        </w:rPr>
        <w:t xml:space="preserve"> followed in 2018 by coincident reports from Australia and the United Kingdom of the first extensively-drug-resistant (XDR) NG isolates.</w:t>
      </w:r>
      <w:r w:rsidRPr="004F4D5E">
        <w:rPr>
          <w:vertAlign w:val="superscript"/>
          <w:lang w:val="en-GB"/>
        </w:rPr>
        <w:t>3–5</w:t>
      </w:r>
      <w:r w:rsidRPr="004F4D5E">
        <w:rPr>
          <w:lang w:val="en-GB"/>
        </w:rPr>
        <w:t xml:space="preserve"> The emergence of NG antimicrobial resistance (AMR) in Australia has largely occurred following introduction of multi-resistant strains from overseas.</w:t>
      </w:r>
      <w:r w:rsidRPr="004F4D5E">
        <w:rPr>
          <w:vertAlign w:val="superscript"/>
          <w:lang w:val="en-GB"/>
        </w:rPr>
        <w:t>5,6</w:t>
      </w:r>
      <w:r w:rsidRPr="004F4D5E">
        <w:rPr>
          <w:lang w:val="en-GB"/>
        </w:rPr>
        <w:t xml:space="preserve"> The importation and spread of antimicrobial resistant strains remains an ongoing concern for disease control strategies, and is a focus of the work of the NNN. </w:t>
      </w:r>
    </w:p>
    <w:p w14:paraId="3249C736" w14:textId="11960AA8" w:rsidR="004F4D5E" w:rsidRPr="004F4D5E" w:rsidRDefault="004F4D5E" w:rsidP="004F4D5E">
      <w:pPr>
        <w:rPr>
          <w:lang w:val="en-GB"/>
        </w:rPr>
      </w:pPr>
      <w:r w:rsidRPr="004F4D5E">
        <w:rPr>
          <w:lang w:val="en-GB"/>
        </w:rPr>
        <w:t>Since the introduction of dual therapy for gonorrhoea in 2014, the background rate of NG isolates with decreased susceptibility (DS) to ceftriaxone (minimum inhibitory concentration (MIC) value ≥</w:t>
      </w:r>
      <w:r>
        <w:rPr>
          <w:lang w:val="en-GB"/>
        </w:rPr>
        <w:t> </w:t>
      </w:r>
      <w:r w:rsidRPr="004F4D5E">
        <w:rPr>
          <w:lang w:val="en-GB"/>
        </w:rPr>
        <w:t>0.125 mg/L) has remained low, ranging from 0.03% to 0.51%.</w:t>
      </w:r>
      <w:r w:rsidRPr="004F4D5E">
        <w:rPr>
          <w:vertAlign w:val="superscript"/>
          <w:lang w:val="en-GB"/>
        </w:rPr>
        <w:t>7</w:t>
      </w:r>
      <w:r w:rsidRPr="004F4D5E">
        <w:rPr>
          <w:lang w:val="en-GB"/>
        </w:rPr>
        <w:t xml:space="preserve"> Continuous AMR surveillance remains imperative to detect the emergence and spread of resistant strains, threatening empirical therapeutic regimens.</w:t>
      </w:r>
      <w:r w:rsidRPr="004F4D5E">
        <w:rPr>
          <w:vertAlign w:val="superscript"/>
          <w:lang w:val="en-GB"/>
        </w:rPr>
        <w:t>6,8</w:t>
      </w:r>
      <w:r w:rsidRPr="004F4D5E">
        <w:rPr>
          <w:lang w:val="en-GB"/>
        </w:rPr>
        <w:t xml:space="preserve"> The increased proportion of gonococcal isolates resistant to azithromycin in recent years has also heightened concerns about future treatment strategies, and remains an important focus of ongoing surveillance.</w:t>
      </w:r>
    </w:p>
    <w:p w14:paraId="536C24EE" w14:textId="22975849" w:rsidR="004F4D5E" w:rsidRPr="004F4D5E" w:rsidRDefault="004F4D5E" w:rsidP="004F4D5E">
      <w:pPr>
        <w:rPr>
          <w:lang w:val="en-GB"/>
        </w:rPr>
      </w:pPr>
      <w:r w:rsidRPr="004F4D5E">
        <w:rPr>
          <w:lang w:val="en-GB"/>
        </w:rPr>
        <w:t>Notification rates of gonococcal infections in Australia increased by 127% between 2014 and 2023 (from 67.9 to 153.9 per 100,000 population per year). There was a temporal decrease between 2019 and 2022, coincident with the coronavirus disease 2019 (COVID-19) restrictions in 2019 to 2021.</w:t>
      </w:r>
      <w:r w:rsidRPr="004F4D5E">
        <w:rPr>
          <w:vertAlign w:val="superscript"/>
          <w:lang w:val="en-GB"/>
        </w:rPr>
        <w:t>9</w:t>
      </w:r>
      <w:r w:rsidRPr="004F4D5E">
        <w:rPr>
          <w:lang w:val="en-GB"/>
        </w:rPr>
        <w:t xml:space="preserve"> In 2024, the notifications increased by 10.4% (163.8 per 100,000 population per year).</w:t>
      </w:r>
      <w:r w:rsidRPr="004F4D5E">
        <w:rPr>
          <w:vertAlign w:val="superscript"/>
          <w:lang w:val="en-GB"/>
        </w:rPr>
        <w:t>10</w:t>
      </w:r>
      <w:r w:rsidRPr="004F4D5E">
        <w:rPr>
          <w:lang w:val="en-GB"/>
        </w:rPr>
        <w:t xml:space="preserve"> In</w:t>
      </w:r>
      <w:r>
        <w:rPr>
          <w:lang w:val="en-GB"/>
        </w:rPr>
        <w:t> </w:t>
      </w:r>
      <w:r w:rsidRPr="004F4D5E">
        <w:rPr>
          <w:lang w:val="en-GB"/>
        </w:rPr>
        <w:t>2023, gonococcal disease rates were significantly higher in the Aboriginal and Torres Strait Islander population (541.0 per 100,000 population per year), approximately four times the rate observed in the non-Indigenous population (134.9 per 100,000 population per year). The highest rates were reported in remote and very remote areas (1,819.3 per 100,000 population per year).</w:t>
      </w:r>
      <w:r w:rsidRPr="004F4D5E">
        <w:rPr>
          <w:vertAlign w:val="superscript"/>
          <w:lang w:val="en-GB"/>
        </w:rPr>
        <w:t>11,12</w:t>
      </w:r>
      <w:r w:rsidRPr="004F4D5E">
        <w:rPr>
          <w:lang w:val="en-GB"/>
        </w:rPr>
        <w:t xml:space="preserve"> Whilst gonococcal disease rates are highest in Australia in remote and very remote areas, historically NG AMR in these regions has remained low. </w:t>
      </w:r>
    </w:p>
    <w:p w14:paraId="76D18EC8" w14:textId="77777777" w:rsidR="004F4D5E" w:rsidRPr="004F4D5E" w:rsidRDefault="004F4D5E" w:rsidP="004F4D5E">
      <w:pPr>
        <w:rPr>
          <w:lang w:val="en-GB"/>
        </w:rPr>
      </w:pPr>
      <w:r w:rsidRPr="004F4D5E">
        <w:rPr>
          <w:lang w:val="en-GB"/>
        </w:rPr>
        <w:t>Molecular diagnostics have increasingly replaced bacterial culture and antimicrobial susceptibility testing (AST) in the last two decades. The corollary of this is a reduction in gonococcal isolates available for AMR surveillance.</w:t>
      </w:r>
      <w:r w:rsidRPr="004F4D5E">
        <w:rPr>
          <w:vertAlign w:val="superscript"/>
          <w:lang w:val="en-GB"/>
        </w:rPr>
        <w:t>9,11</w:t>
      </w:r>
      <w:r w:rsidRPr="004F4D5E">
        <w:rPr>
          <w:lang w:val="en-GB"/>
        </w:rPr>
        <w:t xml:space="preserve"> Molecular tests for antimicrobial resistance detect known genetic targets associated with resistance; however, these assays do not detect novel resistance mechanisms. Uniquely, in some remote regions of Australia, molecular assays are used to detect penicillin resistance in NG,</w:t>
      </w:r>
      <w:r w:rsidRPr="004F4D5E">
        <w:rPr>
          <w:vertAlign w:val="superscript"/>
          <w:lang w:val="en-GB"/>
        </w:rPr>
        <w:t>13,14</w:t>
      </w:r>
      <w:r w:rsidRPr="004F4D5E">
        <w:rPr>
          <w:lang w:val="en-GB"/>
        </w:rPr>
        <w:t xml:space="preserve"> the first documented use of such testing for NG AMR detection and surveillance.</w:t>
      </w:r>
      <w:r w:rsidRPr="004F4D5E">
        <w:rPr>
          <w:vertAlign w:val="superscript"/>
          <w:lang w:val="en-GB"/>
        </w:rPr>
        <w:t>13,14</w:t>
      </w:r>
      <w:r w:rsidRPr="004F4D5E">
        <w:rPr>
          <w:lang w:val="en-GB"/>
        </w:rPr>
        <w:t xml:space="preserve"> These data have informed local treatment guidelines:</w:t>
      </w:r>
      <w:r w:rsidRPr="004F4D5E">
        <w:rPr>
          <w:vertAlign w:val="superscript"/>
          <w:lang w:val="en-GB"/>
        </w:rPr>
        <w:t>14,15</w:t>
      </w:r>
      <w:r w:rsidRPr="004F4D5E">
        <w:rPr>
          <w:lang w:val="en-GB"/>
        </w:rPr>
        <w:t xml:space="preserve"> in 2023, increased reports of penicillinase-producing </w:t>
      </w:r>
      <w:r w:rsidRPr="004F4D5E">
        <w:rPr>
          <w:i/>
          <w:iCs/>
          <w:lang w:val="en-GB"/>
        </w:rPr>
        <w:t>Neisseria gonorrhoeae</w:t>
      </w:r>
      <w:r w:rsidRPr="004F4D5E">
        <w:rPr>
          <w:lang w:val="en-GB"/>
        </w:rPr>
        <w:t xml:space="preserve"> (PPNG) in the Northern Territory led to changes in treatment recommendations for gonorrhoea to dual therapy with ceftriaxone and azithromycin.</w:t>
      </w:r>
      <w:r w:rsidRPr="004F4D5E">
        <w:rPr>
          <w:vertAlign w:val="superscript"/>
          <w:lang w:val="en-GB"/>
        </w:rPr>
        <w:t>15</w:t>
      </w:r>
      <w:r w:rsidRPr="004F4D5E">
        <w:rPr>
          <w:lang w:val="en-GB"/>
        </w:rPr>
        <w:t xml:space="preserve"> </w:t>
      </w:r>
    </w:p>
    <w:p w14:paraId="047B76A3" w14:textId="2322BC97" w:rsidR="00AC46DC" w:rsidRPr="00AC46DC" w:rsidRDefault="004F4D5E" w:rsidP="00AC46DC">
      <w:r w:rsidRPr="004F4D5E">
        <w:rPr>
          <w:lang w:val="en-GB"/>
        </w:rPr>
        <w:t>Strategies for treatment and control of gonorrhoea are based on regimens resulting in cure in at least 95% of cases. Surveillance data of antibiotics in clinical use are critical to monitor AMR, to detect imported or novel resistance, and to inform treatment guidelines.</w:t>
      </w:r>
      <w:r w:rsidRPr="004F4D5E">
        <w:rPr>
          <w:vertAlign w:val="superscript"/>
          <w:lang w:val="en-GB"/>
        </w:rPr>
        <w:t>16</w:t>
      </w:r>
      <w:r w:rsidRPr="004F4D5E">
        <w:rPr>
          <w:lang w:val="en-GB"/>
        </w:rPr>
        <w:t xml:space="preserve"> The World Health Organization (WHO) has called for enhanced surveillance as a fundamental component of its Global Action Plan to control the spread and impact of gonococcal AMR.</w:t>
      </w:r>
      <w:r w:rsidRPr="004F4D5E">
        <w:rPr>
          <w:vertAlign w:val="superscript"/>
          <w:lang w:val="en-GB"/>
        </w:rPr>
        <w:t>7</w:t>
      </w:r>
      <w:r w:rsidRPr="004F4D5E">
        <w:rPr>
          <w:lang w:val="en-GB"/>
        </w:rPr>
        <w:t xml:space="preserve"> </w:t>
      </w:r>
    </w:p>
    <w:p w14:paraId="0F8304D7" w14:textId="77777777" w:rsidR="00A24E95" w:rsidRDefault="00B73144" w:rsidP="00B73144">
      <w:pPr>
        <w:pStyle w:val="Heading1"/>
        <w:rPr>
          <w:lang w:val="en-GB"/>
        </w:rPr>
      </w:pPr>
      <w:bookmarkStart w:id="18" w:name="_Toc195530502"/>
      <w:bookmarkStart w:id="19" w:name="_Toc213239647"/>
      <w:r>
        <w:rPr>
          <w:lang w:val="en-GB"/>
        </w:rPr>
        <w:lastRenderedPageBreak/>
        <w:t>Methods</w:t>
      </w:r>
      <w:bookmarkEnd w:id="18"/>
      <w:bookmarkEnd w:id="19"/>
    </w:p>
    <w:p w14:paraId="3192C7C9" w14:textId="77777777" w:rsidR="004F4D5E" w:rsidRPr="004F4D5E" w:rsidRDefault="004F4D5E" w:rsidP="004F4D5E">
      <w:pPr>
        <w:rPr>
          <w:lang w:val="en-GB"/>
        </w:rPr>
      </w:pPr>
      <w:r w:rsidRPr="004F4D5E">
        <w:rPr>
          <w:lang w:val="en-GB"/>
        </w:rPr>
        <w:t xml:space="preserve">Gonorrhoea infections are notifiable under legislation in Australia to the National Notifiable Diseases Surveillance System (NNDSS). The isolates tested by the NNN and reported by the AGSP represent a subset of all notified cases. The NNN laboratories test gonococcal isolates for susceptibility to ceftriaxone, azithromycin, penicillin, ciprofloxacin, spectinomycin and tetracycline. In addition, many NNN laboratories are testing gentamicin; these data were first reported by the AGSP in </w:t>
      </w:r>
      <w:proofErr w:type="gramStart"/>
      <w:r w:rsidRPr="004F4D5E">
        <w:rPr>
          <w:lang w:val="en-GB"/>
        </w:rPr>
        <w:t>2020</w:t>
      </w:r>
      <w:proofErr w:type="gramEnd"/>
      <w:r w:rsidRPr="004F4D5E">
        <w:rPr>
          <w:lang w:val="en-GB"/>
        </w:rPr>
        <w:t xml:space="preserve"> and this reporting continues in 2024. </w:t>
      </w:r>
    </w:p>
    <w:p w14:paraId="305D535F" w14:textId="5F8F738F" w:rsidR="00BE73E6" w:rsidRPr="00BE73E6" w:rsidRDefault="004F4D5E" w:rsidP="00BE73E6">
      <w:pPr>
        <w:rPr>
          <w:lang w:val="en-GB"/>
        </w:rPr>
      </w:pPr>
      <w:r w:rsidRPr="004F4D5E">
        <w:rPr>
          <w:lang w:val="en-GB"/>
        </w:rPr>
        <w:t xml:space="preserve">AST is performed using standardised methodology to determine the MIC value, the lowest antibiotic concentration that inhibits </w:t>
      </w:r>
      <w:r w:rsidRPr="004F4D5E">
        <w:rPr>
          <w:i/>
          <w:iCs/>
          <w:lang w:val="en-GB"/>
        </w:rPr>
        <w:t>in vitro</w:t>
      </w:r>
      <w:r w:rsidRPr="004F4D5E">
        <w:rPr>
          <w:lang w:val="en-GB"/>
        </w:rPr>
        <w:t xml:space="preserve"> growth under defined conditions. The coordinating lab for the NNN, the WHO Collaborating Centre for Sexually Transmitted Infection and Antimicrobial Resistance (WHO CC, Sydney), conducts a programme-specific quality assurance program.</w:t>
      </w:r>
      <w:r w:rsidRPr="004F4D5E">
        <w:rPr>
          <w:vertAlign w:val="superscript"/>
          <w:lang w:val="en-GB"/>
        </w:rPr>
        <w:t>17</w:t>
      </w:r>
      <w:r w:rsidRPr="004F4D5E">
        <w:rPr>
          <w:lang w:val="en-GB"/>
        </w:rPr>
        <w:t xml:space="preserve"> Each jurisdiction submits gonococcal AST data on a quarterly basis to the WHO CC, Sydney. Where available, the AGSP collects data on the sex of the patient, the country of acquisition of infection, and the site of infection. Data collected across jurisdictions are predominantly from urban centres. Data from the Northern Territory and Western Australia are further divided into non-remote and remote regions determined at the jurisdictional level. </w:t>
      </w:r>
    </w:p>
    <w:p w14:paraId="07541DE2" w14:textId="77777777" w:rsidR="008A0736" w:rsidRDefault="000073ED" w:rsidP="005A4E9D">
      <w:pPr>
        <w:pStyle w:val="Heading1"/>
      </w:pPr>
      <w:bookmarkStart w:id="20" w:name="_Toc195530503"/>
      <w:bookmarkStart w:id="21" w:name="_Toc213239648"/>
      <w:r>
        <w:lastRenderedPageBreak/>
        <w:t>Results</w:t>
      </w:r>
      <w:bookmarkEnd w:id="20"/>
      <w:bookmarkEnd w:id="21"/>
    </w:p>
    <w:p w14:paraId="410B2DAF" w14:textId="61C2959E" w:rsidR="00AC46DC" w:rsidRDefault="004F4D5E" w:rsidP="004F4D5E">
      <w:pPr>
        <w:pStyle w:val="Heading2-lessspacebefore"/>
      </w:pPr>
      <w:bookmarkStart w:id="22" w:name="_Toc213239649"/>
      <w:r w:rsidRPr="004F4D5E">
        <w:t>Proportion of gonococcal infections with antimicrobial susceptibility testing</w:t>
      </w:r>
      <w:bookmarkEnd w:id="22"/>
    </w:p>
    <w:p w14:paraId="36FE3CB1" w14:textId="77777777" w:rsidR="004F4D5E" w:rsidRPr="004F4D5E" w:rsidRDefault="004F4D5E" w:rsidP="004F4D5E">
      <w:pPr>
        <w:rPr>
          <w:lang w:val="en-GB"/>
        </w:rPr>
      </w:pPr>
      <w:r w:rsidRPr="004F4D5E">
        <w:rPr>
          <w:lang w:val="en-GB"/>
        </w:rPr>
        <w:t>In 2024, there were 44,554 gonococcal infections notified in Australia;</w:t>
      </w:r>
      <w:r w:rsidRPr="004F4D5E">
        <w:rPr>
          <w:vertAlign w:val="superscript"/>
          <w:lang w:val="en-GB"/>
        </w:rPr>
        <w:t>10</w:t>
      </w:r>
      <w:r w:rsidRPr="004F4D5E">
        <w:rPr>
          <w:lang w:val="en-GB"/>
        </w:rPr>
        <w:t xml:space="preserve"> of these, 10,702/44,554 (24.0%) had isolates available for AST performed by the NNN laboratories (Table 1). This is reflected in Figure 1, which plots AGSP culture-confirmed cases against combined culture and culture-independent cases.</w:t>
      </w:r>
    </w:p>
    <w:p w14:paraId="74DC8EFF" w14:textId="77777777" w:rsidR="004F4D5E" w:rsidRPr="004F4D5E" w:rsidRDefault="004F4D5E" w:rsidP="004F4D5E">
      <w:pPr>
        <w:pStyle w:val="CDITable-Title"/>
        <w:rPr>
          <w:lang w:val="en-GB"/>
        </w:rPr>
      </w:pPr>
      <w:bookmarkStart w:id="23" w:name="_Toc213238232"/>
      <w:r w:rsidRPr="004F4D5E">
        <w:rPr>
          <w:lang w:val="en-GB"/>
        </w:rPr>
        <w:t xml:space="preserve">Table 1: Number of Australian Gonococcal Surveillance Programme gonococcal isolates tested as a proportion of National Notifiable Diseases Surveillance System (NNDSS) gonorrhoea notifications, Australia, </w:t>
      </w:r>
      <w:proofErr w:type="gramStart"/>
      <w:r w:rsidRPr="004F4D5E">
        <w:rPr>
          <w:lang w:val="en-GB"/>
        </w:rPr>
        <w:t>2024,</w:t>
      </w:r>
      <w:r w:rsidRPr="004F4D5E">
        <w:rPr>
          <w:vertAlign w:val="superscript"/>
          <w:lang w:val="en-GB"/>
        </w:rPr>
        <w:t>a</w:t>
      </w:r>
      <w:proofErr w:type="gramEnd"/>
      <w:r w:rsidRPr="004F4D5E">
        <w:rPr>
          <w:lang w:val="en-GB"/>
        </w:rPr>
        <w:t xml:space="preserve"> by state or territory</w:t>
      </w:r>
      <w:bookmarkEnd w:id="23"/>
    </w:p>
    <w:tbl>
      <w:tblPr>
        <w:tblW w:w="0" w:type="auto"/>
        <w:tblLayout w:type="fixed"/>
        <w:tblCellMar>
          <w:left w:w="0" w:type="dxa"/>
          <w:right w:w="0" w:type="dxa"/>
        </w:tblCellMar>
        <w:tblLook w:val="0000" w:firstRow="0" w:lastRow="0" w:firstColumn="0" w:lastColumn="0" w:noHBand="0" w:noVBand="0"/>
        <w:tblCaption w:val="Table 1: Number of Australian Gonococcal Surveillance Programme gonococcal isolates tested as a proportion of National Notifiable Diseases Surveillance System (NNDSS) gonorrhoea notifications, Australia, 2024,a by state or territory"/>
        <w:tblDescription w:val="Table 1 shows the proportion of gonococcal disease notifications that had antimicrobial susceptibility testing performed.  The total proportion nationally was 24%, but ranged from 8 to 52% across the jurisdictions."/>
      </w:tblPr>
      <w:tblGrid>
        <w:gridCol w:w="2409"/>
        <w:gridCol w:w="2410"/>
        <w:gridCol w:w="2409"/>
        <w:gridCol w:w="2410"/>
      </w:tblGrid>
      <w:tr w:rsidR="004F4D5E" w:rsidRPr="004F4D5E" w14:paraId="31BB52B5" w14:textId="77777777" w:rsidTr="004F4D5E">
        <w:trPr>
          <w:trHeight w:val="60"/>
          <w:tblHeader/>
        </w:trPr>
        <w:tc>
          <w:tcPr>
            <w:tcW w:w="2409" w:type="dxa"/>
            <w:shd w:val="clear" w:color="auto" w:fill="1E4496" w:themeFill="text2"/>
            <w:tcMar>
              <w:top w:w="113" w:type="dxa"/>
              <w:left w:w="113" w:type="dxa"/>
              <w:bottom w:w="113" w:type="dxa"/>
              <w:right w:w="113" w:type="dxa"/>
            </w:tcMar>
            <w:vAlign w:val="bottom"/>
          </w:tcPr>
          <w:p w14:paraId="178001B6" w14:textId="77777777" w:rsidR="004F4D5E" w:rsidRPr="004F4D5E" w:rsidRDefault="004F4D5E" w:rsidP="004F4D5E">
            <w:pPr>
              <w:pStyle w:val="CDITable-HeaderRowLeft"/>
            </w:pPr>
            <w:r w:rsidRPr="004F4D5E">
              <w:t>State or territory</w:t>
            </w:r>
          </w:p>
        </w:tc>
        <w:tc>
          <w:tcPr>
            <w:tcW w:w="2410" w:type="dxa"/>
            <w:shd w:val="clear" w:color="auto" w:fill="1E4496" w:themeFill="text2"/>
            <w:tcMar>
              <w:top w:w="113" w:type="dxa"/>
              <w:left w:w="113" w:type="dxa"/>
              <w:bottom w:w="113" w:type="dxa"/>
              <w:right w:w="113" w:type="dxa"/>
            </w:tcMar>
            <w:vAlign w:val="bottom"/>
          </w:tcPr>
          <w:p w14:paraId="24CE6A9A" w14:textId="77777777" w:rsidR="004F4D5E" w:rsidRPr="004F4D5E" w:rsidRDefault="004F4D5E" w:rsidP="004F4D5E">
            <w:pPr>
              <w:pStyle w:val="CDITable-HeaderRowCentre"/>
            </w:pPr>
            <w:r w:rsidRPr="004F4D5E">
              <w:t>Number of isolates tested</w:t>
            </w:r>
          </w:p>
        </w:tc>
        <w:tc>
          <w:tcPr>
            <w:tcW w:w="2409" w:type="dxa"/>
            <w:shd w:val="clear" w:color="auto" w:fill="1E4496" w:themeFill="text2"/>
            <w:tcMar>
              <w:top w:w="113" w:type="dxa"/>
              <w:left w:w="113" w:type="dxa"/>
              <w:bottom w:w="113" w:type="dxa"/>
              <w:right w:w="113" w:type="dxa"/>
            </w:tcMar>
            <w:vAlign w:val="bottom"/>
          </w:tcPr>
          <w:p w14:paraId="1DDC545D" w14:textId="77777777" w:rsidR="004F4D5E" w:rsidRPr="004F4D5E" w:rsidRDefault="004F4D5E" w:rsidP="004F4D5E">
            <w:pPr>
              <w:pStyle w:val="CDITable-HeaderRowCentre"/>
            </w:pPr>
            <w:r w:rsidRPr="004F4D5E">
              <w:t>Number notified to NNDSS</w:t>
            </w:r>
          </w:p>
        </w:tc>
        <w:tc>
          <w:tcPr>
            <w:tcW w:w="2410" w:type="dxa"/>
            <w:shd w:val="clear" w:color="auto" w:fill="1E4496" w:themeFill="text2"/>
            <w:tcMar>
              <w:top w:w="113" w:type="dxa"/>
              <w:left w:w="113" w:type="dxa"/>
              <w:bottom w:w="113" w:type="dxa"/>
              <w:right w:w="113" w:type="dxa"/>
            </w:tcMar>
            <w:vAlign w:val="bottom"/>
          </w:tcPr>
          <w:p w14:paraId="289D3307" w14:textId="77777777" w:rsidR="004F4D5E" w:rsidRPr="004F4D5E" w:rsidRDefault="004F4D5E" w:rsidP="004F4D5E">
            <w:pPr>
              <w:pStyle w:val="CDITable-HeaderRowCentre"/>
            </w:pPr>
            <w:r w:rsidRPr="004F4D5E">
              <w:t>Number of isolates tested/number of cases notified (%)</w:t>
            </w:r>
          </w:p>
        </w:tc>
      </w:tr>
      <w:tr w:rsidR="004F4D5E" w:rsidRPr="004F4D5E" w14:paraId="06E46FCE" w14:textId="77777777" w:rsidTr="004F4D5E">
        <w:trPr>
          <w:trHeight w:val="60"/>
        </w:trPr>
        <w:tc>
          <w:tcPr>
            <w:tcW w:w="2409" w:type="dxa"/>
            <w:tcBorders>
              <w:bottom w:val="single" w:sz="6" w:space="0" w:color="1E4496" w:themeColor="text2"/>
            </w:tcBorders>
            <w:tcMar>
              <w:top w:w="113" w:type="dxa"/>
              <w:left w:w="113" w:type="dxa"/>
              <w:bottom w:w="113" w:type="dxa"/>
              <w:right w:w="113" w:type="dxa"/>
            </w:tcMar>
            <w:vAlign w:val="center"/>
          </w:tcPr>
          <w:p w14:paraId="7A60C84F" w14:textId="77777777" w:rsidR="004F4D5E" w:rsidRPr="004F4D5E" w:rsidRDefault="004F4D5E" w:rsidP="004F4D5E">
            <w:pPr>
              <w:pStyle w:val="CDITable-RowLeft"/>
            </w:pPr>
            <w:r w:rsidRPr="004F4D5E">
              <w:t>Australian Capital Territory</w:t>
            </w:r>
          </w:p>
        </w:tc>
        <w:tc>
          <w:tcPr>
            <w:tcW w:w="2410" w:type="dxa"/>
            <w:tcBorders>
              <w:bottom w:val="single" w:sz="6" w:space="0" w:color="1E4496" w:themeColor="text2"/>
            </w:tcBorders>
            <w:tcMar>
              <w:top w:w="113" w:type="dxa"/>
              <w:left w:w="113" w:type="dxa"/>
              <w:bottom w:w="113" w:type="dxa"/>
              <w:right w:w="113" w:type="dxa"/>
            </w:tcMar>
            <w:vAlign w:val="center"/>
          </w:tcPr>
          <w:p w14:paraId="6DF187BE" w14:textId="77777777" w:rsidR="004F4D5E" w:rsidRPr="004F4D5E" w:rsidRDefault="004F4D5E" w:rsidP="004F4D5E">
            <w:pPr>
              <w:pStyle w:val="CDITable-RowCentre"/>
            </w:pPr>
            <w:r w:rsidRPr="004F4D5E">
              <w:t>248</w:t>
            </w:r>
          </w:p>
        </w:tc>
        <w:tc>
          <w:tcPr>
            <w:tcW w:w="2409" w:type="dxa"/>
            <w:tcBorders>
              <w:bottom w:val="single" w:sz="6" w:space="0" w:color="1E4496" w:themeColor="text2"/>
            </w:tcBorders>
            <w:tcMar>
              <w:top w:w="113" w:type="dxa"/>
              <w:left w:w="113" w:type="dxa"/>
              <w:bottom w:w="113" w:type="dxa"/>
              <w:right w:w="113" w:type="dxa"/>
            </w:tcMar>
            <w:vAlign w:val="center"/>
          </w:tcPr>
          <w:p w14:paraId="65F16667" w14:textId="77777777" w:rsidR="004F4D5E" w:rsidRPr="004F4D5E" w:rsidRDefault="004F4D5E" w:rsidP="004F4D5E">
            <w:pPr>
              <w:pStyle w:val="CDITable-RowCentre"/>
            </w:pPr>
            <w:r w:rsidRPr="004F4D5E">
              <w:t>473</w:t>
            </w:r>
          </w:p>
        </w:tc>
        <w:tc>
          <w:tcPr>
            <w:tcW w:w="2410" w:type="dxa"/>
            <w:tcBorders>
              <w:bottom w:val="single" w:sz="6" w:space="0" w:color="1E4496" w:themeColor="text2"/>
            </w:tcBorders>
            <w:tcMar>
              <w:top w:w="113" w:type="dxa"/>
              <w:left w:w="113" w:type="dxa"/>
              <w:bottom w:w="113" w:type="dxa"/>
              <w:right w:w="113" w:type="dxa"/>
            </w:tcMar>
            <w:vAlign w:val="center"/>
          </w:tcPr>
          <w:p w14:paraId="78F26A49" w14:textId="77777777" w:rsidR="004F4D5E" w:rsidRPr="004F4D5E" w:rsidRDefault="004F4D5E" w:rsidP="004F4D5E">
            <w:pPr>
              <w:pStyle w:val="CDITable-RowCentre"/>
            </w:pPr>
            <w:r w:rsidRPr="004F4D5E">
              <w:t>52.4%</w:t>
            </w:r>
          </w:p>
        </w:tc>
      </w:tr>
      <w:tr w:rsidR="004F4D5E" w:rsidRPr="004F4D5E" w14:paraId="6E43D4EC" w14:textId="77777777" w:rsidTr="004F4D5E">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1D9ED" w14:textId="77777777" w:rsidR="004F4D5E" w:rsidRPr="004F4D5E" w:rsidRDefault="004F4D5E" w:rsidP="004F4D5E">
            <w:pPr>
              <w:pStyle w:val="CDITable-RowLeft"/>
            </w:pPr>
            <w:r w:rsidRPr="004F4D5E">
              <w:t>New South Wales</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321364" w14:textId="77777777" w:rsidR="004F4D5E" w:rsidRPr="004F4D5E" w:rsidRDefault="004F4D5E" w:rsidP="004F4D5E">
            <w:pPr>
              <w:pStyle w:val="CDITable-RowCentre"/>
            </w:pPr>
            <w:r w:rsidRPr="004F4D5E">
              <w:t>3,684</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1EC94F" w14:textId="77777777" w:rsidR="004F4D5E" w:rsidRPr="004F4D5E" w:rsidRDefault="004F4D5E" w:rsidP="004F4D5E">
            <w:pPr>
              <w:pStyle w:val="CDITable-RowCentre"/>
            </w:pPr>
            <w:r w:rsidRPr="004F4D5E">
              <w:t>14,048</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1D9758" w14:textId="77777777" w:rsidR="004F4D5E" w:rsidRPr="004F4D5E" w:rsidRDefault="004F4D5E" w:rsidP="004F4D5E">
            <w:pPr>
              <w:pStyle w:val="CDITable-RowCentre"/>
            </w:pPr>
            <w:r w:rsidRPr="004F4D5E">
              <w:t>26.2%</w:t>
            </w:r>
          </w:p>
        </w:tc>
      </w:tr>
      <w:tr w:rsidR="004F4D5E" w:rsidRPr="004F4D5E" w14:paraId="73DFC49F" w14:textId="77777777" w:rsidTr="004F4D5E">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4C464A" w14:textId="77777777" w:rsidR="004F4D5E" w:rsidRPr="004F4D5E" w:rsidRDefault="004F4D5E" w:rsidP="004F4D5E">
            <w:pPr>
              <w:pStyle w:val="CDITable-RowLeft"/>
            </w:pPr>
            <w:r w:rsidRPr="004F4D5E">
              <w:t>Northern Territory</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3155BA" w14:textId="77777777" w:rsidR="004F4D5E" w:rsidRPr="004F4D5E" w:rsidRDefault="004F4D5E" w:rsidP="004F4D5E">
            <w:pPr>
              <w:pStyle w:val="CDITable-RowCentre"/>
            </w:pPr>
            <w:r w:rsidRPr="004F4D5E">
              <w:t>175</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2C067" w14:textId="77777777" w:rsidR="004F4D5E" w:rsidRPr="004F4D5E" w:rsidRDefault="004F4D5E" w:rsidP="004F4D5E">
            <w:pPr>
              <w:pStyle w:val="CDITable-RowCentre"/>
            </w:pPr>
            <w:r w:rsidRPr="004F4D5E">
              <w:t>2,314</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8BDE66" w14:textId="77777777" w:rsidR="004F4D5E" w:rsidRPr="004F4D5E" w:rsidRDefault="004F4D5E" w:rsidP="004F4D5E">
            <w:pPr>
              <w:pStyle w:val="CDITable-RowCentre"/>
            </w:pPr>
            <w:r w:rsidRPr="004F4D5E">
              <w:t>7.6%</w:t>
            </w:r>
          </w:p>
        </w:tc>
      </w:tr>
      <w:tr w:rsidR="004F4D5E" w:rsidRPr="004F4D5E" w14:paraId="103E878D" w14:textId="77777777" w:rsidTr="004F4D5E">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86F23C" w14:textId="77777777" w:rsidR="004F4D5E" w:rsidRPr="004F4D5E" w:rsidRDefault="004F4D5E" w:rsidP="004F4D5E">
            <w:pPr>
              <w:pStyle w:val="CDITable-RowLeft"/>
            </w:pPr>
            <w:r w:rsidRPr="004F4D5E">
              <w:t>Queensland</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07C5FB" w14:textId="77777777" w:rsidR="004F4D5E" w:rsidRPr="004F4D5E" w:rsidRDefault="004F4D5E" w:rsidP="004F4D5E">
            <w:pPr>
              <w:pStyle w:val="CDITable-RowCentre"/>
            </w:pPr>
            <w:r w:rsidRPr="004F4D5E">
              <w:t>1,456</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431464" w14:textId="77777777" w:rsidR="004F4D5E" w:rsidRPr="004F4D5E" w:rsidRDefault="004F4D5E" w:rsidP="004F4D5E">
            <w:pPr>
              <w:pStyle w:val="CDITable-RowCentre"/>
            </w:pPr>
            <w:r w:rsidRPr="004F4D5E">
              <w:t>8,374</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71EA83" w14:textId="77777777" w:rsidR="004F4D5E" w:rsidRPr="004F4D5E" w:rsidRDefault="004F4D5E" w:rsidP="004F4D5E">
            <w:pPr>
              <w:pStyle w:val="CDITable-RowCentre"/>
            </w:pPr>
            <w:r w:rsidRPr="004F4D5E">
              <w:t>17.4%</w:t>
            </w:r>
          </w:p>
        </w:tc>
      </w:tr>
      <w:tr w:rsidR="004F4D5E" w:rsidRPr="004F4D5E" w14:paraId="1AE66A92" w14:textId="77777777" w:rsidTr="004F4D5E">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E2DC2D" w14:textId="77777777" w:rsidR="004F4D5E" w:rsidRPr="004F4D5E" w:rsidRDefault="004F4D5E" w:rsidP="004F4D5E">
            <w:pPr>
              <w:pStyle w:val="CDITable-RowLeft"/>
            </w:pPr>
            <w:r w:rsidRPr="004F4D5E">
              <w:t>South Australia</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258DC8" w14:textId="77777777" w:rsidR="004F4D5E" w:rsidRPr="004F4D5E" w:rsidRDefault="004F4D5E" w:rsidP="004F4D5E">
            <w:pPr>
              <w:pStyle w:val="CDITable-RowCentre"/>
            </w:pPr>
            <w:r w:rsidRPr="004F4D5E">
              <w:t>658</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BCE68D" w14:textId="77777777" w:rsidR="004F4D5E" w:rsidRPr="004F4D5E" w:rsidRDefault="004F4D5E" w:rsidP="004F4D5E">
            <w:pPr>
              <w:pStyle w:val="CDITable-RowCentre"/>
            </w:pPr>
            <w:r w:rsidRPr="004F4D5E">
              <w:t>2,474</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E5B891" w14:textId="77777777" w:rsidR="004F4D5E" w:rsidRPr="004F4D5E" w:rsidRDefault="004F4D5E" w:rsidP="004F4D5E">
            <w:pPr>
              <w:pStyle w:val="CDITable-RowCentre"/>
            </w:pPr>
            <w:r w:rsidRPr="004F4D5E">
              <w:t>26.6%</w:t>
            </w:r>
          </w:p>
        </w:tc>
      </w:tr>
      <w:tr w:rsidR="004F4D5E" w:rsidRPr="004F4D5E" w14:paraId="67B48FA3" w14:textId="77777777" w:rsidTr="004F4D5E">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9318FE" w14:textId="77777777" w:rsidR="004F4D5E" w:rsidRPr="004F4D5E" w:rsidRDefault="004F4D5E" w:rsidP="004F4D5E">
            <w:pPr>
              <w:pStyle w:val="CDITable-RowLeft"/>
            </w:pPr>
            <w:r w:rsidRPr="004F4D5E">
              <w:t>Tasmania</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32735B" w14:textId="77777777" w:rsidR="004F4D5E" w:rsidRPr="004F4D5E" w:rsidRDefault="004F4D5E" w:rsidP="004F4D5E">
            <w:pPr>
              <w:pStyle w:val="CDITable-RowCentre"/>
            </w:pPr>
            <w:r w:rsidRPr="004F4D5E">
              <w:t>88</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8054E8" w14:textId="77777777" w:rsidR="004F4D5E" w:rsidRPr="004F4D5E" w:rsidRDefault="004F4D5E" w:rsidP="004F4D5E">
            <w:pPr>
              <w:pStyle w:val="CDITable-RowCentre"/>
            </w:pPr>
            <w:r w:rsidRPr="004F4D5E">
              <w:t>330</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4622DE" w14:textId="77777777" w:rsidR="004F4D5E" w:rsidRPr="004F4D5E" w:rsidRDefault="004F4D5E" w:rsidP="004F4D5E">
            <w:pPr>
              <w:pStyle w:val="CDITable-RowCentre"/>
            </w:pPr>
            <w:r w:rsidRPr="004F4D5E">
              <w:t>26.7%</w:t>
            </w:r>
          </w:p>
        </w:tc>
      </w:tr>
      <w:tr w:rsidR="004F4D5E" w:rsidRPr="004F4D5E" w14:paraId="6D52EEB0" w14:textId="77777777" w:rsidTr="004F4D5E">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F75D20" w14:textId="77777777" w:rsidR="004F4D5E" w:rsidRPr="004F4D5E" w:rsidRDefault="004F4D5E" w:rsidP="004F4D5E">
            <w:pPr>
              <w:pStyle w:val="CDITable-RowLeft"/>
            </w:pPr>
            <w:r w:rsidRPr="004F4D5E">
              <w:t>Victoria</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BC403B" w14:textId="77777777" w:rsidR="004F4D5E" w:rsidRPr="004F4D5E" w:rsidRDefault="004F4D5E" w:rsidP="004F4D5E">
            <w:pPr>
              <w:pStyle w:val="CDITable-RowCentre"/>
            </w:pPr>
            <w:r w:rsidRPr="004F4D5E">
              <w:t>3,247</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F90CB3" w14:textId="77777777" w:rsidR="004F4D5E" w:rsidRPr="004F4D5E" w:rsidRDefault="004F4D5E" w:rsidP="004F4D5E">
            <w:pPr>
              <w:pStyle w:val="CDITable-RowCentre"/>
            </w:pPr>
            <w:r w:rsidRPr="004F4D5E">
              <w:t>11,297</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68ECD7" w14:textId="77777777" w:rsidR="004F4D5E" w:rsidRPr="004F4D5E" w:rsidRDefault="004F4D5E" w:rsidP="004F4D5E">
            <w:pPr>
              <w:pStyle w:val="CDITable-RowCentre"/>
            </w:pPr>
            <w:r w:rsidRPr="004F4D5E">
              <w:t>28.7%</w:t>
            </w:r>
          </w:p>
        </w:tc>
      </w:tr>
      <w:tr w:rsidR="004F4D5E" w:rsidRPr="004F4D5E" w14:paraId="655C6B2F" w14:textId="77777777" w:rsidTr="004F4D5E">
        <w:trPr>
          <w:trHeight w:val="60"/>
        </w:trPr>
        <w:tc>
          <w:tcPr>
            <w:tcW w:w="2409" w:type="dxa"/>
            <w:tcBorders>
              <w:top w:val="single" w:sz="6" w:space="0" w:color="1E4496" w:themeColor="text2"/>
            </w:tcBorders>
            <w:tcMar>
              <w:top w:w="113" w:type="dxa"/>
              <w:left w:w="113" w:type="dxa"/>
              <w:bottom w:w="113" w:type="dxa"/>
              <w:right w:w="113" w:type="dxa"/>
            </w:tcMar>
            <w:vAlign w:val="center"/>
          </w:tcPr>
          <w:p w14:paraId="219BC19D" w14:textId="77777777" w:rsidR="004F4D5E" w:rsidRPr="004F4D5E" w:rsidRDefault="004F4D5E" w:rsidP="004F4D5E">
            <w:pPr>
              <w:pStyle w:val="CDITable-RowLeft"/>
            </w:pPr>
            <w:r w:rsidRPr="004F4D5E">
              <w:t>Western Australia</w:t>
            </w:r>
          </w:p>
        </w:tc>
        <w:tc>
          <w:tcPr>
            <w:tcW w:w="2410" w:type="dxa"/>
            <w:tcBorders>
              <w:top w:val="single" w:sz="6" w:space="0" w:color="1E4496" w:themeColor="text2"/>
            </w:tcBorders>
            <w:tcMar>
              <w:top w:w="113" w:type="dxa"/>
              <w:left w:w="113" w:type="dxa"/>
              <w:bottom w:w="113" w:type="dxa"/>
              <w:right w:w="113" w:type="dxa"/>
            </w:tcMar>
            <w:vAlign w:val="center"/>
          </w:tcPr>
          <w:p w14:paraId="6F5F5842" w14:textId="77777777" w:rsidR="004F4D5E" w:rsidRPr="004F4D5E" w:rsidRDefault="004F4D5E" w:rsidP="004F4D5E">
            <w:pPr>
              <w:pStyle w:val="CDITable-RowCentre"/>
            </w:pPr>
            <w:r w:rsidRPr="004F4D5E">
              <w:t>1,146</w:t>
            </w:r>
          </w:p>
        </w:tc>
        <w:tc>
          <w:tcPr>
            <w:tcW w:w="2409" w:type="dxa"/>
            <w:tcBorders>
              <w:top w:val="single" w:sz="6" w:space="0" w:color="1E4496" w:themeColor="text2"/>
            </w:tcBorders>
            <w:tcMar>
              <w:top w:w="113" w:type="dxa"/>
              <w:left w:w="113" w:type="dxa"/>
              <w:bottom w:w="113" w:type="dxa"/>
              <w:right w:w="113" w:type="dxa"/>
            </w:tcMar>
            <w:vAlign w:val="center"/>
          </w:tcPr>
          <w:p w14:paraId="37C9CCF8" w14:textId="77777777" w:rsidR="004F4D5E" w:rsidRPr="004F4D5E" w:rsidRDefault="004F4D5E" w:rsidP="004F4D5E">
            <w:pPr>
              <w:pStyle w:val="CDITable-RowCentre"/>
            </w:pPr>
            <w:r w:rsidRPr="004F4D5E">
              <w:t>5,244</w:t>
            </w:r>
          </w:p>
        </w:tc>
        <w:tc>
          <w:tcPr>
            <w:tcW w:w="2410" w:type="dxa"/>
            <w:tcBorders>
              <w:top w:val="single" w:sz="6" w:space="0" w:color="1E4496" w:themeColor="text2"/>
            </w:tcBorders>
            <w:tcMar>
              <w:top w:w="113" w:type="dxa"/>
              <w:left w:w="113" w:type="dxa"/>
              <w:bottom w:w="113" w:type="dxa"/>
              <w:right w:w="113" w:type="dxa"/>
            </w:tcMar>
            <w:vAlign w:val="center"/>
          </w:tcPr>
          <w:p w14:paraId="53C91CA3" w14:textId="77777777" w:rsidR="004F4D5E" w:rsidRPr="004F4D5E" w:rsidRDefault="004F4D5E" w:rsidP="004F4D5E">
            <w:pPr>
              <w:pStyle w:val="CDITable-RowCentre"/>
            </w:pPr>
            <w:r w:rsidRPr="004F4D5E">
              <w:t>21.9%</w:t>
            </w:r>
          </w:p>
        </w:tc>
      </w:tr>
      <w:tr w:rsidR="004F4D5E" w:rsidRPr="004F4D5E" w14:paraId="28034FCB" w14:textId="77777777" w:rsidTr="004F4D5E">
        <w:trPr>
          <w:trHeight w:val="60"/>
        </w:trPr>
        <w:tc>
          <w:tcPr>
            <w:tcW w:w="24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588DF57" w14:textId="77777777" w:rsidR="004F4D5E" w:rsidRPr="004F4D5E" w:rsidRDefault="004F4D5E" w:rsidP="004F4D5E">
            <w:pPr>
              <w:pStyle w:val="CDITable-TotalRowLeft"/>
            </w:pPr>
            <w:r w:rsidRPr="004F4D5E">
              <w:t>Australia</w:t>
            </w:r>
          </w:p>
        </w:tc>
        <w:tc>
          <w:tcPr>
            <w:tcW w:w="241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EECCA5A" w14:textId="77777777" w:rsidR="004F4D5E" w:rsidRPr="004F4D5E" w:rsidRDefault="004F4D5E" w:rsidP="004F4D5E">
            <w:pPr>
              <w:pStyle w:val="CDITable-TotalRowCentre"/>
            </w:pPr>
            <w:r w:rsidRPr="004F4D5E">
              <w:t>10,702</w:t>
            </w:r>
          </w:p>
        </w:tc>
        <w:tc>
          <w:tcPr>
            <w:tcW w:w="24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D1B8596" w14:textId="77777777" w:rsidR="004F4D5E" w:rsidRPr="004F4D5E" w:rsidRDefault="004F4D5E" w:rsidP="004F4D5E">
            <w:pPr>
              <w:pStyle w:val="CDITable-TotalRowCentre"/>
            </w:pPr>
            <w:r w:rsidRPr="004F4D5E">
              <w:t>44,554</w:t>
            </w:r>
          </w:p>
        </w:tc>
        <w:tc>
          <w:tcPr>
            <w:tcW w:w="241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3E08963" w14:textId="77777777" w:rsidR="004F4D5E" w:rsidRPr="004F4D5E" w:rsidRDefault="004F4D5E" w:rsidP="004F4D5E">
            <w:pPr>
              <w:pStyle w:val="CDITable-TotalRowCentre"/>
            </w:pPr>
            <w:r w:rsidRPr="004F4D5E">
              <w:t>24.0%</w:t>
            </w:r>
          </w:p>
        </w:tc>
      </w:tr>
    </w:tbl>
    <w:p w14:paraId="3BAE6AE2" w14:textId="77777777" w:rsidR="004F4D5E" w:rsidRDefault="004F4D5E" w:rsidP="004F4D5E">
      <w:pPr>
        <w:pStyle w:val="CDITable-FirstFootnote"/>
        <w:rPr>
          <w:vertAlign w:val="superscript"/>
          <w:lang w:val="en-GB"/>
        </w:rPr>
      </w:pPr>
      <w:r w:rsidRPr="004F4D5E">
        <w:rPr>
          <w:lang w:val="en-GB"/>
        </w:rPr>
        <w:t>a</w:t>
      </w:r>
      <w:r w:rsidRPr="004F4D5E">
        <w:rPr>
          <w:lang w:val="en-GB"/>
        </w:rPr>
        <w:tab/>
        <w:t>Source: National Communicable Diseases Surveillance dashboard.</w:t>
      </w:r>
      <w:r w:rsidRPr="004F4D5E">
        <w:rPr>
          <w:vertAlign w:val="superscript"/>
          <w:lang w:val="en-GB"/>
        </w:rPr>
        <w:t>10</w:t>
      </w:r>
    </w:p>
    <w:p w14:paraId="093723FF" w14:textId="20ABFCEE" w:rsidR="003440E1" w:rsidRDefault="003440E1" w:rsidP="003440E1">
      <w:pPr>
        <w:pStyle w:val="Normal-morespacebefore"/>
        <w:rPr>
          <w:lang w:val="en-GB"/>
        </w:rPr>
      </w:pPr>
      <w:r w:rsidRPr="004F4D5E">
        <w:rPr>
          <w:lang w:val="en-GB"/>
        </w:rPr>
        <w:t>Across jurisdictions, the proportion of diagnoses made by culture varies, ranging from 7.6% to 52.4% as shown in Table 1. The lowest proportion for cultures is from the remote and very remote communities of the Northern Territory and Western Australia. The proportion is highest from the Australian Capital Territory and reflects the effectiveness of laboratory referrals in that jurisdiction, in part due to the relatively small number of notifications.</w:t>
      </w:r>
      <w:r>
        <w:rPr>
          <w:lang w:val="en-GB"/>
        </w:rPr>
        <w:br w:type="page"/>
      </w:r>
    </w:p>
    <w:p w14:paraId="7649E21D" w14:textId="77777777" w:rsidR="004F4D5E" w:rsidRPr="004F4D5E" w:rsidRDefault="004F4D5E" w:rsidP="004F4D5E">
      <w:pPr>
        <w:pStyle w:val="CDIFigure-Title"/>
        <w:rPr>
          <w:lang w:val="en-GB"/>
        </w:rPr>
      </w:pPr>
      <w:bookmarkStart w:id="24" w:name="_Toc213238203"/>
      <w:r w:rsidRPr="004F4D5E">
        <w:rPr>
          <w:lang w:val="en-GB"/>
        </w:rPr>
        <w:lastRenderedPageBreak/>
        <w:t xml:space="preserve">Figure 1: Number of gonococcal disease cases reported to the National Notifiable Diseases Surveillance System, compared with </w:t>
      </w:r>
      <w:r w:rsidRPr="004F4D5E">
        <w:rPr>
          <w:i/>
          <w:iCs/>
          <w:lang w:val="en-GB"/>
        </w:rPr>
        <w:t>Neisseria gonorrhoeae</w:t>
      </w:r>
      <w:r w:rsidRPr="004F4D5E">
        <w:rPr>
          <w:lang w:val="en-GB"/>
        </w:rPr>
        <w:t xml:space="preserve"> isolates available for laboratory testing by the Australian Gonococcal Surveillance Programme, </w:t>
      </w:r>
      <w:proofErr w:type="spellStart"/>
      <w:proofErr w:type="gramStart"/>
      <w:r w:rsidRPr="004F4D5E">
        <w:rPr>
          <w:lang w:val="en-GB"/>
        </w:rPr>
        <w:t>Australia,</w:t>
      </w:r>
      <w:r w:rsidRPr="004F4D5E">
        <w:rPr>
          <w:vertAlign w:val="superscript"/>
          <w:lang w:val="en-GB"/>
        </w:rPr>
        <w:t>a</w:t>
      </w:r>
      <w:proofErr w:type="spellEnd"/>
      <w:proofErr w:type="gramEnd"/>
      <w:r w:rsidRPr="004F4D5E">
        <w:rPr>
          <w:lang w:val="en-GB"/>
        </w:rPr>
        <w:t xml:space="preserve"> 1991–2024</w:t>
      </w:r>
      <w:bookmarkEnd w:id="24"/>
    </w:p>
    <w:p w14:paraId="0A405D0C" w14:textId="77CDFB83" w:rsidR="004F4D5E" w:rsidRDefault="003440E1" w:rsidP="003440E1">
      <w:pPr>
        <w:pStyle w:val="CDIFigure-Placeholder"/>
      </w:pPr>
      <w:r>
        <w:rPr>
          <w:noProof/>
          <w14:ligatures w14:val="none"/>
        </w:rPr>
        <w:drawing>
          <wp:inline distT="0" distB="0" distL="0" distR="0" wp14:anchorId="3436CB2C" wp14:editId="05ED56C2">
            <wp:extent cx="6120765" cy="2162175"/>
            <wp:effectExtent l="0" t="0" r="0" b="9525"/>
            <wp:docPr id="665027115" name="Picture 1" descr="The line chart shows the number of gonococcal disease cases reported to the National Notifiable Diseases Surveillance System over the years 1991 to 2024, compared with isolates available for laboratory testing by the Australian Gonococcal Surveillance Programme, Australia, over the same time period. There has been a large rise in both disease notifications and isolates available for laboratory testing over the time period, and particularly since 2010.  In 2020 and 2021 there was a noticeable decline in both disease notifications and isolates, coincident with the public health strategies implemented in the COVID-19 pandemic.  With the relaxation of these measures in 2022, both disease notifications and bacterial culture confirmations returned to pre-pandemic levels (2019).  In 2024, there was a 28% increase in the number of notifications of N. gonorrhoeae infections in Australia (n = 44,554) compared to pre-pandemic notifications to the NNDSS in 2019 (3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027115" name="Picture 1" descr="The line chart shows the number of gonococcal disease cases reported to the National Notifiable Diseases Surveillance System over the years 1991 to 2024, compared with isolates available for laboratory testing by the Australian Gonococcal Surveillance Programme, Australia, over the same time period. There has been a large rise in both disease notifications and isolates available for laboratory testing over the time period, and particularly since 2010.  In 2020 and 2021 there was a noticeable decline in both disease notifications and isolates, coincident with the public health strategies implemented in the COVID-19 pandemic.  With the relaxation of these measures in 2022, both disease notifications and bacterial culture confirmations returned to pre-pandemic levels (2019).  In 2024, there was a 28% increase in the number of notifications of N. gonorrhoeae infections in Australia (n = 44,554) compared to pre-pandemic notifications to the NNDSS in 2019 (34,742)."/>
                    <pic:cNvPicPr/>
                  </pic:nvPicPr>
                  <pic:blipFill>
                    <a:blip r:embed="rId18">
                      <a:extLst>
                        <a:ext uri="{28A0092B-C50C-407E-A947-70E740481C1C}">
                          <a14:useLocalDpi xmlns:a14="http://schemas.microsoft.com/office/drawing/2010/main" val="0"/>
                        </a:ext>
                      </a:extLst>
                    </a:blip>
                    <a:stretch>
                      <a:fillRect/>
                    </a:stretch>
                  </pic:blipFill>
                  <pic:spPr>
                    <a:xfrm>
                      <a:off x="0" y="0"/>
                      <a:ext cx="6120765" cy="2162175"/>
                    </a:xfrm>
                    <a:prstGeom prst="rect">
                      <a:avLst/>
                    </a:prstGeom>
                  </pic:spPr>
                </pic:pic>
              </a:graphicData>
            </a:graphic>
          </wp:inline>
        </w:drawing>
      </w:r>
    </w:p>
    <w:p w14:paraId="1AE9AE89" w14:textId="77777777" w:rsidR="003440E1" w:rsidRPr="003440E1" w:rsidRDefault="003440E1" w:rsidP="003440E1">
      <w:pPr>
        <w:pStyle w:val="CDITable-FirstFootnote"/>
        <w:rPr>
          <w:lang w:val="en-GB"/>
        </w:rPr>
      </w:pPr>
      <w:r w:rsidRPr="003440E1">
        <w:rPr>
          <w:lang w:val="en-GB"/>
        </w:rPr>
        <w:t>a</w:t>
      </w:r>
      <w:r w:rsidRPr="003440E1">
        <w:rPr>
          <w:lang w:val="en-GB"/>
        </w:rPr>
        <w:tab/>
        <w:t>Source: National Communicable Disease Surveillance Dashboard. Accessed 22 April 2025.</w:t>
      </w:r>
      <w:r w:rsidRPr="003440E1">
        <w:rPr>
          <w:vertAlign w:val="superscript"/>
          <w:lang w:val="en-GB"/>
        </w:rPr>
        <w:t>10</w:t>
      </w:r>
    </w:p>
    <w:p w14:paraId="02B98E6B" w14:textId="77777777" w:rsidR="003440E1" w:rsidRPr="003440E1" w:rsidRDefault="003440E1" w:rsidP="003440E1">
      <w:pPr>
        <w:pStyle w:val="Heading2"/>
        <w:rPr>
          <w:lang w:val="en-GB"/>
        </w:rPr>
      </w:pPr>
      <w:bookmarkStart w:id="25" w:name="_Toc213239650"/>
      <w:r w:rsidRPr="003440E1">
        <w:rPr>
          <w:lang w:val="en-GB"/>
        </w:rPr>
        <w:t>Gonococcal isolates by sex, site and jurisdiction tested</w:t>
      </w:r>
      <w:bookmarkEnd w:id="25"/>
    </w:p>
    <w:p w14:paraId="60FCA039" w14:textId="513AA0B6" w:rsidR="00CE05E9" w:rsidRDefault="003440E1" w:rsidP="00CE05E9">
      <w:pPr>
        <w:rPr>
          <w:lang w:val="en-GB"/>
        </w:rPr>
      </w:pPr>
      <w:r w:rsidRPr="003440E1">
        <w:rPr>
          <w:lang w:val="en-GB"/>
        </w:rPr>
        <w:t xml:space="preserve">There were 8,479 isolates tested in 2024 from males (8,479/10,702; 79.2%) and 2,087 (2,087/10,702; 19.5%) from females (Table 2). 136 isolates (1.3%) were from patients whose sex was not </w:t>
      </w:r>
      <w:proofErr w:type="gramStart"/>
      <w:r w:rsidRPr="003440E1">
        <w:rPr>
          <w:lang w:val="en-GB"/>
        </w:rPr>
        <w:t>recorded, or</w:t>
      </w:r>
      <w:proofErr w:type="gramEnd"/>
      <w:r w:rsidRPr="003440E1">
        <w:rPr>
          <w:lang w:val="en-GB"/>
        </w:rPr>
        <w:t xml:space="preserve"> was recorded as ‘other’. The proportion of gonococcal isolates from males and females has remained stable over recent years (2009–2023), ranging between 17% and 22% for females and between 78% and 83% for males.</w:t>
      </w:r>
      <w:r w:rsidRPr="003440E1">
        <w:rPr>
          <w:vertAlign w:val="superscript"/>
          <w:lang w:val="en-GB"/>
        </w:rPr>
        <w:t>18</w:t>
      </w:r>
      <w:r w:rsidRPr="003440E1">
        <w:rPr>
          <w:lang w:val="en-GB"/>
        </w:rPr>
        <w:t xml:space="preserve"> The infected site was reported as ‘other’ or not specified for 147 isolates from males and for 62 isolates from females (Table 2). Isolates from urine samples were regarded as genital tract isolates. </w:t>
      </w:r>
      <w:r w:rsidR="00CE05E9">
        <w:rPr>
          <w:lang w:val="en-GB"/>
        </w:rPr>
        <w:br w:type="page"/>
      </w:r>
    </w:p>
    <w:p w14:paraId="4ABFA01A" w14:textId="77777777" w:rsidR="003440E1" w:rsidRPr="003440E1" w:rsidRDefault="003440E1" w:rsidP="00ED4C85">
      <w:pPr>
        <w:pStyle w:val="CDITable-Title"/>
        <w:rPr>
          <w:lang w:val="en-GB"/>
        </w:rPr>
      </w:pPr>
      <w:bookmarkStart w:id="26" w:name="_Toc213238233"/>
      <w:r w:rsidRPr="003440E1">
        <w:rPr>
          <w:lang w:val="en-GB"/>
        </w:rPr>
        <w:lastRenderedPageBreak/>
        <w:t xml:space="preserve">Table 2: Gonococcal isolates, Australia, 2024, by sex, site and </w:t>
      </w:r>
      <w:proofErr w:type="spellStart"/>
      <w:r w:rsidRPr="003440E1">
        <w:rPr>
          <w:lang w:val="en-GB"/>
        </w:rPr>
        <w:t>jurisdiction</w:t>
      </w:r>
      <w:r w:rsidRPr="003440E1">
        <w:rPr>
          <w:vertAlign w:val="superscript"/>
          <w:lang w:val="en-GB"/>
        </w:rPr>
        <w:t>a</w:t>
      </w:r>
      <w:proofErr w:type="spellEnd"/>
      <w:r w:rsidRPr="003440E1">
        <w:rPr>
          <w:lang w:val="en-GB"/>
        </w:rPr>
        <w:t xml:space="preserve"> tested</w:t>
      </w:r>
      <w:bookmarkEnd w:id="26"/>
    </w:p>
    <w:tbl>
      <w:tblPr>
        <w:tblW w:w="0" w:type="auto"/>
        <w:tblLayout w:type="fixed"/>
        <w:tblCellMar>
          <w:left w:w="0" w:type="dxa"/>
          <w:right w:w="0" w:type="dxa"/>
        </w:tblCellMar>
        <w:tblLook w:val="0000" w:firstRow="0" w:lastRow="0" w:firstColumn="0" w:lastColumn="0" w:noHBand="0" w:noVBand="0"/>
        <w:tblCaption w:val="Table 2: Gonococcal isolates, Australia, 2024, by sex, site and jurisdiction tested"/>
        <w:tblDescription w:val="Table 2 shows the sites from which gonococcal isolates were cultured, including genital, rectal, pharyngeal, and isolates where the infection was considered to be disseminated (DGI)."/>
      </w:tblPr>
      <w:tblGrid>
        <w:gridCol w:w="1134"/>
        <w:gridCol w:w="1077"/>
        <w:gridCol w:w="794"/>
        <w:gridCol w:w="793"/>
        <w:gridCol w:w="794"/>
        <w:gridCol w:w="794"/>
        <w:gridCol w:w="794"/>
        <w:gridCol w:w="793"/>
        <w:gridCol w:w="794"/>
        <w:gridCol w:w="794"/>
        <w:gridCol w:w="1077"/>
      </w:tblGrid>
      <w:tr w:rsidR="00CE05E9" w:rsidRPr="00CE05E9" w14:paraId="6460D845" w14:textId="77777777" w:rsidTr="00620821">
        <w:trPr>
          <w:trHeight w:val="20"/>
          <w:tblHeader/>
        </w:trPr>
        <w:tc>
          <w:tcPr>
            <w:tcW w:w="1134" w:type="dxa"/>
            <w:shd w:val="clear" w:color="auto" w:fill="1E4496" w:themeFill="text2"/>
            <w:tcMar>
              <w:top w:w="113" w:type="dxa"/>
              <w:left w:w="113" w:type="dxa"/>
              <w:bottom w:w="113" w:type="dxa"/>
              <w:right w:w="113" w:type="dxa"/>
            </w:tcMar>
            <w:vAlign w:val="bottom"/>
          </w:tcPr>
          <w:p w14:paraId="7B8E54F3" w14:textId="77777777" w:rsidR="00CE05E9" w:rsidRPr="00CE05E9" w:rsidRDefault="00CE05E9" w:rsidP="00CE05E9">
            <w:pPr>
              <w:pStyle w:val="CDITable-HeaderRowLeft"/>
            </w:pPr>
            <w:r w:rsidRPr="00CE05E9">
              <w:t>Sex</w:t>
            </w:r>
          </w:p>
        </w:tc>
        <w:tc>
          <w:tcPr>
            <w:tcW w:w="1077" w:type="dxa"/>
            <w:shd w:val="clear" w:color="auto" w:fill="1E4496" w:themeFill="text2"/>
            <w:tcMar>
              <w:top w:w="113" w:type="dxa"/>
              <w:left w:w="113" w:type="dxa"/>
              <w:bottom w:w="113" w:type="dxa"/>
              <w:right w:w="113" w:type="dxa"/>
            </w:tcMar>
            <w:vAlign w:val="bottom"/>
          </w:tcPr>
          <w:p w14:paraId="1E5DE87D" w14:textId="77777777" w:rsidR="00CE05E9" w:rsidRPr="00CE05E9" w:rsidRDefault="00CE05E9" w:rsidP="00CE05E9">
            <w:pPr>
              <w:pStyle w:val="CDITable-HeaderRowLeft"/>
            </w:pPr>
            <w:r w:rsidRPr="00CE05E9">
              <w:t>Site</w:t>
            </w:r>
          </w:p>
        </w:tc>
        <w:tc>
          <w:tcPr>
            <w:tcW w:w="794" w:type="dxa"/>
            <w:shd w:val="clear" w:color="auto" w:fill="1E4496" w:themeFill="text2"/>
            <w:tcMar>
              <w:top w:w="113" w:type="dxa"/>
              <w:left w:w="113" w:type="dxa"/>
              <w:bottom w:w="113" w:type="dxa"/>
              <w:right w:w="113" w:type="dxa"/>
            </w:tcMar>
            <w:vAlign w:val="bottom"/>
          </w:tcPr>
          <w:p w14:paraId="13ACC0C8" w14:textId="77777777" w:rsidR="00CE05E9" w:rsidRPr="00CE05E9" w:rsidRDefault="00CE05E9" w:rsidP="00CE05E9">
            <w:pPr>
              <w:pStyle w:val="CDITable-HeaderRowCentre"/>
            </w:pPr>
            <w:proofErr w:type="spellStart"/>
            <w:r w:rsidRPr="00CE05E9">
              <w:t>ACT</w:t>
            </w:r>
            <w:r w:rsidRPr="00CE05E9">
              <w:rPr>
                <w:vertAlign w:val="superscript"/>
              </w:rPr>
              <w:t>a</w:t>
            </w:r>
            <w:proofErr w:type="spellEnd"/>
          </w:p>
        </w:tc>
        <w:tc>
          <w:tcPr>
            <w:tcW w:w="793" w:type="dxa"/>
            <w:shd w:val="clear" w:color="auto" w:fill="1E4496" w:themeFill="text2"/>
            <w:tcMar>
              <w:top w:w="113" w:type="dxa"/>
              <w:left w:w="113" w:type="dxa"/>
              <w:bottom w:w="113" w:type="dxa"/>
              <w:right w:w="113" w:type="dxa"/>
            </w:tcMar>
            <w:vAlign w:val="bottom"/>
          </w:tcPr>
          <w:p w14:paraId="656C6310" w14:textId="77777777" w:rsidR="00CE05E9" w:rsidRPr="00CE05E9" w:rsidRDefault="00CE05E9" w:rsidP="00CE05E9">
            <w:pPr>
              <w:pStyle w:val="CDITable-HeaderRowCentre"/>
            </w:pPr>
            <w:r w:rsidRPr="00CE05E9">
              <w:t>NSW</w:t>
            </w:r>
          </w:p>
        </w:tc>
        <w:tc>
          <w:tcPr>
            <w:tcW w:w="794" w:type="dxa"/>
            <w:shd w:val="clear" w:color="auto" w:fill="1E4496" w:themeFill="text2"/>
            <w:tcMar>
              <w:top w:w="113" w:type="dxa"/>
              <w:left w:w="113" w:type="dxa"/>
              <w:bottom w:w="113" w:type="dxa"/>
              <w:right w:w="113" w:type="dxa"/>
            </w:tcMar>
            <w:vAlign w:val="bottom"/>
          </w:tcPr>
          <w:p w14:paraId="0A2155AD" w14:textId="77777777" w:rsidR="00CE05E9" w:rsidRPr="00CE05E9" w:rsidRDefault="00CE05E9" w:rsidP="00CE05E9">
            <w:pPr>
              <w:pStyle w:val="CDITable-HeaderRowCentre"/>
            </w:pPr>
            <w:r w:rsidRPr="00CE05E9">
              <w:t>NT</w:t>
            </w:r>
          </w:p>
        </w:tc>
        <w:tc>
          <w:tcPr>
            <w:tcW w:w="794" w:type="dxa"/>
            <w:shd w:val="clear" w:color="auto" w:fill="1E4496" w:themeFill="text2"/>
            <w:tcMar>
              <w:top w:w="113" w:type="dxa"/>
              <w:left w:w="113" w:type="dxa"/>
              <w:bottom w:w="113" w:type="dxa"/>
              <w:right w:w="113" w:type="dxa"/>
            </w:tcMar>
            <w:vAlign w:val="bottom"/>
          </w:tcPr>
          <w:p w14:paraId="3BE080CD" w14:textId="77777777" w:rsidR="00CE05E9" w:rsidRPr="00CE05E9" w:rsidRDefault="00CE05E9" w:rsidP="00CE05E9">
            <w:pPr>
              <w:pStyle w:val="CDITable-HeaderRowCentre"/>
            </w:pPr>
            <w:r w:rsidRPr="00CE05E9">
              <w:t>Qld</w:t>
            </w:r>
          </w:p>
        </w:tc>
        <w:tc>
          <w:tcPr>
            <w:tcW w:w="794" w:type="dxa"/>
            <w:shd w:val="clear" w:color="auto" w:fill="1E4496" w:themeFill="text2"/>
            <w:tcMar>
              <w:top w:w="113" w:type="dxa"/>
              <w:left w:w="113" w:type="dxa"/>
              <w:bottom w:w="113" w:type="dxa"/>
              <w:right w:w="113" w:type="dxa"/>
            </w:tcMar>
            <w:vAlign w:val="bottom"/>
          </w:tcPr>
          <w:p w14:paraId="2EB9FFBB" w14:textId="77777777" w:rsidR="00CE05E9" w:rsidRPr="00CE05E9" w:rsidRDefault="00CE05E9" w:rsidP="00CE05E9">
            <w:pPr>
              <w:pStyle w:val="CDITable-HeaderRowCentre"/>
            </w:pPr>
            <w:r w:rsidRPr="00CE05E9">
              <w:t>SA</w:t>
            </w:r>
          </w:p>
        </w:tc>
        <w:tc>
          <w:tcPr>
            <w:tcW w:w="793" w:type="dxa"/>
            <w:shd w:val="clear" w:color="auto" w:fill="1E4496" w:themeFill="text2"/>
            <w:tcMar>
              <w:top w:w="113" w:type="dxa"/>
              <w:left w:w="113" w:type="dxa"/>
              <w:bottom w:w="113" w:type="dxa"/>
              <w:right w:w="113" w:type="dxa"/>
            </w:tcMar>
            <w:vAlign w:val="bottom"/>
          </w:tcPr>
          <w:p w14:paraId="309478CF" w14:textId="77777777" w:rsidR="00CE05E9" w:rsidRPr="00CE05E9" w:rsidRDefault="00CE05E9" w:rsidP="00CE05E9">
            <w:pPr>
              <w:pStyle w:val="CDITable-HeaderRowCentre"/>
            </w:pPr>
            <w:r w:rsidRPr="00CE05E9">
              <w:t>Tas.</w:t>
            </w:r>
          </w:p>
        </w:tc>
        <w:tc>
          <w:tcPr>
            <w:tcW w:w="794" w:type="dxa"/>
            <w:shd w:val="clear" w:color="auto" w:fill="1E4496" w:themeFill="text2"/>
            <w:tcMar>
              <w:top w:w="113" w:type="dxa"/>
              <w:left w:w="113" w:type="dxa"/>
              <w:bottom w:w="113" w:type="dxa"/>
              <w:right w:w="113" w:type="dxa"/>
            </w:tcMar>
            <w:vAlign w:val="bottom"/>
          </w:tcPr>
          <w:p w14:paraId="4AEB68CD" w14:textId="77777777" w:rsidR="00CE05E9" w:rsidRPr="00CE05E9" w:rsidRDefault="00CE05E9" w:rsidP="00CE05E9">
            <w:pPr>
              <w:pStyle w:val="CDITable-HeaderRowCentre"/>
            </w:pPr>
            <w:r w:rsidRPr="00CE05E9">
              <w:t>Vic.</w:t>
            </w:r>
          </w:p>
        </w:tc>
        <w:tc>
          <w:tcPr>
            <w:tcW w:w="794" w:type="dxa"/>
            <w:shd w:val="clear" w:color="auto" w:fill="1E4496" w:themeFill="text2"/>
            <w:tcMar>
              <w:top w:w="113" w:type="dxa"/>
              <w:left w:w="113" w:type="dxa"/>
              <w:bottom w:w="113" w:type="dxa"/>
              <w:right w:w="113" w:type="dxa"/>
            </w:tcMar>
            <w:vAlign w:val="bottom"/>
          </w:tcPr>
          <w:p w14:paraId="442064E0" w14:textId="77777777" w:rsidR="00CE05E9" w:rsidRPr="00CE05E9" w:rsidRDefault="00CE05E9" w:rsidP="00CE05E9">
            <w:pPr>
              <w:pStyle w:val="CDITable-HeaderRowCentre"/>
            </w:pPr>
            <w:r w:rsidRPr="00CE05E9">
              <w:t>WA</w:t>
            </w:r>
          </w:p>
        </w:tc>
        <w:tc>
          <w:tcPr>
            <w:tcW w:w="1077" w:type="dxa"/>
            <w:shd w:val="clear" w:color="auto" w:fill="1E4496" w:themeFill="text2"/>
            <w:tcMar>
              <w:top w:w="113" w:type="dxa"/>
              <w:left w:w="113" w:type="dxa"/>
              <w:bottom w:w="113" w:type="dxa"/>
              <w:right w:w="113" w:type="dxa"/>
            </w:tcMar>
            <w:vAlign w:val="bottom"/>
          </w:tcPr>
          <w:p w14:paraId="29CACE80" w14:textId="77777777" w:rsidR="00CE05E9" w:rsidRPr="00CE05E9" w:rsidRDefault="00CE05E9" w:rsidP="00CE05E9">
            <w:pPr>
              <w:pStyle w:val="CDITable-HeaderRowCentre"/>
            </w:pPr>
            <w:r w:rsidRPr="00CE05E9">
              <w:t>Australia</w:t>
            </w:r>
          </w:p>
        </w:tc>
      </w:tr>
      <w:tr w:rsidR="00CE05E9" w:rsidRPr="00CE05E9" w14:paraId="310A86F0" w14:textId="77777777" w:rsidTr="00620821">
        <w:trPr>
          <w:trHeight w:val="20"/>
        </w:trPr>
        <w:tc>
          <w:tcPr>
            <w:tcW w:w="1134" w:type="dxa"/>
            <w:vMerge w:val="restart"/>
            <w:tcBorders>
              <w:bottom w:val="single" w:sz="6" w:space="0" w:color="1E4496" w:themeColor="text2"/>
            </w:tcBorders>
            <w:tcMar>
              <w:top w:w="113" w:type="dxa"/>
              <w:left w:w="113" w:type="dxa"/>
              <w:bottom w:w="113" w:type="dxa"/>
              <w:right w:w="113" w:type="dxa"/>
            </w:tcMar>
            <w:vAlign w:val="center"/>
          </w:tcPr>
          <w:p w14:paraId="7255ABC0" w14:textId="77777777" w:rsidR="00CE05E9" w:rsidRPr="00CE05E9" w:rsidRDefault="00CE05E9" w:rsidP="00CE05E9">
            <w:pPr>
              <w:pStyle w:val="CDITable-RowLeft"/>
            </w:pPr>
            <w:r w:rsidRPr="00CE05E9">
              <w:t>Male</w:t>
            </w:r>
          </w:p>
        </w:tc>
        <w:tc>
          <w:tcPr>
            <w:tcW w:w="1077" w:type="dxa"/>
            <w:tcBorders>
              <w:bottom w:val="single" w:sz="6" w:space="0" w:color="1E4496" w:themeColor="text2"/>
            </w:tcBorders>
            <w:tcMar>
              <w:top w:w="113" w:type="dxa"/>
              <w:left w:w="113" w:type="dxa"/>
              <w:bottom w:w="113" w:type="dxa"/>
              <w:right w:w="113" w:type="dxa"/>
            </w:tcMar>
            <w:vAlign w:val="center"/>
          </w:tcPr>
          <w:p w14:paraId="5BAAD90A" w14:textId="77777777" w:rsidR="00CE05E9" w:rsidRPr="00CE05E9" w:rsidRDefault="00CE05E9" w:rsidP="00CE05E9">
            <w:pPr>
              <w:pStyle w:val="CDITable-RowLeft"/>
            </w:pPr>
            <w:r w:rsidRPr="00CE05E9">
              <w:t>Genital</w:t>
            </w:r>
          </w:p>
        </w:tc>
        <w:tc>
          <w:tcPr>
            <w:tcW w:w="794" w:type="dxa"/>
            <w:tcBorders>
              <w:bottom w:val="single" w:sz="6" w:space="0" w:color="1E4496" w:themeColor="text2"/>
            </w:tcBorders>
            <w:tcMar>
              <w:top w:w="113" w:type="dxa"/>
              <w:left w:w="113" w:type="dxa"/>
              <w:bottom w:w="113" w:type="dxa"/>
              <w:right w:w="113" w:type="dxa"/>
            </w:tcMar>
            <w:vAlign w:val="center"/>
          </w:tcPr>
          <w:p w14:paraId="44552AE0" w14:textId="77777777" w:rsidR="00CE05E9" w:rsidRPr="00CE05E9" w:rsidRDefault="00CE05E9" w:rsidP="00620821">
            <w:pPr>
              <w:pStyle w:val="CDITable-RowCentre"/>
            </w:pPr>
            <w:r w:rsidRPr="00CE05E9">
              <w:t>83</w:t>
            </w:r>
          </w:p>
        </w:tc>
        <w:tc>
          <w:tcPr>
            <w:tcW w:w="793" w:type="dxa"/>
            <w:tcBorders>
              <w:bottom w:val="single" w:sz="6" w:space="0" w:color="1E4496" w:themeColor="text2"/>
            </w:tcBorders>
            <w:tcMar>
              <w:top w:w="113" w:type="dxa"/>
              <w:left w:w="113" w:type="dxa"/>
              <w:bottom w:w="113" w:type="dxa"/>
              <w:right w:w="113" w:type="dxa"/>
            </w:tcMar>
            <w:vAlign w:val="center"/>
          </w:tcPr>
          <w:p w14:paraId="125AAFD7" w14:textId="77777777" w:rsidR="00CE05E9" w:rsidRPr="00CE05E9" w:rsidRDefault="00CE05E9" w:rsidP="00620821">
            <w:pPr>
              <w:pStyle w:val="CDITable-RowCentre"/>
            </w:pPr>
            <w:r w:rsidRPr="00CE05E9">
              <w:t>1,491</w:t>
            </w:r>
          </w:p>
        </w:tc>
        <w:tc>
          <w:tcPr>
            <w:tcW w:w="794" w:type="dxa"/>
            <w:tcBorders>
              <w:bottom w:val="single" w:sz="6" w:space="0" w:color="1E4496" w:themeColor="text2"/>
            </w:tcBorders>
            <w:tcMar>
              <w:top w:w="113" w:type="dxa"/>
              <w:left w:w="113" w:type="dxa"/>
              <w:bottom w:w="113" w:type="dxa"/>
              <w:right w:w="113" w:type="dxa"/>
            </w:tcMar>
            <w:vAlign w:val="center"/>
          </w:tcPr>
          <w:p w14:paraId="3C188420" w14:textId="77777777" w:rsidR="00CE05E9" w:rsidRPr="00CE05E9" w:rsidRDefault="00CE05E9" w:rsidP="00620821">
            <w:pPr>
              <w:pStyle w:val="CDITable-RowCentre"/>
            </w:pPr>
            <w:r w:rsidRPr="00CE05E9">
              <w:t>107</w:t>
            </w:r>
          </w:p>
        </w:tc>
        <w:tc>
          <w:tcPr>
            <w:tcW w:w="794" w:type="dxa"/>
            <w:tcBorders>
              <w:bottom w:val="single" w:sz="6" w:space="0" w:color="1E4496" w:themeColor="text2"/>
            </w:tcBorders>
            <w:tcMar>
              <w:top w:w="113" w:type="dxa"/>
              <w:left w:w="113" w:type="dxa"/>
              <w:bottom w:w="113" w:type="dxa"/>
              <w:right w:w="113" w:type="dxa"/>
            </w:tcMar>
            <w:vAlign w:val="center"/>
          </w:tcPr>
          <w:p w14:paraId="1391A23C" w14:textId="77777777" w:rsidR="00CE05E9" w:rsidRPr="00CE05E9" w:rsidRDefault="00CE05E9" w:rsidP="00620821">
            <w:pPr>
              <w:pStyle w:val="CDITable-RowCentre"/>
            </w:pPr>
            <w:r w:rsidRPr="00CE05E9">
              <w:t>624</w:t>
            </w:r>
          </w:p>
        </w:tc>
        <w:tc>
          <w:tcPr>
            <w:tcW w:w="794" w:type="dxa"/>
            <w:tcBorders>
              <w:bottom w:val="single" w:sz="6" w:space="0" w:color="1E4496" w:themeColor="text2"/>
            </w:tcBorders>
            <w:tcMar>
              <w:top w:w="113" w:type="dxa"/>
              <w:left w:w="113" w:type="dxa"/>
              <w:bottom w:w="113" w:type="dxa"/>
              <w:right w:w="113" w:type="dxa"/>
            </w:tcMar>
            <w:vAlign w:val="center"/>
          </w:tcPr>
          <w:p w14:paraId="55098CC5" w14:textId="77777777" w:rsidR="00CE05E9" w:rsidRPr="00CE05E9" w:rsidRDefault="00CE05E9" w:rsidP="00620821">
            <w:pPr>
              <w:pStyle w:val="CDITable-RowCentre"/>
            </w:pPr>
            <w:r w:rsidRPr="00CE05E9">
              <w:t>312</w:t>
            </w:r>
          </w:p>
        </w:tc>
        <w:tc>
          <w:tcPr>
            <w:tcW w:w="793" w:type="dxa"/>
            <w:tcBorders>
              <w:bottom w:val="single" w:sz="6" w:space="0" w:color="1E4496" w:themeColor="text2"/>
            </w:tcBorders>
            <w:tcMar>
              <w:top w:w="113" w:type="dxa"/>
              <w:left w:w="113" w:type="dxa"/>
              <w:bottom w:w="113" w:type="dxa"/>
              <w:right w:w="113" w:type="dxa"/>
            </w:tcMar>
            <w:vAlign w:val="center"/>
          </w:tcPr>
          <w:p w14:paraId="6A6A4B83" w14:textId="77777777" w:rsidR="00CE05E9" w:rsidRPr="00CE05E9" w:rsidRDefault="00CE05E9" w:rsidP="00620821">
            <w:pPr>
              <w:pStyle w:val="CDITable-RowCentre"/>
            </w:pPr>
            <w:r w:rsidRPr="00CE05E9">
              <w:t>31</w:t>
            </w:r>
          </w:p>
        </w:tc>
        <w:tc>
          <w:tcPr>
            <w:tcW w:w="794" w:type="dxa"/>
            <w:tcBorders>
              <w:bottom w:val="single" w:sz="6" w:space="0" w:color="1E4496" w:themeColor="text2"/>
            </w:tcBorders>
            <w:tcMar>
              <w:top w:w="113" w:type="dxa"/>
              <w:left w:w="113" w:type="dxa"/>
              <w:bottom w:w="113" w:type="dxa"/>
              <w:right w:w="113" w:type="dxa"/>
            </w:tcMar>
            <w:vAlign w:val="center"/>
          </w:tcPr>
          <w:p w14:paraId="0ADFDAA7" w14:textId="77777777" w:rsidR="00CE05E9" w:rsidRPr="00CE05E9" w:rsidRDefault="00CE05E9" w:rsidP="00620821">
            <w:pPr>
              <w:pStyle w:val="CDITable-RowCentre"/>
            </w:pPr>
            <w:r w:rsidRPr="00CE05E9">
              <w:t>1,229</w:t>
            </w:r>
          </w:p>
        </w:tc>
        <w:tc>
          <w:tcPr>
            <w:tcW w:w="794" w:type="dxa"/>
            <w:tcBorders>
              <w:bottom w:val="single" w:sz="6" w:space="0" w:color="1E4496" w:themeColor="text2"/>
            </w:tcBorders>
            <w:tcMar>
              <w:top w:w="113" w:type="dxa"/>
              <w:left w:w="113" w:type="dxa"/>
              <w:bottom w:w="113" w:type="dxa"/>
              <w:right w:w="113" w:type="dxa"/>
            </w:tcMar>
            <w:vAlign w:val="center"/>
          </w:tcPr>
          <w:p w14:paraId="48D3E806" w14:textId="77777777" w:rsidR="00CE05E9" w:rsidRPr="00CE05E9" w:rsidRDefault="00CE05E9" w:rsidP="00620821">
            <w:pPr>
              <w:pStyle w:val="CDITable-RowCentre"/>
            </w:pPr>
            <w:r w:rsidRPr="00CE05E9">
              <w:t>657</w:t>
            </w:r>
          </w:p>
        </w:tc>
        <w:tc>
          <w:tcPr>
            <w:tcW w:w="1077" w:type="dxa"/>
            <w:tcBorders>
              <w:bottom w:val="single" w:sz="6" w:space="0" w:color="1E4496" w:themeColor="text2"/>
            </w:tcBorders>
            <w:tcMar>
              <w:top w:w="113" w:type="dxa"/>
              <w:left w:w="113" w:type="dxa"/>
              <w:bottom w:w="113" w:type="dxa"/>
              <w:right w:w="113" w:type="dxa"/>
            </w:tcMar>
            <w:vAlign w:val="center"/>
          </w:tcPr>
          <w:p w14:paraId="0479003B" w14:textId="77777777" w:rsidR="00CE05E9" w:rsidRPr="00CE05E9" w:rsidRDefault="00CE05E9" w:rsidP="00620821">
            <w:pPr>
              <w:pStyle w:val="CDITable-RowCentre"/>
            </w:pPr>
            <w:r w:rsidRPr="00CE05E9">
              <w:t>4,534</w:t>
            </w:r>
          </w:p>
        </w:tc>
      </w:tr>
      <w:tr w:rsidR="00CE05E9" w:rsidRPr="00CE05E9" w14:paraId="12A0B62E" w14:textId="77777777" w:rsidTr="00620821">
        <w:trPr>
          <w:trHeight w:val="20"/>
        </w:trPr>
        <w:tc>
          <w:tcPr>
            <w:tcW w:w="1134" w:type="dxa"/>
            <w:vMerge/>
            <w:tcBorders>
              <w:top w:val="single" w:sz="6" w:space="0" w:color="1E4496" w:themeColor="text2"/>
              <w:bottom w:val="single" w:sz="6" w:space="0" w:color="1E4496" w:themeColor="text2"/>
            </w:tcBorders>
          </w:tcPr>
          <w:p w14:paraId="7BE7852B"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ECB69B" w14:textId="77777777" w:rsidR="00CE05E9" w:rsidRPr="00CE05E9" w:rsidRDefault="00CE05E9" w:rsidP="00CE05E9">
            <w:pPr>
              <w:pStyle w:val="CDITable-RowLeft"/>
            </w:pPr>
            <w:r w:rsidRPr="00CE05E9">
              <w:t>Rectal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265F68" w14:textId="77777777" w:rsidR="00CE05E9" w:rsidRPr="00CE05E9" w:rsidRDefault="00CE05E9" w:rsidP="00620821">
            <w:pPr>
              <w:pStyle w:val="CDITable-RowCentre"/>
            </w:pPr>
            <w:r w:rsidRPr="00CE05E9">
              <w:t>69</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26DF71" w14:textId="77777777" w:rsidR="00CE05E9" w:rsidRPr="00CE05E9" w:rsidRDefault="00CE05E9" w:rsidP="00620821">
            <w:pPr>
              <w:pStyle w:val="CDITable-RowCentre"/>
            </w:pPr>
            <w:r w:rsidRPr="00CE05E9">
              <w:t>996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56B08B" w14:textId="77777777" w:rsidR="00CE05E9" w:rsidRPr="00CE05E9" w:rsidRDefault="00CE05E9" w:rsidP="00620821">
            <w:pPr>
              <w:pStyle w:val="CDITable-RowCentre"/>
            </w:pPr>
            <w:r w:rsidRPr="00CE05E9">
              <w:t>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BF8AB4" w14:textId="77777777" w:rsidR="00CE05E9" w:rsidRPr="00CE05E9" w:rsidRDefault="00CE05E9" w:rsidP="00620821">
            <w:pPr>
              <w:pStyle w:val="CDITable-RowCentre"/>
            </w:pPr>
            <w:r w:rsidRPr="00CE05E9">
              <w:t>255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38FCCC" w14:textId="77777777" w:rsidR="00CE05E9" w:rsidRPr="00CE05E9" w:rsidRDefault="00CE05E9" w:rsidP="00620821">
            <w:pPr>
              <w:pStyle w:val="CDITable-RowCentre"/>
            </w:pPr>
            <w:r w:rsidRPr="00CE05E9">
              <w:t>114</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46FD0C" w14:textId="77777777" w:rsidR="00CE05E9" w:rsidRPr="00CE05E9" w:rsidRDefault="00CE05E9" w:rsidP="00620821">
            <w:pPr>
              <w:pStyle w:val="CDITable-RowCentre"/>
            </w:pPr>
            <w:r w:rsidRPr="00CE05E9">
              <w:t>16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666E28" w14:textId="77777777" w:rsidR="00CE05E9" w:rsidRPr="00CE05E9" w:rsidRDefault="00CE05E9" w:rsidP="00620821">
            <w:pPr>
              <w:pStyle w:val="CDITable-RowCentre"/>
            </w:pPr>
            <w:r w:rsidRPr="00CE05E9">
              <w:t>957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9CC23B" w14:textId="77777777" w:rsidR="00CE05E9" w:rsidRPr="00CE05E9" w:rsidRDefault="00CE05E9" w:rsidP="00620821">
            <w:pPr>
              <w:pStyle w:val="CDITable-RowCentre"/>
            </w:pPr>
            <w:r w:rsidRPr="00CE05E9">
              <w:t>52</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D43923" w14:textId="77777777" w:rsidR="00CE05E9" w:rsidRPr="00CE05E9" w:rsidRDefault="00CE05E9" w:rsidP="00620821">
            <w:pPr>
              <w:pStyle w:val="CDITable-RowCentre"/>
            </w:pPr>
            <w:r w:rsidRPr="00CE05E9">
              <w:t>2,464</w:t>
            </w:r>
          </w:p>
        </w:tc>
      </w:tr>
      <w:tr w:rsidR="00CE05E9" w:rsidRPr="00CE05E9" w14:paraId="14A53603" w14:textId="77777777" w:rsidTr="00620821">
        <w:trPr>
          <w:trHeight w:val="20"/>
        </w:trPr>
        <w:tc>
          <w:tcPr>
            <w:tcW w:w="1134" w:type="dxa"/>
            <w:vMerge/>
            <w:tcBorders>
              <w:bottom w:val="single" w:sz="6" w:space="0" w:color="1E4496" w:themeColor="text2"/>
            </w:tcBorders>
          </w:tcPr>
          <w:p w14:paraId="3A79BA9C"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F8B97A" w14:textId="77777777" w:rsidR="00CE05E9" w:rsidRPr="00CE05E9" w:rsidRDefault="00CE05E9" w:rsidP="00CE05E9">
            <w:pPr>
              <w:pStyle w:val="CDITable-RowLeft"/>
            </w:pPr>
            <w:r w:rsidRPr="00CE05E9">
              <w:t>Pharynx</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F0701C" w14:textId="77777777" w:rsidR="00CE05E9" w:rsidRPr="00CE05E9" w:rsidRDefault="00CE05E9" w:rsidP="00620821">
            <w:pPr>
              <w:pStyle w:val="CDITable-RowCentre"/>
            </w:pPr>
            <w:r w:rsidRPr="00CE05E9">
              <w:t>59</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09C680" w14:textId="77777777" w:rsidR="00CE05E9" w:rsidRPr="00CE05E9" w:rsidRDefault="00CE05E9" w:rsidP="00620821">
            <w:pPr>
              <w:pStyle w:val="CDITable-RowCentre"/>
            </w:pPr>
            <w:r w:rsidRPr="00CE05E9">
              <w:t>501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10FEA8" w14:textId="77777777" w:rsidR="00CE05E9" w:rsidRPr="00CE05E9" w:rsidRDefault="00CE05E9" w:rsidP="00620821">
            <w:pPr>
              <w:pStyle w:val="CDITable-RowCentre"/>
            </w:pPr>
            <w:r w:rsidRPr="00CE05E9">
              <w:t>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064AED" w14:textId="77777777" w:rsidR="00CE05E9" w:rsidRPr="00CE05E9" w:rsidRDefault="00CE05E9" w:rsidP="00620821">
            <w:pPr>
              <w:pStyle w:val="CDITable-RowCentre"/>
            </w:pPr>
            <w:r w:rsidRPr="00CE05E9">
              <w:t>110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751C0D" w14:textId="77777777" w:rsidR="00CE05E9" w:rsidRPr="00CE05E9" w:rsidRDefault="00CE05E9" w:rsidP="00620821">
            <w:pPr>
              <w:pStyle w:val="CDITable-RowCentre"/>
            </w:pPr>
            <w:r w:rsidRPr="00CE05E9">
              <w:t>44</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C1C9CE" w14:textId="77777777" w:rsidR="00CE05E9" w:rsidRPr="00CE05E9" w:rsidRDefault="00CE05E9" w:rsidP="00620821">
            <w:pPr>
              <w:pStyle w:val="CDITable-RowCentre"/>
            </w:pPr>
            <w:r w:rsidRPr="00CE05E9">
              <w:t>24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67CEAF" w14:textId="77777777" w:rsidR="00CE05E9" w:rsidRPr="00CE05E9" w:rsidRDefault="00CE05E9" w:rsidP="00620821">
            <w:pPr>
              <w:pStyle w:val="CDITable-RowCentre"/>
            </w:pPr>
            <w:r w:rsidRPr="00CE05E9">
              <w:t>521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70EA29" w14:textId="77777777" w:rsidR="00CE05E9" w:rsidRPr="00CE05E9" w:rsidRDefault="00CE05E9" w:rsidP="00620821">
            <w:pPr>
              <w:pStyle w:val="CDITable-RowCentre"/>
            </w:pPr>
            <w:r w:rsidRPr="00CE05E9">
              <w:t>37</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D417E2" w14:textId="77777777" w:rsidR="00CE05E9" w:rsidRPr="00CE05E9" w:rsidRDefault="00CE05E9" w:rsidP="00620821">
            <w:pPr>
              <w:pStyle w:val="CDITable-RowCentre"/>
            </w:pPr>
            <w:r w:rsidRPr="00CE05E9">
              <w:t>1,300</w:t>
            </w:r>
          </w:p>
        </w:tc>
      </w:tr>
      <w:tr w:rsidR="00CE05E9" w:rsidRPr="00CE05E9" w14:paraId="5B08D54D" w14:textId="77777777" w:rsidTr="00620821">
        <w:trPr>
          <w:trHeight w:val="20"/>
        </w:trPr>
        <w:tc>
          <w:tcPr>
            <w:tcW w:w="1134" w:type="dxa"/>
            <w:vMerge/>
            <w:tcBorders>
              <w:bottom w:val="single" w:sz="6" w:space="0" w:color="1E4496" w:themeColor="text2"/>
            </w:tcBorders>
          </w:tcPr>
          <w:p w14:paraId="2115BCB3"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F4EDED" w14:textId="77777777" w:rsidR="00CE05E9" w:rsidRPr="00CE05E9" w:rsidRDefault="00CE05E9" w:rsidP="00CE05E9">
            <w:pPr>
              <w:pStyle w:val="CDITable-RowLeft"/>
            </w:pPr>
            <w:proofErr w:type="spellStart"/>
            <w:r w:rsidRPr="00CE05E9">
              <w:t>DGI</w:t>
            </w:r>
            <w:r w:rsidRPr="00620821">
              <w:rPr>
                <w:vertAlign w:val="superscript"/>
              </w:rPr>
              <w:t>b</w:t>
            </w:r>
            <w:proofErr w:type="spellEnd"/>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588134"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617524" w14:textId="77777777" w:rsidR="00CE05E9" w:rsidRPr="00CE05E9" w:rsidRDefault="00CE05E9" w:rsidP="00620821">
            <w:pPr>
              <w:pStyle w:val="CDITable-RowCentre"/>
            </w:pPr>
            <w:r w:rsidRPr="00CE05E9">
              <w:t>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D7CA56" w14:textId="77777777" w:rsidR="00CE05E9" w:rsidRPr="00CE05E9" w:rsidRDefault="00CE05E9" w:rsidP="00620821">
            <w:pPr>
              <w:pStyle w:val="CDITable-RowCentre"/>
            </w:pPr>
            <w:r w:rsidRPr="00CE05E9">
              <w:t>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79FA38" w14:textId="77777777" w:rsidR="00CE05E9" w:rsidRPr="00CE05E9" w:rsidRDefault="00CE05E9" w:rsidP="00620821">
            <w:pPr>
              <w:pStyle w:val="CDITable-RowCentre"/>
            </w:pPr>
            <w:r w:rsidRPr="00CE05E9">
              <w:t>13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80F9EE" w14:textId="77777777" w:rsidR="00CE05E9" w:rsidRPr="00CE05E9" w:rsidRDefault="00CE05E9" w:rsidP="00620821">
            <w:pPr>
              <w:pStyle w:val="CDITable-RowCentre"/>
            </w:pPr>
            <w:r w:rsidRPr="00CE05E9">
              <w:t>2</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00F328"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7D1B41" w14:textId="77777777" w:rsidR="00CE05E9" w:rsidRPr="00CE05E9" w:rsidRDefault="00CE05E9" w:rsidP="00620821">
            <w:pPr>
              <w:pStyle w:val="CDITable-RowCentre"/>
            </w:pPr>
            <w:r w:rsidRPr="00CE05E9">
              <w:t>8</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8B384C" w14:textId="77777777" w:rsidR="00CE05E9" w:rsidRPr="00CE05E9" w:rsidRDefault="00CE05E9" w:rsidP="00620821">
            <w:pPr>
              <w:pStyle w:val="CDITable-RowCentre"/>
            </w:pPr>
            <w:r w:rsidRPr="00CE05E9">
              <w:t>2</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FB9179" w14:textId="77777777" w:rsidR="00CE05E9" w:rsidRPr="00CE05E9" w:rsidRDefault="00CE05E9" w:rsidP="00620821">
            <w:pPr>
              <w:pStyle w:val="CDITable-RowCentre"/>
            </w:pPr>
            <w:r w:rsidRPr="00CE05E9">
              <w:t>34</w:t>
            </w:r>
          </w:p>
        </w:tc>
      </w:tr>
      <w:tr w:rsidR="00CE05E9" w:rsidRPr="00CE05E9" w14:paraId="0EEFC891" w14:textId="77777777" w:rsidTr="00620821">
        <w:trPr>
          <w:trHeight w:val="20"/>
        </w:trPr>
        <w:tc>
          <w:tcPr>
            <w:tcW w:w="1134" w:type="dxa"/>
            <w:vMerge/>
            <w:tcBorders>
              <w:bottom w:val="single" w:sz="6" w:space="0" w:color="1E4496" w:themeColor="text2"/>
            </w:tcBorders>
          </w:tcPr>
          <w:p w14:paraId="7CEBDF08" w14:textId="77777777" w:rsidR="00CE05E9" w:rsidRPr="00CE05E9" w:rsidRDefault="00CE05E9" w:rsidP="00CE05E9">
            <w:pPr>
              <w:pStyle w:val="CDITable-RowLeft"/>
            </w:pPr>
          </w:p>
        </w:tc>
        <w:tc>
          <w:tcPr>
            <w:tcW w:w="1077" w:type="dxa"/>
            <w:tcBorders>
              <w:top w:val="single" w:sz="6" w:space="0" w:color="1E4496" w:themeColor="text2"/>
            </w:tcBorders>
            <w:tcMar>
              <w:top w:w="113" w:type="dxa"/>
              <w:left w:w="113" w:type="dxa"/>
              <w:bottom w:w="113" w:type="dxa"/>
              <w:right w:w="113" w:type="dxa"/>
            </w:tcMar>
            <w:vAlign w:val="center"/>
          </w:tcPr>
          <w:p w14:paraId="7FD843F7" w14:textId="77777777" w:rsidR="00CE05E9" w:rsidRPr="00CE05E9" w:rsidRDefault="00CE05E9" w:rsidP="00CE05E9">
            <w:pPr>
              <w:pStyle w:val="CDITable-RowLeft"/>
            </w:pPr>
            <w:r w:rsidRPr="00CE05E9">
              <w:t>Other/</w:t>
            </w:r>
            <w:proofErr w:type="spellStart"/>
            <w:r w:rsidRPr="00CE05E9">
              <w:t>NS</w:t>
            </w:r>
            <w:r w:rsidRPr="00620821">
              <w:rPr>
                <w:vertAlign w:val="superscript"/>
              </w:rPr>
              <w:t>c</w:t>
            </w:r>
            <w:proofErr w:type="spellEnd"/>
          </w:p>
        </w:tc>
        <w:tc>
          <w:tcPr>
            <w:tcW w:w="794" w:type="dxa"/>
            <w:tcBorders>
              <w:top w:val="single" w:sz="6" w:space="0" w:color="1E4496" w:themeColor="text2"/>
            </w:tcBorders>
            <w:tcMar>
              <w:top w:w="113" w:type="dxa"/>
              <w:left w:w="113" w:type="dxa"/>
              <w:bottom w:w="113" w:type="dxa"/>
              <w:right w:w="113" w:type="dxa"/>
            </w:tcMar>
            <w:vAlign w:val="center"/>
          </w:tcPr>
          <w:p w14:paraId="26B469EC" w14:textId="77777777" w:rsidR="00CE05E9" w:rsidRPr="00CE05E9" w:rsidRDefault="00CE05E9" w:rsidP="00620821">
            <w:pPr>
              <w:pStyle w:val="CDITable-RowCentre"/>
            </w:pPr>
            <w:r w:rsidRPr="00CE05E9">
              <w:t>0</w:t>
            </w:r>
          </w:p>
        </w:tc>
        <w:tc>
          <w:tcPr>
            <w:tcW w:w="793" w:type="dxa"/>
            <w:tcBorders>
              <w:top w:val="single" w:sz="6" w:space="0" w:color="1E4496" w:themeColor="text2"/>
            </w:tcBorders>
            <w:tcMar>
              <w:top w:w="113" w:type="dxa"/>
              <w:left w:w="113" w:type="dxa"/>
              <w:bottom w:w="113" w:type="dxa"/>
              <w:right w:w="113" w:type="dxa"/>
            </w:tcMar>
            <w:vAlign w:val="center"/>
          </w:tcPr>
          <w:p w14:paraId="72503AB4" w14:textId="77777777" w:rsidR="00CE05E9" w:rsidRPr="00CE05E9" w:rsidRDefault="00CE05E9" w:rsidP="00620821">
            <w:pPr>
              <w:pStyle w:val="CDITable-RowCentre"/>
            </w:pPr>
            <w:r w:rsidRPr="00CE05E9">
              <w:t>43</w:t>
            </w:r>
          </w:p>
        </w:tc>
        <w:tc>
          <w:tcPr>
            <w:tcW w:w="794" w:type="dxa"/>
            <w:tcBorders>
              <w:top w:val="single" w:sz="6" w:space="0" w:color="1E4496" w:themeColor="text2"/>
            </w:tcBorders>
            <w:tcMar>
              <w:top w:w="113" w:type="dxa"/>
              <w:left w:w="113" w:type="dxa"/>
              <w:bottom w:w="113" w:type="dxa"/>
              <w:right w:w="113" w:type="dxa"/>
            </w:tcMar>
            <w:vAlign w:val="center"/>
          </w:tcPr>
          <w:p w14:paraId="0AE8FF88" w14:textId="77777777" w:rsidR="00CE05E9" w:rsidRPr="00CE05E9" w:rsidRDefault="00CE05E9" w:rsidP="00620821">
            <w:pPr>
              <w:pStyle w:val="CDITable-RowCentre"/>
            </w:pPr>
            <w:r w:rsidRPr="00CE05E9">
              <w:t>1</w:t>
            </w:r>
          </w:p>
        </w:tc>
        <w:tc>
          <w:tcPr>
            <w:tcW w:w="794" w:type="dxa"/>
            <w:tcBorders>
              <w:top w:val="single" w:sz="6" w:space="0" w:color="1E4496" w:themeColor="text2"/>
            </w:tcBorders>
            <w:tcMar>
              <w:top w:w="113" w:type="dxa"/>
              <w:left w:w="113" w:type="dxa"/>
              <w:bottom w:w="113" w:type="dxa"/>
              <w:right w:w="113" w:type="dxa"/>
            </w:tcMar>
            <w:vAlign w:val="center"/>
          </w:tcPr>
          <w:p w14:paraId="279FCCDD" w14:textId="77777777" w:rsidR="00CE05E9" w:rsidRPr="00CE05E9" w:rsidRDefault="00CE05E9" w:rsidP="00620821">
            <w:pPr>
              <w:pStyle w:val="CDITable-RowCentre"/>
            </w:pPr>
            <w:r w:rsidRPr="00CE05E9">
              <w:t>56</w:t>
            </w:r>
          </w:p>
        </w:tc>
        <w:tc>
          <w:tcPr>
            <w:tcW w:w="794" w:type="dxa"/>
            <w:tcBorders>
              <w:top w:val="single" w:sz="6" w:space="0" w:color="1E4496" w:themeColor="text2"/>
            </w:tcBorders>
            <w:tcMar>
              <w:top w:w="113" w:type="dxa"/>
              <w:left w:w="113" w:type="dxa"/>
              <w:bottom w:w="113" w:type="dxa"/>
              <w:right w:w="113" w:type="dxa"/>
            </w:tcMar>
            <w:vAlign w:val="center"/>
          </w:tcPr>
          <w:p w14:paraId="38830690" w14:textId="77777777" w:rsidR="00CE05E9" w:rsidRPr="00CE05E9" w:rsidRDefault="00CE05E9" w:rsidP="00620821">
            <w:pPr>
              <w:pStyle w:val="CDITable-RowCentre"/>
            </w:pPr>
            <w:r w:rsidRPr="00CE05E9">
              <w:t>13</w:t>
            </w:r>
          </w:p>
        </w:tc>
        <w:tc>
          <w:tcPr>
            <w:tcW w:w="793" w:type="dxa"/>
            <w:tcBorders>
              <w:top w:val="single" w:sz="6" w:space="0" w:color="1E4496" w:themeColor="text2"/>
            </w:tcBorders>
            <w:tcMar>
              <w:top w:w="113" w:type="dxa"/>
              <w:left w:w="113" w:type="dxa"/>
              <w:bottom w:w="113" w:type="dxa"/>
              <w:right w:w="113" w:type="dxa"/>
            </w:tcMar>
            <w:vAlign w:val="center"/>
          </w:tcPr>
          <w:p w14:paraId="159F98B5" w14:textId="77777777" w:rsidR="00CE05E9" w:rsidRPr="00CE05E9" w:rsidRDefault="00CE05E9" w:rsidP="00620821">
            <w:pPr>
              <w:pStyle w:val="CDITable-RowCentre"/>
            </w:pPr>
            <w:r w:rsidRPr="00CE05E9">
              <w:t>5</w:t>
            </w:r>
          </w:p>
        </w:tc>
        <w:tc>
          <w:tcPr>
            <w:tcW w:w="794" w:type="dxa"/>
            <w:tcBorders>
              <w:top w:val="single" w:sz="6" w:space="0" w:color="1E4496" w:themeColor="text2"/>
            </w:tcBorders>
            <w:tcMar>
              <w:top w:w="113" w:type="dxa"/>
              <w:left w:w="113" w:type="dxa"/>
              <w:bottom w:w="113" w:type="dxa"/>
              <w:right w:w="113" w:type="dxa"/>
            </w:tcMar>
            <w:vAlign w:val="center"/>
          </w:tcPr>
          <w:p w14:paraId="26B21BCA" w14:textId="77777777" w:rsidR="00CE05E9" w:rsidRPr="00CE05E9" w:rsidRDefault="00CE05E9" w:rsidP="00620821">
            <w:pPr>
              <w:pStyle w:val="CDITable-RowCentre"/>
            </w:pPr>
            <w:r w:rsidRPr="00CE05E9">
              <w:t>18</w:t>
            </w:r>
          </w:p>
        </w:tc>
        <w:tc>
          <w:tcPr>
            <w:tcW w:w="794" w:type="dxa"/>
            <w:tcBorders>
              <w:top w:val="single" w:sz="6" w:space="0" w:color="1E4496" w:themeColor="text2"/>
            </w:tcBorders>
            <w:tcMar>
              <w:top w:w="113" w:type="dxa"/>
              <w:left w:w="113" w:type="dxa"/>
              <w:bottom w:w="113" w:type="dxa"/>
              <w:right w:w="113" w:type="dxa"/>
            </w:tcMar>
            <w:vAlign w:val="center"/>
          </w:tcPr>
          <w:p w14:paraId="19E0EB87" w14:textId="77777777" w:rsidR="00CE05E9" w:rsidRPr="00CE05E9" w:rsidRDefault="00CE05E9" w:rsidP="00620821">
            <w:pPr>
              <w:pStyle w:val="CDITable-RowCentre"/>
            </w:pPr>
            <w:r w:rsidRPr="00CE05E9">
              <w:t>11</w:t>
            </w:r>
          </w:p>
        </w:tc>
        <w:tc>
          <w:tcPr>
            <w:tcW w:w="1077" w:type="dxa"/>
            <w:tcBorders>
              <w:top w:val="single" w:sz="6" w:space="0" w:color="1E4496" w:themeColor="text2"/>
            </w:tcBorders>
            <w:tcMar>
              <w:top w:w="113" w:type="dxa"/>
              <w:left w:w="113" w:type="dxa"/>
              <w:bottom w:w="113" w:type="dxa"/>
              <w:right w:w="113" w:type="dxa"/>
            </w:tcMar>
            <w:vAlign w:val="center"/>
          </w:tcPr>
          <w:p w14:paraId="64B85708" w14:textId="77777777" w:rsidR="00CE05E9" w:rsidRPr="00CE05E9" w:rsidRDefault="00CE05E9" w:rsidP="00620821">
            <w:pPr>
              <w:pStyle w:val="CDITable-RowCentre"/>
            </w:pPr>
            <w:r w:rsidRPr="00CE05E9">
              <w:t>147</w:t>
            </w:r>
          </w:p>
        </w:tc>
      </w:tr>
      <w:tr w:rsidR="00CE05E9" w:rsidRPr="00CE05E9" w14:paraId="10C2455A" w14:textId="77777777" w:rsidTr="00620821">
        <w:trPr>
          <w:trHeight w:val="20"/>
        </w:trPr>
        <w:tc>
          <w:tcPr>
            <w:tcW w:w="1134" w:type="dxa"/>
            <w:vMerge/>
            <w:tcBorders>
              <w:bottom w:val="single" w:sz="6" w:space="0" w:color="1E4496" w:themeColor="text2"/>
            </w:tcBorders>
          </w:tcPr>
          <w:p w14:paraId="1FEE236B" w14:textId="77777777" w:rsidR="00CE05E9" w:rsidRPr="00CE05E9" w:rsidRDefault="00CE05E9" w:rsidP="00CE05E9">
            <w:pPr>
              <w:pStyle w:val="CDITable-RowLeft"/>
            </w:pP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DD170F4" w14:textId="77777777" w:rsidR="00CE05E9" w:rsidRPr="00CE05E9" w:rsidRDefault="00CE05E9" w:rsidP="00620821">
            <w:pPr>
              <w:pStyle w:val="CDITable-TotalRowLeft"/>
            </w:pPr>
            <w:r w:rsidRPr="00CE05E9">
              <w:t>Total</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6E6F325" w14:textId="77777777" w:rsidR="00CE05E9" w:rsidRPr="00CE05E9" w:rsidRDefault="00CE05E9" w:rsidP="00620821">
            <w:pPr>
              <w:pStyle w:val="CDITable-TotalRowCentre"/>
            </w:pPr>
            <w:r w:rsidRPr="00CE05E9">
              <w:t>211</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50A9640" w14:textId="77777777" w:rsidR="00CE05E9" w:rsidRPr="00CE05E9" w:rsidRDefault="00CE05E9" w:rsidP="00620821">
            <w:pPr>
              <w:pStyle w:val="CDITable-TotalRowCentre"/>
            </w:pPr>
            <w:r w:rsidRPr="00CE05E9">
              <w:t>3,038</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232FDDA" w14:textId="77777777" w:rsidR="00CE05E9" w:rsidRPr="00CE05E9" w:rsidRDefault="00CE05E9" w:rsidP="00620821">
            <w:pPr>
              <w:pStyle w:val="CDITable-TotalRowCentre"/>
            </w:pPr>
            <w:r w:rsidRPr="00CE05E9">
              <w:t>119</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9415D8D" w14:textId="77777777" w:rsidR="00CE05E9" w:rsidRPr="00CE05E9" w:rsidRDefault="00CE05E9" w:rsidP="00620821">
            <w:pPr>
              <w:pStyle w:val="CDITable-TotalRowCentre"/>
            </w:pPr>
            <w:r w:rsidRPr="00CE05E9">
              <w:t>1,058</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BAEBD64" w14:textId="77777777" w:rsidR="00CE05E9" w:rsidRPr="00CE05E9" w:rsidRDefault="00CE05E9" w:rsidP="00620821">
            <w:pPr>
              <w:pStyle w:val="CDITable-TotalRowCentre"/>
            </w:pPr>
            <w:r w:rsidRPr="00CE05E9">
              <w:t>485</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9A496FF" w14:textId="77777777" w:rsidR="00CE05E9" w:rsidRPr="00CE05E9" w:rsidRDefault="00CE05E9" w:rsidP="00620821">
            <w:pPr>
              <w:pStyle w:val="CDITable-TotalRowCentre"/>
            </w:pPr>
            <w:r w:rsidRPr="00CE05E9">
              <w:t>76</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A417D3E" w14:textId="77777777" w:rsidR="00CE05E9" w:rsidRPr="00CE05E9" w:rsidRDefault="00CE05E9" w:rsidP="00620821">
            <w:pPr>
              <w:pStyle w:val="CDITable-TotalRowCentre"/>
            </w:pPr>
            <w:r w:rsidRPr="00CE05E9">
              <w:t>2,733</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D6E8DBD" w14:textId="77777777" w:rsidR="00CE05E9" w:rsidRPr="00CE05E9" w:rsidRDefault="00CE05E9" w:rsidP="00620821">
            <w:pPr>
              <w:pStyle w:val="CDITable-TotalRowCentre"/>
            </w:pPr>
            <w:r w:rsidRPr="00CE05E9">
              <w:t>759</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54059D0" w14:textId="77777777" w:rsidR="00CE05E9" w:rsidRPr="00CE05E9" w:rsidRDefault="00CE05E9" w:rsidP="00620821">
            <w:pPr>
              <w:pStyle w:val="CDITable-TotalRowCentre"/>
            </w:pPr>
            <w:r w:rsidRPr="00CE05E9">
              <w:t>8,479</w:t>
            </w:r>
          </w:p>
        </w:tc>
      </w:tr>
      <w:tr w:rsidR="00CE05E9" w:rsidRPr="00CE05E9" w14:paraId="54C3F40C" w14:textId="77777777" w:rsidTr="00620821">
        <w:trPr>
          <w:trHeight w:val="20"/>
        </w:trPr>
        <w:tc>
          <w:tcPr>
            <w:tcW w:w="1134"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EB376F" w14:textId="77777777" w:rsidR="00CE05E9" w:rsidRPr="00CE05E9" w:rsidRDefault="00CE05E9" w:rsidP="00CE05E9">
            <w:pPr>
              <w:pStyle w:val="CDITable-RowLeft"/>
            </w:pPr>
            <w:r w:rsidRPr="00CE05E9">
              <w:t>Female</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BA5777" w14:textId="77777777" w:rsidR="00CE05E9" w:rsidRPr="00CE05E9" w:rsidRDefault="00CE05E9" w:rsidP="00CE05E9">
            <w:pPr>
              <w:pStyle w:val="CDITable-RowLeft"/>
            </w:pPr>
            <w:r w:rsidRPr="00CE05E9">
              <w:t>Genital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BA6EA3" w14:textId="77777777" w:rsidR="00CE05E9" w:rsidRPr="00CE05E9" w:rsidRDefault="00CE05E9" w:rsidP="00620821">
            <w:pPr>
              <w:pStyle w:val="CDITable-RowCentre"/>
            </w:pPr>
            <w:r w:rsidRPr="00CE05E9">
              <w:t>28</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332719" w14:textId="77777777" w:rsidR="00CE05E9" w:rsidRPr="00CE05E9" w:rsidRDefault="00CE05E9" w:rsidP="00620821">
            <w:pPr>
              <w:pStyle w:val="CDITable-RowCentre"/>
            </w:pPr>
            <w:r w:rsidRPr="00CE05E9">
              <w:t>491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6FD9A7" w14:textId="77777777" w:rsidR="00CE05E9" w:rsidRPr="00CE05E9" w:rsidRDefault="00CE05E9" w:rsidP="00620821">
            <w:pPr>
              <w:pStyle w:val="CDITable-RowCentre"/>
            </w:pPr>
            <w:r w:rsidRPr="00CE05E9">
              <w:t>52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FDA0E7" w14:textId="77777777" w:rsidR="00CE05E9" w:rsidRPr="00CE05E9" w:rsidRDefault="00CE05E9" w:rsidP="00620821">
            <w:pPr>
              <w:pStyle w:val="CDITable-RowCentre"/>
            </w:pPr>
            <w:r w:rsidRPr="00CE05E9">
              <w:t>324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129178" w14:textId="77777777" w:rsidR="00CE05E9" w:rsidRPr="00CE05E9" w:rsidRDefault="00CE05E9" w:rsidP="00620821">
            <w:pPr>
              <w:pStyle w:val="CDITable-RowCentre"/>
            </w:pPr>
            <w:r w:rsidRPr="00CE05E9">
              <w:t>149</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634A04" w14:textId="77777777" w:rsidR="00CE05E9" w:rsidRPr="00CE05E9" w:rsidRDefault="00CE05E9" w:rsidP="00620821">
            <w:pPr>
              <w:pStyle w:val="CDITable-RowCentre"/>
            </w:pPr>
            <w:r w:rsidRPr="00CE05E9">
              <w:t>12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1B2F62" w14:textId="77777777" w:rsidR="00CE05E9" w:rsidRPr="00CE05E9" w:rsidRDefault="00CE05E9" w:rsidP="00620821">
            <w:pPr>
              <w:pStyle w:val="CDITable-RowCentre"/>
            </w:pPr>
            <w:r w:rsidRPr="00CE05E9">
              <w:t>336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F5885B" w14:textId="77777777" w:rsidR="00CE05E9" w:rsidRPr="00CE05E9" w:rsidRDefault="00CE05E9" w:rsidP="00620821">
            <w:pPr>
              <w:pStyle w:val="CDITable-RowCentre"/>
            </w:pPr>
            <w:r w:rsidRPr="00CE05E9">
              <w:t>348</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7D0F62" w14:textId="77777777" w:rsidR="00CE05E9" w:rsidRPr="00CE05E9" w:rsidRDefault="00CE05E9" w:rsidP="00620821">
            <w:pPr>
              <w:pStyle w:val="CDITable-RowCentre"/>
            </w:pPr>
            <w:r w:rsidRPr="00CE05E9">
              <w:t>1,740</w:t>
            </w:r>
          </w:p>
        </w:tc>
      </w:tr>
      <w:tr w:rsidR="00CE05E9" w:rsidRPr="00CE05E9" w14:paraId="453BCD4B" w14:textId="77777777" w:rsidTr="00620821">
        <w:trPr>
          <w:trHeight w:val="20"/>
        </w:trPr>
        <w:tc>
          <w:tcPr>
            <w:tcW w:w="1134" w:type="dxa"/>
            <w:vMerge/>
            <w:tcBorders>
              <w:bottom w:val="single" w:sz="6" w:space="0" w:color="1E4496" w:themeColor="text2"/>
            </w:tcBorders>
          </w:tcPr>
          <w:p w14:paraId="7C765B34"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95DAD7" w14:textId="77777777" w:rsidR="00CE05E9" w:rsidRPr="00CE05E9" w:rsidRDefault="00CE05E9" w:rsidP="00CE05E9">
            <w:pPr>
              <w:pStyle w:val="CDITable-RowLeft"/>
            </w:pPr>
            <w:r w:rsidRPr="00CE05E9">
              <w:t>Rectal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F95B2D" w14:textId="77777777" w:rsidR="00CE05E9" w:rsidRPr="00CE05E9" w:rsidRDefault="00CE05E9" w:rsidP="00620821">
            <w:pPr>
              <w:pStyle w:val="CDITable-RowCentre"/>
            </w:pPr>
            <w:r w:rsidRPr="00CE05E9">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2B847F" w14:textId="77777777" w:rsidR="00CE05E9" w:rsidRPr="00CE05E9" w:rsidRDefault="00CE05E9" w:rsidP="00620821">
            <w:pPr>
              <w:pStyle w:val="CDITable-RowCentre"/>
            </w:pPr>
            <w:r w:rsidRPr="00CE05E9">
              <w:t>19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86C9FD"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FFBE30" w14:textId="77777777" w:rsidR="00CE05E9" w:rsidRPr="00CE05E9" w:rsidRDefault="00CE05E9" w:rsidP="00620821">
            <w:pPr>
              <w:pStyle w:val="CDITable-RowCentre"/>
            </w:pPr>
            <w:r w:rsidRPr="00CE05E9">
              <w:t>10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2FF1A8" w14:textId="77777777" w:rsidR="00CE05E9" w:rsidRPr="00CE05E9" w:rsidRDefault="00CE05E9" w:rsidP="00620821">
            <w:pPr>
              <w:pStyle w:val="CDITable-RowCentre"/>
            </w:pPr>
            <w:r w:rsidRPr="00CE05E9">
              <w:t>7</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6990B"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39FAC3" w14:textId="77777777" w:rsidR="00CE05E9" w:rsidRPr="00CE05E9" w:rsidRDefault="00CE05E9" w:rsidP="00620821">
            <w:pPr>
              <w:pStyle w:val="CDITable-RowCentre"/>
            </w:pPr>
            <w:r w:rsidRPr="00CE05E9">
              <w:t>12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55D46B" w14:textId="77777777" w:rsidR="00CE05E9" w:rsidRPr="00CE05E9" w:rsidRDefault="00CE05E9" w:rsidP="00620821">
            <w:pPr>
              <w:pStyle w:val="CDITable-RowCentre"/>
            </w:pPr>
            <w:r w:rsidRPr="00CE05E9">
              <w:t>8</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C2F4F3" w14:textId="77777777" w:rsidR="00CE05E9" w:rsidRPr="00CE05E9" w:rsidRDefault="00CE05E9" w:rsidP="00620821">
            <w:pPr>
              <w:pStyle w:val="CDITable-RowCentre"/>
            </w:pPr>
            <w:r w:rsidRPr="00CE05E9">
              <w:t>57</w:t>
            </w:r>
          </w:p>
        </w:tc>
      </w:tr>
      <w:tr w:rsidR="00CE05E9" w:rsidRPr="00CE05E9" w14:paraId="3A38324E" w14:textId="77777777" w:rsidTr="00620821">
        <w:trPr>
          <w:trHeight w:val="20"/>
        </w:trPr>
        <w:tc>
          <w:tcPr>
            <w:tcW w:w="1134" w:type="dxa"/>
            <w:vMerge/>
            <w:tcBorders>
              <w:bottom w:val="single" w:sz="6" w:space="0" w:color="1E4496" w:themeColor="text2"/>
            </w:tcBorders>
          </w:tcPr>
          <w:p w14:paraId="223F86DF"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25DD91" w14:textId="77777777" w:rsidR="00CE05E9" w:rsidRPr="00CE05E9" w:rsidRDefault="00CE05E9" w:rsidP="00CE05E9">
            <w:pPr>
              <w:pStyle w:val="CDITable-RowLeft"/>
            </w:pPr>
            <w:r w:rsidRPr="00CE05E9">
              <w:t>Pharynx</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B20B99" w14:textId="77777777" w:rsidR="00CE05E9" w:rsidRPr="00CE05E9" w:rsidRDefault="00CE05E9" w:rsidP="00620821">
            <w:pPr>
              <w:pStyle w:val="CDITable-RowCentre"/>
            </w:pPr>
            <w:r w:rsidRPr="00CE05E9">
              <w:t>6</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73B33D" w14:textId="77777777" w:rsidR="00CE05E9" w:rsidRPr="00CE05E9" w:rsidRDefault="00CE05E9" w:rsidP="00620821">
            <w:pPr>
              <w:pStyle w:val="CDITable-RowCentre"/>
            </w:pPr>
            <w:r w:rsidRPr="00CE05E9">
              <w:t>83</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01004"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632FA9" w14:textId="77777777" w:rsidR="00CE05E9" w:rsidRPr="00CE05E9" w:rsidRDefault="00CE05E9" w:rsidP="00620821">
            <w:pPr>
              <w:pStyle w:val="CDITable-RowCentre"/>
            </w:pPr>
            <w:r w:rsidRPr="00CE05E9">
              <w:t>22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2847CC" w14:textId="77777777" w:rsidR="00CE05E9" w:rsidRPr="00CE05E9" w:rsidRDefault="00CE05E9" w:rsidP="00620821">
            <w:pPr>
              <w:pStyle w:val="CDITable-RowCentre"/>
            </w:pPr>
            <w:r w:rsidRPr="00CE05E9">
              <w:t>5</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576268"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670F04" w14:textId="77777777" w:rsidR="00CE05E9" w:rsidRPr="00CE05E9" w:rsidRDefault="00CE05E9" w:rsidP="00620821">
            <w:pPr>
              <w:pStyle w:val="CDITable-RowCentre"/>
            </w:pPr>
            <w:r w:rsidRPr="00CE05E9">
              <w:t>77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B7E120" w14:textId="77777777" w:rsidR="00CE05E9" w:rsidRPr="00CE05E9" w:rsidRDefault="00CE05E9" w:rsidP="00620821">
            <w:pPr>
              <w:pStyle w:val="CDITable-RowCentre"/>
            </w:pPr>
            <w:r w:rsidRPr="00CE05E9">
              <w:t>21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4445D8" w14:textId="77777777" w:rsidR="00CE05E9" w:rsidRPr="00CE05E9" w:rsidRDefault="00CE05E9" w:rsidP="00620821">
            <w:pPr>
              <w:pStyle w:val="CDITable-RowCentre"/>
            </w:pPr>
            <w:r w:rsidRPr="00CE05E9">
              <w:t>214</w:t>
            </w:r>
          </w:p>
        </w:tc>
      </w:tr>
      <w:tr w:rsidR="00CE05E9" w:rsidRPr="00CE05E9" w14:paraId="75C434A9" w14:textId="77777777" w:rsidTr="00620821">
        <w:trPr>
          <w:trHeight w:val="20"/>
        </w:trPr>
        <w:tc>
          <w:tcPr>
            <w:tcW w:w="1134" w:type="dxa"/>
            <w:vMerge/>
            <w:tcBorders>
              <w:bottom w:val="single" w:sz="6" w:space="0" w:color="1E4496" w:themeColor="text2"/>
            </w:tcBorders>
          </w:tcPr>
          <w:p w14:paraId="18EEB514"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A57278" w14:textId="77777777" w:rsidR="00CE05E9" w:rsidRPr="00CE05E9" w:rsidRDefault="00CE05E9" w:rsidP="00CE05E9">
            <w:pPr>
              <w:pStyle w:val="CDITable-RowLeft"/>
            </w:pPr>
            <w:r w:rsidRPr="00CE05E9">
              <w:t>DGI</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2533E5"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44AAEA" w14:textId="77777777" w:rsidR="00CE05E9" w:rsidRPr="00CE05E9" w:rsidRDefault="00CE05E9" w:rsidP="00620821">
            <w:pPr>
              <w:pStyle w:val="CDITable-RowCentre"/>
            </w:pPr>
            <w:r w:rsidRPr="00CE05E9">
              <w:t>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5D9ADE" w14:textId="77777777" w:rsidR="00CE05E9" w:rsidRPr="00CE05E9" w:rsidRDefault="00CE05E9" w:rsidP="00620821">
            <w:pPr>
              <w:pStyle w:val="CDITable-RowCentre"/>
            </w:pPr>
            <w:r w:rsidRPr="00CE05E9">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0AF18C" w14:textId="77777777" w:rsidR="00CE05E9" w:rsidRPr="00CE05E9" w:rsidRDefault="00CE05E9" w:rsidP="00620821">
            <w:pPr>
              <w:pStyle w:val="CDITable-RowCentre"/>
            </w:pPr>
            <w:r w:rsidRPr="00CE05E9">
              <w:t>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E1327E"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5AF32C"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2FD24D" w14:textId="77777777" w:rsidR="00CE05E9" w:rsidRPr="00CE05E9" w:rsidRDefault="00CE05E9" w:rsidP="00620821">
            <w:pPr>
              <w:pStyle w:val="CDITable-RowCentre"/>
            </w:pPr>
            <w:r w:rsidRPr="00CE05E9">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A39C5B" w14:textId="77777777" w:rsidR="00CE05E9" w:rsidRPr="00CE05E9" w:rsidRDefault="00CE05E9" w:rsidP="00620821">
            <w:pPr>
              <w:pStyle w:val="CDITable-RowCentre"/>
            </w:pPr>
            <w:r w:rsidRPr="00CE05E9">
              <w:t>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B2145E" w14:textId="77777777" w:rsidR="00CE05E9" w:rsidRPr="00CE05E9" w:rsidRDefault="00CE05E9" w:rsidP="00620821">
            <w:pPr>
              <w:pStyle w:val="CDITable-RowCentre"/>
            </w:pPr>
            <w:r w:rsidRPr="00CE05E9">
              <w:t>14</w:t>
            </w:r>
          </w:p>
        </w:tc>
      </w:tr>
      <w:tr w:rsidR="00CE05E9" w:rsidRPr="00CE05E9" w14:paraId="004F8E7F" w14:textId="77777777" w:rsidTr="00620821">
        <w:trPr>
          <w:trHeight w:val="20"/>
        </w:trPr>
        <w:tc>
          <w:tcPr>
            <w:tcW w:w="1134" w:type="dxa"/>
            <w:vMerge/>
            <w:tcBorders>
              <w:bottom w:val="single" w:sz="6" w:space="0" w:color="1E4496" w:themeColor="text2"/>
            </w:tcBorders>
          </w:tcPr>
          <w:p w14:paraId="0325216C" w14:textId="77777777" w:rsidR="00CE05E9" w:rsidRPr="00CE05E9" w:rsidRDefault="00CE05E9" w:rsidP="00CE05E9">
            <w:pPr>
              <w:pStyle w:val="CDITable-RowLeft"/>
            </w:pPr>
          </w:p>
        </w:tc>
        <w:tc>
          <w:tcPr>
            <w:tcW w:w="1077" w:type="dxa"/>
            <w:tcBorders>
              <w:top w:val="single" w:sz="6" w:space="0" w:color="1E4496" w:themeColor="text2"/>
            </w:tcBorders>
            <w:tcMar>
              <w:top w:w="113" w:type="dxa"/>
              <w:left w:w="113" w:type="dxa"/>
              <w:bottom w:w="113" w:type="dxa"/>
              <w:right w:w="113" w:type="dxa"/>
            </w:tcMar>
            <w:vAlign w:val="center"/>
          </w:tcPr>
          <w:p w14:paraId="427FE09C" w14:textId="77777777" w:rsidR="00CE05E9" w:rsidRPr="00CE05E9" w:rsidRDefault="00CE05E9" w:rsidP="00CE05E9">
            <w:pPr>
              <w:pStyle w:val="CDITable-RowLeft"/>
            </w:pPr>
            <w:r w:rsidRPr="00CE05E9">
              <w:t>Other/NS</w:t>
            </w:r>
          </w:p>
        </w:tc>
        <w:tc>
          <w:tcPr>
            <w:tcW w:w="794" w:type="dxa"/>
            <w:tcBorders>
              <w:top w:val="single" w:sz="6" w:space="0" w:color="1E4496" w:themeColor="text2"/>
            </w:tcBorders>
            <w:tcMar>
              <w:top w:w="113" w:type="dxa"/>
              <w:left w:w="113" w:type="dxa"/>
              <w:bottom w:w="113" w:type="dxa"/>
              <w:right w:w="113" w:type="dxa"/>
            </w:tcMar>
            <w:vAlign w:val="center"/>
          </w:tcPr>
          <w:p w14:paraId="3ED8993D" w14:textId="77777777" w:rsidR="00CE05E9" w:rsidRPr="00CE05E9" w:rsidRDefault="00CE05E9" w:rsidP="00620821">
            <w:pPr>
              <w:pStyle w:val="CDITable-RowCentre"/>
            </w:pPr>
            <w:r w:rsidRPr="00CE05E9">
              <w:t>1</w:t>
            </w:r>
          </w:p>
        </w:tc>
        <w:tc>
          <w:tcPr>
            <w:tcW w:w="793" w:type="dxa"/>
            <w:tcBorders>
              <w:top w:val="single" w:sz="6" w:space="0" w:color="1E4496" w:themeColor="text2"/>
            </w:tcBorders>
            <w:tcMar>
              <w:top w:w="113" w:type="dxa"/>
              <w:left w:w="113" w:type="dxa"/>
              <w:bottom w:w="113" w:type="dxa"/>
              <w:right w:w="113" w:type="dxa"/>
            </w:tcMar>
            <w:vAlign w:val="center"/>
          </w:tcPr>
          <w:p w14:paraId="167B9E77" w14:textId="77777777" w:rsidR="00CE05E9" w:rsidRPr="00CE05E9" w:rsidRDefault="00CE05E9" w:rsidP="00620821">
            <w:pPr>
              <w:pStyle w:val="CDITable-RowCentre"/>
            </w:pPr>
            <w:r w:rsidRPr="00CE05E9">
              <w:t>9</w:t>
            </w:r>
          </w:p>
        </w:tc>
        <w:tc>
          <w:tcPr>
            <w:tcW w:w="794" w:type="dxa"/>
            <w:tcBorders>
              <w:top w:val="single" w:sz="6" w:space="0" w:color="1E4496" w:themeColor="text2"/>
            </w:tcBorders>
            <w:tcMar>
              <w:top w:w="113" w:type="dxa"/>
              <w:left w:w="113" w:type="dxa"/>
              <w:bottom w:w="113" w:type="dxa"/>
              <w:right w:w="113" w:type="dxa"/>
            </w:tcMar>
            <w:vAlign w:val="center"/>
          </w:tcPr>
          <w:p w14:paraId="1F7B04E3" w14:textId="77777777" w:rsidR="00CE05E9" w:rsidRPr="00CE05E9" w:rsidRDefault="00CE05E9" w:rsidP="00620821">
            <w:pPr>
              <w:pStyle w:val="CDITable-RowCentre"/>
            </w:pPr>
            <w:r w:rsidRPr="00CE05E9">
              <w:t>2</w:t>
            </w:r>
          </w:p>
        </w:tc>
        <w:tc>
          <w:tcPr>
            <w:tcW w:w="794" w:type="dxa"/>
            <w:tcBorders>
              <w:top w:val="single" w:sz="6" w:space="0" w:color="1E4496" w:themeColor="text2"/>
            </w:tcBorders>
            <w:tcMar>
              <w:top w:w="113" w:type="dxa"/>
              <w:left w:w="113" w:type="dxa"/>
              <w:bottom w:w="113" w:type="dxa"/>
              <w:right w:w="113" w:type="dxa"/>
            </w:tcMar>
            <w:vAlign w:val="center"/>
          </w:tcPr>
          <w:p w14:paraId="4D774125" w14:textId="77777777" w:rsidR="00CE05E9" w:rsidRPr="00CE05E9" w:rsidRDefault="00CE05E9" w:rsidP="00620821">
            <w:pPr>
              <w:pStyle w:val="CDITable-RowCentre"/>
            </w:pPr>
            <w:r w:rsidRPr="00CE05E9">
              <w:t>30</w:t>
            </w:r>
          </w:p>
        </w:tc>
        <w:tc>
          <w:tcPr>
            <w:tcW w:w="794" w:type="dxa"/>
            <w:tcBorders>
              <w:top w:val="single" w:sz="6" w:space="0" w:color="1E4496" w:themeColor="text2"/>
            </w:tcBorders>
            <w:tcMar>
              <w:top w:w="113" w:type="dxa"/>
              <w:left w:w="113" w:type="dxa"/>
              <w:bottom w:w="113" w:type="dxa"/>
              <w:right w:w="113" w:type="dxa"/>
            </w:tcMar>
            <w:vAlign w:val="center"/>
          </w:tcPr>
          <w:p w14:paraId="730B099F" w14:textId="77777777" w:rsidR="00CE05E9" w:rsidRPr="00CE05E9" w:rsidRDefault="00CE05E9" w:rsidP="00620821">
            <w:pPr>
              <w:pStyle w:val="CDITable-RowCentre"/>
            </w:pPr>
            <w:r w:rsidRPr="00CE05E9">
              <w:t>4</w:t>
            </w:r>
          </w:p>
        </w:tc>
        <w:tc>
          <w:tcPr>
            <w:tcW w:w="793" w:type="dxa"/>
            <w:tcBorders>
              <w:top w:val="single" w:sz="6" w:space="0" w:color="1E4496" w:themeColor="text2"/>
            </w:tcBorders>
            <w:tcMar>
              <w:top w:w="113" w:type="dxa"/>
              <w:left w:w="113" w:type="dxa"/>
              <w:bottom w:w="113" w:type="dxa"/>
              <w:right w:w="113" w:type="dxa"/>
            </w:tcMar>
            <w:vAlign w:val="center"/>
          </w:tcPr>
          <w:p w14:paraId="097D0928"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1CD508B1" w14:textId="77777777" w:rsidR="00CE05E9" w:rsidRPr="00CE05E9" w:rsidRDefault="00CE05E9" w:rsidP="00620821">
            <w:pPr>
              <w:pStyle w:val="CDITable-RowCentre"/>
            </w:pPr>
            <w:r w:rsidRPr="00CE05E9">
              <w:t>12</w:t>
            </w:r>
          </w:p>
        </w:tc>
        <w:tc>
          <w:tcPr>
            <w:tcW w:w="794" w:type="dxa"/>
            <w:tcBorders>
              <w:top w:val="single" w:sz="6" w:space="0" w:color="1E4496" w:themeColor="text2"/>
            </w:tcBorders>
            <w:tcMar>
              <w:top w:w="113" w:type="dxa"/>
              <w:left w:w="113" w:type="dxa"/>
              <w:bottom w:w="113" w:type="dxa"/>
              <w:right w:w="113" w:type="dxa"/>
            </w:tcMar>
            <w:vAlign w:val="center"/>
          </w:tcPr>
          <w:p w14:paraId="33BB3AE1" w14:textId="77777777" w:rsidR="00CE05E9" w:rsidRPr="00CE05E9" w:rsidRDefault="00CE05E9" w:rsidP="00620821">
            <w:pPr>
              <w:pStyle w:val="CDITable-RowCentre"/>
            </w:pPr>
            <w:r w:rsidRPr="00CE05E9">
              <w:t>4</w:t>
            </w:r>
          </w:p>
        </w:tc>
        <w:tc>
          <w:tcPr>
            <w:tcW w:w="1077" w:type="dxa"/>
            <w:tcBorders>
              <w:top w:val="single" w:sz="6" w:space="0" w:color="1E4496" w:themeColor="text2"/>
            </w:tcBorders>
            <w:tcMar>
              <w:top w:w="113" w:type="dxa"/>
              <w:left w:w="113" w:type="dxa"/>
              <w:bottom w:w="113" w:type="dxa"/>
              <w:right w:w="113" w:type="dxa"/>
            </w:tcMar>
            <w:vAlign w:val="center"/>
          </w:tcPr>
          <w:p w14:paraId="30CE95A4" w14:textId="77777777" w:rsidR="00CE05E9" w:rsidRPr="00CE05E9" w:rsidRDefault="00CE05E9" w:rsidP="00620821">
            <w:pPr>
              <w:pStyle w:val="CDITable-RowCentre"/>
            </w:pPr>
            <w:r w:rsidRPr="00CE05E9">
              <w:t>62</w:t>
            </w:r>
          </w:p>
        </w:tc>
      </w:tr>
      <w:tr w:rsidR="00CE05E9" w:rsidRPr="00CE05E9" w14:paraId="7A55E2F9" w14:textId="77777777" w:rsidTr="00620821">
        <w:trPr>
          <w:trHeight w:val="20"/>
        </w:trPr>
        <w:tc>
          <w:tcPr>
            <w:tcW w:w="1134" w:type="dxa"/>
            <w:vMerge/>
            <w:tcBorders>
              <w:bottom w:val="single" w:sz="6" w:space="0" w:color="1E4496" w:themeColor="text2"/>
            </w:tcBorders>
          </w:tcPr>
          <w:p w14:paraId="071A506B" w14:textId="77777777" w:rsidR="00CE05E9" w:rsidRPr="00CE05E9" w:rsidRDefault="00CE05E9" w:rsidP="00CE05E9">
            <w:pPr>
              <w:pStyle w:val="CDITable-RowLeft"/>
            </w:pP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78BC7C8" w14:textId="77777777" w:rsidR="00CE05E9" w:rsidRPr="00CE05E9" w:rsidRDefault="00CE05E9" w:rsidP="00620821">
            <w:pPr>
              <w:pStyle w:val="CDITable-TotalRowLeft"/>
            </w:pPr>
            <w:r w:rsidRPr="00CE05E9">
              <w:t>Total</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87BFA44" w14:textId="77777777" w:rsidR="00CE05E9" w:rsidRPr="00CE05E9" w:rsidRDefault="00CE05E9" w:rsidP="00620821">
            <w:pPr>
              <w:pStyle w:val="CDITable-TotalRowCentre"/>
            </w:pPr>
            <w:r w:rsidRPr="00CE05E9">
              <w:t>36</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73D039D" w14:textId="77777777" w:rsidR="00CE05E9" w:rsidRPr="00CE05E9" w:rsidRDefault="00CE05E9" w:rsidP="00620821">
            <w:pPr>
              <w:pStyle w:val="CDITable-TotalRowCentre"/>
            </w:pPr>
            <w:r w:rsidRPr="00CE05E9">
              <w:t>604</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AC09EC2" w14:textId="77777777" w:rsidR="00CE05E9" w:rsidRPr="00CE05E9" w:rsidRDefault="00CE05E9" w:rsidP="00620821">
            <w:pPr>
              <w:pStyle w:val="CDITable-TotalRowCentre"/>
            </w:pPr>
            <w:r w:rsidRPr="00CE05E9">
              <w:t>55</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A977B14" w14:textId="77777777" w:rsidR="00CE05E9" w:rsidRPr="00CE05E9" w:rsidRDefault="00CE05E9" w:rsidP="00620821">
            <w:pPr>
              <w:pStyle w:val="CDITable-TotalRowCentre"/>
            </w:pPr>
            <w:r w:rsidRPr="00CE05E9">
              <w:t>395</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05978D2" w14:textId="77777777" w:rsidR="00CE05E9" w:rsidRPr="00CE05E9" w:rsidRDefault="00CE05E9" w:rsidP="00620821">
            <w:pPr>
              <w:pStyle w:val="CDITable-TotalRowCentre"/>
            </w:pPr>
            <w:r w:rsidRPr="00CE05E9">
              <w:t>165</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37CDFDC" w14:textId="77777777" w:rsidR="00CE05E9" w:rsidRPr="00CE05E9" w:rsidRDefault="00CE05E9" w:rsidP="00620821">
            <w:pPr>
              <w:pStyle w:val="CDITable-TotalRowCentre"/>
            </w:pPr>
            <w:r w:rsidRPr="00CE05E9">
              <w:t>12</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8A4F761" w14:textId="77777777" w:rsidR="00CE05E9" w:rsidRPr="00CE05E9" w:rsidRDefault="00CE05E9" w:rsidP="00620821">
            <w:pPr>
              <w:pStyle w:val="CDITable-TotalRowCentre"/>
            </w:pPr>
            <w:r w:rsidRPr="00CE05E9">
              <w:t>438</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BB312D7" w14:textId="77777777" w:rsidR="00CE05E9" w:rsidRPr="00CE05E9" w:rsidRDefault="00CE05E9" w:rsidP="00620821">
            <w:pPr>
              <w:pStyle w:val="CDITable-TotalRowCentre"/>
            </w:pPr>
            <w:r w:rsidRPr="00CE05E9">
              <w:t>382</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FE68A55" w14:textId="77777777" w:rsidR="00CE05E9" w:rsidRPr="00CE05E9" w:rsidRDefault="00CE05E9" w:rsidP="00620821">
            <w:pPr>
              <w:pStyle w:val="CDITable-TotalRowCentre"/>
            </w:pPr>
            <w:r w:rsidRPr="00CE05E9">
              <w:t>2,087</w:t>
            </w:r>
          </w:p>
        </w:tc>
      </w:tr>
      <w:tr w:rsidR="00CE05E9" w:rsidRPr="00CE05E9" w14:paraId="7C30AFDA" w14:textId="77777777" w:rsidTr="00620821">
        <w:trPr>
          <w:trHeight w:val="20"/>
        </w:trPr>
        <w:tc>
          <w:tcPr>
            <w:tcW w:w="1134"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173A6" w14:textId="77777777" w:rsidR="00CE05E9" w:rsidRPr="00CE05E9" w:rsidRDefault="00CE05E9" w:rsidP="00CE05E9">
            <w:pPr>
              <w:pStyle w:val="CDITable-RowLeft"/>
            </w:pPr>
            <w:r w:rsidRPr="00CE05E9">
              <w:t>Other</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EE97A0" w14:textId="77777777" w:rsidR="00CE05E9" w:rsidRPr="00CE05E9" w:rsidRDefault="00CE05E9" w:rsidP="00CE05E9">
            <w:pPr>
              <w:pStyle w:val="CDITable-RowLeft"/>
            </w:pPr>
            <w:r w:rsidRPr="00CE05E9">
              <w:t>Genital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3B9351" w14:textId="77777777" w:rsidR="00CE05E9" w:rsidRPr="00CE05E9" w:rsidRDefault="00CE05E9" w:rsidP="00620821">
            <w:pPr>
              <w:pStyle w:val="CDITable-RowCentre"/>
            </w:pPr>
            <w:r w:rsidRPr="00CE05E9">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8F5B20" w14:textId="77777777" w:rsidR="00CE05E9" w:rsidRPr="00CE05E9" w:rsidRDefault="00CE05E9" w:rsidP="00620821">
            <w:pPr>
              <w:pStyle w:val="CDITable-RowCentre"/>
            </w:pPr>
            <w:r w:rsidRPr="00CE05E9">
              <w:t>20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A7A627" w14:textId="77777777" w:rsidR="00CE05E9" w:rsidRPr="00CE05E9" w:rsidRDefault="00CE05E9" w:rsidP="00620821">
            <w:pPr>
              <w:pStyle w:val="CDITable-RowCentre"/>
            </w:pPr>
            <w:r w:rsidRPr="00CE05E9">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9E039A"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FD1831" w14:textId="77777777" w:rsidR="00CE05E9" w:rsidRPr="00CE05E9" w:rsidRDefault="00CE05E9" w:rsidP="00620821">
            <w:pPr>
              <w:pStyle w:val="CDITable-RowCentre"/>
            </w:pPr>
            <w:r w:rsidRPr="00CE05E9">
              <w:t>6</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95E333"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39D560" w14:textId="77777777" w:rsidR="00CE05E9" w:rsidRPr="00CE05E9" w:rsidRDefault="00CE05E9" w:rsidP="00620821">
            <w:pPr>
              <w:pStyle w:val="CDITable-RowCentre"/>
            </w:pPr>
            <w:r w:rsidRPr="00CE05E9">
              <w:t>22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BB800B" w14:textId="77777777" w:rsidR="00CE05E9" w:rsidRPr="00CE05E9" w:rsidRDefault="00CE05E9" w:rsidP="00620821">
            <w:pPr>
              <w:pStyle w:val="CDITable-RowCentre"/>
            </w:pPr>
            <w:r w:rsidRPr="00CE05E9">
              <w:t>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2BFA5D" w14:textId="77777777" w:rsidR="00CE05E9" w:rsidRPr="00CE05E9" w:rsidRDefault="00CE05E9" w:rsidP="00620821">
            <w:pPr>
              <w:pStyle w:val="CDITable-RowCentre"/>
            </w:pPr>
            <w:r w:rsidRPr="00CE05E9">
              <w:t>51</w:t>
            </w:r>
          </w:p>
        </w:tc>
      </w:tr>
      <w:tr w:rsidR="00CE05E9" w:rsidRPr="00CE05E9" w14:paraId="568DA52E" w14:textId="77777777" w:rsidTr="00620821">
        <w:trPr>
          <w:trHeight w:val="20"/>
        </w:trPr>
        <w:tc>
          <w:tcPr>
            <w:tcW w:w="1134" w:type="dxa"/>
            <w:vMerge/>
            <w:tcBorders>
              <w:bottom w:val="single" w:sz="6" w:space="0" w:color="1E4496" w:themeColor="text2"/>
            </w:tcBorders>
          </w:tcPr>
          <w:p w14:paraId="72D737E0"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878BFA" w14:textId="77777777" w:rsidR="00CE05E9" w:rsidRPr="00CE05E9" w:rsidRDefault="00CE05E9" w:rsidP="00CE05E9">
            <w:pPr>
              <w:pStyle w:val="CDITable-RowLeft"/>
            </w:pPr>
            <w:r w:rsidRPr="00CE05E9">
              <w:t>Rectal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11DC8B"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6C1D2" w14:textId="77777777" w:rsidR="00CE05E9" w:rsidRPr="00CE05E9" w:rsidRDefault="00CE05E9" w:rsidP="00620821">
            <w:pPr>
              <w:pStyle w:val="CDITable-RowCentre"/>
            </w:pPr>
            <w:r w:rsidRPr="00CE05E9">
              <w:t>9</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8682E9"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58F484"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A95DEC" w14:textId="77777777" w:rsidR="00CE05E9" w:rsidRPr="00CE05E9" w:rsidRDefault="00CE05E9" w:rsidP="00620821">
            <w:pPr>
              <w:pStyle w:val="CDITable-RowCentre"/>
            </w:pPr>
            <w:r w:rsidRPr="00CE05E9">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84E4DB"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4C48EE" w14:textId="77777777" w:rsidR="00CE05E9" w:rsidRPr="00CE05E9" w:rsidRDefault="00CE05E9" w:rsidP="00620821">
            <w:pPr>
              <w:pStyle w:val="CDITable-RowCentre"/>
            </w:pPr>
            <w:r w:rsidRPr="00CE05E9">
              <w:t>20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967BBF" w14:textId="77777777" w:rsidR="00CE05E9" w:rsidRPr="00CE05E9" w:rsidRDefault="00CE05E9" w:rsidP="00620821">
            <w:pPr>
              <w:pStyle w:val="CDITable-RowCentre"/>
            </w:pPr>
            <w:r w:rsidRPr="00CE05E9">
              <w:t>0</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162B72" w14:textId="77777777" w:rsidR="00CE05E9" w:rsidRPr="00CE05E9" w:rsidRDefault="00CE05E9" w:rsidP="00620821">
            <w:pPr>
              <w:pStyle w:val="CDITable-RowCentre"/>
            </w:pPr>
            <w:r w:rsidRPr="00CE05E9">
              <w:t>30</w:t>
            </w:r>
          </w:p>
        </w:tc>
      </w:tr>
      <w:tr w:rsidR="00CE05E9" w:rsidRPr="00CE05E9" w14:paraId="7DFCB402" w14:textId="77777777" w:rsidTr="00620821">
        <w:trPr>
          <w:trHeight w:val="20"/>
        </w:trPr>
        <w:tc>
          <w:tcPr>
            <w:tcW w:w="1134" w:type="dxa"/>
            <w:vMerge/>
            <w:tcBorders>
              <w:bottom w:val="single" w:sz="6" w:space="0" w:color="1E4496" w:themeColor="text2"/>
            </w:tcBorders>
          </w:tcPr>
          <w:p w14:paraId="1306BDCA"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ABAD54" w14:textId="77777777" w:rsidR="00CE05E9" w:rsidRPr="00CE05E9" w:rsidRDefault="00CE05E9" w:rsidP="00CE05E9">
            <w:pPr>
              <w:pStyle w:val="CDITable-RowLeft"/>
            </w:pPr>
            <w:r w:rsidRPr="00CE05E9">
              <w:t>Pharynx</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2512CE"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4F57E2" w14:textId="77777777" w:rsidR="00CE05E9" w:rsidRPr="00CE05E9" w:rsidRDefault="00CE05E9" w:rsidP="00620821">
            <w:pPr>
              <w:pStyle w:val="CDITable-RowCentre"/>
            </w:pPr>
            <w:r w:rsidRPr="00CE05E9">
              <w:t>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EB33EC"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33AEC4"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C45A5C"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CB6E5E"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55B1B0" w14:textId="77777777" w:rsidR="00CE05E9" w:rsidRPr="00CE05E9" w:rsidRDefault="00CE05E9" w:rsidP="00620821">
            <w:pPr>
              <w:pStyle w:val="CDITable-RowCentre"/>
            </w:pPr>
            <w:r w:rsidRPr="00CE05E9">
              <w:t>16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8E86DA" w14:textId="77777777" w:rsidR="00CE05E9" w:rsidRPr="00CE05E9" w:rsidRDefault="00CE05E9" w:rsidP="00620821">
            <w:pPr>
              <w:pStyle w:val="CDITable-RowCentre"/>
            </w:pPr>
            <w:r w:rsidRPr="00CE05E9">
              <w:t>0</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D831D6" w14:textId="77777777" w:rsidR="00CE05E9" w:rsidRPr="00CE05E9" w:rsidRDefault="00CE05E9" w:rsidP="00620821">
            <w:pPr>
              <w:pStyle w:val="CDITable-RowCentre"/>
            </w:pPr>
            <w:r w:rsidRPr="00CE05E9">
              <w:t>22</w:t>
            </w:r>
          </w:p>
        </w:tc>
      </w:tr>
      <w:tr w:rsidR="00CE05E9" w:rsidRPr="00CE05E9" w14:paraId="0D9D632B" w14:textId="77777777" w:rsidTr="00620821">
        <w:trPr>
          <w:trHeight w:val="20"/>
        </w:trPr>
        <w:tc>
          <w:tcPr>
            <w:tcW w:w="1134" w:type="dxa"/>
            <w:vMerge/>
            <w:tcBorders>
              <w:bottom w:val="single" w:sz="6" w:space="0" w:color="1E4496" w:themeColor="text2"/>
            </w:tcBorders>
          </w:tcPr>
          <w:p w14:paraId="6292A5B0"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EB3F9C" w14:textId="77777777" w:rsidR="00CE05E9" w:rsidRPr="00CE05E9" w:rsidRDefault="00CE05E9" w:rsidP="00CE05E9">
            <w:pPr>
              <w:pStyle w:val="CDITable-RowLeft"/>
            </w:pPr>
            <w:r w:rsidRPr="00CE05E9">
              <w:t>DGI</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F40204"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FE0BB9"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14A1DC"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922CBF"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CB5B3A"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77909E"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F3E15B"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191F5F" w14:textId="77777777" w:rsidR="00CE05E9" w:rsidRPr="00CE05E9" w:rsidRDefault="00CE05E9" w:rsidP="00620821">
            <w:pPr>
              <w:pStyle w:val="CDITable-RowCentre"/>
            </w:pPr>
            <w:r w:rsidRPr="00CE05E9">
              <w:t>0</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D56C02" w14:textId="77777777" w:rsidR="00CE05E9" w:rsidRPr="00CE05E9" w:rsidRDefault="00CE05E9" w:rsidP="00620821">
            <w:pPr>
              <w:pStyle w:val="CDITable-RowCentre"/>
            </w:pPr>
            <w:r w:rsidRPr="00CE05E9">
              <w:t>0</w:t>
            </w:r>
          </w:p>
        </w:tc>
      </w:tr>
      <w:tr w:rsidR="00CE05E9" w:rsidRPr="00CE05E9" w14:paraId="470F2F09" w14:textId="77777777" w:rsidTr="00620821">
        <w:trPr>
          <w:trHeight w:val="20"/>
        </w:trPr>
        <w:tc>
          <w:tcPr>
            <w:tcW w:w="1134" w:type="dxa"/>
            <w:vMerge/>
            <w:tcBorders>
              <w:bottom w:val="single" w:sz="6" w:space="0" w:color="1E4496" w:themeColor="text2"/>
            </w:tcBorders>
          </w:tcPr>
          <w:p w14:paraId="69F22550" w14:textId="77777777" w:rsidR="00CE05E9" w:rsidRPr="00CE05E9" w:rsidRDefault="00CE05E9" w:rsidP="00CE05E9">
            <w:pPr>
              <w:pStyle w:val="CDITable-RowLeft"/>
            </w:pPr>
          </w:p>
        </w:tc>
        <w:tc>
          <w:tcPr>
            <w:tcW w:w="1077" w:type="dxa"/>
            <w:tcBorders>
              <w:top w:val="single" w:sz="6" w:space="0" w:color="1E4496" w:themeColor="text2"/>
            </w:tcBorders>
            <w:tcMar>
              <w:top w:w="113" w:type="dxa"/>
              <w:left w:w="113" w:type="dxa"/>
              <w:bottom w:w="113" w:type="dxa"/>
              <w:right w:w="113" w:type="dxa"/>
            </w:tcMar>
            <w:vAlign w:val="center"/>
          </w:tcPr>
          <w:p w14:paraId="098E4CDA" w14:textId="77777777" w:rsidR="00CE05E9" w:rsidRPr="00CE05E9" w:rsidRDefault="00CE05E9" w:rsidP="00CE05E9">
            <w:pPr>
              <w:pStyle w:val="CDITable-RowLeft"/>
            </w:pPr>
            <w:r w:rsidRPr="00CE05E9">
              <w:t>Other/NS</w:t>
            </w:r>
          </w:p>
        </w:tc>
        <w:tc>
          <w:tcPr>
            <w:tcW w:w="794" w:type="dxa"/>
            <w:tcBorders>
              <w:top w:val="single" w:sz="6" w:space="0" w:color="1E4496" w:themeColor="text2"/>
            </w:tcBorders>
            <w:tcMar>
              <w:top w:w="113" w:type="dxa"/>
              <w:left w:w="113" w:type="dxa"/>
              <w:bottom w:w="113" w:type="dxa"/>
              <w:right w:w="113" w:type="dxa"/>
            </w:tcMar>
            <w:vAlign w:val="center"/>
          </w:tcPr>
          <w:p w14:paraId="3326F20E" w14:textId="77777777" w:rsidR="00CE05E9" w:rsidRPr="00CE05E9" w:rsidRDefault="00CE05E9" w:rsidP="00620821">
            <w:pPr>
              <w:pStyle w:val="CDITable-RowCentre"/>
            </w:pPr>
            <w:r w:rsidRPr="00CE05E9">
              <w:t>0</w:t>
            </w:r>
          </w:p>
        </w:tc>
        <w:tc>
          <w:tcPr>
            <w:tcW w:w="793" w:type="dxa"/>
            <w:tcBorders>
              <w:top w:val="single" w:sz="6" w:space="0" w:color="1E4496" w:themeColor="text2"/>
            </w:tcBorders>
            <w:tcMar>
              <w:top w:w="113" w:type="dxa"/>
              <w:left w:w="113" w:type="dxa"/>
              <w:bottom w:w="113" w:type="dxa"/>
              <w:right w:w="113" w:type="dxa"/>
            </w:tcMar>
            <w:vAlign w:val="center"/>
          </w:tcPr>
          <w:p w14:paraId="7820D907"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1F32C87F"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7A4279CA"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6347296D" w14:textId="77777777" w:rsidR="00CE05E9" w:rsidRPr="00CE05E9" w:rsidRDefault="00CE05E9" w:rsidP="00620821">
            <w:pPr>
              <w:pStyle w:val="CDITable-RowCentre"/>
            </w:pPr>
            <w:r w:rsidRPr="00CE05E9">
              <w:t>0</w:t>
            </w:r>
          </w:p>
        </w:tc>
        <w:tc>
          <w:tcPr>
            <w:tcW w:w="793" w:type="dxa"/>
            <w:tcBorders>
              <w:top w:val="single" w:sz="6" w:space="0" w:color="1E4496" w:themeColor="text2"/>
            </w:tcBorders>
            <w:tcMar>
              <w:top w:w="113" w:type="dxa"/>
              <w:left w:w="113" w:type="dxa"/>
              <w:bottom w:w="113" w:type="dxa"/>
              <w:right w:w="113" w:type="dxa"/>
            </w:tcMar>
            <w:vAlign w:val="center"/>
          </w:tcPr>
          <w:p w14:paraId="3C0D1BEE"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5DF5516D"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2741A5E1" w14:textId="77777777" w:rsidR="00CE05E9" w:rsidRPr="00CE05E9" w:rsidRDefault="00CE05E9" w:rsidP="00620821">
            <w:pPr>
              <w:pStyle w:val="CDITable-RowCentre"/>
            </w:pPr>
            <w:r w:rsidRPr="00CE05E9">
              <w:t>0</w:t>
            </w:r>
          </w:p>
        </w:tc>
        <w:tc>
          <w:tcPr>
            <w:tcW w:w="1077" w:type="dxa"/>
            <w:tcBorders>
              <w:top w:val="single" w:sz="6" w:space="0" w:color="1E4496" w:themeColor="text2"/>
            </w:tcBorders>
            <w:tcMar>
              <w:top w:w="113" w:type="dxa"/>
              <w:left w:w="113" w:type="dxa"/>
              <w:bottom w:w="113" w:type="dxa"/>
              <w:right w:w="113" w:type="dxa"/>
            </w:tcMar>
            <w:vAlign w:val="center"/>
          </w:tcPr>
          <w:p w14:paraId="1C857611" w14:textId="77777777" w:rsidR="00CE05E9" w:rsidRPr="00CE05E9" w:rsidRDefault="00CE05E9" w:rsidP="00620821">
            <w:pPr>
              <w:pStyle w:val="CDITable-RowCentre"/>
            </w:pPr>
            <w:r w:rsidRPr="00CE05E9">
              <w:t>0</w:t>
            </w:r>
          </w:p>
        </w:tc>
      </w:tr>
      <w:tr w:rsidR="00CE05E9" w:rsidRPr="00CE05E9" w14:paraId="50A1FCE6" w14:textId="77777777" w:rsidTr="00620821">
        <w:trPr>
          <w:trHeight w:val="20"/>
        </w:trPr>
        <w:tc>
          <w:tcPr>
            <w:tcW w:w="1134" w:type="dxa"/>
            <w:vMerge/>
            <w:tcBorders>
              <w:bottom w:val="single" w:sz="6" w:space="0" w:color="1E4496" w:themeColor="text2"/>
            </w:tcBorders>
          </w:tcPr>
          <w:p w14:paraId="2C8C4356" w14:textId="77777777" w:rsidR="00CE05E9" w:rsidRPr="00CE05E9" w:rsidRDefault="00CE05E9" w:rsidP="00CE05E9"/>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C0016A2" w14:textId="77777777" w:rsidR="00CE05E9" w:rsidRPr="00CE05E9" w:rsidRDefault="00CE05E9" w:rsidP="00620821">
            <w:pPr>
              <w:pStyle w:val="CDITable-TotalRowLeft"/>
            </w:pPr>
            <w:r w:rsidRPr="00CE05E9">
              <w:t>Total</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A70F6E7" w14:textId="77777777" w:rsidR="00CE05E9" w:rsidRPr="00CE05E9" w:rsidRDefault="00CE05E9" w:rsidP="00620821">
            <w:pPr>
              <w:pStyle w:val="CDITable-TotalRowCentre"/>
            </w:pPr>
            <w:r w:rsidRPr="00CE05E9">
              <w:t>1</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ABCE2A4" w14:textId="77777777" w:rsidR="00CE05E9" w:rsidRPr="00CE05E9" w:rsidRDefault="00CE05E9" w:rsidP="00620821">
            <w:pPr>
              <w:pStyle w:val="CDITable-TotalRowCentre"/>
            </w:pPr>
            <w:r w:rsidRPr="00CE05E9">
              <w:t>35</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B4FAEE7" w14:textId="77777777" w:rsidR="00CE05E9" w:rsidRPr="00CE05E9" w:rsidRDefault="00CE05E9" w:rsidP="00620821">
            <w:pPr>
              <w:pStyle w:val="CDITable-TotalRowCentre"/>
            </w:pPr>
            <w:r w:rsidRPr="00CE05E9">
              <w:t>1</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AF5C163" w14:textId="77777777" w:rsidR="00CE05E9" w:rsidRPr="00CE05E9" w:rsidRDefault="00CE05E9" w:rsidP="00620821">
            <w:pPr>
              <w:pStyle w:val="CDITable-TotalRowCentre"/>
            </w:pPr>
            <w:r w:rsidRPr="00CE05E9">
              <w:t>0</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108DB56" w14:textId="77777777" w:rsidR="00CE05E9" w:rsidRPr="00CE05E9" w:rsidRDefault="00CE05E9" w:rsidP="00620821">
            <w:pPr>
              <w:pStyle w:val="CDITable-TotalRowCentre"/>
            </w:pPr>
            <w:r w:rsidRPr="00CE05E9">
              <w:t>7</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BD3737D" w14:textId="77777777" w:rsidR="00CE05E9" w:rsidRPr="00CE05E9" w:rsidRDefault="00CE05E9" w:rsidP="00620821">
            <w:pPr>
              <w:pStyle w:val="CDITable-TotalRowCentre"/>
            </w:pPr>
            <w:r w:rsidRPr="00CE05E9">
              <w:t>0</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A028F59" w14:textId="77777777" w:rsidR="00CE05E9" w:rsidRPr="00CE05E9" w:rsidRDefault="00CE05E9" w:rsidP="00620821">
            <w:pPr>
              <w:pStyle w:val="CDITable-TotalRowCentre"/>
            </w:pPr>
            <w:r w:rsidRPr="00CE05E9">
              <w:t>58</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F423CCC" w14:textId="77777777" w:rsidR="00CE05E9" w:rsidRPr="00CE05E9" w:rsidRDefault="00CE05E9" w:rsidP="00620821">
            <w:pPr>
              <w:pStyle w:val="CDITable-TotalRowCentre"/>
            </w:pPr>
            <w:r w:rsidRPr="00CE05E9">
              <w:t>1</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B233481" w14:textId="77777777" w:rsidR="00CE05E9" w:rsidRPr="00CE05E9" w:rsidRDefault="00CE05E9" w:rsidP="00620821">
            <w:pPr>
              <w:pStyle w:val="CDITable-TotalRowCentre"/>
            </w:pPr>
            <w:r w:rsidRPr="00CE05E9">
              <w:t>103</w:t>
            </w:r>
          </w:p>
        </w:tc>
      </w:tr>
      <w:tr w:rsidR="00CE05E9" w:rsidRPr="00CE05E9" w14:paraId="33641147" w14:textId="77777777" w:rsidTr="00620821">
        <w:trPr>
          <w:trHeight w:val="20"/>
        </w:trPr>
        <w:tc>
          <w:tcPr>
            <w:tcW w:w="1134"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6FDAB2" w14:textId="77777777" w:rsidR="00CE05E9" w:rsidRPr="00CE05E9" w:rsidRDefault="00CE05E9" w:rsidP="00CE05E9">
            <w:pPr>
              <w:pStyle w:val="CDITable-RowLeft"/>
            </w:pPr>
            <w:r w:rsidRPr="00CE05E9">
              <w:t>Unknown</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25C204" w14:textId="77777777" w:rsidR="00CE05E9" w:rsidRPr="00CE05E9" w:rsidRDefault="00CE05E9" w:rsidP="00CE05E9">
            <w:pPr>
              <w:pStyle w:val="CDITable-RowLeft"/>
            </w:pPr>
            <w:r w:rsidRPr="00CE05E9">
              <w:t>Genital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10E43"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DCEF17" w14:textId="77777777" w:rsidR="00CE05E9" w:rsidRPr="00CE05E9" w:rsidRDefault="00CE05E9" w:rsidP="00620821">
            <w:pPr>
              <w:pStyle w:val="CDITable-RowCentre"/>
            </w:pPr>
            <w:r w:rsidRPr="00CE05E9">
              <w:t>4</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CD1B87"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5B92C" w14:textId="77777777" w:rsidR="00CE05E9" w:rsidRPr="00CE05E9" w:rsidRDefault="00CE05E9" w:rsidP="00620821">
            <w:pPr>
              <w:pStyle w:val="CDITable-RowCentre"/>
            </w:pPr>
            <w:r w:rsidRPr="00CE05E9">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BDB07D"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288DA5"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CEAB70" w14:textId="77777777" w:rsidR="00CE05E9" w:rsidRPr="00CE05E9" w:rsidRDefault="00CE05E9" w:rsidP="00620821">
            <w:pPr>
              <w:pStyle w:val="CDITable-RowCentre"/>
            </w:pPr>
            <w:r w:rsidRPr="00CE05E9">
              <w:t>7</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93BFE2" w14:textId="77777777" w:rsidR="00CE05E9" w:rsidRPr="00CE05E9" w:rsidRDefault="00CE05E9" w:rsidP="00620821">
            <w:pPr>
              <w:pStyle w:val="CDITable-RowCentre"/>
            </w:pPr>
            <w:r w:rsidRPr="00CE05E9">
              <w:t>3</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34EC90" w14:textId="77777777" w:rsidR="00CE05E9" w:rsidRPr="00CE05E9" w:rsidRDefault="00CE05E9" w:rsidP="00620821">
            <w:pPr>
              <w:pStyle w:val="CDITable-RowCentre"/>
            </w:pPr>
            <w:r w:rsidRPr="00CE05E9">
              <w:t>15</w:t>
            </w:r>
          </w:p>
        </w:tc>
      </w:tr>
      <w:tr w:rsidR="00CE05E9" w:rsidRPr="00CE05E9" w14:paraId="3CDB45E4" w14:textId="77777777" w:rsidTr="00620821">
        <w:trPr>
          <w:trHeight w:val="20"/>
        </w:trPr>
        <w:tc>
          <w:tcPr>
            <w:tcW w:w="1134" w:type="dxa"/>
            <w:vMerge/>
            <w:tcBorders>
              <w:bottom w:val="single" w:sz="6" w:space="0" w:color="1E4496" w:themeColor="text2"/>
            </w:tcBorders>
          </w:tcPr>
          <w:p w14:paraId="20F796C7"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601CCB" w14:textId="77777777" w:rsidR="00CE05E9" w:rsidRPr="00CE05E9" w:rsidRDefault="00CE05E9" w:rsidP="00620821">
            <w:pPr>
              <w:pStyle w:val="CDITable-RowLeft"/>
            </w:pPr>
            <w:r w:rsidRPr="00CE05E9">
              <w:t>Rectal</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3D830B"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D91B08" w14:textId="77777777" w:rsidR="00CE05E9" w:rsidRPr="00CE05E9" w:rsidRDefault="00CE05E9" w:rsidP="00620821">
            <w:pPr>
              <w:pStyle w:val="CDITable-RowCentre"/>
            </w:pPr>
            <w:r w:rsidRPr="00CE05E9">
              <w:t>1</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EEDA2C"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34A2C6" w14:textId="77777777" w:rsidR="00CE05E9" w:rsidRPr="00CE05E9" w:rsidRDefault="00CE05E9" w:rsidP="00620821">
            <w:pPr>
              <w:pStyle w:val="CDITable-RowCentre"/>
            </w:pPr>
            <w:r w:rsidRPr="00CE05E9">
              <w:t>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556922"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AF2A13"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EDE3F5" w14:textId="77777777" w:rsidR="00CE05E9" w:rsidRPr="00CE05E9" w:rsidRDefault="00CE05E9" w:rsidP="00620821">
            <w:pPr>
              <w:pStyle w:val="CDITable-RowCentre"/>
            </w:pPr>
            <w:r w:rsidRPr="00CE05E9">
              <w:t>6</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4F0BAB" w14:textId="77777777" w:rsidR="00CE05E9" w:rsidRPr="00CE05E9" w:rsidRDefault="00CE05E9" w:rsidP="00620821">
            <w:pPr>
              <w:pStyle w:val="CDITable-RowCentre"/>
            </w:pPr>
            <w:r w:rsidRPr="00CE05E9">
              <w:t>1</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7F548B" w14:textId="77777777" w:rsidR="00CE05E9" w:rsidRPr="00CE05E9" w:rsidRDefault="00CE05E9" w:rsidP="00620821">
            <w:pPr>
              <w:pStyle w:val="CDITable-RowCentre"/>
            </w:pPr>
            <w:r w:rsidRPr="00CE05E9">
              <w:t>10</w:t>
            </w:r>
          </w:p>
        </w:tc>
      </w:tr>
      <w:tr w:rsidR="00CE05E9" w:rsidRPr="00CE05E9" w14:paraId="6A3AB9CA" w14:textId="77777777" w:rsidTr="00620821">
        <w:trPr>
          <w:trHeight w:val="20"/>
        </w:trPr>
        <w:tc>
          <w:tcPr>
            <w:tcW w:w="1134" w:type="dxa"/>
            <w:vMerge/>
            <w:tcBorders>
              <w:bottom w:val="single" w:sz="6" w:space="0" w:color="1E4496" w:themeColor="text2"/>
            </w:tcBorders>
          </w:tcPr>
          <w:p w14:paraId="43151D29"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0C85DD" w14:textId="77777777" w:rsidR="00CE05E9" w:rsidRPr="00CE05E9" w:rsidRDefault="00CE05E9" w:rsidP="00620821">
            <w:pPr>
              <w:pStyle w:val="CDITable-RowLeft"/>
            </w:pPr>
            <w:r w:rsidRPr="00CE05E9">
              <w:t>Pharynx</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782C34"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449437" w14:textId="77777777" w:rsidR="00CE05E9" w:rsidRPr="00CE05E9" w:rsidRDefault="00CE05E9" w:rsidP="00620821">
            <w:pPr>
              <w:pStyle w:val="CDITable-RowCentre"/>
            </w:pPr>
            <w:r w:rsidRPr="00CE05E9">
              <w:t>2</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F6ED35"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F6BAF5"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6F2563" w14:textId="77777777" w:rsidR="00CE05E9" w:rsidRPr="00CE05E9" w:rsidRDefault="00CE05E9" w:rsidP="00620821">
            <w:pPr>
              <w:pStyle w:val="CDITable-RowCentre"/>
            </w:pPr>
            <w:r w:rsidRPr="00CE05E9">
              <w:t>1</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FA45BE"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5270C0" w14:textId="77777777" w:rsidR="00CE05E9" w:rsidRPr="00CE05E9" w:rsidRDefault="00CE05E9" w:rsidP="00620821">
            <w:pPr>
              <w:pStyle w:val="CDITable-RowCentre"/>
            </w:pPr>
            <w:r w:rsidRPr="00CE05E9">
              <w:t>5</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BC50B7" w14:textId="77777777" w:rsidR="00CE05E9" w:rsidRPr="00CE05E9" w:rsidRDefault="00CE05E9" w:rsidP="00620821">
            <w:pPr>
              <w:pStyle w:val="CDITable-RowCentre"/>
            </w:pPr>
            <w:r w:rsidRPr="00CE05E9">
              <w:t>0</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714396" w14:textId="77777777" w:rsidR="00CE05E9" w:rsidRPr="00CE05E9" w:rsidRDefault="00CE05E9" w:rsidP="00620821">
            <w:pPr>
              <w:pStyle w:val="CDITable-RowCentre"/>
            </w:pPr>
            <w:r w:rsidRPr="00CE05E9">
              <w:t>8</w:t>
            </w:r>
          </w:p>
        </w:tc>
      </w:tr>
      <w:tr w:rsidR="00CE05E9" w:rsidRPr="00CE05E9" w14:paraId="73B6E055" w14:textId="77777777" w:rsidTr="00620821">
        <w:trPr>
          <w:trHeight w:val="20"/>
        </w:trPr>
        <w:tc>
          <w:tcPr>
            <w:tcW w:w="1134" w:type="dxa"/>
            <w:vMerge/>
            <w:tcBorders>
              <w:bottom w:val="single" w:sz="6" w:space="0" w:color="1E4496" w:themeColor="text2"/>
            </w:tcBorders>
          </w:tcPr>
          <w:p w14:paraId="69F67497" w14:textId="77777777" w:rsidR="00CE05E9" w:rsidRPr="00CE05E9" w:rsidRDefault="00CE05E9" w:rsidP="00CE05E9">
            <w:pPr>
              <w:pStyle w:val="CDITable-RowLeft"/>
            </w:pP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E3A883" w14:textId="77777777" w:rsidR="00CE05E9" w:rsidRPr="00CE05E9" w:rsidRDefault="00CE05E9" w:rsidP="00620821">
            <w:pPr>
              <w:pStyle w:val="CDITable-RowLeft"/>
            </w:pPr>
            <w:r w:rsidRPr="00CE05E9">
              <w:t>DGI</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C47364"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8BC050"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5D6FA3"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90B15C"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F0E001" w14:textId="77777777" w:rsidR="00CE05E9" w:rsidRPr="00CE05E9" w:rsidRDefault="00CE05E9" w:rsidP="00620821">
            <w:pPr>
              <w:pStyle w:val="CDITable-RowCentre"/>
            </w:pPr>
            <w:r w:rsidRPr="00CE05E9">
              <w:t>0</w:t>
            </w:r>
          </w:p>
        </w:tc>
        <w:tc>
          <w:tcPr>
            <w:tcW w:w="79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CE4812"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AFE635" w14:textId="77777777" w:rsidR="00CE05E9" w:rsidRPr="00CE05E9" w:rsidRDefault="00CE05E9" w:rsidP="00620821">
            <w:pPr>
              <w:pStyle w:val="CDITable-RowCentre"/>
            </w:pPr>
            <w:r w:rsidRPr="00CE05E9">
              <w:t>0</w:t>
            </w:r>
          </w:p>
        </w:tc>
        <w:tc>
          <w:tcPr>
            <w:tcW w:w="79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1F48E9" w14:textId="77777777" w:rsidR="00CE05E9" w:rsidRPr="00CE05E9" w:rsidRDefault="00CE05E9" w:rsidP="00620821">
            <w:pPr>
              <w:pStyle w:val="CDITable-RowCentre"/>
            </w:pPr>
            <w:r w:rsidRPr="00CE05E9">
              <w:t>0</w:t>
            </w:r>
          </w:p>
        </w:tc>
        <w:tc>
          <w:tcPr>
            <w:tcW w:w="10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CDB54" w14:textId="77777777" w:rsidR="00CE05E9" w:rsidRPr="00CE05E9" w:rsidRDefault="00CE05E9" w:rsidP="00620821">
            <w:pPr>
              <w:pStyle w:val="CDITable-RowCentre"/>
            </w:pPr>
            <w:r w:rsidRPr="00CE05E9">
              <w:t>0</w:t>
            </w:r>
          </w:p>
        </w:tc>
      </w:tr>
      <w:tr w:rsidR="00CE05E9" w:rsidRPr="00CE05E9" w14:paraId="05B54343" w14:textId="77777777" w:rsidTr="00620821">
        <w:trPr>
          <w:trHeight w:val="20"/>
        </w:trPr>
        <w:tc>
          <w:tcPr>
            <w:tcW w:w="1134" w:type="dxa"/>
            <w:vMerge/>
            <w:tcBorders>
              <w:bottom w:val="single" w:sz="6" w:space="0" w:color="1E4496" w:themeColor="text2"/>
            </w:tcBorders>
          </w:tcPr>
          <w:p w14:paraId="49C90D46" w14:textId="77777777" w:rsidR="00CE05E9" w:rsidRPr="00CE05E9" w:rsidRDefault="00CE05E9" w:rsidP="00CE05E9">
            <w:pPr>
              <w:pStyle w:val="CDITable-RowLeft"/>
            </w:pPr>
          </w:p>
        </w:tc>
        <w:tc>
          <w:tcPr>
            <w:tcW w:w="1077" w:type="dxa"/>
            <w:tcBorders>
              <w:top w:val="single" w:sz="6" w:space="0" w:color="1E4496" w:themeColor="text2"/>
            </w:tcBorders>
            <w:tcMar>
              <w:top w:w="113" w:type="dxa"/>
              <w:left w:w="113" w:type="dxa"/>
              <w:bottom w:w="113" w:type="dxa"/>
              <w:right w:w="113" w:type="dxa"/>
            </w:tcMar>
            <w:vAlign w:val="center"/>
          </w:tcPr>
          <w:p w14:paraId="410F12AB" w14:textId="77777777" w:rsidR="00CE05E9" w:rsidRPr="00CE05E9" w:rsidRDefault="00CE05E9" w:rsidP="00620821">
            <w:pPr>
              <w:pStyle w:val="CDITable-RowLeft"/>
            </w:pPr>
            <w:r w:rsidRPr="00CE05E9">
              <w:t>Other/NS</w:t>
            </w:r>
          </w:p>
        </w:tc>
        <w:tc>
          <w:tcPr>
            <w:tcW w:w="794" w:type="dxa"/>
            <w:tcBorders>
              <w:top w:val="single" w:sz="6" w:space="0" w:color="1E4496" w:themeColor="text2"/>
            </w:tcBorders>
            <w:tcMar>
              <w:top w:w="113" w:type="dxa"/>
              <w:left w:w="113" w:type="dxa"/>
              <w:bottom w:w="113" w:type="dxa"/>
              <w:right w:w="113" w:type="dxa"/>
            </w:tcMar>
            <w:vAlign w:val="center"/>
          </w:tcPr>
          <w:p w14:paraId="7A4BF499" w14:textId="77777777" w:rsidR="00CE05E9" w:rsidRPr="00CE05E9" w:rsidRDefault="00CE05E9" w:rsidP="00620821">
            <w:pPr>
              <w:pStyle w:val="CDITable-RowCentre"/>
            </w:pPr>
            <w:r w:rsidRPr="00CE05E9">
              <w:t>0</w:t>
            </w:r>
          </w:p>
        </w:tc>
        <w:tc>
          <w:tcPr>
            <w:tcW w:w="793" w:type="dxa"/>
            <w:tcBorders>
              <w:top w:val="single" w:sz="6" w:space="0" w:color="1E4496" w:themeColor="text2"/>
            </w:tcBorders>
            <w:tcMar>
              <w:top w:w="113" w:type="dxa"/>
              <w:left w:w="113" w:type="dxa"/>
              <w:bottom w:w="113" w:type="dxa"/>
              <w:right w:w="113" w:type="dxa"/>
            </w:tcMar>
            <w:vAlign w:val="center"/>
          </w:tcPr>
          <w:p w14:paraId="4EF3808D"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6E977B82"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446A25B5"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373577C8" w14:textId="77777777" w:rsidR="00CE05E9" w:rsidRPr="00CE05E9" w:rsidRDefault="00CE05E9" w:rsidP="00620821">
            <w:pPr>
              <w:pStyle w:val="CDITable-RowCentre"/>
            </w:pPr>
            <w:r w:rsidRPr="00CE05E9">
              <w:t>0</w:t>
            </w:r>
          </w:p>
        </w:tc>
        <w:tc>
          <w:tcPr>
            <w:tcW w:w="793" w:type="dxa"/>
            <w:tcBorders>
              <w:top w:val="single" w:sz="6" w:space="0" w:color="1E4496" w:themeColor="text2"/>
            </w:tcBorders>
            <w:tcMar>
              <w:top w:w="113" w:type="dxa"/>
              <w:left w:w="113" w:type="dxa"/>
              <w:bottom w:w="113" w:type="dxa"/>
              <w:right w:w="113" w:type="dxa"/>
            </w:tcMar>
            <w:vAlign w:val="center"/>
          </w:tcPr>
          <w:p w14:paraId="19410422"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6E4842F9" w14:textId="77777777" w:rsidR="00CE05E9" w:rsidRPr="00CE05E9" w:rsidRDefault="00CE05E9" w:rsidP="00620821">
            <w:pPr>
              <w:pStyle w:val="CDITable-RowCentre"/>
            </w:pPr>
            <w:r w:rsidRPr="00CE05E9">
              <w:t>0</w:t>
            </w:r>
          </w:p>
        </w:tc>
        <w:tc>
          <w:tcPr>
            <w:tcW w:w="794" w:type="dxa"/>
            <w:tcBorders>
              <w:top w:val="single" w:sz="6" w:space="0" w:color="1E4496" w:themeColor="text2"/>
            </w:tcBorders>
            <w:tcMar>
              <w:top w:w="113" w:type="dxa"/>
              <w:left w:w="113" w:type="dxa"/>
              <w:bottom w:w="113" w:type="dxa"/>
              <w:right w:w="113" w:type="dxa"/>
            </w:tcMar>
            <w:vAlign w:val="center"/>
          </w:tcPr>
          <w:p w14:paraId="653E3441" w14:textId="77777777" w:rsidR="00CE05E9" w:rsidRPr="00CE05E9" w:rsidRDefault="00CE05E9" w:rsidP="00620821">
            <w:pPr>
              <w:pStyle w:val="CDITable-RowCentre"/>
            </w:pPr>
            <w:r w:rsidRPr="00CE05E9">
              <w:t>0</w:t>
            </w:r>
          </w:p>
        </w:tc>
        <w:tc>
          <w:tcPr>
            <w:tcW w:w="1077" w:type="dxa"/>
            <w:tcBorders>
              <w:top w:val="single" w:sz="6" w:space="0" w:color="1E4496" w:themeColor="text2"/>
            </w:tcBorders>
            <w:tcMar>
              <w:top w:w="113" w:type="dxa"/>
              <w:left w:w="113" w:type="dxa"/>
              <w:bottom w:w="113" w:type="dxa"/>
              <w:right w:w="113" w:type="dxa"/>
            </w:tcMar>
            <w:vAlign w:val="center"/>
          </w:tcPr>
          <w:p w14:paraId="1E678DBD" w14:textId="77777777" w:rsidR="00CE05E9" w:rsidRPr="00CE05E9" w:rsidRDefault="00CE05E9" w:rsidP="00620821">
            <w:pPr>
              <w:pStyle w:val="CDITable-RowCentre"/>
            </w:pPr>
            <w:r w:rsidRPr="00CE05E9">
              <w:t>0</w:t>
            </w:r>
          </w:p>
        </w:tc>
      </w:tr>
      <w:tr w:rsidR="00CE05E9" w:rsidRPr="00CE05E9" w14:paraId="4A2CEC3C" w14:textId="77777777" w:rsidTr="00620821">
        <w:trPr>
          <w:trHeight w:val="20"/>
        </w:trPr>
        <w:tc>
          <w:tcPr>
            <w:tcW w:w="1134" w:type="dxa"/>
            <w:vMerge/>
            <w:tcBorders>
              <w:bottom w:val="single" w:sz="6" w:space="0" w:color="1E4496" w:themeColor="text2"/>
            </w:tcBorders>
          </w:tcPr>
          <w:p w14:paraId="15E20C47" w14:textId="77777777" w:rsidR="00CE05E9" w:rsidRPr="00CE05E9" w:rsidRDefault="00CE05E9" w:rsidP="00CE05E9">
            <w:pPr>
              <w:pStyle w:val="CDITable-RowLeft"/>
            </w:pP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BFDB658" w14:textId="77777777" w:rsidR="00CE05E9" w:rsidRPr="00CE05E9" w:rsidRDefault="00CE05E9" w:rsidP="00620821">
            <w:pPr>
              <w:pStyle w:val="CDITable-TotalRowLeft"/>
            </w:pPr>
            <w:r w:rsidRPr="00CE05E9">
              <w:t>Total</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F490A6F" w14:textId="77777777" w:rsidR="00CE05E9" w:rsidRPr="00CE05E9" w:rsidRDefault="00CE05E9" w:rsidP="00620821">
            <w:pPr>
              <w:pStyle w:val="CDITable-TotalRowCentre"/>
            </w:pPr>
            <w:r w:rsidRPr="00CE05E9">
              <w:t>0</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0223491" w14:textId="77777777" w:rsidR="00CE05E9" w:rsidRPr="00CE05E9" w:rsidRDefault="00CE05E9" w:rsidP="00620821">
            <w:pPr>
              <w:pStyle w:val="CDITable-TotalRowCentre"/>
            </w:pPr>
            <w:r w:rsidRPr="00CE05E9">
              <w:t>7</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B477C6A" w14:textId="77777777" w:rsidR="00CE05E9" w:rsidRPr="00CE05E9" w:rsidRDefault="00CE05E9" w:rsidP="00620821">
            <w:pPr>
              <w:pStyle w:val="CDITable-TotalRowCentre"/>
            </w:pPr>
            <w:r w:rsidRPr="00CE05E9">
              <w:t>0</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07CAAE7" w14:textId="77777777" w:rsidR="00CE05E9" w:rsidRPr="00CE05E9" w:rsidRDefault="00CE05E9" w:rsidP="00620821">
            <w:pPr>
              <w:pStyle w:val="CDITable-TotalRowCentre"/>
            </w:pPr>
            <w:r w:rsidRPr="00CE05E9">
              <w:t>3</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9B522D4" w14:textId="77777777" w:rsidR="00CE05E9" w:rsidRPr="00CE05E9" w:rsidRDefault="00CE05E9" w:rsidP="00620821">
            <w:pPr>
              <w:pStyle w:val="CDITable-TotalRowCentre"/>
            </w:pPr>
            <w:r w:rsidRPr="00CE05E9">
              <w:t>1</w:t>
            </w:r>
          </w:p>
        </w:tc>
        <w:tc>
          <w:tcPr>
            <w:tcW w:w="793"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50600B8" w14:textId="77777777" w:rsidR="00CE05E9" w:rsidRPr="00CE05E9" w:rsidRDefault="00CE05E9" w:rsidP="00620821">
            <w:pPr>
              <w:pStyle w:val="CDITable-TotalRowCentre"/>
            </w:pPr>
            <w:r w:rsidRPr="00CE05E9">
              <w:t>0</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2568DA7" w14:textId="77777777" w:rsidR="00CE05E9" w:rsidRPr="00CE05E9" w:rsidRDefault="00CE05E9" w:rsidP="00620821">
            <w:pPr>
              <w:pStyle w:val="CDITable-TotalRowCentre"/>
            </w:pPr>
            <w:r w:rsidRPr="00CE05E9">
              <w:t>18</w:t>
            </w:r>
          </w:p>
        </w:tc>
        <w:tc>
          <w:tcPr>
            <w:tcW w:w="79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D850E58" w14:textId="77777777" w:rsidR="00CE05E9" w:rsidRPr="00CE05E9" w:rsidRDefault="00CE05E9" w:rsidP="00620821">
            <w:pPr>
              <w:pStyle w:val="CDITable-TotalRowCentre"/>
            </w:pPr>
            <w:r w:rsidRPr="00CE05E9">
              <w:t>4</w:t>
            </w:r>
          </w:p>
        </w:tc>
        <w:tc>
          <w:tcPr>
            <w:tcW w:w="1077"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484152B" w14:textId="77777777" w:rsidR="00CE05E9" w:rsidRPr="00CE05E9" w:rsidRDefault="00CE05E9" w:rsidP="00620821">
            <w:pPr>
              <w:pStyle w:val="CDITable-TotalRowCentre"/>
            </w:pPr>
            <w:r w:rsidRPr="00CE05E9">
              <w:t>33</w:t>
            </w:r>
          </w:p>
        </w:tc>
      </w:tr>
      <w:tr w:rsidR="00CE05E9" w:rsidRPr="00CE05E9" w14:paraId="0B0435FF" w14:textId="77777777" w:rsidTr="00620821">
        <w:trPr>
          <w:trHeight w:val="20"/>
        </w:trPr>
        <w:tc>
          <w:tcPr>
            <w:tcW w:w="113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386F9CEE" w14:textId="77777777" w:rsidR="00CE05E9" w:rsidRPr="00CE05E9" w:rsidRDefault="00CE05E9" w:rsidP="00620821">
            <w:pPr>
              <w:pStyle w:val="CDITable-TotalRowLeft"/>
            </w:pPr>
            <w:r w:rsidRPr="00CE05E9">
              <w:t>Total</w:t>
            </w:r>
          </w:p>
        </w:tc>
        <w:tc>
          <w:tcPr>
            <w:tcW w:w="1077"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2CE415DA" w14:textId="77777777" w:rsidR="00CE05E9" w:rsidRPr="00CE05E9" w:rsidRDefault="00CE05E9" w:rsidP="00620821">
            <w:pPr>
              <w:pStyle w:val="CDITable-TotalRowLeft"/>
            </w:pPr>
          </w:p>
        </w:tc>
        <w:tc>
          <w:tcPr>
            <w:tcW w:w="79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4527194C" w14:textId="77777777" w:rsidR="00CE05E9" w:rsidRPr="00CE05E9" w:rsidRDefault="00CE05E9" w:rsidP="00620821">
            <w:pPr>
              <w:pStyle w:val="CDITable-TotalRowCentre"/>
            </w:pPr>
            <w:r w:rsidRPr="00CE05E9">
              <w:t>248</w:t>
            </w:r>
          </w:p>
        </w:tc>
        <w:tc>
          <w:tcPr>
            <w:tcW w:w="793"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08024EEE" w14:textId="77777777" w:rsidR="00CE05E9" w:rsidRPr="00CE05E9" w:rsidRDefault="00CE05E9" w:rsidP="00620821">
            <w:pPr>
              <w:pStyle w:val="CDITable-TotalRowCentre"/>
            </w:pPr>
            <w:r w:rsidRPr="00CE05E9">
              <w:t>3,684</w:t>
            </w:r>
          </w:p>
        </w:tc>
        <w:tc>
          <w:tcPr>
            <w:tcW w:w="79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5B9ABD87" w14:textId="77777777" w:rsidR="00CE05E9" w:rsidRPr="00CE05E9" w:rsidRDefault="00CE05E9" w:rsidP="00620821">
            <w:pPr>
              <w:pStyle w:val="CDITable-TotalRowCentre"/>
            </w:pPr>
            <w:r w:rsidRPr="00CE05E9">
              <w:t>175</w:t>
            </w:r>
          </w:p>
        </w:tc>
        <w:tc>
          <w:tcPr>
            <w:tcW w:w="79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5A65BF4E" w14:textId="77777777" w:rsidR="00CE05E9" w:rsidRPr="00CE05E9" w:rsidRDefault="00CE05E9" w:rsidP="00620821">
            <w:pPr>
              <w:pStyle w:val="CDITable-TotalRowCentre"/>
            </w:pPr>
            <w:r w:rsidRPr="00CE05E9">
              <w:t>1,456</w:t>
            </w:r>
          </w:p>
        </w:tc>
        <w:tc>
          <w:tcPr>
            <w:tcW w:w="79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0C68F652" w14:textId="77777777" w:rsidR="00CE05E9" w:rsidRPr="00CE05E9" w:rsidRDefault="00CE05E9" w:rsidP="00620821">
            <w:pPr>
              <w:pStyle w:val="CDITable-TotalRowCentre"/>
            </w:pPr>
            <w:r w:rsidRPr="00CE05E9">
              <w:t>658</w:t>
            </w:r>
          </w:p>
        </w:tc>
        <w:tc>
          <w:tcPr>
            <w:tcW w:w="793"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31BE593E" w14:textId="77777777" w:rsidR="00CE05E9" w:rsidRPr="00CE05E9" w:rsidRDefault="00CE05E9" w:rsidP="00620821">
            <w:pPr>
              <w:pStyle w:val="CDITable-TotalRowCentre"/>
            </w:pPr>
            <w:r w:rsidRPr="00CE05E9">
              <w:t>88</w:t>
            </w:r>
          </w:p>
        </w:tc>
        <w:tc>
          <w:tcPr>
            <w:tcW w:w="79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6E7274DD" w14:textId="77777777" w:rsidR="00CE05E9" w:rsidRPr="00CE05E9" w:rsidRDefault="00CE05E9" w:rsidP="00620821">
            <w:pPr>
              <w:pStyle w:val="CDITable-TotalRowCentre"/>
            </w:pPr>
            <w:r w:rsidRPr="00CE05E9">
              <w:t>3,247</w:t>
            </w:r>
          </w:p>
        </w:tc>
        <w:tc>
          <w:tcPr>
            <w:tcW w:w="794"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37FA3E38" w14:textId="77777777" w:rsidR="00CE05E9" w:rsidRPr="00CE05E9" w:rsidRDefault="00CE05E9" w:rsidP="00620821">
            <w:pPr>
              <w:pStyle w:val="CDITable-TotalRowCentre"/>
            </w:pPr>
            <w:r w:rsidRPr="00CE05E9">
              <w:t>1,146</w:t>
            </w:r>
          </w:p>
        </w:tc>
        <w:tc>
          <w:tcPr>
            <w:tcW w:w="1077" w:type="dxa"/>
            <w:tcBorders>
              <w:top w:val="single" w:sz="6" w:space="0" w:color="1E4496" w:themeColor="text2"/>
              <w:bottom w:val="single" w:sz="6" w:space="0" w:color="1E4496" w:themeColor="text2"/>
            </w:tcBorders>
            <w:shd w:val="clear" w:color="auto" w:fill="53C9F1" w:themeFill="background2"/>
            <w:tcMar>
              <w:top w:w="113" w:type="dxa"/>
              <w:left w:w="113" w:type="dxa"/>
              <w:bottom w:w="113" w:type="dxa"/>
              <w:right w:w="113" w:type="dxa"/>
            </w:tcMar>
            <w:vAlign w:val="center"/>
          </w:tcPr>
          <w:p w14:paraId="1631AE9B" w14:textId="77777777" w:rsidR="00CE05E9" w:rsidRPr="00CE05E9" w:rsidRDefault="00CE05E9" w:rsidP="00620821">
            <w:pPr>
              <w:pStyle w:val="CDITable-TotalRowCentre"/>
            </w:pPr>
            <w:r w:rsidRPr="00CE05E9">
              <w:t>10,702</w:t>
            </w:r>
          </w:p>
        </w:tc>
      </w:tr>
    </w:tbl>
    <w:p w14:paraId="48FFCA3E" w14:textId="77777777" w:rsidR="003440E1" w:rsidRPr="003440E1" w:rsidRDefault="003440E1" w:rsidP="003440E1">
      <w:pPr>
        <w:pStyle w:val="CDITable-FirstFootnote"/>
      </w:pPr>
      <w:proofErr w:type="gramStart"/>
      <w:r>
        <w:t>a</w:t>
      </w:r>
      <w:proofErr w:type="gramEnd"/>
      <w:r>
        <w:tab/>
        <w:t xml:space="preserve">ACT: </w:t>
      </w:r>
      <w:r w:rsidRPr="003440E1">
        <w:t>Australian Capital Territory; NSW: New South Wales; NT: Northern Territory; Qld: Queensland; SA: South Australia; Tas.: Tasmania; Vic.: Victoria; WA: Western Australia.</w:t>
      </w:r>
    </w:p>
    <w:p w14:paraId="17FE8637" w14:textId="77777777" w:rsidR="003440E1" w:rsidRPr="003440E1" w:rsidRDefault="003440E1" w:rsidP="003440E1">
      <w:pPr>
        <w:pStyle w:val="CDITable-Footnote"/>
      </w:pPr>
      <w:r w:rsidRPr="003440E1">
        <w:t>b</w:t>
      </w:r>
      <w:r w:rsidRPr="003440E1">
        <w:tab/>
        <w:t>DGI: Disseminated gonococcal infection.</w:t>
      </w:r>
    </w:p>
    <w:p w14:paraId="3ED1A1ED" w14:textId="49C90930" w:rsidR="00620821" w:rsidRDefault="003440E1" w:rsidP="00620821">
      <w:pPr>
        <w:pStyle w:val="CDITable-Footnote"/>
      </w:pPr>
      <w:r w:rsidRPr="003440E1">
        <w:t>c</w:t>
      </w:r>
      <w:r w:rsidRPr="003440E1">
        <w:tab/>
        <w:t>NS: not specified</w:t>
      </w:r>
      <w:r>
        <w:t>.</w:t>
      </w:r>
      <w:r w:rsidR="00620821">
        <w:br w:type="page"/>
      </w:r>
    </w:p>
    <w:p w14:paraId="7219E2D9" w14:textId="77777777" w:rsidR="00620821" w:rsidRPr="00620821" w:rsidRDefault="00620821" w:rsidP="00620821">
      <w:pPr>
        <w:pStyle w:val="Heading2"/>
        <w:rPr>
          <w:lang w:val="en-GB"/>
        </w:rPr>
      </w:pPr>
      <w:bookmarkStart w:id="27" w:name="_Toc213239651"/>
      <w:r w:rsidRPr="00620821">
        <w:rPr>
          <w:lang w:val="en-GB"/>
        </w:rPr>
        <w:lastRenderedPageBreak/>
        <w:t xml:space="preserve">Antimicrobial resistance profile of </w:t>
      </w:r>
      <w:r w:rsidRPr="00620821">
        <w:rPr>
          <w:i/>
          <w:iCs/>
          <w:lang w:val="en-GB"/>
        </w:rPr>
        <w:t>Neisseria gonorrhoeae</w:t>
      </w:r>
      <w:bookmarkEnd w:id="27"/>
      <w:r w:rsidRPr="00620821">
        <w:rPr>
          <w:lang w:val="en-GB"/>
        </w:rPr>
        <w:t xml:space="preserve"> </w:t>
      </w:r>
    </w:p>
    <w:p w14:paraId="66209212" w14:textId="77777777" w:rsidR="00620821" w:rsidRPr="00620821" w:rsidRDefault="00620821" w:rsidP="00620821">
      <w:pPr>
        <w:rPr>
          <w:lang w:val="en-GB"/>
        </w:rPr>
      </w:pPr>
      <w:r w:rsidRPr="00620821">
        <w:rPr>
          <w:lang w:val="en-GB"/>
        </w:rPr>
        <w:t xml:space="preserve">For 2024, the numbers and proportions of gonococcal isolates resistant to azithromycin, ciprofloxacin and penicillin are shown in Table 3. There continues to be variation across jurisdictions, as well as in remote settings compared to non-remote settings. </w:t>
      </w:r>
    </w:p>
    <w:p w14:paraId="0A90A478" w14:textId="77777777" w:rsidR="00620821" w:rsidRPr="00620821" w:rsidRDefault="00620821" w:rsidP="00ED4C85">
      <w:pPr>
        <w:pStyle w:val="CDITable-Title"/>
        <w:rPr>
          <w:lang w:val="en-GB"/>
        </w:rPr>
      </w:pPr>
      <w:bookmarkStart w:id="28" w:name="_Toc213238234"/>
      <w:r w:rsidRPr="00620821">
        <w:rPr>
          <w:lang w:val="en-GB"/>
        </w:rPr>
        <w:t>Table 3: Number and proportion (%) of gonococcal isolates with resistance to azithromycin, ciprofloxacin and penicillin reported, Australia, 2024, by state or territory</w:t>
      </w:r>
      <w:bookmarkEnd w:id="28"/>
    </w:p>
    <w:tbl>
      <w:tblPr>
        <w:tblW w:w="0" w:type="auto"/>
        <w:tblLayout w:type="fixed"/>
        <w:tblCellMar>
          <w:left w:w="0" w:type="dxa"/>
          <w:right w:w="0" w:type="dxa"/>
        </w:tblCellMar>
        <w:tblLook w:val="0000" w:firstRow="0" w:lastRow="0" w:firstColumn="0" w:lastColumn="0" w:noHBand="0" w:noVBand="0"/>
        <w:tblCaption w:val="Table 3: Number and proportion (%) of gonococcal isolates with resistance to azithromycin, ciprofloxacin and penicillin reported, Australia, 2024, by state or territory"/>
        <w:tblDescription w:val="Table 3 shows the number and proportion as a percentage of gonococcal isolates with resistance to azithromycin, ciprofloxacin and penicillin reported in Australia in 2024, by state or territory. Low rates of antimicrobial resistance were reported from remote regions of the Northern Territory and Western Australia.  The resistant rates of isolates nationally: 4.6% were resistant to azithromycin, 57.5% of isolates were resistant to ciprofloxacin and 30.8% of isolates were resistant to penicillin."/>
      </w:tblPr>
      <w:tblGrid>
        <w:gridCol w:w="1672"/>
        <w:gridCol w:w="1134"/>
        <w:gridCol w:w="950"/>
        <w:gridCol w:w="950"/>
        <w:gridCol w:w="1133"/>
        <w:gridCol w:w="950"/>
        <w:gridCol w:w="950"/>
        <w:gridCol w:w="949"/>
        <w:gridCol w:w="950"/>
      </w:tblGrid>
      <w:tr w:rsidR="00AF6C73" w:rsidRPr="00AF6C73" w14:paraId="4E940C0D" w14:textId="77777777" w:rsidTr="00AF6C73">
        <w:trPr>
          <w:trHeight w:val="60"/>
          <w:tblHeader/>
        </w:trPr>
        <w:tc>
          <w:tcPr>
            <w:tcW w:w="1672" w:type="dxa"/>
            <w:vMerge w:val="restart"/>
            <w:shd w:val="clear" w:color="auto" w:fill="1E4496" w:themeFill="text2"/>
            <w:tcMar>
              <w:top w:w="113" w:type="dxa"/>
              <w:left w:w="113" w:type="dxa"/>
              <w:bottom w:w="113" w:type="dxa"/>
              <w:right w:w="113" w:type="dxa"/>
            </w:tcMar>
            <w:vAlign w:val="bottom"/>
          </w:tcPr>
          <w:p w14:paraId="425FB90F" w14:textId="77777777" w:rsidR="00AF6C73" w:rsidRPr="00AF6C73" w:rsidRDefault="00AF6C73" w:rsidP="00AF6C73">
            <w:pPr>
              <w:pStyle w:val="CDITable-HeaderRowLeft"/>
            </w:pPr>
            <w:r w:rsidRPr="00AF6C73">
              <w:t>State or territory</w:t>
            </w:r>
          </w:p>
        </w:tc>
        <w:tc>
          <w:tcPr>
            <w:tcW w:w="1134" w:type="dxa"/>
            <w:shd w:val="clear" w:color="auto" w:fill="1E4496" w:themeFill="text2"/>
            <w:tcMar>
              <w:top w:w="113" w:type="dxa"/>
              <w:left w:w="113" w:type="dxa"/>
              <w:bottom w:w="113" w:type="dxa"/>
              <w:right w:w="113" w:type="dxa"/>
            </w:tcMar>
            <w:vAlign w:val="bottom"/>
          </w:tcPr>
          <w:p w14:paraId="6D4B50C2" w14:textId="77777777" w:rsidR="00AF6C73" w:rsidRPr="00AF6C73" w:rsidRDefault="00AF6C73" w:rsidP="00AF6C73">
            <w:pPr>
              <w:pStyle w:val="CDITable-HeaderRowCentre"/>
            </w:pPr>
            <w:r w:rsidRPr="00AF6C73">
              <w:t>2024</w:t>
            </w:r>
          </w:p>
        </w:tc>
        <w:tc>
          <w:tcPr>
            <w:tcW w:w="1900" w:type="dxa"/>
            <w:gridSpan w:val="2"/>
            <w:shd w:val="clear" w:color="auto" w:fill="1E4496" w:themeFill="text2"/>
            <w:tcMar>
              <w:top w:w="113" w:type="dxa"/>
              <w:left w:w="113" w:type="dxa"/>
              <w:bottom w:w="113" w:type="dxa"/>
              <w:right w:w="113" w:type="dxa"/>
            </w:tcMar>
            <w:vAlign w:val="bottom"/>
          </w:tcPr>
          <w:p w14:paraId="7D661A49" w14:textId="77777777" w:rsidR="00AF6C73" w:rsidRPr="00AF6C73" w:rsidRDefault="00AF6C73" w:rsidP="00AF6C73">
            <w:pPr>
              <w:pStyle w:val="CDITable-HeaderRowCentre"/>
            </w:pPr>
            <w:r w:rsidRPr="00AF6C73">
              <w:t>Resistance</w:t>
            </w:r>
          </w:p>
        </w:tc>
        <w:tc>
          <w:tcPr>
            <w:tcW w:w="1133" w:type="dxa"/>
            <w:shd w:val="clear" w:color="auto" w:fill="1E4496" w:themeFill="text2"/>
            <w:tcMar>
              <w:top w:w="113" w:type="dxa"/>
              <w:left w:w="113" w:type="dxa"/>
              <w:bottom w:w="113" w:type="dxa"/>
              <w:right w:w="113" w:type="dxa"/>
            </w:tcMar>
            <w:vAlign w:val="bottom"/>
          </w:tcPr>
          <w:p w14:paraId="510B4D71" w14:textId="77777777" w:rsidR="00AF6C73" w:rsidRPr="00AF6C73" w:rsidRDefault="00AF6C73" w:rsidP="00AF6C73">
            <w:pPr>
              <w:pStyle w:val="CDITable-HeaderRowCentre"/>
            </w:pPr>
            <w:r w:rsidRPr="00AF6C73">
              <w:t>2024</w:t>
            </w:r>
          </w:p>
        </w:tc>
        <w:tc>
          <w:tcPr>
            <w:tcW w:w="3799" w:type="dxa"/>
            <w:gridSpan w:val="4"/>
            <w:shd w:val="clear" w:color="auto" w:fill="1E4496" w:themeFill="text2"/>
            <w:tcMar>
              <w:top w:w="113" w:type="dxa"/>
              <w:left w:w="113" w:type="dxa"/>
              <w:bottom w:w="113" w:type="dxa"/>
              <w:right w:w="113" w:type="dxa"/>
            </w:tcMar>
            <w:vAlign w:val="bottom"/>
          </w:tcPr>
          <w:p w14:paraId="39A6C9AF" w14:textId="77777777" w:rsidR="00AF6C73" w:rsidRPr="00AF6C73" w:rsidRDefault="00AF6C73" w:rsidP="00AF6C73">
            <w:pPr>
              <w:pStyle w:val="CDITable-HeaderRowCentre"/>
            </w:pPr>
            <w:r w:rsidRPr="00AF6C73">
              <w:t>Resistance</w:t>
            </w:r>
          </w:p>
        </w:tc>
      </w:tr>
      <w:tr w:rsidR="00AF6C73" w:rsidRPr="00AF6C73" w14:paraId="4D846FCA" w14:textId="77777777" w:rsidTr="00AF6C73">
        <w:trPr>
          <w:trHeight w:val="60"/>
          <w:tblHeader/>
        </w:trPr>
        <w:tc>
          <w:tcPr>
            <w:tcW w:w="1672" w:type="dxa"/>
            <w:vMerge/>
            <w:shd w:val="clear" w:color="auto" w:fill="1E4496" w:themeFill="text2"/>
          </w:tcPr>
          <w:p w14:paraId="209F2185" w14:textId="77777777" w:rsidR="00AF6C73" w:rsidRPr="00AF6C73" w:rsidRDefault="00AF6C73" w:rsidP="00AF6C73"/>
        </w:tc>
        <w:tc>
          <w:tcPr>
            <w:tcW w:w="1134" w:type="dxa"/>
            <w:vMerge w:val="restart"/>
            <w:shd w:val="clear" w:color="auto" w:fill="1E4496" w:themeFill="text2"/>
            <w:tcMar>
              <w:top w:w="113" w:type="dxa"/>
              <w:left w:w="113" w:type="dxa"/>
              <w:bottom w:w="113" w:type="dxa"/>
              <w:right w:w="113" w:type="dxa"/>
            </w:tcMar>
            <w:vAlign w:val="bottom"/>
          </w:tcPr>
          <w:p w14:paraId="13D5BA25" w14:textId="77777777" w:rsidR="00AF6C73" w:rsidRPr="00AF6C73" w:rsidRDefault="00AF6C73" w:rsidP="00AF6C73">
            <w:pPr>
              <w:pStyle w:val="CDITable-HeaderRowCentre"/>
            </w:pPr>
            <w:r w:rsidRPr="00AF6C73">
              <w:t>Number of isolates tested</w:t>
            </w:r>
          </w:p>
        </w:tc>
        <w:tc>
          <w:tcPr>
            <w:tcW w:w="190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952D438" w14:textId="77777777" w:rsidR="00AF6C73" w:rsidRPr="00AF6C73" w:rsidRDefault="00AF6C73" w:rsidP="00AF6C73">
            <w:pPr>
              <w:pStyle w:val="CDITable-HeaderRowCentre"/>
            </w:pPr>
            <w:proofErr w:type="spellStart"/>
            <w:r w:rsidRPr="00AF6C73">
              <w:t>Azithromycin</w:t>
            </w:r>
            <w:r w:rsidRPr="00AF6C73">
              <w:rPr>
                <w:vertAlign w:val="superscript"/>
              </w:rPr>
              <w:t>a</w:t>
            </w:r>
            <w:proofErr w:type="spellEnd"/>
          </w:p>
        </w:tc>
        <w:tc>
          <w:tcPr>
            <w:tcW w:w="1133" w:type="dxa"/>
            <w:vMerge w:val="restart"/>
            <w:shd w:val="clear" w:color="auto" w:fill="1E4496" w:themeFill="text2"/>
            <w:tcMar>
              <w:top w:w="113" w:type="dxa"/>
              <w:left w:w="113" w:type="dxa"/>
              <w:bottom w:w="113" w:type="dxa"/>
              <w:right w:w="113" w:type="dxa"/>
            </w:tcMar>
            <w:vAlign w:val="bottom"/>
          </w:tcPr>
          <w:p w14:paraId="49A4135A" w14:textId="77777777" w:rsidR="00AF6C73" w:rsidRPr="00AF6C73" w:rsidRDefault="00AF6C73" w:rsidP="00AF6C73">
            <w:pPr>
              <w:pStyle w:val="CDITable-HeaderRowCentre"/>
            </w:pPr>
            <w:r w:rsidRPr="00AF6C73">
              <w:t xml:space="preserve">Number of isolates </w:t>
            </w:r>
            <w:proofErr w:type="spellStart"/>
            <w:r w:rsidRPr="00AF6C73">
              <w:t>tested</w:t>
            </w:r>
            <w:r w:rsidRPr="00AF6C73">
              <w:rPr>
                <w:vertAlign w:val="superscript"/>
              </w:rPr>
              <w:t>b</w:t>
            </w:r>
            <w:proofErr w:type="spellEnd"/>
          </w:p>
        </w:tc>
        <w:tc>
          <w:tcPr>
            <w:tcW w:w="190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6874793" w14:textId="77777777" w:rsidR="00AF6C73" w:rsidRPr="00AF6C73" w:rsidRDefault="00AF6C73" w:rsidP="00AF6C73">
            <w:pPr>
              <w:pStyle w:val="CDITable-HeaderRowCentre"/>
            </w:pPr>
            <w:r w:rsidRPr="00AF6C73">
              <w:t>Ciprofloxacin</w:t>
            </w:r>
          </w:p>
        </w:tc>
        <w:tc>
          <w:tcPr>
            <w:tcW w:w="189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ED1B11C" w14:textId="77777777" w:rsidR="00AF6C73" w:rsidRPr="00AF6C73" w:rsidRDefault="00AF6C73" w:rsidP="00AF6C73">
            <w:pPr>
              <w:pStyle w:val="CDITable-HeaderRowCentre"/>
            </w:pPr>
            <w:r w:rsidRPr="00AF6C73">
              <w:t>Penicillin</w:t>
            </w:r>
          </w:p>
        </w:tc>
      </w:tr>
      <w:tr w:rsidR="00AF6C73" w:rsidRPr="00AF6C73" w14:paraId="1813A5D5" w14:textId="77777777" w:rsidTr="00AF6C73">
        <w:trPr>
          <w:trHeight w:val="60"/>
          <w:tblHeader/>
        </w:trPr>
        <w:tc>
          <w:tcPr>
            <w:tcW w:w="1672" w:type="dxa"/>
            <w:vMerge/>
            <w:shd w:val="clear" w:color="auto" w:fill="1E4496" w:themeFill="text2"/>
          </w:tcPr>
          <w:p w14:paraId="6CC17285" w14:textId="77777777" w:rsidR="00AF6C73" w:rsidRPr="00AF6C73" w:rsidRDefault="00AF6C73" w:rsidP="00AF6C73"/>
        </w:tc>
        <w:tc>
          <w:tcPr>
            <w:tcW w:w="1134" w:type="dxa"/>
            <w:vMerge/>
            <w:shd w:val="clear" w:color="auto" w:fill="1E4496" w:themeFill="text2"/>
          </w:tcPr>
          <w:p w14:paraId="545345DC" w14:textId="77777777" w:rsidR="00AF6C73" w:rsidRPr="00AF6C73" w:rsidRDefault="00AF6C73" w:rsidP="00AF6C73">
            <w:pPr>
              <w:pStyle w:val="CDITable-HeaderRowCentre"/>
            </w:pPr>
          </w:p>
        </w:tc>
        <w:tc>
          <w:tcPr>
            <w:tcW w:w="95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9ABF858" w14:textId="77777777" w:rsidR="00AF6C73" w:rsidRPr="00AF6C73" w:rsidRDefault="00AF6C73" w:rsidP="00AF6C73">
            <w:pPr>
              <w:pStyle w:val="CDITable-HeaderRowCentre"/>
            </w:pPr>
            <w:r w:rsidRPr="00AF6C73">
              <w:t>n</w:t>
            </w:r>
          </w:p>
        </w:tc>
        <w:tc>
          <w:tcPr>
            <w:tcW w:w="95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562FF43" w14:textId="77777777" w:rsidR="00AF6C73" w:rsidRPr="00AF6C73" w:rsidRDefault="00AF6C73" w:rsidP="00AF6C73">
            <w:pPr>
              <w:pStyle w:val="CDITable-HeaderRowCentre"/>
            </w:pPr>
            <w:r w:rsidRPr="00AF6C73">
              <w:t>%</w:t>
            </w:r>
          </w:p>
        </w:tc>
        <w:tc>
          <w:tcPr>
            <w:tcW w:w="1133" w:type="dxa"/>
            <w:vMerge/>
            <w:shd w:val="clear" w:color="auto" w:fill="1E4496" w:themeFill="text2"/>
          </w:tcPr>
          <w:p w14:paraId="71E7AF7D" w14:textId="77777777" w:rsidR="00AF6C73" w:rsidRPr="00AF6C73" w:rsidRDefault="00AF6C73" w:rsidP="00AF6C73">
            <w:pPr>
              <w:pStyle w:val="CDITable-HeaderRowCentre"/>
            </w:pPr>
          </w:p>
        </w:tc>
        <w:tc>
          <w:tcPr>
            <w:tcW w:w="95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0443BE1" w14:textId="77777777" w:rsidR="00AF6C73" w:rsidRPr="00AF6C73" w:rsidRDefault="00AF6C73" w:rsidP="00AF6C73">
            <w:pPr>
              <w:pStyle w:val="CDITable-HeaderRowCentre"/>
            </w:pPr>
            <w:r w:rsidRPr="00AF6C73">
              <w:t>n</w:t>
            </w:r>
          </w:p>
        </w:tc>
        <w:tc>
          <w:tcPr>
            <w:tcW w:w="950"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4BA0F1D" w14:textId="77777777" w:rsidR="00AF6C73" w:rsidRPr="00AF6C73" w:rsidRDefault="00AF6C73" w:rsidP="00AF6C73">
            <w:pPr>
              <w:pStyle w:val="CDITable-HeaderRowCentre"/>
            </w:pPr>
            <w:r w:rsidRPr="00AF6C73">
              <w:t>%</w:t>
            </w:r>
          </w:p>
        </w:tc>
        <w:tc>
          <w:tcPr>
            <w:tcW w:w="949"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60E2A659" w14:textId="77777777" w:rsidR="00AF6C73" w:rsidRPr="00AF6C73" w:rsidRDefault="00AF6C73" w:rsidP="00AF6C73">
            <w:pPr>
              <w:pStyle w:val="CDITable-HeaderRowCentre"/>
            </w:pPr>
            <w:r w:rsidRPr="00AF6C73">
              <w:t>n</w:t>
            </w:r>
          </w:p>
        </w:tc>
        <w:tc>
          <w:tcPr>
            <w:tcW w:w="950"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21483DD" w14:textId="77777777" w:rsidR="00AF6C73" w:rsidRPr="00AF6C73" w:rsidRDefault="00AF6C73" w:rsidP="00AF6C73">
            <w:pPr>
              <w:pStyle w:val="CDITable-HeaderRowCentre"/>
            </w:pPr>
            <w:r w:rsidRPr="00AF6C73">
              <w:t>%</w:t>
            </w:r>
          </w:p>
        </w:tc>
      </w:tr>
      <w:tr w:rsidR="00AF6C73" w:rsidRPr="00AF6C73" w14:paraId="5CA32824" w14:textId="77777777" w:rsidTr="00AF6C73">
        <w:trPr>
          <w:trHeight w:val="60"/>
        </w:trPr>
        <w:tc>
          <w:tcPr>
            <w:tcW w:w="1672" w:type="dxa"/>
            <w:tcBorders>
              <w:bottom w:val="single" w:sz="6" w:space="0" w:color="1E4496" w:themeColor="text2"/>
            </w:tcBorders>
            <w:tcMar>
              <w:top w:w="113" w:type="dxa"/>
              <w:left w:w="113" w:type="dxa"/>
              <w:bottom w:w="113" w:type="dxa"/>
              <w:right w:w="113" w:type="dxa"/>
            </w:tcMar>
            <w:vAlign w:val="center"/>
          </w:tcPr>
          <w:p w14:paraId="44CD8943" w14:textId="77777777" w:rsidR="00AF6C73" w:rsidRPr="00AF6C73" w:rsidRDefault="00AF6C73" w:rsidP="00AF6C73">
            <w:pPr>
              <w:pStyle w:val="CDITable-RowLeft"/>
            </w:pPr>
            <w:r w:rsidRPr="00AF6C73">
              <w:t>Australian Capital Territory</w:t>
            </w:r>
          </w:p>
        </w:tc>
        <w:tc>
          <w:tcPr>
            <w:tcW w:w="1134" w:type="dxa"/>
            <w:tcBorders>
              <w:bottom w:val="single" w:sz="6" w:space="0" w:color="1E4496" w:themeColor="text2"/>
            </w:tcBorders>
            <w:tcMar>
              <w:top w:w="113" w:type="dxa"/>
              <w:left w:w="113" w:type="dxa"/>
              <w:bottom w:w="113" w:type="dxa"/>
              <w:right w:w="113" w:type="dxa"/>
            </w:tcMar>
            <w:vAlign w:val="center"/>
          </w:tcPr>
          <w:p w14:paraId="1C17A19D" w14:textId="77777777" w:rsidR="00AF6C73" w:rsidRPr="00AF6C73" w:rsidRDefault="00AF6C73" w:rsidP="00AF6C73">
            <w:pPr>
              <w:pStyle w:val="CDITable-RowCentre"/>
            </w:pPr>
            <w:r w:rsidRPr="00AF6C73">
              <w:t>248</w:t>
            </w:r>
          </w:p>
        </w:tc>
        <w:tc>
          <w:tcPr>
            <w:tcW w:w="950" w:type="dxa"/>
            <w:tcBorders>
              <w:bottom w:val="single" w:sz="6" w:space="0" w:color="1E4496" w:themeColor="text2"/>
            </w:tcBorders>
            <w:tcMar>
              <w:top w:w="113" w:type="dxa"/>
              <w:left w:w="113" w:type="dxa"/>
              <w:bottom w:w="113" w:type="dxa"/>
              <w:right w:w="113" w:type="dxa"/>
            </w:tcMar>
            <w:vAlign w:val="center"/>
          </w:tcPr>
          <w:p w14:paraId="519FC872" w14:textId="77777777" w:rsidR="00AF6C73" w:rsidRPr="00AF6C73" w:rsidRDefault="00AF6C73" w:rsidP="00AF6C73">
            <w:pPr>
              <w:pStyle w:val="CDITable-RowCentre"/>
            </w:pPr>
            <w:r w:rsidRPr="00AF6C73">
              <w:t>7</w:t>
            </w:r>
          </w:p>
        </w:tc>
        <w:tc>
          <w:tcPr>
            <w:tcW w:w="950" w:type="dxa"/>
            <w:tcBorders>
              <w:bottom w:val="single" w:sz="6" w:space="0" w:color="1E4496" w:themeColor="text2"/>
            </w:tcBorders>
            <w:tcMar>
              <w:top w:w="113" w:type="dxa"/>
              <w:left w:w="113" w:type="dxa"/>
              <w:bottom w:w="113" w:type="dxa"/>
              <w:right w:w="113" w:type="dxa"/>
            </w:tcMar>
            <w:vAlign w:val="center"/>
          </w:tcPr>
          <w:p w14:paraId="79D99108" w14:textId="77777777" w:rsidR="00AF6C73" w:rsidRPr="00AF6C73" w:rsidRDefault="00AF6C73" w:rsidP="00AF6C73">
            <w:pPr>
              <w:pStyle w:val="CDITable-RowCentre"/>
            </w:pPr>
            <w:r w:rsidRPr="00AF6C73">
              <w:t>2.8</w:t>
            </w:r>
          </w:p>
        </w:tc>
        <w:tc>
          <w:tcPr>
            <w:tcW w:w="1133" w:type="dxa"/>
            <w:tcBorders>
              <w:bottom w:val="single" w:sz="6" w:space="0" w:color="1E4496" w:themeColor="text2"/>
            </w:tcBorders>
            <w:tcMar>
              <w:top w:w="113" w:type="dxa"/>
              <w:left w:w="113" w:type="dxa"/>
              <w:bottom w:w="113" w:type="dxa"/>
              <w:right w:w="113" w:type="dxa"/>
            </w:tcMar>
            <w:vAlign w:val="center"/>
          </w:tcPr>
          <w:p w14:paraId="2A9DD505" w14:textId="77777777" w:rsidR="00AF6C73" w:rsidRPr="00AF6C73" w:rsidRDefault="00AF6C73" w:rsidP="00AF6C73">
            <w:pPr>
              <w:pStyle w:val="CDITable-RowCentre"/>
            </w:pPr>
            <w:r w:rsidRPr="00AF6C73">
              <w:t>241</w:t>
            </w:r>
          </w:p>
        </w:tc>
        <w:tc>
          <w:tcPr>
            <w:tcW w:w="950" w:type="dxa"/>
            <w:tcBorders>
              <w:bottom w:val="single" w:sz="6" w:space="0" w:color="1E4496" w:themeColor="text2"/>
            </w:tcBorders>
            <w:tcMar>
              <w:top w:w="113" w:type="dxa"/>
              <w:left w:w="113" w:type="dxa"/>
              <w:bottom w:w="113" w:type="dxa"/>
              <w:right w:w="113" w:type="dxa"/>
            </w:tcMar>
            <w:vAlign w:val="center"/>
          </w:tcPr>
          <w:p w14:paraId="0401F710" w14:textId="77777777" w:rsidR="00AF6C73" w:rsidRPr="00AF6C73" w:rsidRDefault="00AF6C73" w:rsidP="00AF6C73">
            <w:pPr>
              <w:pStyle w:val="CDITable-RowCentre"/>
            </w:pPr>
            <w:r w:rsidRPr="00AF6C73">
              <w:t>136</w:t>
            </w:r>
          </w:p>
        </w:tc>
        <w:tc>
          <w:tcPr>
            <w:tcW w:w="950" w:type="dxa"/>
            <w:tcBorders>
              <w:bottom w:val="single" w:sz="6" w:space="0" w:color="1E4496" w:themeColor="text2"/>
            </w:tcBorders>
            <w:tcMar>
              <w:top w:w="113" w:type="dxa"/>
              <w:left w:w="113" w:type="dxa"/>
              <w:bottom w:w="113" w:type="dxa"/>
              <w:right w:w="113" w:type="dxa"/>
            </w:tcMar>
            <w:vAlign w:val="center"/>
          </w:tcPr>
          <w:p w14:paraId="5A6FD6E9" w14:textId="77777777" w:rsidR="00AF6C73" w:rsidRPr="00AF6C73" w:rsidRDefault="00AF6C73" w:rsidP="00AF6C73">
            <w:pPr>
              <w:pStyle w:val="CDITable-RowCentre"/>
            </w:pPr>
            <w:r w:rsidRPr="00AF6C73">
              <w:t>56.4</w:t>
            </w:r>
          </w:p>
        </w:tc>
        <w:tc>
          <w:tcPr>
            <w:tcW w:w="949" w:type="dxa"/>
            <w:tcBorders>
              <w:bottom w:val="single" w:sz="6" w:space="0" w:color="1E4496" w:themeColor="text2"/>
            </w:tcBorders>
            <w:tcMar>
              <w:top w:w="113" w:type="dxa"/>
              <w:left w:w="113" w:type="dxa"/>
              <w:bottom w:w="113" w:type="dxa"/>
              <w:right w:w="113" w:type="dxa"/>
            </w:tcMar>
            <w:vAlign w:val="center"/>
          </w:tcPr>
          <w:p w14:paraId="0F948808" w14:textId="77777777" w:rsidR="00AF6C73" w:rsidRPr="00AF6C73" w:rsidRDefault="00AF6C73" w:rsidP="00AF6C73">
            <w:pPr>
              <w:pStyle w:val="CDITable-RowCentre"/>
            </w:pPr>
            <w:r w:rsidRPr="00AF6C73">
              <w:t>47</w:t>
            </w:r>
          </w:p>
        </w:tc>
        <w:tc>
          <w:tcPr>
            <w:tcW w:w="950" w:type="dxa"/>
            <w:tcBorders>
              <w:bottom w:val="single" w:sz="6" w:space="0" w:color="1E4496" w:themeColor="text2"/>
            </w:tcBorders>
            <w:tcMar>
              <w:top w:w="113" w:type="dxa"/>
              <w:left w:w="113" w:type="dxa"/>
              <w:bottom w:w="113" w:type="dxa"/>
              <w:right w:w="113" w:type="dxa"/>
            </w:tcMar>
            <w:vAlign w:val="center"/>
          </w:tcPr>
          <w:p w14:paraId="50335726" w14:textId="77777777" w:rsidR="00AF6C73" w:rsidRPr="00AF6C73" w:rsidRDefault="00AF6C73" w:rsidP="00AF6C73">
            <w:pPr>
              <w:pStyle w:val="CDITable-RowCentre"/>
            </w:pPr>
            <w:r w:rsidRPr="00AF6C73">
              <w:t>19.5</w:t>
            </w:r>
          </w:p>
        </w:tc>
      </w:tr>
      <w:tr w:rsidR="00AF6C73" w:rsidRPr="00AF6C73" w14:paraId="6790AE64"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47D706" w14:textId="77777777" w:rsidR="00AF6C73" w:rsidRPr="00AF6C73" w:rsidRDefault="00AF6C73" w:rsidP="00AF6C73">
            <w:pPr>
              <w:pStyle w:val="CDITable-RowLeft"/>
            </w:pPr>
            <w:r w:rsidRPr="00AF6C73">
              <w:t>New South Wales</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10FB3D" w14:textId="77777777" w:rsidR="00AF6C73" w:rsidRPr="00AF6C73" w:rsidRDefault="00AF6C73" w:rsidP="00AF6C73">
            <w:pPr>
              <w:pStyle w:val="CDITable-RowCentre"/>
            </w:pPr>
            <w:r w:rsidRPr="00AF6C73">
              <w:t>3,684</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8328F3" w14:textId="77777777" w:rsidR="00AF6C73" w:rsidRPr="00AF6C73" w:rsidRDefault="00AF6C73" w:rsidP="00AF6C73">
            <w:pPr>
              <w:pStyle w:val="CDITable-RowCentre"/>
            </w:pPr>
            <w:r w:rsidRPr="00AF6C73">
              <w:t>130</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C6F1A9" w14:textId="77777777" w:rsidR="00AF6C73" w:rsidRPr="00AF6C73" w:rsidRDefault="00AF6C73" w:rsidP="00AF6C73">
            <w:pPr>
              <w:pStyle w:val="CDITable-RowCentre"/>
            </w:pPr>
            <w:r w:rsidRPr="00AF6C73">
              <w:t>3.5</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318BC8" w14:textId="77777777" w:rsidR="00AF6C73" w:rsidRPr="00AF6C73" w:rsidRDefault="00AF6C73" w:rsidP="00AF6C73">
            <w:pPr>
              <w:pStyle w:val="CDITable-RowCentre"/>
            </w:pPr>
            <w:r w:rsidRPr="00AF6C73">
              <w:t>2,767</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CC31A6" w14:textId="77777777" w:rsidR="00AF6C73" w:rsidRPr="00AF6C73" w:rsidRDefault="00AF6C73" w:rsidP="00AF6C73">
            <w:pPr>
              <w:pStyle w:val="CDITable-RowCentre"/>
            </w:pPr>
            <w:r w:rsidRPr="00AF6C73">
              <w:t>1,571</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999DC5" w14:textId="77777777" w:rsidR="00AF6C73" w:rsidRPr="00AF6C73" w:rsidRDefault="00AF6C73" w:rsidP="00AF6C73">
            <w:pPr>
              <w:pStyle w:val="CDITable-RowCentre"/>
            </w:pPr>
            <w:r w:rsidRPr="00AF6C73">
              <w:t>56.8</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468121" w14:textId="77777777" w:rsidR="00AF6C73" w:rsidRPr="00AF6C73" w:rsidRDefault="00AF6C73" w:rsidP="00AF6C73">
            <w:pPr>
              <w:pStyle w:val="CDITable-RowCentre"/>
            </w:pPr>
            <w:r w:rsidRPr="00AF6C73">
              <w:t>895</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D4C4D9" w14:textId="77777777" w:rsidR="00AF6C73" w:rsidRPr="00AF6C73" w:rsidRDefault="00AF6C73" w:rsidP="00AF6C73">
            <w:pPr>
              <w:pStyle w:val="CDITable-RowCentre"/>
            </w:pPr>
            <w:r w:rsidRPr="00AF6C73">
              <w:t>32.3</w:t>
            </w:r>
          </w:p>
        </w:tc>
      </w:tr>
      <w:tr w:rsidR="00AF6C73" w:rsidRPr="00AF6C73" w14:paraId="7FC04E59"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7F3262" w14:textId="77777777" w:rsidR="00AF6C73" w:rsidRPr="00AF6C73" w:rsidRDefault="00AF6C73" w:rsidP="00AF6C73">
            <w:pPr>
              <w:pStyle w:val="CDITable-RowLeft"/>
            </w:pPr>
            <w:r w:rsidRPr="00AF6C73">
              <w:t>Queensland</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BC9D57" w14:textId="77777777" w:rsidR="00AF6C73" w:rsidRPr="00AF6C73" w:rsidRDefault="00AF6C73" w:rsidP="00AF6C73">
            <w:pPr>
              <w:pStyle w:val="CDITable-RowCentre"/>
            </w:pPr>
            <w:r w:rsidRPr="00AF6C73">
              <w:t>1,456</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ECCDDF" w14:textId="77777777" w:rsidR="00AF6C73" w:rsidRPr="00AF6C73" w:rsidRDefault="00AF6C73" w:rsidP="00AF6C73">
            <w:pPr>
              <w:pStyle w:val="CDITable-RowCentre"/>
            </w:pPr>
            <w:r w:rsidRPr="00AF6C73">
              <w:t>51</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A2D7DA" w14:textId="77777777" w:rsidR="00AF6C73" w:rsidRPr="00AF6C73" w:rsidRDefault="00AF6C73" w:rsidP="00AF6C73">
            <w:pPr>
              <w:pStyle w:val="CDITable-RowCentre"/>
            </w:pPr>
            <w:r w:rsidRPr="00AF6C73">
              <w:t>3.5</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3F9923" w14:textId="77777777" w:rsidR="00AF6C73" w:rsidRPr="00AF6C73" w:rsidRDefault="00AF6C73" w:rsidP="00AF6C73">
            <w:pPr>
              <w:pStyle w:val="CDITable-RowCentre"/>
            </w:pPr>
            <w:r w:rsidRPr="00AF6C73">
              <w:t>1,433</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E2D6D7" w14:textId="77777777" w:rsidR="00AF6C73" w:rsidRPr="00AF6C73" w:rsidRDefault="00AF6C73" w:rsidP="00AF6C73">
            <w:pPr>
              <w:pStyle w:val="CDITable-RowCentre"/>
            </w:pPr>
            <w:r w:rsidRPr="00AF6C73">
              <w:t>922</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58CB27" w14:textId="77777777" w:rsidR="00AF6C73" w:rsidRPr="00AF6C73" w:rsidRDefault="00AF6C73" w:rsidP="00AF6C73">
            <w:pPr>
              <w:pStyle w:val="CDITable-RowCentre"/>
            </w:pPr>
            <w:r w:rsidRPr="00AF6C73">
              <w:t>64.3</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7650DC" w14:textId="77777777" w:rsidR="00AF6C73" w:rsidRPr="00AF6C73" w:rsidRDefault="00AF6C73" w:rsidP="00AF6C73">
            <w:pPr>
              <w:pStyle w:val="CDITable-RowCentre"/>
            </w:pPr>
            <w:r w:rsidRPr="00AF6C73">
              <w:t>407</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0902E2" w14:textId="77777777" w:rsidR="00AF6C73" w:rsidRPr="00AF6C73" w:rsidRDefault="00AF6C73" w:rsidP="00AF6C73">
            <w:pPr>
              <w:pStyle w:val="CDITable-RowCentre"/>
            </w:pPr>
            <w:r w:rsidRPr="00AF6C73">
              <w:t>28.4</w:t>
            </w:r>
          </w:p>
        </w:tc>
      </w:tr>
      <w:tr w:rsidR="00AF6C73" w:rsidRPr="00AF6C73" w14:paraId="38E88991"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8A99A8" w14:textId="77777777" w:rsidR="00AF6C73" w:rsidRPr="00AF6C73" w:rsidRDefault="00AF6C73" w:rsidP="00AF6C73">
            <w:pPr>
              <w:pStyle w:val="CDITable-RowLeft"/>
            </w:pPr>
            <w:r w:rsidRPr="00AF6C73">
              <w:t>South Australia</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35761B" w14:textId="77777777" w:rsidR="00AF6C73" w:rsidRPr="00AF6C73" w:rsidRDefault="00AF6C73" w:rsidP="00AF6C73">
            <w:pPr>
              <w:pStyle w:val="CDITable-RowCentre"/>
            </w:pPr>
            <w:r w:rsidRPr="00AF6C73">
              <w:t>658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00CCDD" w14:textId="77777777" w:rsidR="00AF6C73" w:rsidRPr="00AF6C73" w:rsidRDefault="00AF6C73" w:rsidP="00AF6C73">
            <w:pPr>
              <w:pStyle w:val="CDITable-RowCentre"/>
            </w:pPr>
            <w:r w:rsidRPr="00AF6C73">
              <w:t>30</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C01912" w14:textId="77777777" w:rsidR="00AF6C73" w:rsidRPr="00AF6C73" w:rsidRDefault="00AF6C73" w:rsidP="00AF6C73">
            <w:pPr>
              <w:pStyle w:val="CDITable-RowCentre"/>
            </w:pPr>
            <w:r w:rsidRPr="00AF6C73">
              <w:t>4.6</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8E98C3" w14:textId="77777777" w:rsidR="00AF6C73" w:rsidRPr="00AF6C73" w:rsidRDefault="00AF6C73" w:rsidP="00AF6C73">
            <w:pPr>
              <w:pStyle w:val="CDITable-RowCentre"/>
            </w:pPr>
            <w:r w:rsidRPr="00AF6C73">
              <w:t>658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8746C8" w14:textId="77777777" w:rsidR="00AF6C73" w:rsidRPr="00AF6C73" w:rsidRDefault="00AF6C73" w:rsidP="00AF6C73">
            <w:pPr>
              <w:pStyle w:val="CDITable-RowCentre"/>
            </w:pPr>
            <w:r w:rsidRPr="00AF6C73">
              <w:t>368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B34D9B" w14:textId="77777777" w:rsidR="00AF6C73" w:rsidRPr="00AF6C73" w:rsidRDefault="00AF6C73" w:rsidP="00AF6C73">
            <w:pPr>
              <w:pStyle w:val="CDITable-RowCentre"/>
            </w:pPr>
            <w:r w:rsidRPr="00AF6C73">
              <w:t>55.9</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B5232D" w14:textId="77777777" w:rsidR="00AF6C73" w:rsidRPr="00AF6C73" w:rsidRDefault="00AF6C73" w:rsidP="00AF6C73">
            <w:pPr>
              <w:pStyle w:val="CDITable-RowCentre"/>
            </w:pPr>
            <w:r w:rsidRPr="00AF6C73">
              <w:t>153</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135675" w14:textId="77777777" w:rsidR="00AF6C73" w:rsidRPr="00AF6C73" w:rsidRDefault="00AF6C73" w:rsidP="00AF6C73">
            <w:pPr>
              <w:pStyle w:val="CDITable-RowCentre"/>
            </w:pPr>
            <w:r w:rsidRPr="00AF6C73">
              <w:t>23.3</w:t>
            </w:r>
          </w:p>
        </w:tc>
      </w:tr>
      <w:tr w:rsidR="00AF6C73" w:rsidRPr="00AF6C73" w14:paraId="16F95D70"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F248F5" w14:textId="77777777" w:rsidR="00AF6C73" w:rsidRPr="00AF6C73" w:rsidRDefault="00AF6C73" w:rsidP="00AF6C73">
            <w:pPr>
              <w:pStyle w:val="CDITable-RowLeft"/>
            </w:pPr>
            <w:r w:rsidRPr="00AF6C73">
              <w:t>Tasmania</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E5AB35" w14:textId="77777777" w:rsidR="00AF6C73" w:rsidRPr="00AF6C73" w:rsidRDefault="00AF6C73" w:rsidP="00AF6C73">
            <w:pPr>
              <w:pStyle w:val="CDITable-RowCentre"/>
            </w:pPr>
            <w:r w:rsidRPr="00AF6C73">
              <w:t>88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E5DFAE" w14:textId="77777777" w:rsidR="00AF6C73" w:rsidRPr="00AF6C73" w:rsidRDefault="00AF6C73" w:rsidP="00AF6C73">
            <w:pPr>
              <w:pStyle w:val="CDITable-RowCentre"/>
            </w:pPr>
            <w:r w:rsidRPr="00AF6C73">
              <w:t>4</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C2DE5E" w14:textId="77777777" w:rsidR="00AF6C73" w:rsidRPr="00AF6C73" w:rsidRDefault="00AF6C73" w:rsidP="00AF6C73">
            <w:pPr>
              <w:pStyle w:val="CDITable-RowCentre"/>
            </w:pPr>
            <w:r w:rsidRPr="00AF6C73">
              <w:t>4.5</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D992EA" w14:textId="77777777" w:rsidR="00AF6C73" w:rsidRPr="00AF6C73" w:rsidRDefault="00AF6C73" w:rsidP="00AF6C73">
            <w:pPr>
              <w:pStyle w:val="CDITable-RowCentre"/>
            </w:pPr>
            <w:r w:rsidRPr="00AF6C73">
              <w:t>88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E601E3" w14:textId="77777777" w:rsidR="00AF6C73" w:rsidRPr="00AF6C73" w:rsidRDefault="00AF6C73" w:rsidP="00AF6C73">
            <w:pPr>
              <w:pStyle w:val="CDITable-RowCentre"/>
            </w:pPr>
            <w:r w:rsidRPr="00AF6C73">
              <w:t>55</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E32400" w14:textId="77777777" w:rsidR="00AF6C73" w:rsidRPr="00AF6C73" w:rsidRDefault="00AF6C73" w:rsidP="00AF6C73">
            <w:pPr>
              <w:pStyle w:val="CDITable-RowCentre"/>
            </w:pPr>
            <w:r w:rsidRPr="00AF6C73">
              <w:t>62.5</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E8F93A" w14:textId="77777777" w:rsidR="00AF6C73" w:rsidRPr="00AF6C73" w:rsidRDefault="00AF6C73" w:rsidP="00AF6C73">
            <w:pPr>
              <w:pStyle w:val="CDITable-RowCentre"/>
            </w:pPr>
            <w:r w:rsidRPr="00AF6C73">
              <w:t>25</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AE2620" w14:textId="77777777" w:rsidR="00AF6C73" w:rsidRPr="00AF6C73" w:rsidRDefault="00AF6C73" w:rsidP="00AF6C73">
            <w:pPr>
              <w:pStyle w:val="CDITable-RowCentre"/>
            </w:pPr>
            <w:r w:rsidRPr="00AF6C73">
              <w:t>28.4</w:t>
            </w:r>
          </w:p>
        </w:tc>
      </w:tr>
      <w:tr w:rsidR="00AF6C73" w:rsidRPr="00AF6C73" w14:paraId="7DEDE821"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8253EC" w14:textId="77777777" w:rsidR="00AF6C73" w:rsidRPr="00AF6C73" w:rsidRDefault="00AF6C73" w:rsidP="00AF6C73">
            <w:pPr>
              <w:pStyle w:val="CDITable-RowLeft"/>
            </w:pPr>
            <w:r w:rsidRPr="00AF6C73">
              <w:t>Victoria</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DA7473" w14:textId="77777777" w:rsidR="00AF6C73" w:rsidRPr="00AF6C73" w:rsidRDefault="00AF6C73" w:rsidP="00AF6C73">
            <w:pPr>
              <w:pStyle w:val="CDITable-RowCentre"/>
            </w:pPr>
            <w:r w:rsidRPr="00AF6C73">
              <w:t>3,247</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B25963" w14:textId="77777777" w:rsidR="00AF6C73" w:rsidRPr="00AF6C73" w:rsidRDefault="00AF6C73" w:rsidP="00AF6C73">
            <w:pPr>
              <w:pStyle w:val="CDITable-RowCentre"/>
            </w:pPr>
            <w:r w:rsidRPr="00AF6C73">
              <w:t>201</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1BFD3C" w14:textId="77777777" w:rsidR="00AF6C73" w:rsidRPr="00AF6C73" w:rsidRDefault="00AF6C73" w:rsidP="00AF6C73">
            <w:pPr>
              <w:pStyle w:val="CDITable-RowCentre"/>
            </w:pPr>
            <w:r w:rsidRPr="00AF6C73">
              <w:t>6.2</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CED192" w14:textId="77777777" w:rsidR="00AF6C73" w:rsidRPr="00AF6C73" w:rsidRDefault="00AF6C73" w:rsidP="00AF6C73">
            <w:pPr>
              <w:pStyle w:val="CDITable-RowCentre"/>
            </w:pPr>
            <w:r w:rsidRPr="00AF6C73">
              <w:t>3,221</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4AA1BD" w14:textId="77777777" w:rsidR="00AF6C73" w:rsidRPr="00AF6C73" w:rsidRDefault="00AF6C73" w:rsidP="00AF6C73">
            <w:pPr>
              <w:pStyle w:val="CDITable-RowCentre"/>
            </w:pPr>
            <w:r w:rsidRPr="00AF6C73">
              <w:t>1,920</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2B7F04" w14:textId="77777777" w:rsidR="00AF6C73" w:rsidRPr="00AF6C73" w:rsidRDefault="00AF6C73" w:rsidP="00AF6C73">
            <w:pPr>
              <w:pStyle w:val="CDITable-RowCentre"/>
            </w:pPr>
            <w:r w:rsidRPr="00AF6C73">
              <w:t>59.6</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B48E80" w14:textId="77777777" w:rsidR="00AF6C73" w:rsidRPr="00AF6C73" w:rsidRDefault="00AF6C73" w:rsidP="00AF6C73">
            <w:pPr>
              <w:pStyle w:val="CDITable-RowCentre"/>
            </w:pPr>
            <w:r w:rsidRPr="00AF6C73">
              <w:t>1,160</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CB9A5E" w14:textId="77777777" w:rsidR="00AF6C73" w:rsidRPr="00AF6C73" w:rsidRDefault="00AF6C73" w:rsidP="00AF6C73">
            <w:pPr>
              <w:pStyle w:val="CDITable-RowCentre"/>
            </w:pPr>
            <w:r w:rsidRPr="00AF6C73">
              <w:t>36.0</w:t>
            </w:r>
          </w:p>
        </w:tc>
      </w:tr>
      <w:tr w:rsidR="00AF6C73" w:rsidRPr="00AF6C73" w14:paraId="6862A51C"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EF2DFB" w14:textId="77777777" w:rsidR="00AF6C73" w:rsidRPr="00AF6C73" w:rsidRDefault="00AF6C73" w:rsidP="00AF6C73">
            <w:pPr>
              <w:pStyle w:val="CDITable-RowLeft"/>
            </w:pPr>
            <w:r w:rsidRPr="00AF6C73">
              <w:t>Northern Territory non-remote</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C3B08E" w14:textId="77777777" w:rsidR="00AF6C73" w:rsidRPr="00AF6C73" w:rsidRDefault="00AF6C73" w:rsidP="00AF6C73">
            <w:pPr>
              <w:pStyle w:val="CDITable-RowCentre"/>
            </w:pPr>
            <w:r w:rsidRPr="00AF6C73">
              <w:t>97</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58FE2B" w14:textId="77777777" w:rsidR="00AF6C73" w:rsidRPr="00AF6C73" w:rsidRDefault="00AF6C73" w:rsidP="00AF6C73">
            <w:pPr>
              <w:pStyle w:val="CDITable-RowCentre"/>
            </w:pPr>
            <w:r w:rsidRPr="00AF6C73">
              <w:t>2</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1B9582" w14:textId="77777777" w:rsidR="00AF6C73" w:rsidRPr="00AF6C73" w:rsidRDefault="00AF6C73" w:rsidP="00AF6C73">
            <w:pPr>
              <w:pStyle w:val="CDITable-RowCentre"/>
            </w:pPr>
            <w:r w:rsidRPr="00AF6C73">
              <w:t>2.1</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43668F" w14:textId="77777777" w:rsidR="00AF6C73" w:rsidRPr="00AF6C73" w:rsidRDefault="00AF6C73" w:rsidP="00AF6C73">
            <w:pPr>
              <w:pStyle w:val="CDITable-RowCentre"/>
            </w:pPr>
            <w:r w:rsidRPr="00AF6C73">
              <w:t>95</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C2369F" w14:textId="77777777" w:rsidR="00AF6C73" w:rsidRPr="00AF6C73" w:rsidRDefault="00AF6C73" w:rsidP="00AF6C73">
            <w:pPr>
              <w:pStyle w:val="CDITable-RowCentre"/>
            </w:pPr>
            <w:r w:rsidRPr="00AF6C73">
              <w:t>20</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B62DDB" w14:textId="77777777" w:rsidR="00AF6C73" w:rsidRPr="00AF6C73" w:rsidRDefault="00AF6C73" w:rsidP="00AF6C73">
            <w:pPr>
              <w:pStyle w:val="CDITable-RowCentre"/>
            </w:pPr>
            <w:r w:rsidRPr="00AF6C73">
              <w:t>21.1</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09F7F5" w14:textId="77777777" w:rsidR="00AF6C73" w:rsidRPr="00AF6C73" w:rsidRDefault="00AF6C73" w:rsidP="00AF6C73">
            <w:pPr>
              <w:pStyle w:val="CDITable-RowCentre"/>
            </w:pPr>
            <w:r w:rsidRPr="00AF6C73">
              <w:t>15</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7A6431" w14:textId="77777777" w:rsidR="00AF6C73" w:rsidRPr="00AF6C73" w:rsidRDefault="00AF6C73" w:rsidP="00AF6C73">
            <w:pPr>
              <w:pStyle w:val="CDITable-RowCentre"/>
            </w:pPr>
            <w:r w:rsidRPr="00AF6C73">
              <w:t>15.8</w:t>
            </w:r>
          </w:p>
        </w:tc>
      </w:tr>
      <w:tr w:rsidR="00AF6C73" w:rsidRPr="00AF6C73" w14:paraId="3B609A28"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650002" w14:textId="77777777" w:rsidR="00AF6C73" w:rsidRPr="00AF6C73" w:rsidRDefault="00AF6C73" w:rsidP="00AF6C73">
            <w:pPr>
              <w:pStyle w:val="CDITable-RowLeft"/>
            </w:pPr>
            <w:r w:rsidRPr="00AF6C73">
              <w:t>Northern Territory remote</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BE2896" w14:textId="77777777" w:rsidR="00AF6C73" w:rsidRPr="00AF6C73" w:rsidRDefault="00AF6C73" w:rsidP="00AF6C73">
            <w:pPr>
              <w:pStyle w:val="CDITable-RowCentre"/>
            </w:pPr>
            <w:r w:rsidRPr="00AF6C73">
              <w:t>78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27F6DC" w14:textId="77777777" w:rsidR="00AF6C73" w:rsidRPr="00AF6C73" w:rsidRDefault="00AF6C73" w:rsidP="00AF6C73">
            <w:pPr>
              <w:pStyle w:val="CDITable-RowCentre"/>
            </w:pPr>
            <w:r w:rsidRPr="00AF6C73">
              <w:t>1</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360CC5" w14:textId="77777777" w:rsidR="00AF6C73" w:rsidRPr="00AF6C73" w:rsidRDefault="00AF6C73" w:rsidP="00AF6C73">
            <w:pPr>
              <w:pStyle w:val="CDITable-RowCentre"/>
            </w:pPr>
            <w:r w:rsidRPr="00AF6C73">
              <w:t>1.3</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94B9E9" w14:textId="77777777" w:rsidR="00AF6C73" w:rsidRPr="00AF6C73" w:rsidRDefault="00AF6C73" w:rsidP="00AF6C73">
            <w:pPr>
              <w:pStyle w:val="CDITable-RowCentre"/>
            </w:pPr>
            <w:r w:rsidRPr="00AF6C73">
              <w:t>78</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ACD90A" w14:textId="77777777" w:rsidR="00AF6C73" w:rsidRPr="00AF6C73" w:rsidRDefault="00AF6C73" w:rsidP="00AF6C73">
            <w:pPr>
              <w:pStyle w:val="CDITable-RowCentre"/>
            </w:pPr>
            <w:r w:rsidRPr="00AF6C73">
              <w:t>3</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0F33B8" w14:textId="77777777" w:rsidR="00AF6C73" w:rsidRPr="00AF6C73" w:rsidRDefault="00AF6C73" w:rsidP="00AF6C73">
            <w:pPr>
              <w:pStyle w:val="CDITable-RowCentre"/>
            </w:pPr>
            <w:r w:rsidRPr="00AF6C73">
              <w:t>3.8</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3FE093" w14:textId="77777777" w:rsidR="00AF6C73" w:rsidRPr="00AF6C73" w:rsidRDefault="00AF6C73" w:rsidP="00AF6C73">
            <w:pPr>
              <w:pStyle w:val="CDITable-RowCentre"/>
            </w:pPr>
            <w:r w:rsidRPr="00AF6C73">
              <w:t>4</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97533A" w14:textId="77777777" w:rsidR="00AF6C73" w:rsidRPr="00AF6C73" w:rsidRDefault="00AF6C73" w:rsidP="00AF6C73">
            <w:pPr>
              <w:pStyle w:val="CDITable-RowCentre"/>
            </w:pPr>
            <w:r w:rsidRPr="00AF6C73">
              <w:t>5.1</w:t>
            </w:r>
          </w:p>
        </w:tc>
      </w:tr>
      <w:tr w:rsidR="00AF6C73" w:rsidRPr="00AF6C73" w14:paraId="26EF3775" w14:textId="77777777" w:rsidTr="00AF6C73">
        <w:trPr>
          <w:trHeight w:val="6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06D251" w14:textId="77777777" w:rsidR="00AF6C73" w:rsidRPr="00AF6C73" w:rsidRDefault="00AF6C73" w:rsidP="00AF6C73">
            <w:pPr>
              <w:pStyle w:val="CDITable-RowLeft"/>
            </w:pPr>
            <w:r w:rsidRPr="00AF6C73">
              <w:t>Western Australia non-remote</w:t>
            </w:r>
          </w:p>
        </w:tc>
        <w:tc>
          <w:tcPr>
            <w:tcW w:w="113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BF227A" w14:textId="77777777" w:rsidR="00AF6C73" w:rsidRPr="00AF6C73" w:rsidRDefault="00AF6C73" w:rsidP="00AF6C73">
            <w:pPr>
              <w:pStyle w:val="CDITable-RowCentre"/>
            </w:pPr>
            <w:r w:rsidRPr="00AF6C73">
              <w:t>1,071</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9A6CE1" w14:textId="77777777" w:rsidR="00AF6C73" w:rsidRPr="00AF6C73" w:rsidRDefault="00AF6C73" w:rsidP="00AF6C73">
            <w:pPr>
              <w:pStyle w:val="CDITable-RowCentre"/>
            </w:pPr>
            <w:r w:rsidRPr="00AF6C73">
              <w:t>62</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4F9CF3" w14:textId="77777777" w:rsidR="00AF6C73" w:rsidRPr="00AF6C73" w:rsidRDefault="00AF6C73" w:rsidP="00AF6C73">
            <w:pPr>
              <w:pStyle w:val="CDITable-RowCentre"/>
            </w:pPr>
            <w:r w:rsidRPr="00AF6C73">
              <w:t>5.8</w:t>
            </w:r>
          </w:p>
        </w:tc>
        <w:tc>
          <w:tcPr>
            <w:tcW w:w="113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44EC5F" w14:textId="77777777" w:rsidR="00AF6C73" w:rsidRPr="00AF6C73" w:rsidRDefault="00AF6C73" w:rsidP="00AF6C73">
            <w:pPr>
              <w:pStyle w:val="CDITable-RowCentre"/>
            </w:pPr>
            <w:r w:rsidRPr="00AF6C73">
              <w:t>1,070</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2CC70A" w14:textId="77777777" w:rsidR="00AF6C73" w:rsidRPr="00AF6C73" w:rsidRDefault="00AF6C73" w:rsidP="00AF6C73">
            <w:pPr>
              <w:pStyle w:val="CDITable-RowCentre"/>
            </w:pPr>
            <w:r w:rsidRPr="00AF6C73">
              <w:t>579</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DC8BE5" w14:textId="77777777" w:rsidR="00AF6C73" w:rsidRPr="00AF6C73" w:rsidRDefault="00AF6C73" w:rsidP="00AF6C73">
            <w:pPr>
              <w:pStyle w:val="CDITable-RowCentre"/>
            </w:pPr>
            <w:r w:rsidRPr="00AF6C73">
              <w:t>54.1</w:t>
            </w:r>
          </w:p>
        </w:tc>
        <w:tc>
          <w:tcPr>
            <w:tcW w:w="94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EFB20C" w14:textId="77777777" w:rsidR="00AF6C73" w:rsidRPr="00AF6C73" w:rsidRDefault="00AF6C73" w:rsidP="00AF6C73">
            <w:pPr>
              <w:pStyle w:val="CDITable-RowCentre"/>
            </w:pPr>
            <w:r w:rsidRPr="00AF6C73">
              <w:t>275</w:t>
            </w:r>
          </w:p>
        </w:tc>
        <w:tc>
          <w:tcPr>
            <w:tcW w:w="95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8E58BE" w14:textId="77777777" w:rsidR="00AF6C73" w:rsidRPr="00AF6C73" w:rsidRDefault="00AF6C73" w:rsidP="00AF6C73">
            <w:pPr>
              <w:pStyle w:val="CDITable-RowCentre"/>
            </w:pPr>
            <w:r w:rsidRPr="00AF6C73">
              <w:t>25.7</w:t>
            </w:r>
          </w:p>
        </w:tc>
      </w:tr>
      <w:tr w:rsidR="00AF6C73" w:rsidRPr="00AF6C73" w14:paraId="44BE9142" w14:textId="77777777" w:rsidTr="00AF6C73">
        <w:trPr>
          <w:trHeight w:val="60"/>
        </w:trPr>
        <w:tc>
          <w:tcPr>
            <w:tcW w:w="1672" w:type="dxa"/>
            <w:tcBorders>
              <w:top w:val="single" w:sz="6" w:space="0" w:color="1E4496" w:themeColor="text2"/>
            </w:tcBorders>
            <w:tcMar>
              <w:top w:w="113" w:type="dxa"/>
              <w:left w:w="113" w:type="dxa"/>
              <w:bottom w:w="113" w:type="dxa"/>
              <w:right w:w="113" w:type="dxa"/>
            </w:tcMar>
            <w:vAlign w:val="center"/>
          </w:tcPr>
          <w:p w14:paraId="422F5374" w14:textId="77777777" w:rsidR="00AF6C73" w:rsidRPr="00AF6C73" w:rsidRDefault="00AF6C73" w:rsidP="00AF6C73">
            <w:pPr>
              <w:pStyle w:val="CDITable-RowLeft"/>
            </w:pPr>
            <w:r w:rsidRPr="00AF6C73">
              <w:t>Western Australia remote</w:t>
            </w:r>
          </w:p>
        </w:tc>
        <w:tc>
          <w:tcPr>
            <w:tcW w:w="1134" w:type="dxa"/>
            <w:tcBorders>
              <w:top w:val="single" w:sz="6" w:space="0" w:color="1E4496" w:themeColor="text2"/>
            </w:tcBorders>
            <w:tcMar>
              <w:top w:w="113" w:type="dxa"/>
              <w:left w:w="113" w:type="dxa"/>
              <w:bottom w:w="113" w:type="dxa"/>
              <w:right w:w="113" w:type="dxa"/>
            </w:tcMar>
            <w:vAlign w:val="center"/>
          </w:tcPr>
          <w:p w14:paraId="2CA15BB7" w14:textId="77777777" w:rsidR="00AF6C73" w:rsidRPr="00AF6C73" w:rsidRDefault="00AF6C73" w:rsidP="00AF6C73">
            <w:pPr>
              <w:pStyle w:val="CDITable-RowCentre"/>
            </w:pPr>
            <w:r w:rsidRPr="00AF6C73">
              <w:t>75</w:t>
            </w:r>
          </w:p>
        </w:tc>
        <w:tc>
          <w:tcPr>
            <w:tcW w:w="950" w:type="dxa"/>
            <w:tcBorders>
              <w:top w:val="single" w:sz="6" w:space="0" w:color="1E4496" w:themeColor="text2"/>
            </w:tcBorders>
            <w:tcMar>
              <w:top w:w="113" w:type="dxa"/>
              <w:left w:w="113" w:type="dxa"/>
              <w:bottom w:w="113" w:type="dxa"/>
              <w:right w:w="113" w:type="dxa"/>
            </w:tcMar>
            <w:vAlign w:val="center"/>
          </w:tcPr>
          <w:p w14:paraId="45483566" w14:textId="77777777" w:rsidR="00AF6C73" w:rsidRPr="00AF6C73" w:rsidRDefault="00AF6C73" w:rsidP="00AF6C73">
            <w:pPr>
              <w:pStyle w:val="CDITable-RowCentre"/>
            </w:pPr>
            <w:r w:rsidRPr="00AF6C73">
              <w:t>1</w:t>
            </w:r>
          </w:p>
        </w:tc>
        <w:tc>
          <w:tcPr>
            <w:tcW w:w="950" w:type="dxa"/>
            <w:tcBorders>
              <w:top w:val="single" w:sz="6" w:space="0" w:color="1E4496" w:themeColor="text2"/>
            </w:tcBorders>
            <w:tcMar>
              <w:top w:w="113" w:type="dxa"/>
              <w:left w:w="113" w:type="dxa"/>
              <w:bottom w:w="113" w:type="dxa"/>
              <w:right w:w="113" w:type="dxa"/>
            </w:tcMar>
            <w:vAlign w:val="center"/>
          </w:tcPr>
          <w:p w14:paraId="7E35738D" w14:textId="77777777" w:rsidR="00AF6C73" w:rsidRPr="00AF6C73" w:rsidRDefault="00AF6C73" w:rsidP="00AF6C73">
            <w:pPr>
              <w:pStyle w:val="CDITable-RowCentre"/>
            </w:pPr>
            <w:r w:rsidRPr="00AF6C73">
              <w:t>1.3</w:t>
            </w:r>
          </w:p>
        </w:tc>
        <w:tc>
          <w:tcPr>
            <w:tcW w:w="1133" w:type="dxa"/>
            <w:tcBorders>
              <w:top w:val="single" w:sz="6" w:space="0" w:color="1E4496" w:themeColor="text2"/>
            </w:tcBorders>
            <w:tcMar>
              <w:top w:w="113" w:type="dxa"/>
              <w:left w:w="113" w:type="dxa"/>
              <w:bottom w:w="113" w:type="dxa"/>
              <w:right w:w="113" w:type="dxa"/>
            </w:tcMar>
            <w:vAlign w:val="center"/>
          </w:tcPr>
          <w:p w14:paraId="639EDED5" w14:textId="77777777" w:rsidR="00AF6C73" w:rsidRPr="00AF6C73" w:rsidRDefault="00AF6C73" w:rsidP="00AF6C73">
            <w:pPr>
              <w:pStyle w:val="CDITable-RowCentre"/>
            </w:pPr>
            <w:r w:rsidRPr="00AF6C73">
              <w:t>75</w:t>
            </w:r>
          </w:p>
        </w:tc>
        <w:tc>
          <w:tcPr>
            <w:tcW w:w="950" w:type="dxa"/>
            <w:tcBorders>
              <w:top w:val="single" w:sz="6" w:space="0" w:color="1E4496" w:themeColor="text2"/>
            </w:tcBorders>
            <w:tcMar>
              <w:top w:w="113" w:type="dxa"/>
              <w:left w:w="113" w:type="dxa"/>
              <w:bottom w:w="113" w:type="dxa"/>
              <w:right w:w="113" w:type="dxa"/>
            </w:tcMar>
            <w:vAlign w:val="center"/>
          </w:tcPr>
          <w:p w14:paraId="60D77FE5" w14:textId="77777777" w:rsidR="00AF6C73" w:rsidRPr="00AF6C73" w:rsidRDefault="00AF6C73" w:rsidP="00AF6C73">
            <w:pPr>
              <w:pStyle w:val="CDITable-RowCentre"/>
            </w:pPr>
            <w:r w:rsidRPr="00AF6C73">
              <w:t>21</w:t>
            </w:r>
          </w:p>
        </w:tc>
        <w:tc>
          <w:tcPr>
            <w:tcW w:w="950" w:type="dxa"/>
            <w:tcBorders>
              <w:top w:val="single" w:sz="6" w:space="0" w:color="1E4496" w:themeColor="text2"/>
            </w:tcBorders>
            <w:tcMar>
              <w:top w:w="113" w:type="dxa"/>
              <w:left w:w="113" w:type="dxa"/>
              <w:bottom w:w="113" w:type="dxa"/>
              <w:right w:w="113" w:type="dxa"/>
            </w:tcMar>
            <w:vAlign w:val="center"/>
          </w:tcPr>
          <w:p w14:paraId="46527152" w14:textId="77777777" w:rsidR="00AF6C73" w:rsidRPr="00AF6C73" w:rsidRDefault="00AF6C73" w:rsidP="00AF6C73">
            <w:pPr>
              <w:pStyle w:val="CDITable-RowCentre"/>
            </w:pPr>
            <w:r w:rsidRPr="00AF6C73">
              <w:t>28.0</w:t>
            </w:r>
          </w:p>
        </w:tc>
        <w:tc>
          <w:tcPr>
            <w:tcW w:w="949" w:type="dxa"/>
            <w:tcBorders>
              <w:top w:val="single" w:sz="6" w:space="0" w:color="1E4496" w:themeColor="text2"/>
            </w:tcBorders>
            <w:tcMar>
              <w:top w:w="113" w:type="dxa"/>
              <w:left w:w="113" w:type="dxa"/>
              <w:bottom w:w="113" w:type="dxa"/>
              <w:right w:w="113" w:type="dxa"/>
            </w:tcMar>
            <w:vAlign w:val="center"/>
          </w:tcPr>
          <w:p w14:paraId="63D23DAA" w14:textId="77777777" w:rsidR="00AF6C73" w:rsidRPr="00AF6C73" w:rsidRDefault="00AF6C73" w:rsidP="00AF6C73">
            <w:pPr>
              <w:pStyle w:val="CDITable-RowCentre"/>
            </w:pPr>
            <w:r w:rsidRPr="00AF6C73">
              <w:t>19</w:t>
            </w:r>
          </w:p>
        </w:tc>
        <w:tc>
          <w:tcPr>
            <w:tcW w:w="950" w:type="dxa"/>
            <w:tcBorders>
              <w:top w:val="single" w:sz="6" w:space="0" w:color="1E4496" w:themeColor="text2"/>
            </w:tcBorders>
            <w:tcMar>
              <w:top w:w="113" w:type="dxa"/>
              <w:left w:w="113" w:type="dxa"/>
              <w:bottom w:w="113" w:type="dxa"/>
              <w:right w:w="113" w:type="dxa"/>
            </w:tcMar>
            <w:vAlign w:val="center"/>
          </w:tcPr>
          <w:p w14:paraId="13948BA9" w14:textId="77777777" w:rsidR="00AF6C73" w:rsidRPr="00AF6C73" w:rsidRDefault="00AF6C73" w:rsidP="00AF6C73">
            <w:pPr>
              <w:pStyle w:val="CDITable-RowCentre"/>
            </w:pPr>
            <w:r w:rsidRPr="00AF6C73">
              <w:t>25.3</w:t>
            </w:r>
          </w:p>
        </w:tc>
      </w:tr>
      <w:tr w:rsidR="00AF6C73" w:rsidRPr="00AF6C73" w14:paraId="13BFC4C7" w14:textId="77777777" w:rsidTr="00AF6C73">
        <w:trPr>
          <w:trHeight w:val="60"/>
        </w:trPr>
        <w:tc>
          <w:tcPr>
            <w:tcW w:w="167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DD77A06" w14:textId="77777777" w:rsidR="00AF6C73" w:rsidRPr="00AF6C73" w:rsidRDefault="00AF6C73" w:rsidP="00AF6C73">
            <w:pPr>
              <w:pStyle w:val="CDITable-TotalRowLeft"/>
            </w:pPr>
            <w:r w:rsidRPr="00AF6C73">
              <w:t>Australia</w:t>
            </w:r>
          </w:p>
        </w:tc>
        <w:tc>
          <w:tcPr>
            <w:tcW w:w="113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E712B59" w14:textId="77777777" w:rsidR="00AF6C73" w:rsidRPr="00AF6C73" w:rsidRDefault="00AF6C73" w:rsidP="00AF6C73">
            <w:pPr>
              <w:pStyle w:val="CDITable-TotalRowCentre"/>
            </w:pPr>
            <w:r w:rsidRPr="00AF6C73">
              <w:t>10,702</w:t>
            </w:r>
          </w:p>
        </w:tc>
        <w:tc>
          <w:tcPr>
            <w:tcW w:w="95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698AFC7" w14:textId="77777777" w:rsidR="00AF6C73" w:rsidRPr="00AF6C73" w:rsidRDefault="00AF6C73" w:rsidP="00AF6C73">
            <w:pPr>
              <w:pStyle w:val="CDITable-TotalRowCentre"/>
            </w:pPr>
            <w:r w:rsidRPr="00AF6C73">
              <w:t>489</w:t>
            </w:r>
          </w:p>
        </w:tc>
        <w:tc>
          <w:tcPr>
            <w:tcW w:w="95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A9C32D7" w14:textId="77777777" w:rsidR="00AF6C73" w:rsidRPr="00AF6C73" w:rsidRDefault="00AF6C73" w:rsidP="00AF6C73">
            <w:pPr>
              <w:pStyle w:val="CDITable-TotalRowCentre"/>
            </w:pPr>
            <w:r w:rsidRPr="00AF6C73">
              <w:t>4.6</w:t>
            </w:r>
          </w:p>
        </w:tc>
        <w:tc>
          <w:tcPr>
            <w:tcW w:w="113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557623D" w14:textId="77777777" w:rsidR="00AF6C73" w:rsidRPr="00AF6C73" w:rsidRDefault="00AF6C73" w:rsidP="00AF6C73">
            <w:pPr>
              <w:pStyle w:val="CDITable-TotalRowCentre"/>
            </w:pPr>
            <w:r w:rsidRPr="00AF6C73">
              <w:t>9,726</w:t>
            </w:r>
          </w:p>
        </w:tc>
        <w:tc>
          <w:tcPr>
            <w:tcW w:w="95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4606281" w14:textId="77777777" w:rsidR="00AF6C73" w:rsidRPr="00AF6C73" w:rsidRDefault="00AF6C73" w:rsidP="00AF6C73">
            <w:pPr>
              <w:pStyle w:val="CDITable-TotalRowCentre"/>
            </w:pPr>
            <w:r w:rsidRPr="00AF6C73">
              <w:t>5,595</w:t>
            </w:r>
          </w:p>
        </w:tc>
        <w:tc>
          <w:tcPr>
            <w:tcW w:w="95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0AFA604" w14:textId="77777777" w:rsidR="00AF6C73" w:rsidRPr="00AF6C73" w:rsidRDefault="00AF6C73" w:rsidP="00AF6C73">
            <w:pPr>
              <w:pStyle w:val="CDITable-TotalRowCentre"/>
            </w:pPr>
            <w:r w:rsidRPr="00AF6C73">
              <w:t>57.5</w:t>
            </w:r>
          </w:p>
        </w:tc>
        <w:tc>
          <w:tcPr>
            <w:tcW w:w="94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D808EF0" w14:textId="77777777" w:rsidR="00AF6C73" w:rsidRPr="00AF6C73" w:rsidRDefault="00AF6C73" w:rsidP="00AF6C73">
            <w:pPr>
              <w:pStyle w:val="CDITable-TotalRowCentre"/>
            </w:pPr>
            <w:r w:rsidRPr="00AF6C73">
              <w:t>3,000</w:t>
            </w:r>
          </w:p>
        </w:tc>
        <w:tc>
          <w:tcPr>
            <w:tcW w:w="95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7F882D3" w14:textId="77777777" w:rsidR="00AF6C73" w:rsidRPr="00AF6C73" w:rsidRDefault="00AF6C73" w:rsidP="00AF6C73">
            <w:pPr>
              <w:pStyle w:val="CDITable-TotalRowCentre"/>
            </w:pPr>
            <w:r w:rsidRPr="00AF6C73">
              <w:t>30.8</w:t>
            </w:r>
          </w:p>
        </w:tc>
      </w:tr>
    </w:tbl>
    <w:p w14:paraId="6A76F8D4" w14:textId="77777777" w:rsidR="00620821" w:rsidRDefault="00620821" w:rsidP="00620821">
      <w:pPr>
        <w:pStyle w:val="CDITable-FirstFootnote"/>
      </w:pPr>
      <w:r>
        <w:t>a</w:t>
      </w:r>
      <w:r>
        <w:tab/>
        <w:t>Includes resistant and high-level resistant strains.</w:t>
      </w:r>
    </w:p>
    <w:p w14:paraId="06E1867C" w14:textId="2E3A4B7C" w:rsidR="00AF6C73" w:rsidRDefault="00620821" w:rsidP="00AF6C73">
      <w:pPr>
        <w:pStyle w:val="CDITable-Footnote"/>
      </w:pPr>
      <w:r>
        <w:t>b</w:t>
      </w:r>
      <w:r>
        <w:tab/>
        <w:t>A subset of NG isolates (9,726/10,702; 91%,) underwent AST with ciprofloxacin and penicillin.</w:t>
      </w:r>
      <w:r w:rsidR="00AF6C73">
        <w:br w:type="page"/>
      </w:r>
    </w:p>
    <w:p w14:paraId="45AA84AB" w14:textId="2202BDD0" w:rsidR="00620821" w:rsidRPr="00620821" w:rsidRDefault="00620821" w:rsidP="00620821">
      <w:pPr>
        <w:pStyle w:val="Heading3"/>
        <w:rPr>
          <w:lang w:val="en-GB"/>
        </w:rPr>
      </w:pPr>
      <w:r w:rsidRPr="00620821">
        <w:rPr>
          <w:lang w:val="en-GB"/>
        </w:rPr>
        <w:lastRenderedPageBreak/>
        <w:t>Ceftriaxone</w:t>
      </w:r>
    </w:p>
    <w:p w14:paraId="39B07CF2" w14:textId="0CE540E7" w:rsidR="00620821" w:rsidRPr="00620821" w:rsidRDefault="00620821" w:rsidP="00620821">
      <w:pPr>
        <w:rPr>
          <w:lang w:val="en-GB"/>
        </w:rPr>
      </w:pPr>
      <w:r w:rsidRPr="00620821">
        <w:rPr>
          <w:lang w:val="en-GB"/>
        </w:rPr>
        <w:t>Gonococcal isolates with ceftriaxone MIC values ≥ 0.125 mgL are considered to have DS in accordance with WHO.</w:t>
      </w:r>
      <w:r w:rsidRPr="00620821">
        <w:rPr>
          <w:vertAlign w:val="superscript"/>
          <w:lang w:val="en-GB"/>
        </w:rPr>
        <w:t>7</w:t>
      </w:r>
      <w:r w:rsidRPr="00620821">
        <w:rPr>
          <w:lang w:val="en-GB"/>
        </w:rPr>
        <w:t xml:space="preserve"> The AGSP have detected and reported ceftriaxone </w:t>
      </w:r>
      <w:proofErr w:type="gramStart"/>
      <w:r w:rsidRPr="00620821">
        <w:rPr>
          <w:lang w:val="en-GB"/>
        </w:rPr>
        <w:t>DS, and</w:t>
      </w:r>
      <w:proofErr w:type="gramEnd"/>
      <w:r w:rsidRPr="00620821">
        <w:rPr>
          <w:lang w:val="en-GB"/>
        </w:rPr>
        <w:t xml:space="preserve"> isolates with a ceftriaxone MIC value ≥ 0.064 mg/L, in Australia since 2001 (Tables 4 and 5). In 2024, there were 55 ceftriaxone DS</w:t>
      </w:r>
      <w:r w:rsidRPr="00620821">
        <w:rPr>
          <w:vertAlign w:val="superscript"/>
          <w:lang w:val="en-GB"/>
        </w:rPr>
        <w:t>7</w:t>
      </w:r>
      <w:r w:rsidRPr="00620821">
        <w:rPr>
          <w:lang w:val="en-GB"/>
        </w:rPr>
        <w:t xml:space="preserve"> isolates reported across Australia, from New South Wales (23); Victoria (18); non-remote Western Australia (6); Queensland (4); South Australia (3); and Tasmania (1). This was a greater than two-fold increase in reporting of ceftriaxone DS NG from 2023 (0.22%), with the increase resulting largely from New South Wales and Victoria. Genomic analysis from the NNN Laboratories of 42/55 isolates (76.4%) with ceftriaxone MIC ≥ 0.125 mg/L (range: 0.125–1 mg/L) detected the </w:t>
      </w:r>
      <w:r w:rsidRPr="00620821">
        <w:rPr>
          <w:i/>
          <w:iCs/>
          <w:lang w:val="en-GB"/>
        </w:rPr>
        <w:t>penA</w:t>
      </w:r>
      <w:r w:rsidRPr="00620821">
        <w:rPr>
          <w:lang w:val="en-GB"/>
        </w:rPr>
        <w:t xml:space="preserve"> allele </w:t>
      </w:r>
      <w:r w:rsidRPr="00620821">
        <w:rPr>
          <w:i/>
          <w:iCs/>
          <w:lang w:val="en-GB"/>
        </w:rPr>
        <w:t>60.001</w:t>
      </w:r>
      <w:r w:rsidRPr="00620821">
        <w:rPr>
          <w:lang w:val="en-GB"/>
        </w:rPr>
        <w:t>, the key alteration encoding the penicillin binding protein 2 associated with ceftriaxone resistance. Three (3) of 55 isolates (5.5%) had ceftriaxone MIC</w:t>
      </w:r>
      <w:r w:rsidR="00AF6C73">
        <w:rPr>
          <w:lang w:val="en-GB"/>
        </w:rPr>
        <w:t> </w:t>
      </w:r>
      <w:r w:rsidRPr="00620821">
        <w:rPr>
          <w:lang w:val="en-GB"/>
        </w:rPr>
        <w:t>≥</w:t>
      </w:r>
      <w:r w:rsidR="00AF6C73">
        <w:rPr>
          <w:lang w:val="en-GB"/>
        </w:rPr>
        <w:t> </w:t>
      </w:r>
      <w:r w:rsidRPr="00620821">
        <w:rPr>
          <w:lang w:val="en-GB"/>
        </w:rPr>
        <w:t>0.125</w:t>
      </w:r>
      <w:r w:rsidR="00AF6C73">
        <w:rPr>
          <w:lang w:val="en-GB"/>
        </w:rPr>
        <w:t> </w:t>
      </w:r>
      <w:r w:rsidRPr="00620821">
        <w:rPr>
          <w:lang w:val="en-GB"/>
        </w:rPr>
        <w:t xml:space="preserve">mg/L and carried the </w:t>
      </w:r>
      <w:r w:rsidRPr="00620821">
        <w:rPr>
          <w:i/>
          <w:iCs/>
          <w:lang w:val="en-GB"/>
        </w:rPr>
        <w:t>penA 237.001</w:t>
      </w:r>
      <w:r w:rsidRPr="00620821">
        <w:rPr>
          <w:lang w:val="en-GB"/>
        </w:rPr>
        <w:t xml:space="preserve"> allele, which shares 98.7% sequence homology with </w:t>
      </w:r>
      <w:r w:rsidRPr="00620821">
        <w:rPr>
          <w:i/>
          <w:iCs/>
          <w:lang w:val="en-GB"/>
        </w:rPr>
        <w:t>penA 60.001</w:t>
      </w:r>
      <w:r w:rsidRPr="00620821">
        <w:rPr>
          <w:lang w:val="en-GB"/>
        </w:rPr>
        <w:t>. These isolates belonged to multi-locus sequence type (MLST) ST-1901, consistent with the FC-428 clone lineage.</w:t>
      </w:r>
      <w:r w:rsidRPr="00620821">
        <w:rPr>
          <w:vertAlign w:val="superscript"/>
          <w:lang w:val="en-GB"/>
        </w:rPr>
        <w:t>19</w:t>
      </w:r>
      <w:r w:rsidRPr="00620821">
        <w:rPr>
          <w:lang w:val="en-GB"/>
        </w:rPr>
        <w:t xml:space="preserve"> Public Health investigations were conducted at the jurisdictional level, with limited available travel history, and concerningly, 5 of the 42 cases reported no travel was involved with acquisition of the infection, indicating local transmission. </w:t>
      </w:r>
    </w:p>
    <w:p w14:paraId="42B62E2D" w14:textId="77777777" w:rsidR="00620821" w:rsidRPr="00620821" w:rsidRDefault="00620821" w:rsidP="00620821">
      <w:pPr>
        <w:rPr>
          <w:lang w:val="en-GB"/>
        </w:rPr>
      </w:pPr>
      <w:r w:rsidRPr="00620821">
        <w:rPr>
          <w:lang w:val="en-GB"/>
        </w:rPr>
        <w:t>Nine (9) of the 55 isolates (16.4%) with ceftriaxone DS (MIC ≥ 0.125 mg/L) had an extensively drug resistant (XDR) profile,</w:t>
      </w:r>
      <w:r w:rsidRPr="00620821">
        <w:rPr>
          <w:vertAlign w:val="superscript"/>
          <w:lang w:val="en-GB"/>
        </w:rPr>
        <w:t>19</w:t>
      </w:r>
      <w:r w:rsidRPr="00620821">
        <w:rPr>
          <w:lang w:val="en-GB"/>
        </w:rPr>
        <w:t xml:space="preserve"> with additional resistance to penicillin and ciprofloxacin and high-level azithromycin resistance (MIC value, ≥ 256 mgL). These XDR isolates were reported from Victoria (4), Western Australia (3), Queensland (1) and South Australia (1), and were identified by genomics as ST-16406, with the mosaic </w:t>
      </w:r>
      <w:r w:rsidRPr="00620821">
        <w:rPr>
          <w:i/>
          <w:iCs/>
          <w:lang w:val="en-GB"/>
        </w:rPr>
        <w:t>penA 60.001</w:t>
      </w:r>
      <w:r w:rsidRPr="00620821">
        <w:rPr>
          <w:lang w:val="en-GB"/>
        </w:rPr>
        <w:t xml:space="preserve"> allele detected, the same sequence type reported in 2022.</w:t>
      </w:r>
      <w:r w:rsidRPr="00620821">
        <w:rPr>
          <w:vertAlign w:val="superscript"/>
          <w:lang w:val="en-GB"/>
        </w:rPr>
        <w:t>20</w:t>
      </w:r>
      <w:r w:rsidRPr="00620821">
        <w:rPr>
          <w:lang w:val="en-GB"/>
        </w:rPr>
        <w:t xml:space="preserve"> Where available, travel information was reported as Asia-Pacific contact; three infections were reported to be locally acquired. </w:t>
      </w:r>
    </w:p>
    <w:p w14:paraId="62163B27" w14:textId="5E388B55" w:rsidR="00620821" w:rsidRPr="00620821" w:rsidRDefault="00620821" w:rsidP="00620821">
      <w:pPr>
        <w:pStyle w:val="Heading3"/>
        <w:rPr>
          <w:lang w:val="en-GB"/>
        </w:rPr>
      </w:pPr>
      <w:r w:rsidRPr="00620821">
        <w:rPr>
          <w:lang w:val="en-GB"/>
        </w:rPr>
        <w:t>Azithromycin</w:t>
      </w:r>
    </w:p>
    <w:p w14:paraId="51F79810" w14:textId="77777777" w:rsidR="00AF6C73" w:rsidRDefault="00620821" w:rsidP="00620821">
      <w:pPr>
        <w:rPr>
          <w:lang w:val="en-GB"/>
        </w:rPr>
        <w:sectPr w:rsidR="00AF6C73" w:rsidSect="001E3ECB">
          <w:headerReference w:type="even" r:id="rId19"/>
          <w:headerReference w:type="default" r:id="rId20"/>
          <w:footerReference w:type="even" r:id="rId21"/>
          <w:footerReference w:type="default" r:id="rId22"/>
          <w:headerReference w:type="first" r:id="rId23"/>
          <w:footerReference w:type="first" r:id="rId24"/>
          <w:footnotePr>
            <w:numFmt w:val="lowerRoman"/>
          </w:footnotePr>
          <w:pgSz w:w="11907" w:h="16840" w:code="9"/>
          <w:pgMar w:top="1134" w:right="1134" w:bottom="1134" w:left="1134" w:header="709" w:footer="567" w:gutter="0"/>
          <w:cols w:space="708"/>
          <w:docGrid w:linePitch="360"/>
        </w:sectPr>
      </w:pPr>
      <w:r w:rsidRPr="00620821">
        <w:rPr>
          <w:lang w:val="en-GB"/>
        </w:rPr>
        <w:t>Low-level azithromycin resistance is linked to mutations in ribosomal proteins and the multiple transferable resistance (</w:t>
      </w:r>
      <w:proofErr w:type="spellStart"/>
      <w:r w:rsidRPr="00620821">
        <w:rPr>
          <w:lang w:val="en-GB"/>
        </w:rPr>
        <w:t>Mtr</w:t>
      </w:r>
      <w:proofErr w:type="spellEnd"/>
      <w:r w:rsidRPr="00620821">
        <w:rPr>
          <w:lang w:val="en-GB"/>
        </w:rPr>
        <w:t>) CDE efflux pump, while high-level resistance is associated with 23S rRNA mutations.</w:t>
      </w:r>
      <w:r w:rsidRPr="00620821">
        <w:rPr>
          <w:vertAlign w:val="superscript"/>
          <w:lang w:val="en-GB"/>
        </w:rPr>
        <w:t>21</w:t>
      </w:r>
      <w:r w:rsidRPr="00620821">
        <w:rPr>
          <w:lang w:val="en-GB"/>
        </w:rPr>
        <w:t xml:space="preserve"> Nationally, in 2024, azithromycin resistance was detected in 4.6% of isolates (Table 3), similar to the proportion reported in 2023 (4.5%).</w:t>
      </w:r>
      <w:r w:rsidRPr="00620821">
        <w:rPr>
          <w:vertAlign w:val="superscript"/>
          <w:lang w:val="en-GB"/>
        </w:rPr>
        <w:t>22</w:t>
      </w:r>
      <w:r w:rsidRPr="00620821">
        <w:rPr>
          <w:lang w:val="en-GB"/>
        </w:rPr>
        <w:t xml:space="preserve"> Since 2012, the rate of azithromycin resistance increased from 1.3% to a peak of 9.3% in 2017, then declined to 3.9% in 2020, and has since remained stable, ranging from 3.9% to 4.7% between 2021 and 2024 (Table 6). Azithromycin-resistant NG was reported in all jurisdictions in Australia and resistance rates were highest in Victoria (6.2%), non-remote Western Australia (5.8%), South Australia (4.6%), and Tasmania (4.5%) (Tables 5 and 6). In 2024, high-level resistance to azithromycin (MIC ≥ 256 mg/L) was detected in 46 isolates (including those 9 NG with an XDR profile) across Australia from New South Wales (26), Victoria (8), Queensland (5), non-remote Western Australia (3), South Australia (2) and the Australian Capital Territory (2). The number of detections of these isolates increased from 27 (27/10,105) in 2023; the total of 46 is the highest number of isolates displaying high-level azithromycin resistance ever reported by the AGSP. Genomic analysis identified ST-11200 as the most common sequence type, accounting for 60.9% (28/46) of these isolates, all from males and largely reported from New South Wales (22/28). </w:t>
      </w:r>
    </w:p>
    <w:p w14:paraId="3E04A5AE" w14:textId="77777777" w:rsidR="00CD252D" w:rsidRPr="00CD252D" w:rsidRDefault="00CD252D" w:rsidP="00CD252D">
      <w:pPr>
        <w:pStyle w:val="CDITable-Title"/>
        <w:spacing w:before="0"/>
        <w:rPr>
          <w:lang w:val="en-GB"/>
        </w:rPr>
      </w:pPr>
      <w:bookmarkStart w:id="29" w:name="_Toc213238235"/>
      <w:r w:rsidRPr="00CD252D">
        <w:rPr>
          <w:lang w:val="en-GB"/>
        </w:rPr>
        <w:lastRenderedPageBreak/>
        <w:t>Table 4: Number and proportion (%) of gonococcal isolates with ceftriaxone MIC values ≥ 0.064 mg/L, Australia, 2014 to 2024, by state or territory</w:t>
      </w:r>
      <w:bookmarkEnd w:id="29"/>
    </w:p>
    <w:tbl>
      <w:tblPr>
        <w:tblW w:w="0" w:type="auto"/>
        <w:tblLayout w:type="fixed"/>
        <w:tblCellMar>
          <w:left w:w="0" w:type="dxa"/>
          <w:right w:w="0" w:type="dxa"/>
        </w:tblCellMar>
        <w:tblLook w:val="0000" w:firstRow="0" w:lastRow="0" w:firstColumn="0" w:lastColumn="0" w:noHBand="0" w:noVBand="0"/>
        <w:tblCaption w:val="Table 4: Number and proportion (%) of gonococcal isolates with ceftriaxone MIC values ≥ 0.064 mg/L, Australia, 2014 to 2024, by state or territory"/>
        <w:tblDescription w:val="Table 4 shows the number and proportion as a percentage of gonococcal isolates with ceftriaxone MIC values ≥0.064mg/L as historically reported over the years 2014 to 2024, by state or territory. In Australia the proportion was 5.4% in 2014 and then gradually decreased to 0.9% in 2021, where it has remained relatively stable.  In 2022, there was a surge of these strains reported, reaching 5.6% nationally and largely represented by New South Wales (12%). In 2023, the proportion of has decreased to 3.5% and continued to wane to 2.80% in 2024. Remote Western Australian and Northern Territory data were de-aggregated from 2014."/>
      </w:tblPr>
      <w:tblGrid>
        <w:gridCol w:w="1672"/>
        <w:gridCol w:w="578"/>
        <w:gridCol w:w="577"/>
        <w:gridCol w:w="577"/>
        <w:gridCol w:w="577"/>
        <w:gridCol w:w="578"/>
        <w:gridCol w:w="577"/>
        <w:gridCol w:w="577"/>
        <w:gridCol w:w="577"/>
        <w:gridCol w:w="578"/>
        <w:gridCol w:w="577"/>
        <w:gridCol w:w="577"/>
        <w:gridCol w:w="577"/>
        <w:gridCol w:w="578"/>
        <w:gridCol w:w="577"/>
        <w:gridCol w:w="577"/>
        <w:gridCol w:w="577"/>
        <w:gridCol w:w="577"/>
        <w:gridCol w:w="578"/>
        <w:gridCol w:w="577"/>
        <w:gridCol w:w="577"/>
        <w:gridCol w:w="577"/>
        <w:gridCol w:w="578"/>
      </w:tblGrid>
      <w:tr w:rsidR="00CD252D" w:rsidRPr="00CD252D" w14:paraId="591E9AB2" w14:textId="77777777" w:rsidTr="00CD252D">
        <w:trPr>
          <w:trHeight w:val="20"/>
          <w:tblHeader/>
        </w:trPr>
        <w:tc>
          <w:tcPr>
            <w:tcW w:w="1672" w:type="dxa"/>
            <w:vMerge w:val="restart"/>
            <w:shd w:val="clear" w:color="auto" w:fill="1E4496" w:themeFill="text2"/>
            <w:tcMar>
              <w:top w:w="113" w:type="dxa"/>
              <w:left w:w="113" w:type="dxa"/>
              <w:bottom w:w="113" w:type="dxa"/>
              <w:right w:w="113" w:type="dxa"/>
            </w:tcMar>
            <w:vAlign w:val="bottom"/>
          </w:tcPr>
          <w:p w14:paraId="1902FAE6" w14:textId="77777777" w:rsidR="00CD252D" w:rsidRPr="00CD252D" w:rsidRDefault="00CD252D" w:rsidP="00CD252D">
            <w:pPr>
              <w:pStyle w:val="CDITable-HeaderRowLeft"/>
            </w:pPr>
            <w:r w:rsidRPr="00CD252D">
              <w:t>State or territory</w:t>
            </w:r>
          </w:p>
        </w:tc>
        <w:tc>
          <w:tcPr>
            <w:tcW w:w="12700" w:type="dxa"/>
            <w:gridSpan w:val="22"/>
            <w:shd w:val="clear" w:color="auto" w:fill="1E4496" w:themeFill="text2"/>
            <w:tcMar>
              <w:top w:w="113" w:type="dxa"/>
              <w:left w:w="113" w:type="dxa"/>
              <w:bottom w:w="113" w:type="dxa"/>
              <w:right w:w="113" w:type="dxa"/>
            </w:tcMar>
            <w:vAlign w:val="bottom"/>
          </w:tcPr>
          <w:p w14:paraId="226007F9" w14:textId="77777777" w:rsidR="00CD252D" w:rsidRPr="00CD252D" w:rsidRDefault="00CD252D" w:rsidP="00CD252D">
            <w:pPr>
              <w:pStyle w:val="CDITable-HeaderRowCentre"/>
            </w:pPr>
            <w:r w:rsidRPr="00CA1B85">
              <w:rPr>
                <w:i/>
                <w:iCs/>
              </w:rPr>
              <w:t>Neisseria gonorrhoeae</w:t>
            </w:r>
            <w:r w:rsidRPr="00CD252D">
              <w:t xml:space="preserve"> isolates with ceftriaxone MIC values ≥ 0.064 mg/L</w:t>
            </w:r>
          </w:p>
        </w:tc>
      </w:tr>
      <w:tr w:rsidR="00CD252D" w:rsidRPr="00CD252D" w14:paraId="19EC9FF8" w14:textId="77777777" w:rsidTr="00CD252D">
        <w:trPr>
          <w:trHeight w:val="20"/>
          <w:tblHeader/>
        </w:trPr>
        <w:tc>
          <w:tcPr>
            <w:tcW w:w="1672" w:type="dxa"/>
            <w:vMerge/>
            <w:shd w:val="clear" w:color="auto" w:fill="1E4496" w:themeFill="text2"/>
          </w:tcPr>
          <w:p w14:paraId="06218432" w14:textId="77777777" w:rsidR="00CD252D" w:rsidRPr="00CD252D" w:rsidRDefault="00CD252D" w:rsidP="00CD252D"/>
        </w:tc>
        <w:tc>
          <w:tcPr>
            <w:tcW w:w="11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ED92A5C" w14:textId="77777777" w:rsidR="00CD252D" w:rsidRPr="00CD252D" w:rsidRDefault="00CD252D" w:rsidP="00CD252D">
            <w:pPr>
              <w:pStyle w:val="CDITable-HeaderRowCentre"/>
            </w:pPr>
            <w:r w:rsidRPr="00CD252D">
              <w:t>2014</w:t>
            </w:r>
          </w:p>
        </w:tc>
        <w:tc>
          <w:tcPr>
            <w:tcW w:w="1154"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C3AEE19" w14:textId="77777777" w:rsidR="00CD252D" w:rsidRPr="00CD252D" w:rsidRDefault="00CD252D" w:rsidP="00CD252D">
            <w:pPr>
              <w:pStyle w:val="CDITable-HeaderRowCentre"/>
            </w:pPr>
            <w:r w:rsidRPr="00CD252D">
              <w:t>2015</w:t>
            </w:r>
          </w:p>
        </w:tc>
        <w:tc>
          <w:tcPr>
            <w:tcW w:w="11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BCD3DBF" w14:textId="77777777" w:rsidR="00CD252D" w:rsidRPr="00CD252D" w:rsidRDefault="00CD252D" w:rsidP="00CD252D">
            <w:pPr>
              <w:pStyle w:val="CDITable-HeaderRowCentre"/>
            </w:pPr>
            <w:r w:rsidRPr="00CD252D">
              <w:t>2016</w:t>
            </w:r>
          </w:p>
        </w:tc>
        <w:tc>
          <w:tcPr>
            <w:tcW w:w="1154"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BC6D495" w14:textId="77777777" w:rsidR="00CD252D" w:rsidRPr="00CD252D" w:rsidRDefault="00CD252D" w:rsidP="00CD252D">
            <w:pPr>
              <w:pStyle w:val="CDITable-HeaderRowCentre"/>
            </w:pPr>
            <w:r w:rsidRPr="00CD252D">
              <w:t>2017</w:t>
            </w:r>
          </w:p>
        </w:tc>
        <w:tc>
          <w:tcPr>
            <w:tcW w:w="11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65D605E8" w14:textId="77777777" w:rsidR="00CD252D" w:rsidRPr="00CD252D" w:rsidRDefault="00CD252D" w:rsidP="00CD252D">
            <w:pPr>
              <w:pStyle w:val="CDITable-HeaderRowCentre"/>
            </w:pPr>
            <w:r w:rsidRPr="00CD252D">
              <w:t>2018</w:t>
            </w:r>
          </w:p>
        </w:tc>
        <w:tc>
          <w:tcPr>
            <w:tcW w:w="1154"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EAD94CF" w14:textId="77777777" w:rsidR="00CD252D" w:rsidRPr="00CD252D" w:rsidRDefault="00CD252D" w:rsidP="00CD252D">
            <w:pPr>
              <w:pStyle w:val="CDITable-HeaderRowCentre"/>
            </w:pPr>
            <w:r w:rsidRPr="00CD252D">
              <w:t>2019</w:t>
            </w:r>
          </w:p>
        </w:tc>
        <w:tc>
          <w:tcPr>
            <w:tcW w:w="11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432A8E2" w14:textId="77777777" w:rsidR="00CD252D" w:rsidRPr="00CD252D" w:rsidRDefault="00CD252D" w:rsidP="00CD252D">
            <w:pPr>
              <w:pStyle w:val="CDITable-HeaderRowCentre"/>
            </w:pPr>
            <w:r w:rsidRPr="00CD252D">
              <w:t>2020</w:t>
            </w:r>
          </w:p>
        </w:tc>
        <w:tc>
          <w:tcPr>
            <w:tcW w:w="1154"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6685BE37" w14:textId="77777777" w:rsidR="00CD252D" w:rsidRPr="00CD252D" w:rsidRDefault="00CD252D" w:rsidP="00CD252D">
            <w:pPr>
              <w:pStyle w:val="CDITable-HeaderRowCentre"/>
            </w:pPr>
            <w:r w:rsidRPr="00CD252D">
              <w:t>2021</w:t>
            </w:r>
          </w:p>
        </w:tc>
        <w:tc>
          <w:tcPr>
            <w:tcW w:w="11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3DF3533" w14:textId="77777777" w:rsidR="00CD252D" w:rsidRPr="00CD252D" w:rsidRDefault="00CD252D" w:rsidP="00CD252D">
            <w:pPr>
              <w:pStyle w:val="CDITable-HeaderRowCentre"/>
            </w:pPr>
            <w:r w:rsidRPr="00CD252D">
              <w:t>2022</w:t>
            </w:r>
          </w:p>
        </w:tc>
        <w:tc>
          <w:tcPr>
            <w:tcW w:w="1154"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508AA9D" w14:textId="77777777" w:rsidR="00CD252D" w:rsidRPr="00CD252D" w:rsidRDefault="00CD252D" w:rsidP="00CD252D">
            <w:pPr>
              <w:pStyle w:val="CDITable-HeaderRowCentre"/>
            </w:pPr>
            <w:r w:rsidRPr="00CD252D">
              <w:t>2023</w:t>
            </w:r>
          </w:p>
        </w:tc>
        <w:tc>
          <w:tcPr>
            <w:tcW w:w="11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8860EA6" w14:textId="77777777" w:rsidR="00CD252D" w:rsidRPr="00CD252D" w:rsidRDefault="00CD252D" w:rsidP="00CD252D">
            <w:pPr>
              <w:pStyle w:val="CDITable-HeaderRowCentre"/>
            </w:pPr>
            <w:r w:rsidRPr="00CD252D">
              <w:t>2024</w:t>
            </w:r>
          </w:p>
        </w:tc>
      </w:tr>
      <w:tr w:rsidR="00CD252D" w:rsidRPr="00CD252D" w14:paraId="710D52B4" w14:textId="77777777" w:rsidTr="00CD252D">
        <w:trPr>
          <w:trHeight w:val="20"/>
          <w:tblHeader/>
        </w:trPr>
        <w:tc>
          <w:tcPr>
            <w:tcW w:w="1672" w:type="dxa"/>
            <w:vMerge/>
            <w:shd w:val="clear" w:color="auto" w:fill="1E4496" w:themeFill="text2"/>
          </w:tcPr>
          <w:p w14:paraId="25C1A046" w14:textId="77777777" w:rsidR="00CD252D" w:rsidRPr="00CD252D" w:rsidRDefault="00CD252D" w:rsidP="00CD252D"/>
        </w:tc>
        <w:tc>
          <w:tcPr>
            <w:tcW w:w="57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02E533B"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C3BC1F1"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7B8C2DA3"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BBFC66B" w14:textId="77777777" w:rsidR="00CD252D" w:rsidRPr="00CD252D" w:rsidRDefault="00CD252D" w:rsidP="00CD252D">
            <w:pPr>
              <w:pStyle w:val="CDITable-HeaderRowCentre"/>
            </w:pPr>
            <w:r w:rsidRPr="00CD252D">
              <w:t>%</w:t>
            </w:r>
          </w:p>
        </w:tc>
        <w:tc>
          <w:tcPr>
            <w:tcW w:w="578"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72BC89F"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5BC35C3"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0671D95"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2EE6A942" w14:textId="77777777" w:rsidR="00CD252D" w:rsidRPr="00CD252D" w:rsidRDefault="00CD252D" w:rsidP="00CD252D">
            <w:pPr>
              <w:pStyle w:val="CDITable-HeaderRowCentre"/>
            </w:pPr>
            <w:r w:rsidRPr="00CD252D">
              <w:t>%</w:t>
            </w:r>
          </w:p>
        </w:tc>
        <w:tc>
          <w:tcPr>
            <w:tcW w:w="578"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61F8116E"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4C19B9B"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127B3957"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1C5382A5" w14:textId="77777777" w:rsidR="00CD252D" w:rsidRPr="00CD252D" w:rsidRDefault="00CD252D" w:rsidP="00CD252D">
            <w:pPr>
              <w:pStyle w:val="CDITable-HeaderRowCentre"/>
            </w:pPr>
            <w:r w:rsidRPr="00CD252D">
              <w:t>%</w:t>
            </w:r>
          </w:p>
        </w:tc>
        <w:tc>
          <w:tcPr>
            <w:tcW w:w="578"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AC7A4B8"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8070A32"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711F1AD2"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154D164"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DF1C0C5" w14:textId="77777777" w:rsidR="00CD252D" w:rsidRPr="00CD252D" w:rsidRDefault="00CD252D" w:rsidP="00CD252D">
            <w:pPr>
              <w:pStyle w:val="CDITable-HeaderRowCentre"/>
            </w:pPr>
            <w:r w:rsidRPr="00CD252D">
              <w:t>n</w:t>
            </w:r>
          </w:p>
        </w:tc>
        <w:tc>
          <w:tcPr>
            <w:tcW w:w="57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E7D1E6E"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1054C23" w14:textId="77777777" w:rsidR="00CD252D" w:rsidRPr="00CD252D" w:rsidRDefault="00CD252D" w:rsidP="00CD252D">
            <w:pPr>
              <w:pStyle w:val="CDITable-HeaderRowCentre"/>
            </w:pPr>
            <w:r w:rsidRPr="00CD252D">
              <w:t>n</w:t>
            </w:r>
          </w:p>
        </w:tc>
        <w:tc>
          <w:tcPr>
            <w:tcW w:w="577"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3469D06" w14:textId="77777777" w:rsidR="00CD252D" w:rsidRPr="00CD252D" w:rsidRDefault="00CD252D" w:rsidP="00CD252D">
            <w:pPr>
              <w:pStyle w:val="CDITable-HeaderRowCentre"/>
            </w:pPr>
            <w:r w:rsidRPr="00CD252D">
              <w:t>%</w:t>
            </w:r>
          </w:p>
        </w:tc>
        <w:tc>
          <w:tcPr>
            <w:tcW w:w="57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702E5DE" w14:textId="77777777" w:rsidR="00CD252D" w:rsidRPr="00CD252D" w:rsidRDefault="00CD252D" w:rsidP="00CD252D">
            <w:pPr>
              <w:pStyle w:val="CDITable-HeaderRowCentre"/>
            </w:pPr>
            <w:r w:rsidRPr="00CD252D">
              <w:t>n</w:t>
            </w:r>
          </w:p>
        </w:tc>
        <w:tc>
          <w:tcPr>
            <w:tcW w:w="57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53944B3" w14:textId="77777777" w:rsidR="00CD252D" w:rsidRPr="00CD252D" w:rsidRDefault="00CD252D" w:rsidP="00CD252D">
            <w:pPr>
              <w:pStyle w:val="CDITable-HeaderRowCentre"/>
            </w:pPr>
            <w:r w:rsidRPr="00CD252D">
              <w:t>%</w:t>
            </w:r>
          </w:p>
        </w:tc>
      </w:tr>
      <w:tr w:rsidR="00CD252D" w:rsidRPr="00CD252D" w14:paraId="1067F3A2" w14:textId="77777777" w:rsidTr="00CD252D">
        <w:trPr>
          <w:trHeight w:val="20"/>
        </w:trPr>
        <w:tc>
          <w:tcPr>
            <w:tcW w:w="1672" w:type="dxa"/>
            <w:tcBorders>
              <w:bottom w:val="single" w:sz="6" w:space="0" w:color="1E4496" w:themeColor="text2"/>
            </w:tcBorders>
            <w:tcMar>
              <w:top w:w="113" w:type="dxa"/>
              <w:left w:w="113" w:type="dxa"/>
              <w:bottom w:w="113" w:type="dxa"/>
              <w:right w:w="113" w:type="dxa"/>
            </w:tcMar>
            <w:vAlign w:val="center"/>
          </w:tcPr>
          <w:p w14:paraId="272AAEC4" w14:textId="77777777" w:rsidR="00CD252D" w:rsidRPr="00CD252D" w:rsidRDefault="00CD252D" w:rsidP="00CD252D">
            <w:pPr>
              <w:pStyle w:val="CDITable-RowLeft"/>
            </w:pPr>
            <w:r w:rsidRPr="00CD252D">
              <w:t>Australian Capital Territory</w:t>
            </w:r>
          </w:p>
        </w:tc>
        <w:tc>
          <w:tcPr>
            <w:tcW w:w="578" w:type="dxa"/>
            <w:tcBorders>
              <w:bottom w:val="single" w:sz="6" w:space="0" w:color="1E4496" w:themeColor="text2"/>
            </w:tcBorders>
            <w:tcMar>
              <w:top w:w="113" w:type="dxa"/>
              <w:left w:w="113" w:type="dxa"/>
              <w:bottom w:w="113" w:type="dxa"/>
              <w:right w:w="113" w:type="dxa"/>
            </w:tcMar>
            <w:vAlign w:val="center"/>
          </w:tcPr>
          <w:p w14:paraId="2B7F53EB" w14:textId="77777777" w:rsidR="00CD252D" w:rsidRPr="00CD252D" w:rsidRDefault="00CD252D" w:rsidP="00CD252D">
            <w:pPr>
              <w:pStyle w:val="CDITable-RowCentre"/>
            </w:pPr>
            <w:r w:rsidRPr="00CD252D">
              <w:t>2</w:t>
            </w:r>
          </w:p>
        </w:tc>
        <w:tc>
          <w:tcPr>
            <w:tcW w:w="577" w:type="dxa"/>
            <w:tcBorders>
              <w:bottom w:val="single" w:sz="6" w:space="0" w:color="1E4496" w:themeColor="text2"/>
            </w:tcBorders>
            <w:tcMar>
              <w:top w:w="113" w:type="dxa"/>
              <w:left w:w="113" w:type="dxa"/>
              <w:bottom w:w="113" w:type="dxa"/>
              <w:right w:w="113" w:type="dxa"/>
            </w:tcMar>
            <w:vAlign w:val="center"/>
          </w:tcPr>
          <w:p w14:paraId="4EC3397C" w14:textId="77777777" w:rsidR="00CD252D" w:rsidRPr="00CD252D" w:rsidRDefault="00CD252D" w:rsidP="00CD252D">
            <w:pPr>
              <w:pStyle w:val="CDITable-RowCentre"/>
            </w:pPr>
            <w:r w:rsidRPr="00CD252D">
              <w:t>2.7</w:t>
            </w:r>
          </w:p>
        </w:tc>
        <w:tc>
          <w:tcPr>
            <w:tcW w:w="577" w:type="dxa"/>
            <w:tcBorders>
              <w:bottom w:val="single" w:sz="6" w:space="0" w:color="1E4496" w:themeColor="text2"/>
            </w:tcBorders>
            <w:tcMar>
              <w:top w:w="113" w:type="dxa"/>
              <w:left w:w="113" w:type="dxa"/>
              <w:bottom w:w="113" w:type="dxa"/>
              <w:right w:w="113" w:type="dxa"/>
            </w:tcMar>
            <w:vAlign w:val="center"/>
          </w:tcPr>
          <w:p w14:paraId="32811F17" w14:textId="77777777" w:rsidR="00CD252D" w:rsidRPr="00CD252D" w:rsidRDefault="00CD252D" w:rsidP="00CD252D">
            <w:pPr>
              <w:pStyle w:val="CDITable-RowCentre"/>
            </w:pPr>
            <w:r w:rsidRPr="00CD252D">
              <w:t>0</w:t>
            </w:r>
          </w:p>
        </w:tc>
        <w:tc>
          <w:tcPr>
            <w:tcW w:w="577" w:type="dxa"/>
            <w:tcBorders>
              <w:bottom w:val="single" w:sz="6" w:space="0" w:color="1E4496" w:themeColor="text2"/>
            </w:tcBorders>
            <w:tcMar>
              <w:top w:w="113" w:type="dxa"/>
              <w:left w:w="113" w:type="dxa"/>
              <w:bottom w:w="113" w:type="dxa"/>
              <w:right w:w="113" w:type="dxa"/>
            </w:tcMar>
            <w:vAlign w:val="center"/>
          </w:tcPr>
          <w:p w14:paraId="1E92956A" w14:textId="77777777" w:rsidR="00CD252D" w:rsidRPr="00CD252D" w:rsidRDefault="00CD252D" w:rsidP="00CD252D">
            <w:pPr>
              <w:pStyle w:val="CDITable-RowCentre"/>
            </w:pPr>
            <w:r w:rsidRPr="00CD252D">
              <w:t>0</w:t>
            </w:r>
          </w:p>
        </w:tc>
        <w:tc>
          <w:tcPr>
            <w:tcW w:w="578" w:type="dxa"/>
            <w:tcBorders>
              <w:bottom w:val="single" w:sz="6" w:space="0" w:color="1E4496" w:themeColor="text2"/>
            </w:tcBorders>
            <w:tcMar>
              <w:top w:w="113" w:type="dxa"/>
              <w:left w:w="113" w:type="dxa"/>
              <w:bottom w:w="113" w:type="dxa"/>
              <w:right w:w="113" w:type="dxa"/>
            </w:tcMar>
            <w:vAlign w:val="center"/>
          </w:tcPr>
          <w:p w14:paraId="787AD819" w14:textId="77777777" w:rsidR="00CD252D" w:rsidRPr="00CD252D" w:rsidRDefault="00CD252D" w:rsidP="00CD252D">
            <w:pPr>
              <w:pStyle w:val="CDITable-RowCentre"/>
            </w:pPr>
            <w:r w:rsidRPr="00CD252D">
              <w:t>1</w:t>
            </w:r>
          </w:p>
        </w:tc>
        <w:tc>
          <w:tcPr>
            <w:tcW w:w="577" w:type="dxa"/>
            <w:tcBorders>
              <w:bottom w:val="single" w:sz="6" w:space="0" w:color="1E4496" w:themeColor="text2"/>
            </w:tcBorders>
            <w:tcMar>
              <w:top w:w="113" w:type="dxa"/>
              <w:left w:w="113" w:type="dxa"/>
              <w:bottom w:w="113" w:type="dxa"/>
              <w:right w:w="113" w:type="dxa"/>
            </w:tcMar>
            <w:vAlign w:val="center"/>
          </w:tcPr>
          <w:p w14:paraId="1BC13A0F" w14:textId="77777777" w:rsidR="00CD252D" w:rsidRPr="00CD252D" w:rsidRDefault="00CD252D" w:rsidP="00CD252D">
            <w:pPr>
              <w:pStyle w:val="CDITable-RowCentre"/>
            </w:pPr>
            <w:r w:rsidRPr="00CD252D">
              <w:t>0.9</w:t>
            </w:r>
          </w:p>
        </w:tc>
        <w:tc>
          <w:tcPr>
            <w:tcW w:w="577" w:type="dxa"/>
            <w:tcBorders>
              <w:bottom w:val="single" w:sz="6" w:space="0" w:color="1E4496" w:themeColor="text2"/>
            </w:tcBorders>
            <w:tcMar>
              <w:top w:w="113" w:type="dxa"/>
              <w:left w:w="113" w:type="dxa"/>
              <w:bottom w:w="113" w:type="dxa"/>
              <w:right w:w="113" w:type="dxa"/>
            </w:tcMar>
            <w:vAlign w:val="center"/>
          </w:tcPr>
          <w:p w14:paraId="5EDD1868" w14:textId="77777777" w:rsidR="00CD252D" w:rsidRPr="00CD252D" w:rsidRDefault="00CD252D" w:rsidP="00CD252D">
            <w:pPr>
              <w:pStyle w:val="CDITable-RowCentre"/>
            </w:pPr>
            <w:r w:rsidRPr="00CD252D">
              <w:t>0</w:t>
            </w:r>
          </w:p>
        </w:tc>
        <w:tc>
          <w:tcPr>
            <w:tcW w:w="577" w:type="dxa"/>
            <w:tcBorders>
              <w:bottom w:val="single" w:sz="6" w:space="0" w:color="1E4496" w:themeColor="text2"/>
            </w:tcBorders>
            <w:tcMar>
              <w:top w:w="113" w:type="dxa"/>
              <w:left w:w="113" w:type="dxa"/>
              <w:bottom w:w="113" w:type="dxa"/>
              <w:right w:w="113" w:type="dxa"/>
            </w:tcMar>
            <w:vAlign w:val="center"/>
          </w:tcPr>
          <w:p w14:paraId="62FE2825" w14:textId="77777777" w:rsidR="00CD252D" w:rsidRPr="00CD252D" w:rsidRDefault="00CD252D" w:rsidP="00CD252D">
            <w:pPr>
              <w:pStyle w:val="CDITable-RowCentre"/>
            </w:pPr>
            <w:r w:rsidRPr="00CD252D">
              <w:t>0</w:t>
            </w:r>
          </w:p>
        </w:tc>
        <w:tc>
          <w:tcPr>
            <w:tcW w:w="578" w:type="dxa"/>
            <w:tcBorders>
              <w:bottom w:val="single" w:sz="6" w:space="0" w:color="1E4496" w:themeColor="text2"/>
            </w:tcBorders>
            <w:tcMar>
              <w:top w:w="113" w:type="dxa"/>
              <w:left w:w="113" w:type="dxa"/>
              <w:bottom w:w="113" w:type="dxa"/>
              <w:right w:w="113" w:type="dxa"/>
            </w:tcMar>
            <w:vAlign w:val="center"/>
          </w:tcPr>
          <w:p w14:paraId="4B56EF87" w14:textId="77777777" w:rsidR="00CD252D" w:rsidRPr="00CD252D" w:rsidRDefault="00CD252D" w:rsidP="00CD252D">
            <w:pPr>
              <w:pStyle w:val="CDITable-RowCentre"/>
            </w:pPr>
            <w:r w:rsidRPr="00CD252D">
              <w:t>4</w:t>
            </w:r>
          </w:p>
        </w:tc>
        <w:tc>
          <w:tcPr>
            <w:tcW w:w="577" w:type="dxa"/>
            <w:tcBorders>
              <w:bottom w:val="single" w:sz="6" w:space="0" w:color="1E4496" w:themeColor="text2"/>
            </w:tcBorders>
            <w:tcMar>
              <w:top w:w="113" w:type="dxa"/>
              <w:left w:w="113" w:type="dxa"/>
              <w:bottom w:w="113" w:type="dxa"/>
              <w:right w:w="113" w:type="dxa"/>
            </w:tcMar>
            <w:vAlign w:val="center"/>
          </w:tcPr>
          <w:p w14:paraId="612FF0F2" w14:textId="77777777" w:rsidR="00CD252D" w:rsidRPr="00CD252D" w:rsidRDefault="00CD252D" w:rsidP="00CD252D">
            <w:pPr>
              <w:pStyle w:val="CDITable-RowCentre"/>
            </w:pPr>
            <w:r w:rsidRPr="00CD252D">
              <w:t>1.9</w:t>
            </w:r>
          </w:p>
        </w:tc>
        <w:tc>
          <w:tcPr>
            <w:tcW w:w="577" w:type="dxa"/>
            <w:tcBorders>
              <w:bottom w:val="single" w:sz="6" w:space="0" w:color="1E4496" w:themeColor="text2"/>
            </w:tcBorders>
            <w:tcMar>
              <w:top w:w="113" w:type="dxa"/>
              <w:left w:w="113" w:type="dxa"/>
              <w:bottom w:w="113" w:type="dxa"/>
              <w:right w:w="113" w:type="dxa"/>
            </w:tcMar>
            <w:vAlign w:val="center"/>
          </w:tcPr>
          <w:p w14:paraId="073B6B21" w14:textId="77777777" w:rsidR="00CD252D" w:rsidRPr="00CD252D" w:rsidRDefault="00CD252D" w:rsidP="00CD252D">
            <w:pPr>
              <w:pStyle w:val="CDITable-RowCentre"/>
            </w:pPr>
            <w:r w:rsidRPr="00CD252D">
              <w:t>1</w:t>
            </w:r>
          </w:p>
        </w:tc>
        <w:tc>
          <w:tcPr>
            <w:tcW w:w="577" w:type="dxa"/>
            <w:tcBorders>
              <w:bottom w:val="single" w:sz="6" w:space="0" w:color="1E4496" w:themeColor="text2"/>
            </w:tcBorders>
            <w:tcMar>
              <w:top w:w="113" w:type="dxa"/>
              <w:left w:w="113" w:type="dxa"/>
              <w:bottom w:w="113" w:type="dxa"/>
              <w:right w:w="113" w:type="dxa"/>
            </w:tcMar>
            <w:vAlign w:val="center"/>
          </w:tcPr>
          <w:p w14:paraId="0D898418" w14:textId="77777777" w:rsidR="00CD252D" w:rsidRPr="00CD252D" w:rsidRDefault="00CD252D" w:rsidP="00CD252D">
            <w:pPr>
              <w:pStyle w:val="CDITable-RowCentre"/>
            </w:pPr>
            <w:r w:rsidRPr="00CD252D">
              <w:t>0.5</w:t>
            </w:r>
          </w:p>
        </w:tc>
        <w:tc>
          <w:tcPr>
            <w:tcW w:w="578" w:type="dxa"/>
            <w:tcBorders>
              <w:bottom w:val="single" w:sz="6" w:space="0" w:color="1E4496" w:themeColor="text2"/>
            </w:tcBorders>
            <w:tcMar>
              <w:top w:w="113" w:type="dxa"/>
              <w:left w:w="113" w:type="dxa"/>
              <w:bottom w:w="113" w:type="dxa"/>
              <w:right w:w="113" w:type="dxa"/>
            </w:tcMar>
            <w:vAlign w:val="center"/>
          </w:tcPr>
          <w:p w14:paraId="6F9D3B8C" w14:textId="77777777" w:rsidR="00CD252D" w:rsidRPr="00CD252D" w:rsidRDefault="00CD252D" w:rsidP="00CD252D">
            <w:pPr>
              <w:pStyle w:val="CDITable-RowCentre"/>
            </w:pPr>
            <w:r w:rsidRPr="00CD252D">
              <w:t>0</w:t>
            </w:r>
          </w:p>
        </w:tc>
        <w:tc>
          <w:tcPr>
            <w:tcW w:w="577" w:type="dxa"/>
            <w:tcBorders>
              <w:bottom w:val="single" w:sz="6" w:space="0" w:color="1E4496" w:themeColor="text2"/>
            </w:tcBorders>
            <w:tcMar>
              <w:top w:w="113" w:type="dxa"/>
              <w:left w:w="113" w:type="dxa"/>
              <w:bottom w:w="113" w:type="dxa"/>
              <w:right w:w="113" w:type="dxa"/>
            </w:tcMar>
            <w:vAlign w:val="center"/>
          </w:tcPr>
          <w:p w14:paraId="7E0257DA" w14:textId="77777777" w:rsidR="00CD252D" w:rsidRPr="00CD252D" w:rsidRDefault="00CD252D" w:rsidP="00CD252D">
            <w:pPr>
              <w:pStyle w:val="CDITable-RowCentre"/>
            </w:pPr>
            <w:r w:rsidRPr="00CD252D">
              <w:t>0</w:t>
            </w:r>
          </w:p>
        </w:tc>
        <w:tc>
          <w:tcPr>
            <w:tcW w:w="577" w:type="dxa"/>
            <w:tcBorders>
              <w:bottom w:val="single" w:sz="6" w:space="0" w:color="1E4496" w:themeColor="text2"/>
            </w:tcBorders>
            <w:tcMar>
              <w:top w:w="113" w:type="dxa"/>
              <w:left w:w="113" w:type="dxa"/>
              <w:bottom w:w="113" w:type="dxa"/>
              <w:right w:w="113" w:type="dxa"/>
            </w:tcMar>
            <w:vAlign w:val="center"/>
          </w:tcPr>
          <w:p w14:paraId="3AF138E9" w14:textId="77777777" w:rsidR="00CD252D" w:rsidRPr="00CD252D" w:rsidRDefault="00CD252D" w:rsidP="00CD252D">
            <w:pPr>
              <w:pStyle w:val="CDITable-RowCentre"/>
            </w:pPr>
            <w:r w:rsidRPr="00CD252D">
              <w:t>1</w:t>
            </w:r>
          </w:p>
        </w:tc>
        <w:tc>
          <w:tcPr>
            <w:tcW w:w="577" w:type="dxa"/>
            <w:tcBorders>
              <w:bottom w:val="single" w:sz="6" w:space="0" w:color="1E4496" w:themeColor="text2"/>
            </w:tcBorders>
            <w:tcMar>
              <w:top w:w="113" w:type="dxa"/>
              <w:left w:w="113" w:type="dxa"/>
              <w:bottom w:w="113" w:type="dxa"/>
              <w:right w:w="113" w:type="dxa"/>
            </w:tcMar>
            <w:vAlign w:val="center"/>
          </w:tcPr>
          <w:p w14:paraId="53212014" w14:textId="77777777" w:rsidR="00CD252D" w:rsidRPr="00CD252D" w:rsidRDefault="00CD252D" w:rsidP="00CD252D">
            <w:pPr>
              <w:pStyle w:val="CDITable-RowCentre"/>
            </w:pPr>
            <w:r w:rsidRPr="00CD252D">
              <w:t>0.5</w:t>
            </w:r>
          </w:p>
        </w:tc>
        <w:tc>
          <w:tcPr>
            <w:tcW w:w="577" w:type="dxa"/>
            <w:tcBorders>
              <w:bottom w:val="single" w:sz="6" w:space="0" w:color="1E4496" w:themeColor="text2"/>
            </w:tcBorders>
            <w:tcMar>
              <w:top w:w="113" w:type="dxa"/>
              <w:left w:w="113" w:type="dxa"/>
              <w:bottom w:w="113" w:type="dxa"/>
              <w:right w:w="113" w:type="dxa"/>
            </w:tcMar>
            <w:vAlign w:val="center"/>
          </w:tcPr>
          <w:p w14:paraId="38D88C83" w14:textId="77777777" w:rsidR="00CD252D" w:rsidRPr="00CD252D" w:rsidRDefault="00CD252D" w:rsidP="00CD252D">
            <w:pPr>
              <w:pStyle w:val="CDITable-RowCentre"/>
            </w:pPr>
            <w:r w:rsidRPr="00CD252D">
              <w:t>6</w:t>
            </w:r>
          </w:p>
        </w:tc>
        <w:tc>
          <w:tcPr>
            <w:tcW w:w="578" w:type="dxa"/>
            <w:tcBorders>
              <w:bottom w:val="single" w:sz="6" w:space="0" w:color="1E4496" w:themeColor="text2"/>
            </w:tcBorders>
            <w:tcMar>
              <w:top w:w="113" w:type="dxa"/>
              <w:left w:w="113" w:type="dxa"/>
              <w:bottom w:w="113" w:type="dxa"/>
              <w:right w:w="113" w:type="dxa"/>
            </w:tcMar>
            <w:vAlign w:val="center"/>
          </w:tcPr>
          <w:p w14:paraId="669350FC" w14:textId="77777777" w:rsidR="00CD252D" w:rsidRPr="00CD252D" w:rsidRDefault="00CD252D" w:rsidP="00CD252D">
            <w:pPr>
              <w:pStyle w:val="CDITable-RowCentre"/>
            </w:pPr>
            <w:r w:rsidRPr="00CD252D">
              <w:t>2.8</w:t>
            </w:r>
          </w:p>
        </w:tc>
        <w:tc>
          <w:tcPr>
            <w:tcW w:w="577" w:type="dxa"/>
            <w:tcBorders>
              <w:bottom w:val="single" w:sz="6" w:space="0" w:color="1E4496" w:themeColor="text2"/>
            </w:tcBorders>
            <w:tcMar>
              <w:top w:w="113" w:type="dxa"/>
              <w:left w:w="113" w:type="dxa"/>
              <w:bottom w:w="113" w:type="dxa"/>
              <w:right w:w="113" w:type="dxa"/>
            </w:tcMar>
            <w:vAlign w:val="center"/>
          </w:tcPr>
          <w:p w14:paraId="3C96B3C1" w14:textId="77777777" w:rsidR="00CD252D" w:rsidRPr="00CD252D" w:rsidRDefault="00CD252D" w:rsidP="00CD252D">
            <w:pPr>
              <w:pStyle w:val="CDITable-RowCentre"/>
            </w:pPr>
            <w:r w:rsidRPr="00CD252D">
              <w:t>1</w:t>
            </w:r>
          </w:p>
        </w:tc>
        <w:tc>
          <w:tcPr>
            <w:tcW w:w="577" w:type="dxa"/>
            <w:tcBorders>
              <w:bottom w:val="single" w:sz="6" w:space="0" w:color="1E4496" w:themeColor="text2"/>
            </w:tcBorders>
            <w:tcMar>
              <w:top w:w="113" w:type="dxa"/>
              <w:left w:w="113" w:type="dxa"/>
              <w:bottom w:w="113" w:type="dxa"/>
              <w:right w:w="113" w:type="dxa"/>
            </w:tcMar>
            <w:vAlign w:val="center"/>
          </w:tcPr>
          <w:p w14:paraId="7C7AD5A4" w14:textId="77777777" w:rsidR="00CD252D" w:rsidRPr="00CD252D" w:rsidRDefault="00CD252D" w:rsidP="00CD252D">
            <w:pPr>
              <w:pStyle w:val="CDITable-RowCentre"/>
            </w:pPr>
            <w:r w:rsidRPr="00CD252D">
              <w:t>0.4</w:t>
            </w:r>
          </w:p>
        </w:tc>
        <w:tc>
          <w:tcPr>
            <w:tcW w:w="577" w:type="dxa"/>
            <w:tcBorders>
              <w:bottom w:val="single" w:sz="6" w:space="0" w:color="1E4496" w:themeColor="text2"/>
            </w:tcBorders>
            <w:tcMar>
              <w:top w:w="113" w:type="dxa"/>
              <w:left w:w="113" w:type="dxa"/>
              <w:bottom w:w="113" w:type="dxa"/>
              <w:right w:w="113" w:type="dxa"/>
            </w:tcMar>
            <w:vAlign w:val="center"/>
          </w:tcPr>
          <w:p w14:paraId="0F62EF50" w14:textId="77777777" w:rsidR="00CD252D" w:rsidRPr="00CD252D" w:rsidRDefault="00CD252D" w:rsidP="00CD252D">
            <w:pPr>
              <w:pStyle w:val="CDITable-RowCentre"/>
            </w:pPr>
            <w:r w:rsidRPr="00CD252D">
              <w:t>10</w:t>
            </w:r>
          </w:p>
        </w:tc>
        <w:tc>
          <w:tcPr>
            <w:tcW w:w="578" w:type="dxa"/>
            <w:tcBorders>
              <w:bottom w:val="single" w:sz="6" w:space="0" w:color="1E4496" w:themeColor="text2"/>
            </w:tcBorders>
            <w:tcMar>
              <w:top w:w="113" w:type="dxa"/>
              <w:left w:w="113" w:type="dxa"/>
              <w:bottom w:w="113" w:type="dxa"/>
              <w:right w:w="113" w:type="dxa"/>
            </w:tcMar>
            <w:vAlign w:val="center"/>
          </w:tcPr>
          <w:p w14:paraId="618397EB" w14:textId="77777777" w:rsidR="00CD252D" w:rsidRPr="00CD252D" w:rsidRDefault="00CD252D" w:rsidP="00CD252D">
            <w:pPr>
              <w:pStyle w:val="CDITable-RowCentre"/>
            </w:pPr>
            <w:r w:rsidRPr="00CD252D">
              <w:t>4.0</w:t>
            </w:r>
          </w:p>
        </w:tc>
      </w:tr>
      <w:tr w:rsidR="00CD252D" w:rsidRPr="00CD252D" w14:paraId="00BFD5D3"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FA387B" w14:textId="77777777" w:rsidR="00CD252D" w:rsidRPr="00CD252D" w:rsidRDefault="00CD252D" w:rsidP="00CD252D">
            <w:pPr>
              <w:pStyle w:val="CDITable-RowLeft"/>
            </w:pPr>
            <w:r w:rsidRPr="00CD252D">
              <w:t>New South Wales</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55D472" w14:textId="77777777" w:rsidR="00CD252D" w:rsidRPr="00CD252D" w:rsidRDefault="00CD252D" w:rsidP="00CD252D">
            <w:pPr>
              <w:pStyle w:val="CDITable-RowCentre"/>
            </w:pPr>
            <w:r w:rsidRPr="00CD252D">
              <w:t>119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C40CBA" w14:textId="77777777" w:rsidR="00CD252D" w:rsidRPr="00CD252D" w:rsidRDefault="00CD252D" w:rsidP="00CD252D">
            <w:pPr>
              <w:pStyle w:val="CDITable-RowCentre"/>
            </w:pPr>
            <w:r w:rsidRPr="00CD252D">
              <w:t>7.1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292A51" w14:textId="77777777" w:rsidR="00CD252D" w:rsidRPr="00CD252D" w:rsidRDefault="00CD252D" w:rsidP="00CD252D">
            <w:pPr>
              <w:pStyle w:val="CDITable-RowCentre"/>
            </w:pPr>
            <w:r w:rsidRPr="00CD252D">
              <w:t>52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492ABD" w14:textId="77777777" w:rsidR="00CD252D" w:rsidRPr="00CD252D" w:rsidRDefault="00CD252D" w:rsidP="00CD252D">
            <w:pPr>
              <w:pStyle w:val="CDITable-RowCentre"/>
            </w:pPr>
            <w:r w:rsidRPr="00CD252D">
              <w:t>2.7</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F948D0" w14:textId="77777777" w:rsidR="00CD252D" w:rsidRPr="00CD252D" w:rsidRDefault="00CD252D" w:rsidP="00CD252D">
            <w:pPr>
              <w:pStyle w:val="CDITable-RowCentre"/>
            </w:pPr>
            <w:r w:rsidRPr="00CD252D">
              <w:t>45</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6B173A" w14:textId="77777777" w:rsidR="00CD252D" w:rsidRPr="00CD252D" w:rsidRDefault="00CD252D" w:rsidP="00CD252D">
            <w:pPr>
              <w:pStyle w:val="CDITable-RowCentre"/>
            </w:pPr>
            <w:r w:rsidRPr="00CD252D">
              <w:t>2.0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66C060" w14:textId="77777777" w:rsidR="00CD252D" w:rsidRPr="00CD252D" w:rsidRDefault="00CD252D" w:rsidP="00CD252D">
            <w:pPr>
              <w:pStyle w:val="CDITable-RowCentre"/>
            </w:pPr>
            <w:r w:rsidRPr="00CD252D">
              <w:t>13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EECE1D" w14:textId="77777777" w:rsidR="00CD252D" w:rsidRPr="00CD252D" w:rsidRDefault="00CD252D" w:rsidP="00CD252D">
            <w:pPr>
              <w:pStyle w:val="CDITable-RowCentre"/>
            </w:pPr>
            <w:r w:rsidRPr="00CD252D">
              <w:t>0.5</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65DA98" w14:textId="77777777" w:rsidR="00CD252D" w:rsidRPr="00CD252D" w:rsidRDefault="00CD252D" w:rsidP="00CD252D">
            <w:pPr>
              <w:pStyle w:val="CDITable-RowCentre"/>
            </w:pPr>
            <w:r w:rsidRPr="00CD252D">
              <w:t>30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7FCB91" w14:textId="77777777" w:rsidR="00CD252D" w:rsidRPr="00CD252D" w:rsidRDefault="00CD252D" w:rsidP="00CD252D">
            <w:pPr>
              <w:pStyle w:val="CDITable-RowCentre"/>
            </w:pPr>
            <w:r w:rsidRPr="00CD252D">
              <w:t>0.8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B1450D" w14:textId="77777777" w:rsidR="00CD252D" w:rsidRPr="00CD252D" w:rsidRDefault="00CD252D" w:rsidP="00CD252D">
            <w:pPr>
              <w:pStyle w:val="CDITable-RowCentre"/>
            </w:pPr>
            <w:r w:rsidRPr="00CD252D">
              <w:t>44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B2F996" w14:textId="77777777" w:rsidR="00CD252D" w:rsidRPr="00CD252D" w:rsidRDefault="00CD252D" w:rsidP="00CD252D">
            <w:pPr>
              <w:pStyle w:val="CDITable-RowCentre"/>
            </w:pPr>
            <w:r w:rsidRPr="00CD252D">
              <w:t>1.2</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1DBE9D" w14:textId="77777777" w:rsidR="00CD252D" w:rsidRPr="00CD252D" w:rsidRDefault="00CD252D" w:rsidP="00CD252D">
            <w:pPr>
              <w:pStyle w:val="CDITable-RowCentre"/>
            </w:pPr>
            <w:r w:rsidRPr="00CD252D">
              <w:t>30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26860B" w14:textId="77777777" w:rsidR="00CD252D" w:rsidRPr="00CD252D" w:rsidRDefault="00CD252D" w:rsidP="00CD252D">
            <w:pPr>
              <w:pStyle w:val="CDITable-RowCentre"/>
            </w:pPr>
            <w:r w:rsidRPr="00CD252D">
              <w:t>1.2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13B3F" w14:textId="77777777" w:rsidR="00CD252D" w:rsidRPr="00CD252D" w:rsidRDefault="00CD252D" w:rsidP="00CD252D">
            <w:pPr>
              <w:pStyle w:val="CDITable-RowCentre"/>
            </w:pPr>
            <w:r w:rsidRPr="00CD252D">
              <w:t>18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7AC543" w14:textId="77777777" w:rsidR="00CD252D" w:rsidRPr="00CD252D" w:rsidRDefault="00CD252D" w:rsidP="00CD252D">
            <w:pPr>
              <w:pStyle w:val="CDITable-RowCentre"/>
            </w:pPr>
            <w:r w:rsidRPr="00CD252D">
              <w:t>0.9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7EE9253" w14:textId="77777777" w:rsidR="00CD252D" w:rsidRPr="00CD252D" w:rsidRDefault="00CD252D" w:rsidP="00CD252D">
            <w:pPr>
              <w:pStyle w:val="CDITable-RowCentre"/>
            </w:pPr>
            <w:r w:rsidRPr="00CD252D">
              <w:t>332</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706514" w14:textId="77777777" w:rsidR="00CD252D" w:rsidRPr="00CD252D" w:rsidRDefault="00CD252D" w:rsidP="00CD252D">
            <w:pPr>
              <w:pStyle w:val="CDITable-RowCentre"/>
            </w:pPr>
            <w:r w:rsidRPr="00CD252D">
              <w:t>12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E26B76" w14:textId="77777777" w:rsidR="00CD252D" w:rsidRPr="00CD252D" w:rsidRDefault="00CD252D" w:rsidP="00CD252D">
            <w:pPr>
              <w:pStyle w:val="CDITable-RowCentre"/>
            </w:pPr>
            <w:r w:rsidRPr="00CD252D">
              <w:t>238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415460" w14:textId="77777777" w:rsidR="00CD252D" w:rsidRPr="00CD252D" w:rsidRDefault="00CD252D" w:rsidP="00CD252D">
            <w:pPr>
              <w:pStyle w:val="CDITable-RowCentre"/>
            </w:pPr>
            <w:r w:rsidRPr="00CD252D">
              <w:t>6.6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4EBDCA" w14:textId="77777777" w:rsidR="00CD252D" w:rsidRPr="00CD252D" w:rsidRDefault="00CD252D" w:rsidP="00CD252D">
            <w:pPr>
              <w:pStyle w:val="CDITable-RowCentre"/>
            </w:pPr>
            <w:r w:rsidRPr="00CD252D">
              <w:t>132</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D3E332" w14:textId="77777777" w:rsidR="00CD252D" w:rsidRPr="00CD252D" w:rsidRDefault="00CD252D" w:rsidP="00CD252D">
            <w:pPr>
              <w:pStyle w:val="CDITable-RowCentre"/>
            </w:pPr>
            <w:r w:rsidRPr="00CD252D">
              <w:t>3.6</w:t>
            </w:r>
          </w:p>
        </w:tc>
      </w:tr>
      <w:tr w:rsidR="00CD252D" w:rsidRPr="00CD252D" w14:paraId="6C24BFF1"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7ABF44" w14:textId="77777777" w:rsidR="00CD252D" w:rsidRPr="00CD252D" w:rsidRDefault="00CD252D" w:rsidP="00CD252D">
            <w:pPr>
              <w:pStyle w:val="CDITable-RowLeft"/>
            </w:pPr>
            <w:r w:rsidRPr="00CD252D">
              <w:t>Queensland</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0875B6" w14:textId="77777777" w:rsidR="00CD252D" w:rsidRPr="00CD252D" w:rsidRDefault="00CD252D" w:rsidP="00CD252D">
            <w:pPr>
              <w:pStyle w:val="CDITable-RowCentre"/>
            </w:pPr>
            <w:r w:rsidRPr="00CD252D">
              <w:t>21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989C8A" w14:textId="77777777" w:rsidR="00CD252D" w:rsidRPr="00CD252D" w:rsidRDefault="00CD252D" w:rsidP="00CD252D">
            <w:pPr>
              <w:pStyle w:val="CDITable-RowCentre"/>
            </w:pPr>
            <w:r w:rsidRPr="00CD252D">
              <w:t>3.2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BA104E" w14:textId="77777777" w:rsidR="00CD252D" w:rsidRPr="00CD252D" w:rsidRDefault="00CD252D" w:rsidP="00CD252D">
            <w:pPr>
              <w:pStyle w:val="CDITable-RowCentre"/>
            </w:pPr>
            <w:r w:rsidRPr="00CD252D">
              <w:t>7</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1066B1" w14:textId="77777777" w:rsidR="00CD252D" w:rsidRPr="00CD252D" w:rsidRDefault="00CD252D" w:rsidP="00CD252D">
            <w:pPr>
              <w:pStyle w:val="CDITable-RowCentre"/>
            </w:pPr>
            <w:r w:rsidRPr="00CD252D">
              <w:t>1.0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404C6D" w14:textId="77777777" w:rsidR="00CD252D" w:rsidRPr="00CD252D" w:rsidRDefault="00CD252D" w:rsidP="00CD252D">
            <w:pPr>
              <w:pStyle w:val="CDITable-RowCentre"/>
            </w:pPr>
            <w:r w:rsidRPr="00CD252D">
              <w:t>32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C0A6F2" w14:textId="77777777" w:rsidR="00CD252D" w:rsidRPr="00CD252D" w:rsidRDefault="00CD252D" w:rsidP="00CD252D">
            <w:pPr>
              <w:pStyle w:val="CDITable-RowCentre"/>
            </w:pPr>
            <w:r w:rsidRPr="00CD252D">
              <w:t>3.7</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D18F58" w14:textId="77777777" w:rsidR="00CD252D" w:rsidRPr="00CD252D" w:rsidRDefault="00CD252D" w:rsidP="00CD252D">
            <w:pPr>
              <w:pStyle w:val="CDITable-RowCentre"/>
            </w:pPr>
            <w:r w:rsidRPr="00CD252D">
              <w:t>11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4FF5C" w14:textId="77777777" w:rsidR="00CD252D" w:rsidRPr="00CD252D" w:rsidRDefault="00CD252D" w:rsidP="00CD252D">
            <w:pPr>
              <w:pStyle w:val="CDITable-RowCentre"/>
            </w:pPr>
            <w:r w:rsidRPr="00CD252D">
              <w:t>0.9</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751E79" w14:textId="77777777" w:rsidR="00CD252D" w:rsidRPr="00CD252D" w:rsidRDefault="00CD252D" w:rsidP="00CD252D">
            <w:pPr>
              <w:pStyle w:val="CDITable-RowCentre"/>
            </w:pPr>
            <w:r w:rsidRPr="00CD252D">
              <w:t>18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1EEEAF" w14:textId="77777777" w:rsidR="00CD252D" w:rsidRPr="00CD252D" w:rsidRDefault="00CD252D" w:rsidP="00CD252D">
            <w:pPr>
              <w:pStyle w:val="CDITable-RowCentre"/>
            </w:pPr>
            <w:r w:rsidRPr="00CD252D">
              <w:t>1.3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B78A89" w14:textId="77777777" w:rsidR="00CD252D" w:rsidRPr="00CD252D" w:rsidRDefault="00CD252D" w:rsidP="00CD252D">
            <w:pPr>
              <w:pStyle w:val="CDITable-RowCentre"/>
            </w:pPr>
            <w:r w:rsidRPr="00CD252D">
              <w:t>16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4A973E" w14:textId="77777777" w:rsidR="00CD252D" w:rsidRPr="00CD252D" w:rsidRDefault="00CD252D" w:rsidP="00CD252D">
            <w:pPr>
              <w:pStyle w:val="CDITable-RowCentre"/>
            </w:pPr>
            <w:r w:rsidRPr="00CD252D">
              <w:t>1.0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98E775" w14:textId="77777777" w:rsidR="00CD252D" w:rsidRPr="00CD252D" w:rsidRDefault="00CD252D" w:rsidP="00CD252D">
            <w:pPr>
              <w:pStyle w:val="CDITable-RowCentre"/>
            </w:pPr>
            <w:r w:rsidRPr="00CD252D">
              <w:t>17</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F46DB6" w14:textId="77777777" w:rsidR="00CD252D" w:rsidRPr="00CD252D" w:rsidRDefault="00CD252D" w:rsidP="00CD252D">
            <w:pPr>
              <w:pStyle w:val="CDITable-RowCentre"/>
            </w:pPr>
            <w:r w:rsidRPr="00CD252D">
              <w:t>1.1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21C2C6" w14:textId="77777777" w:rsidR="00CD252D" w:rsidRPr="00CD252D" w:rsidRDefault="00CD252D" w:rsidP="00CD252D">
            <w:pPr>
              <w:pStyle w:val="CDITable-RowCentre"/>
            </w:pPr>
            <w:r w:rsidRPr="00CD252D">
              <w:t>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39EFE3" w14:textId="77777777" w:rsidR="00CD252D" w:rsidRPr="00CD252D" w:rsidRDefault="00CD252D" w:rsidP="00CD252D">
            <w:pPr>
              <w:pStyle w:val="CDITable-RowCentre"/>
            </w:pPr>
            <w:r w:rsidRPr="00CD252D">
              <w:t>0.4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B495A8" w14:textId="77777777" w:rsidR="00CD252D" w:rsidRPr="00CD252D" w:rsidRDefault="00CD252D" w:rsidP="00CD252D">
            <w:pPr>
              <w:pStyle w:val="CDITable-RowCentre"/>
            </w:pPr>
            <w:r w:rsidRPr="00CD252D">
              <w:t>8</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DE1EBA" w14:textId="77777777" w:rsidR="00CD252D" w:rsidRPr="00CD252D" w:rsidRDefault="00CD252D" w:rsidP="00CD252D">
            <w:pPr>
              <w:pStyle w:val="CDITable-RowCentre"/>
            </w:pPr>
            <w:r w:rsidRPr="00CD252D">
              <w:t>0.6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4DB777" w14:textId="77777777" w:rsidR="00CD252D" w:rsidRPr="00CD252D" w:rsidRDefault="00CD252D" w:rsidP="00CD252D">
            <w:pPr>
              <w:pStyle w:val="CDITable-RowCentre"/>
            </w:pPr>
            <w:r w:rsidRPr="00CD252D">
              <w:t>32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84074E" w14:textId="77777777" w:rsidR="00CD252D" w:rsidRPr="00CD252D" w:rsidRDefault="00CD252D" w:rsidP="00CD252D">
            <w:pPr>
              <w:pStyle w:val="CDITable-RowCentre"/>
            </w:pPr>
            <w:r w:rsidRPr="00CD252D">
              <w:t>2.1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190237" w14:textId="77777777" w:rsidR="00CD252D" w:rsidRPr="00CD252D" w:rsidRDefault="00CD252D" w:rsidP="00CD252D">
            <w:pPr>
              <w:pStyle w:val="CDITable-RowCentre"/>
            </w:pPr>
            <w:r w:rsidRPr="00CD252D">
              <w:t>25</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76F1BE" w14:textId="77777777" w:rsidR="00CD252D" w:rsidRPr="00CD252D" w:rsidRDefault="00CD252D" w:rsidP="00CD252D">
            <w:pPr>
              <w:pStyle w:val="CDITable-RowCentre"/>
            </w:pPr>
            <w:r w:rsidRPr="00CD252D">
              <w:t>1.7</w:t>
            </w:r>
          </w:p>
        </w:tc>
      </w:tr>
      <w:tr w:rsidR="00CD252D" w:rsidRPr="00CD252D" w14:paraId="2B11EA7A"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E46A0C" w14:textId="77777777" w:rsidR="00CD252D" w:rsidRPr="00CD252D" w:rsidRDefault="00CD252D" w:rsidP="00CD252D">
            <w:pPr>
              <w:pStyle w:val="CDITable-RowLeft"/>
            </w:pPr>
            <w:r w:rsidRPr="00CD252D">
              <w:t>South Australia</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C544F8" w14:textId="77777777" w:rsidR="00CD252D" w:rsidRPr="00CD252D" w:rsidRDefault="00CD252D" w:rsidP="00CD252D">
            <w:pPr>
              <w:pStyle w:val="CDITable-RowCentre"/>
            </w:pPr>
            <w:r w:rsidRPr="00CD252D">
              <w:t>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F3CC8A" w14:textId="77777777" w:rsidR="00CD252D" w:rsidRPr="00CD252D" w:rsidRDefault="00CD252D" w:rsidP="00CD252D">
            <w:pPr>
              <w:pStyle w:val="CDITable-RowCentre"/>
            </w:pPr>
            <w:r w:rsidRPr="00CD252D">
              <w:t>1.0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A99EE" w14:textId="77777777" w:rsidR="00CD252D" w:rsidRPr="00CD252D" w:rsidRDefault="00CD252D" w:rsidP="00CD252D">
            <w:pPr>
              <w:pStyle w:val="CDITable-RowCentre"/>
            </w:pPr>
            <w:r w:rsidRPr="00CD252D">
              <w:t>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F02A75" w14:textId="77777777" w:rsidR="00CD252D" w:rsidRPr="00CD252D" w:rsidRDefault="00CD252D" w:rsidP="00CD252D">
            <w:pPr>
              <w:pStyle w:val="CDITable-RowCentre"/>
            </w:pPr>
            <w:r w:rsidRPr="00CD252D">
              <w:t>3.6</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99B307" w14:textId="77777777" w:rsidR="00CD252D" w:rsidRPr="00CD252D" w:rsidRDefault="00CD252D" w:rsidP="00CD252D">
            <w:pPr>
              <w:pStyle w:val="CDITable-RowCentre"/>
            </w:pPr>
            <w:r w:rsidRPr="00CD252D">
              <w:t>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75FC4C" w14:textId="77777777" w:rsidR="00CD252D" w:rsidRPr="00CD252D" w:rsidRDefault="00CD252D" w:rsidP="00CD252D">
            <w:pPr>
              <w:pStyle w:val="CDITable-RowCentre"/>
            </w:pPr>
            <w:r w:rsidRPr="00CD252D">
              <w:t>0.6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5CA08A" w14:textId="77777777" w:rsidR="00CD252D" w:rsidRPr="00CD252D" w:rsidRDefault="00CD252D" w:rsidP="00CD252D">
            <w:pPr>
              <w:pStyle w:val="CDITable-RowCentre"/>
            </w:pPr>
            <w:r w:rsidRPr="00CD252D">
              <w:t>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87990F" w14:textId="77777777" w:rsidR="00CD252D" w:rsidRPr="00CD252D" w:rsidRDefault="00CD252D" w:rsidP="00CD252D">
            <w:pPr>
              <w:pStyle w:val="CDITable-RowCentre"/>
            </w:pPr>
            <w:r w:rsidRPr="00CD252D">
              <w:t>0.6</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07C6DD" w14:textId="77777777" w:rsidR="00CD252D" w:rsidRPr="00CD252D" w:rsidRDefault="00CD252D" w:rsidP="00CD252D">
            <w:pPr>
              <w:pStyle w:val="CDITable-RowCentre"/>
            </w:pPr>
            <w:r w:rsidRPr="00CD252D">
              <w:t>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64F436" w14:textId="77777777" w:rsidR="00CD252D" w:rsidRPr="00CD252D" w:rsidRDefault="00CD252D" w:rsidP="00CD252D">
            <w:pPr>
              <w:pStyle w:val="CDITable-RowCentre"/>
            </w:pPr>
            <w:r w:rsidRPr="00CD252D">
              <w:t>1.3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F992FD" w14:textId="77777777" w:rsidR="00CD252D" w:rsidRPr="00CD252D" w:rsidRDefault="00CD252D" w:rsidP="00CD252D">
            <w:pPr>
              <w:pStyle w:val="CDITable-RowCentre"/>
            </w:pPr>
            <w:r w:rsidRPr="00CD252D">
              <w:t>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889F72" w14:textId="77777777" w:rsidR="00CD252D" w:rsidRPr="00CD252D" w:rsidRDefault="00CD252D" w:rsidP="00CD252D">
            <w:pPr>
              <w:pStyle w:val="CDITable-RowCentre"/>
            </w:pPr>
            <w:r w:rsidRPr="00CD252D">
              <w:t>1.6</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59A058"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693832"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9DA31E" w14:textId="77777777" w:rsidR="00CD252D" w:rsidRPr="00CD252D" w:rsidRDefault="00CD252D" w:rsidP="00CD252D">
            <w:pPr>
              <w:pStyle w:val="CDITable-RowCentre"/>
            </w:pPr>
            <w:r w:rsidRPr="00CD252D">
              <w:t>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877E47" w14:textId="77777777" w:rsidR="00CD252D" w:rsidRPr="00CD252D" w:rsidRDefault="00CD252D" w:rsidP="00CD252D">
            <w:pPr>
              <w:pStyle w:val="CDITable-RowCentre"/>
            </w:pPr>
            <w:r w:rsidRPr="00CD252D">
              <w:t>1.4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045577" w14:textId="77777777" w:rsidR="00CD252D" w:rsidRPr="00CD252D" w:rsidRDefault="00CD252D" w:rsidP="00CD252D">
            <w:pPr>
              <w:pStyle w:val="CDITable-RowCentre"/>
            </w:pPr>
            <w:r w:rsidRPr="00CD252D">
              <w:t>18</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F90D1" w14:textId="77777777" w:rsidR="00CD252D" w:rsidRPr="00CD252D" w:rsidRDefault="00CD252D" w:rsidP="00CD252D">
            <w:pPr>
              <w:pStyle w:val="CDITable-RowCentre"/>
            </w:pPr>
            <w:r w:rsidRPr="00CD252D">
              <w:t>3.9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7392EC" w14:textId="77777777" w:rsidR="00CD252D" w:rsidRPr="00CD252D" w:rsidRDefault="00CD252D" w:rsidP="00CD252D">
            <w:pPr>
              <w:pStyle w:val="CDITable-RowCentre"/>
            </w:pPr>
            <w:r w:rsidRPr="00CD252D">
              <w:t>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D817E9" w14:textId="77777777" w:rsidR="00CD252D" w:rsidRPr="00CD252D" w:rsidRDefault="00CD252D" w:rsidP="00CD252D">
            <w:pPr>
              <w:pStyle w:val="CDITable-RowCentre"/>
            </w:pPr>
            <w:r w:rsidRPr="00CD252D">
              <w:t>1.4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1A3DFA" w14:textId="77777777" w:rsidR="00CD252D" w:rsidRPr="00CD252D" w:rsidRDefault="00CD252D" w:rsidP="00CD252D">
            <w:pPr>
              <w:pStyle w:val="CDITable-RowCentre"/>
            </w:pPr>
            <w:r w:rsidRPr="00CD252D">
              <w:t>10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C8953B" w14:textId="77777777" w:rsidR="00CD252D" w:rsidRPr="00CD252D" w:rsidRDefault="00CD252D" w:rsidP="00CD252D">
            <w:pPr>
              <w:pStyle w:val="CDITable-RowCentre"/>
            </w:pPr>
            <w:r w:rsidRPr="00CD252D">
              <w:t>1.5</w:t>
            </w:r>
          </w:p>
        </w:tc>
      </w:tr>
      <w:tr w:rsidR="00CD252D" w:rsidRPr="00CD252D" w14:paraId="195BBFBB"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5D0F7A" w14:textId="77777777" w:rsidR="00CD252D" w:rsidRPr="00CD252D" w:rsidRDefault="00CD252D" w:rsidP="00CD252D">
            <w:pPr>
              <w:pStyle w:val="CDITable-RowLeft"/>
            </w:pPr>
            <w:r w:rsidRPr="00CD252D">
              <w:t>Tasmania</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27AE43"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550C3E"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C38070"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232153"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C268C9" w14:textId="77777777" w:rsidR="00CD252D" w:rsidRPr="00CD252D" w:rsidRDefault="00CD252D" w:rsidP="00CD252D">
            <w:pPr>
              <w:pStyle w:val="CDITable-RowCentre"/>
            </w:pPr>
            <w:r w:rsidRPr="00CD252D">
              <w:t>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3AB5C4" w14:textId="77777777" w:rsidR="00CD252D" w:rsidRPr="00CD252D" w:rsidRDefault="00CD252D" w:rsidP="00CD252D">
            <w:pPr>
              <w:pStyle w:val="CDITable-RowCentre"/>
            </w:pPr>
            <w:r w:rsidRPr="00CD252D">
              <w:t>3.6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5C1CBB"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C72DCA"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3481F7" w14:textId="77777777" w:rsidR="00CD252D" w:rsidRPr="00CD252D" w:rsidRDefault="00CD252D" w:rsidP="00CD252D">
            <w:pPr>
              <w:pStyle w:val="CDITable-RowCentre"/>
            </w:pPr>
            <w:r w:rsidRPr="00CD252D">
              <w:t>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6AA392" w14:textId="77777777" w:rsidR="00CD252D" w:rsidRPr="00CD252D" w:rsidRDefault="00CD252D" w:rsidP="00CD252D">
            <w:pPr>
              <w:pStyle w:val="CDITable-RowCentre"/>
            </w:pPr>
            <w:r w:rsidRPr="00CD252D">
              <w:t>7.3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11CC6A" w14:textId="77777777" w:rsidR="00CD252D" w:rsidRPr="00CD252D" w:rsidRDefault="00CD252D" w:rsidP="00CD252D">
            <w:pPr>
              <w:pStyle w:val="CDITable-RowCentre"/>
            </w:pPr>
            <w:r w:rsidRPr="00CD252D">
              <w:t>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DBD713" w14:textId="77777777" w:rsidR="00CD252D" w:rsidRPr="00CD252D" w:rsidRDefault="00CD252D" w:rsidP="00CD252D">
            <w:pPr>
              <w:pStyle w:val="CDITable-RowCentre"/>
            </w:pPr>
            <w:r w:rsidRPr="00CD252D">
              <w:t>2.1</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D6C234"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E5179D"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C7A9E5" w14:textId="77777777" w:rsidR="00CD252D" w:rsidRPr="00CD252D" w:rsidRDefault="00CD252D" w:rsidP="00CD252D">
            <w:pPr>
              <w:pStyle w:val="CDITable-RowCentre"/>
            </w:pPr>
            <w:r w:rsidRPr="00CD252D">
              <w:t>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CD7115" w14:textId="77777777" w:rsidR="00CD252D" w:rsidRPr="00CD252D" w:rsidRDefault="00CD252D" w:rsidP="00CD252D">
            <w:pPr>
              <w:pStyle w:val="CDITable-RowCentre"/>
            </w:pPr>
            <w:r w:rsidRPr="00CD252D">
              <w:t>1.4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829FE"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EFB662"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34C7E3"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E513BA"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328C41" w14:textId="77777777" w:rsidR="00CD252D" w:rsidRPr="00CD252D" w:rsidRDefault="00CD252D" w:rsidP="00CD252D">
            <w:pPr>
              <w:pStyle w:val="CDITable-RowCentre"/>
            </w:pPr>
            <w:r w:rsidRPr="00CD252D">
              <w:t>1</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3B709C" w14:textId="77777777" w:rsidR="00CD252D" w:rsidRPr="00CD252D" w:rsidRDefault="00CD252D" w:rsidP="00CD252D">
            <w:pPr>
              <w:pStyle w:val="CDITable-RowCentre"/>
            </w:pPr>
            <w:r w:rsidRPr="00CD252D">
              <w:t>1.1</w:t>
            </w:r>
          </w:p>
        </w:tc>
      </w:tr>
      <w:tr w:rsidR="00CD252D" w:rsidRPr="00CD252D" w14:paraId="4A6FDDE3"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D71F1B" w14:textId="77777777" w:rsidR="00CD252D" w:rsidRPr="00CD252D" w:rsidRDefault="00CD252D" w:rsidP="00CD252D">
            <w:pPr>
              <w:pStyle w:val="CDITable-RowLeft"/>
            </w:pPr>
            <w:r w:rsidRPr="00CD252D">
              <w:t>Victoria</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D1352A" w14:textId="77777777" w:rsidR="00CD252D" w:rsidRPr="00CD252D" w:rsidRDefault="00CD252D" w:rsidP="00CD252D">
            <w:pPr>
              <w:pStyle w:val="CDITable-RowCentre"/>
            </w:pPr>
            <w:r w:rsidRPr="00CD252D">
              <w:t>95</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F14488" w14:textId="77777777" w:rsidR="00CD252D" w:rsidRPr="00CD252D" w:rsidRDefault="00CD252D" w:rsidP="00CD252D">
            <w:pPr>
              <w:pStyle w:val="CDITable-RowCentre"/>
            </w:pPr>
            <w:r w:rsidRPr="00CD252D">
              <w:t>6.6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DED8B1" w14:textId="77777777" w:rsidR="00CD252D" w:rsidRPr="00CD252D" w:rsidRDefault="00CD252D" w:rsidP="00CD252D">
            <w:pPr>
              <w:pStyle w:val="CDITable-RowCentre"/>
            </w:pPr>
            <w:r w:rsidRPr="00CD252D">
              <w:t>25</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2BDC7C" w14:textId="77777777" w:rsidR="00CD252D" w:rsidRPr="00CD252D" w:rsidRDefault="00CD252D" w:rsidP="00CD252D">
            <w:pPr>
              <w:pStyle w:val="CDITable-RowCentre"/>
            </w:pPr>
            <w:r w:rsidRPr="00CD252D">
              <w:t>1.5</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B66741" w14:textId="77777777" w:rsidR="00CD252D" w:rsidRPr="00CD252D" w:rsidRDefault="00CD252D" w:rsidP="00CD252D">
            <w:pPr>
              <w:pStyle w:val="CDITable-RowCentre"/>
            </w:pPr>
            <w:r w:rsidRPr="00CD252D">
              <w:t>19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A3D2CD" w14:textId="77777777" w:rsidR="00CD252D" w:rsidRPr="00CD252D" w:rsidRDefault="00CD252D" w:rsidP="00CD252D">
            <w:pPr>
              <w:pStyle w:val="CDITable-RowCentre"/>
            </w:pPr>
            <w:r w:rsidRPr="00CD252D">
              <w:t>1.1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DAC011" w14:textId="77777777" w:rsidR="00CD252D" w:rsidRPr="00CD252D" w:rsidRDefault="00CD252D" w:rsidP="00CD252D">
            <w:pPr>
              <w:pStyle w:val="CDITable-RowCentre"/>
            </w:pPr>
            <w:r w:rsidRPr="00CD252D">
              <w:t>48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070B7E" w14:textId="77777777" w:rsidR="00CD252D" w:rsidRPr="00CD252D" w:rsidRDefault="00CD252D" w:rsidP="00CD252D">
            <w:pPr>
              <w:pStyle w:val="CDITable-RowCentre"/>
            </w:pPr>
            <w:r w:rsidRPr="00CD252D">
              <w:t>2.1</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50A6E9" w14:textId="77777777" w:rsidR="00CD252D" w:rsidRPr="00CD252D" w:rsidRDefault="00CD252D" w:rsidP="00CD252D">
            <w:pPr>
              <w:pStyle w:val="CDITable-RowCentre"/>
            </w:pPr>
            <w:r w:rsidRPr="00CD252D">
              <w:t>83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1FECB9" w14:textId="77777777" w:rsidR="00CD252D" w:rsidRPr="00CD252D" w:rsidRDefault="00CD252D" w:rsidP="00CD252D">
            <w:pPr>
              <w:pStyle w:val="CDITable-RowCentre"/>
            </w:pPr>
            <w:r w:rsidRPr="00CD252D">
              <w:t>3.2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C931E7" w14:textId="77777777" w:rsidR="00CD252D" w:rsidRPr="00CD252D" w:rsidRDefault="00CD252D" w:rsidP="00CD252D">
            <w:pPr>
              <w:pStyle w:val="CDITable-RowCentre"/>
            </w:pPr>
            <w:r w:rsidRPr="00CD252D">
              <w:t>42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8C2356" w14:textId="77777777" w:rsidR="00CD252D" w:rsidRPr="00CD252D" w:rsidRDefault="00CD252D" w:rsidP="00CD252D">
            <w:pPr>
              <w:pStyle w:val="CDITable-RowCentre"/>
            </w:pPr>
            <w:r w:rsidRPr="00CD252D">
              <w:t>1.6</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3491D4" w14:textId="77777777" w:rsidR="00CD252D" w:rsidRPr="00CD252D" w:rsidRDefault="00CD252D" w:rsidP="00CD252D">
            <w:pPr>
              <w:pStyle w:val="CDITable-RowCentre"/>
            </w:pPr>
            <w:r w:rsidRPr="00CD252D">
              <w:t>18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CB47F5" w14:textId="77777777" w:rsidR="00CD252D" w:rsidRPr="00CD252D" w:rsidRDefault="00CD252D" w:rsidP="00CD252D">
            <w:pPr>
              <w:pStyle w:val="CDITable-RowCentre"/>
            </w:pPr>
            <w:r w:rsidRPr="00CD252D">
              <w:t>1.1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9468F5" w14:textId="77777777" w:rsidR="00CD252D" w:rsidRPr="00CD252D" w:rsidRDefault="00CD252D" w:rsidP="00CD252D">
            <w:pPr>
              <w:pStyle w:val="CDITable-RowCentre"/>
            </w:pPr>
            <w:r w:rsidRPr="00CD252D">
              <w:t>25</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8B4883" w14:textId="77777777" w:rsidR="00CD252D" w:rsidRPr="00CD252D" w:rsidRDefault="00CD252D" w:rsidP="00CD252D">
            <w:pPr>
              <w:pStyle w:val="CDITable-RowCentre"/>
            </w:pPr>
            <w:r w:rsidRPr="00CD252D">
              <w:t>1.3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698456" w14:textId="77777777" w:rsidR="00CD252D" w:rsidRPr="00CD252D" w:rsidRDefault="00CD252D" w:rsidP="00CD252D">
            <w:pPr>
              <w:pStyle w:val="CDITable-RowCentre"/>
            </w:pPr>
            <w:r w:rsidRPr="00CD252D">
              <w:t>82</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069A4E" w14:textId="77777777" w:rsidR="00CD252D" w:rsidRPr="00CD252D" w:rsidRDefault="00CD252D" w:rsidP="00CD252D">
            <w:pPr>
              <w:pStyle w:val="CDITable-RowCentre"/>
            </w:pPr>
            <w:r w:rsidRPr="00CD252D">
              <w:t>3.3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5A6B9E" w14:textId="77777777" w:rsidR="00CD252D" w:rsidRPr="00CD252D" w:rsidRDefault="00CD252D" w:rsidP="00CD252D">
            <w:pPr>
              <w:pStyle w:val="CDITable-RowCentre"/>
            </w:pPr>
            <w:r w:rsidRPr="00CD252D">
              <w:t>66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DF589A" w14:textId="77777777" w:rsidR="00CD252D" w:rsidRPr="00CD252D" w:rsidRDefault="00CD252D" w:rsidP="00CD252D">
            <w:pPr>
              <w:pStyle w:val="CDITable-RowCentre"/>
            </w:pPr>
            <w:r w:rsidRPr="00CD252D">
              <w:t>2.4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56DB5F" w14:textId="77777777" w:rsidR="00CD252D" w:rsidRPr="00CD252D" w:rsidRDefault="00CD252D" w:rsidP="00CD252D">
            <w:pPr>
              <w:pStyle w:val="CDITable-RowCentre"/>
            </w:pPr>
            <w:r w:rsidRPr="00CD252D">
              <w:t>108</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2A93AB" w14:textId="77777777" w:rsidR="00CD252D" w:rsidRPr="00CD252D" w:rsidRDefault="00CD252D" w:rsidP="00CD252D">
            <w:pPr>
              <w:pStyle w:val="CDITable-RowCentre"/>
            </w:pPr>
            <w:r w:rsidRPr="00CD252D">
              <w:t>3.3</w:t>
            </w:r>
          </w:p>
        </w:tc>
      </w:tr>
      <w:tr w:rsidR="00CD252D" w:rsidRPr="00CD252D" w14:paraId="72169C94"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A03457" w14:textId="77777777" w:rsidR="00CD252D" w:rsidRPr="00CD252D" w:rsidRDefault="00CD252D" w:rsidP="00CD252D">
            <w:pPr>
              <w:pStyle w:val="CDITable-RowLeft"/>
            </w:pPr>
            <w:r w:rsidRPr="00CD252D">
              <w:t>Northern Territory non-remote</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04D681" w14:textId="77777777" w:rsidR="00CD252D" w:rsidRPr="00CD252D" w:rsidRDefault="00CD252D" w:rsidP="00CD252D">
            <w:pPr>
              <w:pStyle w:val="CDITable-RowCentre"/>
            </w:pPr>
            <w:r w:rsidRPr="00CD252D">
              <w:t>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A5F818" w14:textId="77777777" w:rsidR="00CD252D" w:rsidRPr="00CD252D" w:rsidRDefault="00CD252D" w:rsidP="00CD252D">
            <w:pPr>
              <w:pStyle w:val="CDITable-RowCentre"/>
            </w:pPr>
            <w:r w:rsidRPr="00CD252D">
              <w:t>3.0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2B7369"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F72995"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0319F1"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06F0BD"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4E79B9"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A079BD"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6AFEBC"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BB392F"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8D6D1C"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9F8505"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BECCFC"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CAB3EA"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650614"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A70097"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CE53BB" w14:textId="77777777" w:rsidR="00CD252D" w:rsidRPr="00CD252D" w:rsidRDefault="00CD252D" w:rsidP="00CD252D">
            <w:pPr>
              <w:pStyle w:val="CDITable-RowCentre"/>
            </w:pPr>
            <w:r w:rsidRPr="00CD252D">
              <w:t>1</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6F1397" w14:textId="77777777" w:rsidR="00CD252D" w:rsidRPr="00CD252D" w:rsidRDefault="00CD252D" w:rsidP="00CD252D">
            <w:pPr>
              <w:pStyle w:val="CDITable-RowCentre"/>
            </w:pPr>
            <w:r w:rsidRPr="00CD252D">
              <w:t>1.1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4F357D" w14:textId="77777777" w:rsidR="00CD252D" w:rsidRPr="00CD252D" w:rsidRDefault="00CD252D" w:rsidP="00CD252D">
            <w:pPr>
              <w:pStyle w:val="CDITable-RowCentre"/>
            </w:pPr>
            <w:r w:rsidRPr="00CD252D">
              <w:t>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C3C7A4" w14:textId="77777777" w:rsidR="00CD252D" w:rsidRPr="00CD252D" w:rsidRDefault="00CD252D" w:rsidP="00CD252D">
            <w:pPr>
              <w:pStyle w:val="CDITable-RowCentre"/>
            </w:pPr>
            <w:r w:rsidRPr="00CD252D">
              <w:t>2.9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CEAB9B" w14:textId="77777777" w:rsidR="00CD252D" w:rsidRPr="00CD252D" w:rsidRDefault="00CD252D" w:rsidP="00CD252D">
            <w:pPr>
              <w:pStyle w:val="CDITable-RowCentre"/>
            </w:pPr>
            <w:r w:rsidRPr="00CD252D">
              <w:t>4</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A28A8" w14:textId="77777777" w:rsidR="00CD252D" w:rsidRPr="00CD252D" w:rsidRDefault="00CD252D" w:rsidP="00CD252D">
            <w:pPr>
              <w:pStyle w:val="CDITable-RowCentre"/>
            </w:pPr>
            <w:r w:rsidRPr="00CD252D">
              <w:t>4.1</w:t>
            </w:r>
          </w:p>
        </w:tc>
      </w:tr>
      <w:tr w:rsidR="00CD252D" w:rsidRPr="00CD252D" w14:paraId="62697A40"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81DB04" w14:textId="77777777" w:rsidR="00CD252D" w:rsidRPr="00CD252D" w:rsidRDefault="00CD252D" w:rsidP="00CD252D">
            <w:pPr>
              <w:pStyle w:val="CDITable-RowLeft"/>
            </w:pPr>
            <w:r w:rsidRPr="00CD252D">
              <w:t>Northern Territory remote</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BC0F07" w14:textId="77777777" w:rsidR="00CD252D" w:rsidRPr="00CD252D" w:rsidRDefault="00CD252D" w:rsidP="00CD252D">
            <w:pPr>
              <w:pStyle w:val="CDITable-RowCentre"/>
            </w:pPr>
            <w:r w:rsidRPr="00CD252D">
              <w:t>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9972EF" w14:textId="77777777" w:rsidR="00CD252D" w:rsidRPr="00CD252D" w:rsidRDefault="00CD252D" w:rsidP="00CD252D">
            <w:pPr>
              <w:pStyle w:val="CDITable-RowCentre"/>
            </w:pPr>
            <w:r w:rsidRPr="00CD252D">
              <w:t>0.8</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DB0A2D"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22218A"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6D5FA9"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FB9689"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CACBD4"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FA577D"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FB1739"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B6C41D"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8E87A5"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F68934"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FA5593"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B1BF65"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085B1C"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9C1DB5"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2C8F1A"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7ADD4B"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886209"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25BA4E" w14:textId="77777777" w:rsidR="00CD252D" w:rsidRPr="00CD252D" w:rsidRDefault="00CD252D" w:rsidP="00CD252D">
            <w:pPr>
              <w:pStyle w:val="CDITable-RowCentre"/>
            </w:pPr>
            <w:r w:rsidRPr="00CD252D">
              <w:t>0</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68FD4F" w14:textId="77777777" w:rsidR="00CD252D" w:rsidRPr="00CD252D" w:rsidRDefault="00CD252D" w:rsidP="00CD252D">
            <w:pPr>
              <w:pStyle w:val="CDITable-RowCentre"/>
            </w:pPr>
            <w:r w:rsidRPr="00CD252D">
              <w:t>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CA714E" w14:textId="77777777" w:rsidR="00CD252D" w:rsidRPr="00CD252D" w:rsidRDefault="00CD252D" w:rsidP="00CD252D">
            <w:pPr>
              <w:pStyle w:val="CDITable-RowCentre"/>
            </w:pPr>
            <w:r w:rsidRPr="00CD252D">
              <w:t>0</w:t>
            </w:r>
          </w:p>
        </w:tc>
      </w:tr>
      <w:tr w:rsidR="00CD252D" w:rsidRPr="00CD252D" w14:paraId="59580BA3" w14:textId="77777777" w:rsidTr="00CD252D">
        <w:trPr>
          <w:trHeight w:val="20"/>
        </w:trPr>
        <w:tc>
          <w:tcPr>
            <w:tcW w:w="167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83DCF1" w14:textId="77777777" w:rsidR="00CD252D" w:rsidRPr="00CD252D" w:rsidRDefault="00CD252D" w:rsidP="00CD252D">
            <w:pPr>
              <w:pStyle w:val="CDITable-RowLeft"/>
            </w:pPr>
            <w:r w:rsidRPr="00CD252D">
              <w:t>Western Australia non-remote</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4BFCE68" w14:textId="77777777" w:rsidR="00CD252D" w:rsidRPr="00CD252D" w:rsidRDefault="00CD252D" w:rsidP="00CD252D">
            <w:pPr>
              <w:pStyle w:val="CDITable-RowCentre"/>
            </w:pPr>
            <w:r w:rsidRPr="00CD252D">
              <w:t>14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5E6935" w14:textId="77777777" w:rsidR="00CD252D" w:rsidRPr="00CD252D" w:rsidRDefault="00CD252D" w:rsidP="00CD252D">
            <w:pPr>
              <w:pStyle w:val="CDITable-RowCentre"/>
            </w:pPr>
            <w:r w:rsidRPr="00CD252D">
              <w:t>3.6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F71928" w14:textId="77777777" w:rsidR="00CD252D" w:rsidRPr="00CD252D" w:rsidRDefault="00CD252D" w:rsidP="00CD252D">
            <w:pPr>
              <w:pStyle w:val="CDITable-RowCentre"/>
            </w:pPr>
            <w:r w:rsidRPr="00CD252D">
              <w:t>5</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8CD399" w14:textId="77777777" w:rsidR="00CD252D" w:rsidRPr="00CD252D" w:rsidRDefault="00CD252D" w:rsidP="00CD252D">
            <w:pPr>
              <w:pStyle w:val="CDITable-RowCentre"/>
            </w:pPr>
            <w:r w:rsidRPr="00CD252D">
              <w:t>1.3</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9E53AC" w14:textId="77777777" w:rsidR="00CD252D" w:rsidRPr="00CD252D" w:rsidRDefault="00CD252D" w:rsidP="00CD252D">
            <w:pPr>
              <w:pStyle w:val="CDITable-RowCentre"/>
            </w:pPr>
            <w:r w:rsidRPr="00CD252D">
              <w:t>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FCC514" w14:textId="77777777" w:rsidR="00CD252D" w:rsidRPr="00CD252D" w:rsidRDefault="00CD252D" w:rsidP="00CD252D">
            <w:pPr>
              <w:pStyle w:val="CDITable-RowCentre"/>
            </w:pPr>
            <w:r w:rsidRPr="00CD252D">
              <w:t>1.3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2150B4" w14:textId="77777777" w:rsidR="00CD252D" w:rsidRPr="00CD252D" w:rsidRDefault="00CD252D" w:rsidP="00CD252D">
            <w:pPr>
              <w:pStyle w:val="CDITable-RowCentre"/>
            </w:pPr>
            <w:r w:rsidRPr="00CD252D">
              <w:t>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21EB52" w14:textId="77777777" w:rsidR="00CD252D" w:rsidRPr="00CD252D" w:rsidRDefault="00CD252D" w:rsidP="00CD252D">
            <w:pPr>
              <w:pStyle w:val="CDITable-RowCentre"/>
            </w:pPr>
            <w:r w:rsidRPr="00CD252D">
              <w:t>1.4</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4D9224" w14:textId="77777777" w:rsidR="00CD252D" w:rsidRPr="00CD252D" w:rsidRDefault="00CD252D" w:rsidP="00CD252D">
            <w:pPr>
              <w:pStyle w:val="CDITable-RowCentre"/>
            </w:pPr>
            <w:r w:rsidRPr="00CD252D">
              <w:t>14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EC3165" w14:textId="77777777" w:rsidR="00CD252D" w:rsidRPr="00CD252D" w:rsidRDefault="00CD252D" w:rsidP="00CD252D">
            <w:pPr>
              <w:pStyle w:val="CDITable-RowCentre"/>
            </w:pPr>
            <w:r w:rsidRPr="00CD252D">
              <w:t>2.1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2F99A6" w14:textId="77777777" w:rsidR="00CD252D" w:rsidRPr="00CD252D" w:rsidRDefault="00CD252D" w:rsidP="00CD252D">
            <w:pPr>
              <w:pStyle w:val="CDITable-RowCentre"/>
            </w:pPr>
            <w:r w:rsidRPr="00CD252D">
              <w:t>11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266AB7" w14:textId="77777777" w:rsidR="00CD252D" w:rsidRPr="00CD252D" w:rsidRDefault="00CD252D" w:rsidP="00CD252D">
            <w:pPr>
              <w:pStyle w:val="CDITable-RowCentre"/>
            </w:pPr>
            <w:r w:rsidRPr="00CD252D">
              <w:t>1.5</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D8E099" w14:textId="77777777" w:rsidR="00CD252D" w:rsidRPr="00CD252D" w:rsidRDefault="00CD252D" w:rsidP="00CD252D">
            <w:pPr>
              <w:pStyle w:val="CDITable-RowCentre"/>
            </w:pPr>
            <w:r w:rsidRPr="00CD252D">
              <w:t>3</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2D198F" w14:textId="77777777" w:rsidR="00CD252D" w:rsidRPr="00CD252D" w:rsidRDefault="00CD252D" w:rsidP="00CD252D">
            <w:pPr>
              <w:pStyle w:val="CDITable-RowCentre"/>
            </w:pPr>
            <w:r w:rsidRPr="00CD252D">
              <w:t>0.4</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3A63D5" w14:textId="77777777" w:rsidR="00CD252D" w:rsidRPr="00CD252D" w:rsidRDefault="00CD252D" w:rsidP="00CD252D">
            <w:pPr>
              <w:pStyle w:val="CDITable-RowCentre"/>
            </w:pPr>
            <w:r w:rsidRPr="00CD252D">
              <w:t>1</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14B6E7" w14:textId="77777777" w:rsidR="00CD252D" w:rsidRPr="00CD252D" w:rsidRDefault="00CD252D" w:rsidP="00CD252D">
            <w:pPr>
              <w:pStyle w:val="CDITable-RowCentre"/>
            </w:pPr>
            <w:r w:rsidRPr="00CD252D">
              <w:t>0.2</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B96B33" w14:textId="77777777" w:rsidR="00CD252D" w:rsidRPr="00CD252D" w:rsidRDefault="00CD252D" w:rsidP="00CD252D">
            <w:pPr>
              <w:pStyle w:val="CDITable-RowCentre"/>
            </w:pPr>
            <w:r w:rsidRPr="00CD252D">
              <w:t>9</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524E9D" w14:textId="77777777" w:rsidR="00CD252D" w:rsidRPr="00CD252D" w:rsidRDefault="00CD252D" w:rsidP="00CD252D">
            <w:pPr>
              <w:pStyle w:val="CDITable-RowCentre"/>
            </w:pPr>
            <w:r w:rsidRPr="00CD252D">
              <w:t>1.9</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9E814C" w14:textId="77777777" w:rsidR="00CD252D" w:rsidRPr="00CD252D" w:rsidRDefault="00CD252D" w:rsidP="00CD252D">
            <w:pPr>
              <w:pStyle w:val="CDITable-RowCentre"/>
            </w:pPr>
            <w:r w:rsidRPr="00CD252D">
              <w:t>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33D85" w14:textId="77777777" w:rsidR="00CD252D" w:rsidRPr="00CD252D" w:rsidRDefault="00CD252D" w:rsidP="00CD252D">
            <w:pPr>
              <w:pStyle w:val="CDITable-RowCentre"/>
            </w:pPr>
            <w:r w:rsidRPr="00CD252D">
              <w:t>0.6</w:t>
            </w:r>
          </w:p>
        </w:tc>
        <w:tc>
          <w:tcPr>
            <w:tcW w:w="57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1EBD163" w14:textId="77777777" w:rsidR="00CD252D" w:rsidRPr="00CD252D" w:rsidRDefault="00CD252D" w:rsidP="00CD252D">
            <w:pPr>
              <w:pStyle w:val="CDITable-RowCentre"/>
            </w:pPr>
            <w:r w:rsidRPr="00CD252D">
              <w:t>10</w:t>
            </w:r>
          </w:p>
        </w:tc>
        <w:tc>
          <w:tcPr>
            <w:tcW w:w="57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CC940A" w14:textId="77777777" w:rsidR="00CD252D" w:rsidRPr="00CD252D" w:rsidRDefault="00CD252D" w:rsidP="00CD252D">
            <w:pPr>
              <w:pStyle w:val="CDITable-RowCentre"/>
            </w:pPr>
            <w:r w:rsidRPr="00CD252D">
              <w:t>0.9</w:t>
            </w:r>
          </w:p>
        </w:tc>
      </w:tr>
      <w:tr w:rsidR="00CD252D" w:rsidRPr="00CD252D" w14:paraId="4A4A1EA3" w14:textId="77777777" w:rsidTr="00CD252D">
        <w:trPr>
          <w:trHeight w:val="20"/>
        </w:trPr>
        <w:tc>
          <w:tcPr>
            <w:tcW w:w="1672" w:type="dxa"/>
            <w:tcBorders>
              <w:top w:val="single" w:sz="6" w:space="0" w:color="1E4496" w:themeColor="text2"/>
            </w:tcBorders>
            <w:tcMar>
              <w:top w:w="113" w:type="dxa"/>
              <w:left w:w="113" w:type="dxa"/>
              <w:bottom w:w="113" w:type="dxa"/>
              <w:right w:w="113" w:type="dxa"/>
            </w:tcMar>
            <w:vAlign w:val="center"/>
          </w:tcPr>
          <w:p w14:paraId="21C35B69" w14:textId="77777777" w:rsidR="00CD252D" w:rsidRPr="00CD252D" w:rsidRDefault="00CD252D" w:rsidP="00CD252D">
            <w:pPr>
              <w:pStyle w:val="CDITable-RowLeft"/>
            </w:pPr>
            <w:r w:rsidRPr="00CD252D">
              <w:t>Western Australia remote</w:t>
            </w:r>
          </w:p>
        </w:tc>
        <w:tc>
          <w:tcPr>
            <w:tcW w:w="578" w:type="dxa"/>
            <w:tcBorders>
              <w:top w:val="single" w:sz="6" w:space="0" w:color="1E4496" w:themeColor="text2"/>
            </w:tcBorders>
            <w:tcMar>
              <w:top w:w="113" w:type="dxa"/>
              <w:left w:w="113" w:type="dxa"/>
              <w:bottom w:w="113" w:type="dxa"/>
              <w:right w:w="113" w:type="dxa"/>
            </w:tcMar>
            <w:vAlign w:val="center"/>
          </w:tcPr>
          <w:p w14:paraId="5E9693E6" w14:textId="77777777" w:rsidR="00CD252D" w:rsidRPr="00CD252D" w:rsidRDefault="00CD252D" w:rsidP="00CD252D">
            <w:pPr>
              <w:pStyle w:val="CDITable-RowCentre"/>
            </w:pPr>
            <w:r w:rsidRPr="00CD252D">
              <w:t>1</w:t>
            </w:r>
          </w:p>
        </w:tc>
        <w:tc>
          <w:tcPr>
            <w:tcW w:w="577" w:type="dxa"/>
            <w:tcBorders>
              <w:top w:val="single" w:sz="6" w:space="0" w:color="1E4496" w:themeColor="text2"/>
            </w:tcBorders>
            <w:tcMar>
              <w:top w:w="113" w:type="dxa"/>
              <w:left w:w="113" w:type="dxa"/>
              <w:bottom w:w="113" w:type="dxa"/>
              <w:right w:w="113" w:type="dxa"/>
            </w:tcMar>
            <w:vAlign w:val="center"/>
          </w:tcPr>
          <w:p w14:paraId="51B4C6B4" w14:textId="77777777" w:rsidR="00CD252D" w:rsidRPr="00CD252D" w:rsidRDefault="00CD252D" w:rsidP="00CD252D">
            <w:pPr>
              <w:pStyle w:val="CDITable-RowCentre"/>
            </w:pPr>
            <w:r w:rsidRPr="00CD252D">
              <w:t>0.9</w:t>
            </w:r>
          </w:p>
        </w:tc>
        <w:tc>
          <w:tcPr>
            <w:tcW w:w="577" w:type="dxa"/>
            <w:tcBorders>
              <w:top w:val="single" w:sz="6" w:space="0" w:color="1E4496" w:themeColor="text2"/>
            </w:tcBorders>
            <w:tcMar>
              <w:top w:w="113" w:type="dxa"/>
              <w:left w:w="113" w:type="dxa"/>
              <w:bottom w:w="113" w:type="dxa"/>
              <w:right w:w="113" w:type="dxa"/>
            </w:tcMar>
            <w:vAlign w:val="center"/>
          </w:tcPr>
          <w:p w14:paraId="1F37D3AA"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3BBFE64B" w14:textId="77777777" w:rsidR="00CD252D" w:rsidRPr="00CD252D" w:rsidRDefault="00CD252D" w:rsidP="00CD252D">
            <w:pPr>
              <w:pStyle w:val="CDITable-RowCentre"/>
            </w:pPr>
            <w:r w:rsidRPr="00CD252D">
              <w:t>0</w:t>
            </w:r>
          </w:p>
        </w:tc>
        <w:tc>
          <w:tcPr>
            <w:tcW w:w="578" w:type="dxa"/>
            <w:tcBorders>
              <w:top w:val="single" w:sz="6" w:space="0" w:color="1E4496" w:themeColor="text2"/>
            </w:tcBorders>
            <w:tcMar>
              <w:top w:w="113" w:type="dxa"/>
              <w:left w:w="113" w:type="dxa"/>
              <w:bottom w:w="113" w:type="dxa"/>
              <w:right w:w="113" w:type="dxa"/>
            </w:tcMar>
            <w:vAlign w:val="center"/>
          </w:tcPr>
          <w:p w14:paraId="4BF2944D"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34302BA2"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3706C1A4"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193F779D" w14:textId="77777777" w:rsidR="00CD252D" w:rsidRPr="00CD252D" w:rsidRDefault="00CD252D" w:rsidP="00CD252D">
            <w:pPr>
              <w:pStyle w:val="CDITable-RowCentre"/>
            </w:pPr>
            <w:r w:rsidRPr="00CD252D">
              <w:t>0</w:t>
            </w:r>
          </w:p>
        </w:tc>
        <w:tc>
          <w:tcPr>
            <w:tcW w:w="578" w:type="dxa"/>
            <w:tcBorders>
              <w:top w:val="single" w:sz="6" w:space="0" w:color="1E4496" w:themeColor="text2"/>
            </w:tcBorders>
            <w:tcMar>
              <w:top w:w="113" w:type="dxa"/>
              <w:left w:w="113" w:type="dxa"/>
              <w:bottom w:w="113" w:type="dxa"/>
              <w:right w:w="113" w:type="dxa"/>
            </w:tcMar>
            <w:vAlign w:val="center"/>
          </w:tcPr>
          <w:p w14:paraId="32DC7D01"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4FB46754"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56ECE4CB" w14:textId="77777777" w:rsidR="00CD252D" w:rsidRPr="00CD252D" w:rsidRDefault="00CD252D" w:rsidP="00CD252D">
            <w:pPr>
              <w:pStyle w:val="CDITable-RowCentre"/>
            </w:pPr>
            <w:r w:rsidRPr="00CD252D">
              <w:t>2</w:t>
            </w:r>
          </w:p>
        </w:tc>
        <w:tc>
          <w:tcPr>
            <w:tcW w:w="577" w:type="dxa"/>
            <w:tcBorders>
              <w:top w:val="single" w:sz="6" w:space="0" w:color="1E4496" w:themeColor="text2"/>
            </w:tcBorders>
            <w:tcMar>
              <w:top w:w="113" w:type="dxa"/>
              <w:left w:w="113" w:type="dxa"/>
              <w:bottom w:w="113" w:type="dxa"/>
              <w:right w:w="113" w:type="dxa"/>
            </w:tcMar>
            <w:vAlign w:val="center"/>
          </w:tcPr>
          <w:p w14:paraId="5912336F" w14:textId="77777777" w:rsidR="00CD252D" w:rsidRPr="00CD252D" w:rsidRDefault="00CD252D" w:rsidP="00CD252D">
            <w:pPr>
              <w:pStyle w:val="CDITable-RowCentre"/>
            </w:pPr>
            <w:r w:rsidRPr="00CD252D">
              <w:t>2.4</w:t>
            </w:r>
          </w:p>
        </w:tc>
        <w:tc>
          <w:tcPr>
            <w:tcW w:w="578" w:type="dxa"/>
            <w:tcBorders>
              <w:top w:val="single" w:sz="6" w:space="0" w:color="1E4496" w:themeColor="text2"/>
            </w:tcBorders>
            <w:tcMar>
              <w:top w:w="113" w:type="dxa"/>
              <w:left w:w="113" w:type="dxa"/>
              <w:bottom w:w="113" w:type="dxa"/>
              <w:right w:w="113" w:type="dxa"/>
            </w:tcMar>
            <w:vAlign w:val="center"/>
          </w:tcPr>
          <w:p w14:paraId="2A4C148C"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43BD15ED"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47FF017C"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1CE8CA77"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29ABF798" w14:textId="77777777" w:rsidR="00CD252D" w:rsidRPr="00CD252D" w:rsidRDefault="00CD252D" w:rsidP="00CD252D">
            <w:pPr>
              <w:pStyle w:val="CDITable-RowCentre"/>
            </w:pPr>
            <w:r w:rsidRPr="00CD252D">
              <w:t>0</w:t>
            </w:r>
          </w:p>
        </w:tc>
        <w:tc>
          <w:tcPr>
            <w:tcW w:w="578" w:type="dxa"/>
            <w:tcBorders>
              <w:top w:val="single" w:sz="6" w:space="0" w:color="1E4496" w:themeColor="text2"/>
            </w:tcBorders>
            <w:tcMar>
              <w:top w:w="113" w:type="dxa"/>
              <w:left w:w="113" w:type="dxa"/>
              <w:bottom w:w="113" w:type="dxa"/>
              <w:right w:w="113" w:type="dxa"/>
            </w:tcMar>
            <w:vAlign w:val="center"/>
          </w:tcPr>
          <w:p w14:paraId="45465D2F"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37719B2F"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1C5B1C03" w14:textId="77777777" w:rsidR="00CD252D" w:rsidRPr="00CD252D" w:rsidRDefault="00CD252D" w:rsidP="00CD252D">
            <w:pPr>
              <w:pStyle w:val="CDITable-RowCentre"/>
            </w:pPr>
            <w:r w:rsidRPr="00CD252D">
              <w:t>0</w:t>
            </w:r>
          </w:p>
        </w:tc>
        <w:tc>
          <w:tcPr>
            <w:tcW w:w="577" w:type="dxa"/>
            <w:tcBorders>
              <w:top w:val="single" w:sz="6" w:space="0" w:color="1E4496" w:themeColor="text2"/>
            </w:tcBorders>
            <w:tcMar>
              <w:top w:w="113" w:type="dxa"/>
              <w:left w:w="113" w:type="dxa"/>
              <w:bottom w:w="113" w:type="dxa"/>
              <w:right w:w="113" w:type="dxa"/>
            </w:tcMar>
            <w:vAlign w:val="center"/>
          </w:tcPr>
          <w:p w14:paraId="6E4E72EF" w14:textId="77777777" w:rsidR="00CD252D" w:rsidRPr="00CD252D" w:rsidRDefault="00CD252D" w:rsidP="00CD252D">
            <w:pPr>
              <w:pStyle w:val="CDITable-RowCentre"/>
            </w:pPr>
            <w:r w:rsidRPr="00CD252D">
              <w:t>0</w:t>
            </w:r>
          </w:p>
        </w:tc>
        <w:tc>
          <w:tcPr>
            <w:tcW w:w="578" w:type="dxa"/>
            <w:tcBorders>
              <w:top w:val="single" w:sz="6" w:space="0" w:color="1E4496" w:themeColor="text2"/>
            </w:tcBorders>
            <w:tcMar>
              <w:top w:w="113" w:type="dxa"/>
              <w:left w:w="113" w:type="dxa"/>
              <w:bottom w:w="113" w:type="dxa"/>
              <w:right w:w="113" w:type="dxa"/>
            </w:tcMar>
            <w:vAlign w:val="center"/>
          </w:tcPr>
          <w:p w14:paraId="529C1E7A" w14:textId="77777777" w:rsidR="00CD252D" w:rsidRPr="00CD252D" w:rsidRDefault="00CD252D" w:rsidP="00CD252D">
            <w:pPr>
              <w:pStyle w:val="CDITable-RowCentre"/>
            </w:pPr>
            <w:r w:rsidRPr="00CD252D">
              <w:t>0</w:t>
            </w:r>
          </w:p>
        </w:tc>
      </w:tr>
      <w:tr w:rsidR="00CD252D" w:rsidRPr="00CD252D" w14:paraId="2B9C4BB9" w14:textId="77777777" w:rsidTr="00CD252D">
        <w:trPr>
          <w:trHeight w:val="20"/>
        </w:trPr>
        <w:tc>
          <w:tcPr>
            <w:tcW w:w="167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88637C5" w14:textId="77777777" w:rsidR="00CD252D" w:rsidRPr="00CD252D" w:rsidRDefault="00CD252D" w:rsidP="00CD252D">
            <w:pPr>
              <w:pStyle w:val="CDITable-TotalRowLeft"/>
            </w:pPr>
            <w:r w:rsidRPr="00CD252D">
              <w:t>Australia</w:t>
            </w:r>
          </w:p>
        </w:tc>
        <w:tc>
          <w:tcPr>
            <w:tcW w:w="57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0165143" w14:textId="77777777" w:rsidR="00CD252D" w:rsidRPr="00CD252D" w:rsidRDefault="00CD252D" w:rsidP="00CD252D">
            <w:pPr>
              <w:pStyle w:val="CDITable-TotalRowCentre"/>
            </w:pPr>
            <w:r w:rsidRPr="00CD252D">
              <w:t>258</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338693C" w14:textId="77777777" w:rsidR="00CD252D" w:rsidRPr="00CD252D" w:rsidRDefault="00CD252D" w:rsidP="00CD252D">
            <w:pPr>
              <w:pStyle w:val="CDITable-TotalRowCentre"/>
            </w:pPr>
            <w:r w:rsidRPr="00CD252D">
              <w:t>5.4</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629D9DE" w14:textId="77777777" w:rsidR="00CD252D" w:rsidRPr="00CD252D" w:rsidRDefault="00CD252D" w:rsidP="00CD252D">
            <w:pPr>
              <w:pStyle w:val="CDITable-TotalRowCentre"/>
            </w:pPr>
            <w:r w:rsidRPr="00CD252D">
              <w:t>98</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E9806E5" w14:textId="77777777" w:rsidR="00CD252D" w:rsidRPr="00CD252D" w:rsidRDefault="00CD252D" w:rsidP="00CD252D">
            <w:pPr>
              <w:pStyle w:val="CDITable-TotalRowCentre"/>
            </w:pPr>
            <w:r w:rsidRPr="00CD252D">
              <w:t>1.8</w:t>
            </w:r>
          </w:p>
        </w:tc>
        <w:tc>
          <w:tcPr>
            <w:tcW w:w="57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94D5296" w14:textId="77777777" w:rsidR="00CD252D" w:rsidRPr="00CD252D" w:rsidRDefault="00CD252D" w:rsidP="00CD252D">
            <w:pPr>
              <w:pStyle w:val="CDITable-TotalRowCentre"/>
            </w:pPr>
            <w:r w:rsidRPr="00CD252D">
              <w:t>109</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66624B3" w14:textId="77777777" w:rsidR="00CD252D" w:rsidRPr="00CD252D" w:rsidRDefault="00CD252D" w:rsidP="00CD252D">
            <w:pPr>
              <w:pStyle w:val="CDITable-TotalRowCentre"/>
            </w:pPr>
            <w:r w:rsidRPr="00CD252D">
              <w:t>1.7</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79AC98E" w14:textId="77777777" w:rsidR="00CD252D" w:rsidRPr="00CD252D" w:rsidRDefault="00CD252D" w:rsidP="00CD252D">
            <w:pPr>
              <w:pStyle w:val="CDITable-TotalRowCentre"/>
            </w:pPr>
            <w:r w:rsidRPr="00CD252D">
              <w:t>83</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8334752" w14:textId="77777777" w:rsidR="00CD252D" w:rsidRPr="00CD252D" w:rsidRDefault="00CD252D" w:rsidP="00CD252D">
            <w:pPr>
              <w:pStyle w:val="CDITable-TotalRowCentre"/>
            </w:pPr>
            <w:r w:rsidRPr="00CD252D">
              <w:t>1.1</w:t>
            </w:r>
          </w:p>
        </w:tc>
        <w:tc>
          <w:tcPr>
            <w:tcW w:w="57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243DCA5" w14:textId="77777777" w:rsidR="00CD252D" w:rsidRPr="00CD252D" w:rsidRDefault="00CD252D" w:rsidP="00CD252D">
            <w:pPr>
              <w:pStyle w:val="CDITable-TotalRowCentre"/>
            </w:pPr>
            <w:r w:rsidRPr="00CD252D">
              <w:t>156</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0748732" w14:textId="77777777" w:rsidR="00CD252D" w:rsidRPr="00CD252D" w:rsidRDefault="00CD252D" w:rsidP="00CD252D">
            <w:pPr>
              <w:pStyle w:val="CDITable-TotalRowCentre"/>
            </w:pPr>
            <w:r w:rsidRPr="00CD252D">
              <w:t>1.7</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1738086" w14:textId="77777777" w:rsidR="00CD252D" w:rsidRPr="00CD252D" w:rsidRDefault="00CD252D" w:rsidP="00CD252D">
            <w:pPr>
              <w:pStyle w:val="CDITable-TotalRowCentre"/>
            </w:pPr>
            <w:r w:rsidRPr="00CD252D">
              <w:t>126</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7167C29" w14:textId="77777777" w:rsidR="00CD252D" w:rsidRPr="00CD252D" w:rsidRDefault="00CD252D" w:rsidP="00CD252D">
            <w:pPr>
              <w:pStyle w:val="CDITable-TotalRowCentre"/>
            </w:pPr>
            <w:r w:rsidRPr="00CD252D">
              <w:t>1.3</w:t>
            </w:r>
          </w:p>
        </w:tc>
        <w:tc>
          <w:tcPr>
            <w:tcW w:w="57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4A5DE74" w14:textId="77777777" w:rsidR="00CD252D" w:rsidRPr="00CD252D" w:rsidRDefault="00CD252D" w:rsidP="00CD252D">
            <w:pPr>
              <w:pStyle w:val="CDITable-TotalRowCentre"/>
            </w:pPr>
            <w:r w:rsidRPr="00CD252D">
              <w:t>68</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A53CC66" w14:textId="77777777" w:rsidR="00CD252D" w:rsidRPr="00CD252D" w:rsidRDefault="00CD252D" w:rsidP="00CD252D">
            <w:pPr>
              <w:pStyle w:val="CDITable-TotalRowCentre"/>
            </w:pPr>
            <w:r w:rsidRPr="00CD252D">
              <w:t>0.9</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BD5511A" w14:textId="77777777" w:rsidR="00CD252D" w:rsidRPr="00CD252D" w:rsidRDefault="00CD252D" w:rsidP="00CD252D">
            <w:pPr>
              <w:pStyle w:val="CDITable-TotalRowCentre"/>
            </w:pPr>
            <w:r w:rsidRPr="00CD252D">
              <w:t>54</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1952970" w14:textId="77777777" w:rsidR="00CD252D" w:rsidRPr="00CD252D" w:rsidRDefault="00CD252D" w:rsidP="00CD252D">
            <w:pPr>
              <w:pStyle w:val="CDITable-TotalRowCentre"/>
            </w:pPr>
            <w:r w:rsidRPr="00CD252D">
              <w:t>0.9</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263831B" w14:textId="77777777" w:rsidR="00CD252D" w:rsidRPr="00CD252D" w:rsidRDefault="00CD252D" w:rsidP="00CD252D">
            <w:pPr>
              <w:pStyle w:val="CDITable-TotalRowCentre"/>
            </w:pPr>
            <w:r w:rsidRPr="00CD252D">
              <w:t>456</w:t>
            </w:r>
          </w:p>
        </w:tc>
        <w:tc>
          <w:tcPr>
            <w:tcW w:w="57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EA97F57" w14:textId="77777777" w:rsidR="00CD252D" w:rsidRPr="00CD252D" w:rsidRDefault="00CD252D" w:rsidP="00CD252D">
            <w:pPr>
              <w:pStyle w:val="CDITable-TotalRowCentre"/>
            </w:pPr>
            <w:r w:rsidRPr="00CD252D">
              <w:t>5.6</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7873952" w14:textId="77777777" w:rsidR="00CD252D" w:rsidRPr="00CD252D" w:rsidRDefault="00CD252D" w:rsidP="00CD252D">
            <w:pPr>
              <w:pStyle w:val="CDITable-TotalRowCentre"/>
            </w:pPr>
            <w:r w:rsidRPr="00CD252D">
              <w:t>354</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9AEDD6D" w14:textId="77777777" w:rsidR="00CD252D" w:rsidRPr="00CD252D" w:rsidRDefault="00CD252D" w:rsidP="00CD252D">
            <w:pPr>
              <w:pStyle w:val="CDITable-TotalRowCentre"/>
            </w:pPr>
            <w:r w:rsidRPr="00CD252D">
              <w:t>3.5</w:t>
            </w:r>
          </w:p>
        </w:tc>
        <w:tc>
          <w:tcPr>
            <w:tcW w:w="57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47161E2" w14:textId="77777777" w:rsidR="00CD252D" w:rsidRPr="00CD252D" w:rsidRDefault="00CD252D" w:rsidP="00CD252D">
            <w:pPr>
              <w:pStyle w:val="CDITable-TotalRowCentre"/>
            </w:pPr>
            <w:r w:rsidRPr="00CD252D">
              <w:t>300</w:t>
            </w:r>
          </w:p>
        </w:tc>
        <w:tc>
          <w:tcPr>
            <w:tcW w:w="57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CC4F948" w14:textId="77777777" w:rsidR="00CD252D" w:rsidRPr="00CD252D" w:rsidRDefault="00CD252D" w:rsidP="00CD252D">
            <w:pPr>
              <w:pStyle w:val="CDITable-TotalRowCentre"/>
            </w:pPr>
            <w:r w:rsidRPr="00CD252D">
              <w:t>2.8</w:t>
            </w:r>
          </w:p>
        </w:tc>
      </w:tr>
    </w:tbl>
    <w:p w14:paraId="38DAE0A1" w14:textId="77777777" w:rsidR="00CD252D" w:rsidRPr="00CD252D" w:rsidRDefault="00CD252D" w:rsidP="00CD252D">
      <w:pPr>
        <w:pStyle w:val="CDITable-Title"/>
        <w:rPr>
          <w:lang w:val="en-GB"/>
        </w:rPr>
      </w:pPr>
      <w:bookmarkStart w:id="30" w:name="_Toc213238236"/>
      <w:r w:rsidRPr="00CD252D">
        <w:rPr>
          <w:lang w:val="en-GB"/>
        </w:rPr>
        <w:lastRenderedPageBreak/>
        <w:t>Table 5: Proportion (%) of gonococcal isolates tested in Australia with ceftriaxone MIC values at 0.064 mg/L and ≥ 0.125 mg/L</w:t>
      </w:r>
      <w:r w:rsidRPr="00CD252D">
        <w:rPr>
          <w:vertAlign w:val="superscript"/>
          <w:lang w:val="en-GB"/>
        </w:rPr>
        <w:t>7</w:t>
      </w:r>
      <w:r w:rsidRPr="00CD252D">
        <w:rPr>
          <w:lang w:val="en-GB"/>
        </w:rPr>
        <w:t xml:space="preserve"> and resistance to azithromycin, 2010 to 2024</w:t>
      </w:r>
      <w:bookmarkEnd w:id="30"/>
    </w:p>
    <w:tbl>
      <w:tblPr>
        <w:tblW w:w="0" w:type="auto"/>
        <w:tblLayout w:type="fixed"/>
        <w:tblCellMar>
          <w:left w:w="0" w:type="dxa"/>
          <w:right w:w="0" w:type="dxa"/>
        </w:tblCellMar>
        <w:tblLook w:val="0000" w:firstRow="0" w:lastRow="0" w:firstColumn="0" w:lastColumn="0" w:noHBand="0" w:noVBand="0"/>
        <w:tblCaption w:val="Table 5: Proportion (%) of gonococcal isolates tested in Australia with ceftriaxone MIC values at 0.064 mg/L and ≥ 0.125 mg/L7 and resistance to azithromycin, 2010 to 2024"/>
        <w:tblDescription w:val="Table 5 shows the proportion of gonococcal isolates with a ceftriaxone MIC value of 0.064 mg/L and those with ceftriaxone decreased susceptibility (ceftriaxone MIC values, MIC ≥0.125mg/L) as defined by WHO, over the years 2010 to 2024.  In Australia, the proportion of isolates with ceftriaxone MIC values of 0.064 mg/L increased from 3.2% in 2011 to 8.2% in 2013 but has gradually declined to 0.83% in 2021. The proportion of isolates with ceftriaxone MIC values of ≥0.125 mg/L, rose from 0.1% in 2011 to 0.6% in 2013-2014 but gradually declined to 0.06% in 2018 and continued this downward trend to 0.03% in 2021. In 2022, there was a surge in the proportion of isolates with ceftriaxone MIC values 0.064 mg/L (5.05%) and MIC values ≥0.125 mg/L (0.51%). In 2023, the proportions of gonococci with ceftriaxone MICs, 0.064 mg/L and with decreased susceptibility to ceftriaxone decreased to 3.29% and 0.22%, respectively. In 2024, isolates with ceftriaxone decreased susceptibility increased to 0.51%, mostly reported from New South Wales and Victoria.  &#10;In Australia, the proportion of isolates with azithromycin resistance increased from 1.3% in 2012 to 9.3% in 2017, but since then has gradually decreased and remains at a relatively stable level ranging between 3.9% to 4.5% (2019 to 2023). In 2024, the proportion of azithromycin resistance was 4.6%. "/>
      </w:tblPr>
      <w:tblGrid>
        <w:gridCol w:w="2268"/>
        <w:gridCol w:w="805"/>
        <w:gridCol w:w="805"/>
        <w:gridCol w:w="805"/>
        <w:gridCol w:w="805"/>
        <w:gridCol w:w="805"/>
        <w:gridCol w:w="805"/>
        <w:gridCol w:w="805"/>
        <w:gridCol w:w="805"/>
        <w:gridCol w:w="805"/>
        <w:gridCol w:w="805"/>
        <w:gridCol w:w="805"/>
        <w:gridCol w:w="805"/>
        <w:gridCol w:w="805"/>
        <w:gridCol w:w="805"/>
        <w:gridCol w:w="805"/>
      </w:tblGrid>
      <w:tr w:rsidR="00CA1B85" w:rsidRPr="00CA1B85" w14:paraId="38833B67" w14:textId="77777777" w:rsidTr="00CA1B85">
        <w:trPr>
          <w:trHeight w:val="60"/>
          <w:tblHeader/>
        </w:trPr>
        <w:tc>
          <w:tcPr>
            <w:tcW w:w="2268" w:type="dxa"/>
            <w:shd w:val="clear" w:color="auto" w:fill="1E4496" w:themeFill="text2"/>
            <w:tcMar>
              <w:top w:w="113" w:type="dxa"/>
              <w:left w:w="113" w:type="dxa"/>
              <w:bottom w:w="113" w:type="dxa"/>
              <w:right w:w="113" w:type="dxa"/>
            </w:tcMar>
            <w:vAlign w:val="bottom"/>
          </w:tcPr>
          <w:p w14:paraId="26377A9B" w14:textId="77777777" w:rsidR="00CA1B85" w:rsidRPr="00CA1B85" w:rsidRDefault="00CA1B85" w:rsidP="00CA1B85">
            <w:pPr>
              <w:pStyle w:val="CDITable-HeaderRowLeft"/>
            </w:pPr>
            <w:r w:rsidRPr="00CA1B85">
              <w:t>Year</w:t>
            </w:r>
          </w:p>
        </w:tc>
        <w:tc>
          <w:tcPr>
            <w:tcW w:w="805" w:type="dxa"/>
            <w:shd w:val="clear" w:color="auto" w:fill="1E4496" w:themeFill="text2"/>
            <w:tcMar>
              <w:top w:w="113" w:type="dxa"/>
              <w:left w:w="113" w:type="dxa"/>
              <w:bottom w:w="113" w:type="dxa"/>
              <w:right w:w="113" w:type="dxa"/>
            </w:tcMar>
            <w:vAlign w:val="bottom"/>
          </w:tcPr>
          <w:p w14:paraId="39675391" w14:textId="77777777" w:rsidR="00CA1B85" w:rsidRPr="00CA1B85" w:rsidRDefault="00CA1B85" w:rsidP="00CA1B85">
            <w:pPr>
              <w:pStyle w:val="CDITable-HeaderRowCentre"/>
            </w:pPr>
            <w:r w:rsidRPr="00CA1B85">
              <w:t>2010</w:t>
            </w:r>
          </w:p>
        </w:tc>
        <w:tc>
          <w:tcPr>
            <w:tcW w:w="805" w:type="dxa"/>
            <w:shd w:val="clear" w:color="auto" w:fill="1E4496" w:themeFill="text2"/>
            <w:tcMar>
              <w:top w:w="113" w:type="dxa"/>
              <w:left w:w="113" w:type="dxa"/>
              <w:bottom w:w="113" w:type="dxa"/>
              <w:right w:w="113" w:type="dxa"/>
            </w:tcMar>
            <w:vAlign w:val="bottom"/>
          </w:tcPr>
          <w:p w14:paraId="4BFDB18D" w14:textId="77777777" w:rsidR="00CA1B85" w:rsidRPr="00CA1B85" w:rsidRDefault="00CA1B85" w:rsidP="00CA1B85">
            <w:pPr>
              <w:pStyle w:val="CDITable-HeaderRowCentre"/>
            </w:pPr>
            <w:r w:rsidRPr="00CA1B85">
              <w:t>2011</w:t>
            </w:r>
          </w:p>
        </w:tc>
        <w:tc>
          <w:tcPr>
            <w:tcW w:w="805" w:type="dxa"/>
            <w:shd w:val="clear" w:color="auto" w:fill="1E4496" w:themeFill="text2"/>
            <w:tcMar>
              <w:top w:w="113" w:type="dxa"/>
              <w:left w:w="113" w:type="dxa"/>
              <w:bottom w:w="113" w:type="dxa"/>
              <w:right w:w="113" w:type="dxa"/>
            </w:tcMar>
            <w:vAlign w:val="bottom"/>
          </w:tcPr>
          <w:p w14:paraId="5E9139D3" w14:textId="77777777" w:rsidR="00CA1B85" w:rsidRPr="00CA1B85" w:rsidRDefault="00CA1B85" w:rsidP="00CA1B85">
            <w:pPr>
              <w:pStyle w:val="CDITable-HeaderRowCentre"/>
            </w:pPr>
            <w:r w:rsidRPr="00CA1B85">
              <w:t>2012</w:t>
            </w:r>
          </w:p>
        </w:tc>
        <w:tc>
          <w:tcPr>
            <w:tcW w:w="805" w:type="dxa"/>
            <w:shd w:val="clear" w:color="auto" w:fill="1E4496" w:themeFill="text2"/>
            <w:tcMar>
              <w:top w:w="113" w:type="dxa"/>
              <w:left w:w="113" w:type="dxa"/>
              <w:bottom w:w="113" w:type="dxa"/>
              <w:right w:w="113" w:type="dxa"/>
            </w:tcMar>
            <w:vAlign w:val="bottom"/>
          </w:tcPr>
          <w:p w14:paraId="0464380F" w14:textId="77777777" w:rsidR="00CA1B85" w:rsidRPr="00CA1B85" w:rsidRDefault="00CA1B85" w:rsidP="00CA1B85">
            <w:pPr>
              <w:pStyle w:val="CDITable-HeaderRowCentre"/>
            </w:pPr>
            <w:r w:rsidRPr="00CA1B85">
              <w:t>2013</w:t>
            </w:r>
          </w:p>
        </w:tc>
        <w:tc>
          <w:tcPr>
            <w:tcW w:w="805" w:type="dxa"/>
            <w:shd w:val="clear" w:color="auto" w:fill="1E4496" w:themeFill="text2"/>
            <w:tcMar>
              <w:top w:w="113" w:type="dxa"/>
              <w:left w:w="113" w:type="dxa"/>
              <w:bottom w:w="113" w:type="dxa"/>
              <w:right w:w="113" w:type="dxa"/>
            </w:tcMar>
            <w:vAlign w:val="bottom"/>
          </w:tcPr>
          <w:p w14:paraId="13C75A37" w14:textId="77777777" w:rsidR="00CA1B85" w:rsidRPr="00CA1B85" w:rsidRDefault="00CA1B85" w:rsidP="00CA1B85">
            <w:pPr>
              <w:pStyle w:val="CDITable-HeaderRowCentre"/>
            </w:pPr>
            <w:r w:rsidRPr="00CA1B85">
              <w:t>2014</w:t>
            </w:r>
          </w:p>
        </w:tc>
        <w:tc>
          <w:tcPr>
            <w:tcW w:w="805" w:type="dxa"/>
            <w:shd w:val="clear" w:color="auto" w:fill="1E4496" w:themeFill="text2"/>
            <w:tcMar>
              <w:top w:w="113" w:type="dxa"/>
              <w:left w:w="113" w:type="dxa"/>
              <w:bottom w:w="113" w:type="dxa"/>
              <w:right w:w="113" w:type="dxa"/>
            </w:tcMar>
            <w:vAlign w:val="bottom"/>
          </w:tcPr>
          <w:p w14:paraId="61DC9D63" w14:textId="77777777" w:rsidR="00CA1B85" w:rsidRPr="00CA1B85" w:rsidRDefault="00CA1B85" w:rsidP="00CA1B85">
            <w:pPr>
              <w:pStyle w:val="CDITable-HeaderRowCentre"/>
            </w:pPr>
            <w:r w:rsidRPr="00CA1B85">
              <w:t>2015</w:t>
            </w:r>
          </w:p>
        </w:tc>
        <w:tc>
          <w:tcPr>
            <w:tcW w:w="805" w:type="dxa"/>
            <w:shd w:val="clear" w:color="auto" w:fill="1E4496" w:themeFill="text2"/>
            <w:tcMar>
              <w:top w:w="113" w:type="dxa"/>
              <w:left w:w="113" w:type="dxa"/>
              <w:bottom w:w="113" w:type="dxa"/>
              <w:right w:w="113" w:type="dxa"/>
            </w:tcMar>
            <w:vAlign w:val="bottom"/>
          </w:tcPr>
          <w:p w14:paraId="678EBBA6" w14:textId="77777777" w:rsidR="00CA1B85" w:rsidRPr="00CA1B85" w:rsidRDefault="00CA1B85" w:rsidP="00CA1B85">
            <w:pPr>
              <w:pStyle w:val="CDITable-HeaderRowCentre"/>
            </w:pPr>
            <w:r w:rsidRPr="00CA1B85">
              <w:t>2016</w:t>
            </w:r>
          </w:p>
        </w:tc>
        <w:tc>
          <w:tcPr>
            <w:tcW w:w="805" w:type="dxa"/>
            <w:shd w:val="clear" w:color="auto" w:fill="1E4496" w:themeFill="text2"/>
            <w:tcMar>
              <w:top w:w="113" w:type="dxa"/>
              <w:left w:w="113" w:type="dxa"/>
              <w:bottom w:w="113" w:type="dxa"/>
              <w:right w:w="113" w:type="dxa"/>
            </w:tcMar>
            <w:vAlign w:val="bottom"/>
          </w:tcPr>
          <w:p w14:paraId="69C1C397" w14:textId="77777777" w:rsidR="00CA1B85" w:rsidRPr="00CA1B85" w:rsidRDefault="00CA1B85" w:rsidP="00CA1B85">
            <w:pPr>
              <w:pStyle w:val="CDITable-HeaderRowCentre"/>
            </w:pPr>
            <w:r w:rsidRPr="00CA1B85">
              <w:t>2017</w:t>
            </w:r>
          </w:p>
        </w:tc>
        <w:tc>
          <w:tcPr>
            <w:tcW w:w="805" w:type="dxa"/>
            <w:shd w:val="clear" w:color="auto" w:fill="1E4496" w:themeFill="text2"/>
            <w:tcMar>
              <w:top w:w="113" w:type="dxa"/>
              <w:left w:w="113" w:type="dxa"/>
              <w:bottom w:w="113" w:type="dxa"/>
              <w:right w:w="113" w:type="dxa"/>
            </w:tcMar>
            <w:vAlign w:val="bottom"/>
          </w:tcPr>
          <w:p w14:paraId="49797476" w14:textId="77777777" w:rsidR="00CA1B85" w:rsidRPr="00CA1B85" w:rsidRDefault="00CA1B85" w:rsidP="00CA1B85">
            <w:pPr>
              <w:pStyle w:val="CDITable-HeaderRowCentre"/>
            </w:pPr>
            <w:r w:rsidRPr="00CA1B85">
              <w:t>2018</w:t>
            </w:r>
          </w:p>
        </w:tc>
        <w:tc>
          <w:tcPr>
            <w:tcW w:w="805" w:type="dxa"/>
            <w:shd w:val="clear" w:color="auto" w:fill="1E4496" w:themeFill="text2"/>
            <w:tcMar>
              <w:top w:w="113" w:type="dxa"/>
              <w:left w:w="113" w:type="dxa"/>
              <w:bottom w:w="113" w:type="dxa"/>
              <w:right w:w="113" w:type="dxa"/>
            </w:tcMar>
            <w:vAlign w:val="bottom"/>
          </w:tcPr>
          <w:p w14:paraId="5375AF54" w14:textId="77777777" w:rsidR="00CA1B85" w:rsidRPr="00CA1B85" w:rsidRDefault="00CA1B85" w:rsidP="00CA1B85">
            <w:pPr>
              <w:pStyle w:val="CDITable-HeaderRowCentre"/>
            </w:pPr>
            <w:r w:rsidRPr="00CA1B85">
              <w:t>2019</w:t>
            </w:r>
          </w:p>
        </w:tc>
        <w:tc>
          <w:tcPr>
            <w:tcW w:w="805" w:type="dxa"/>
            <w:shd w:val="clear" w:color="auto" w:fill="1E4496" w:themeFill="text2"/>
            <w:tcMar>
              <w:top w:w="113" w:type="dxa"/>
              <w:left w:w="113" w:type="dxa"/>
              <w:bottom w:w="113" w:type="dxa"/>
              <w:right w:w="113" w:type="dxa"/>
            </w:tcMar>
            <w:vAlign w:val="bottom"/>
          </w:tcPr>
          <w:p w14:paraId="64D408E6" w14:textId="77777777" w:rsidR="00CA1B85" w:rsidRPr="00CA1B85" w:rsidRDefault="00CA1B85" w:rsidP="00CA1B85">
            <w:pPr>
              <w:pStyle w:val="CDITable-HeaderRowCentre"/>
            </w:pPr>
            <w:r w:rsidRPr="00CA1B85">
              <w:t>2020</w:t>
            </w:r>
          </w:p>
        </w:tc>
        <w:tc>
          <w:tcPr>
            <w:tcW w:w="805" w:type="dxa"/>
            <w:shd w:val="clear" w:color="auto" w:fill="1E4496" w:themeFill="text2"/>
            <w:tcMar>
              <w:top w:w="113" w:type="dxa"/>
              <w:left w:w="113" w:type="dxa"/>
              <w:bottom w:w="113" w:type="dxa"/>
              <w:right w:w="113" w:type="dxa"/>
            </w:tcMar>
            <w:vAlign w:val="bottom"/>
          </w:tcPr>
          <w:p w14:paraId="35664229" w14:textId="77777777" w:rsidR="00CA1B85" w:rsidRPr="00CA1B85" w:rsidRDefault="00CA1B85" w:rsidP="00CA1B85">
            <w:pPr>
              <w:pStyle w:val="CDITable-HeaderRowCentre"/>
            </w:pPr>
            <w:r w:rsidRPr="00CA1B85">
              <w:t>2021</w:t>
            </w:r>
          </w:p>
        </w:tc>
        <w:tc>
          <w:tcPr>
            <w:tcW w:w="805" w:type="dxa"/>
            <w:shd w:val="clear" w:color="auto" w:fill="1E4496" w:themeFill="text2"/>
            <w:tcMar>
              <w:top w:w="113" w:type="dxa"/>
              <w:left w:w="113" w:type="dxa"/>
              <w:bottom w:w="113" w:type="dxa"/>
              <w:right w:w="113" w:type="dxa"/>
            </w:tcMar>
            <w:vAlign w:val="bottom"/>
          </w:tcPr>
          <w:p w14:paraId="2F04FA3C" w14:textId="77777777" w:rsidR="00CA1B85" w:rsidRPr="00CA1B85" w:rsidRDefault="00CA1B85" w:rsidP="00CA1B85">
            <w:pPr>
              <w:pStyle w:val="CDITable-HeaderRowCentre"/>
            </w:pPr>
            <w:r w:rsidRPr="00CA1B85">
              <w:t>2022</w:t>
            </w:r>
          </w:p>
        </w:tc>
        <w:tc>
          <w:tcPr>
            <w:tcW w:w="805" w:type="dxa"/>
            <w:shd w:val="clear" w:color="auto" w:fill="1E4496" w:themeFill="text2"/>
            <w:tcMar>
              <w:top w:w="113" w:type="dxa"/>
              <w:left w:w="113" w:type="dxa"/>
              <w:bottom w:w="113" w:type="dxa"/>
              <w:right w:w="113" w:type="dxa"/>
            </w:tcMar>
            <w:vAlign w:val="bottom"/>
          </w:tcPr>
          <w:p w14:paraId="6D009361" w14:textId="77777777" w:rsidR="00CA1B85" w:rsidRPr="00CA1B85" w:rsidRDefault="00CA1B85" w:rsidP="00CA1B85">
            <w:pPr>
              <w:pStyle w:val="CDITable-HeaderRowCentre"/>
            </w:pPr>
            <w:r w:rsidRPr="00CA1B85">
              <w:t>2023</w:t>
            </w:r>
          </w:p>
        </w:tc>
        <w:tc>
          <w:tcPr>
            <w:tcW w:w="805" w:type="dxa"/>
            <w:shd w:val="clear" w:color="auto" w:fill="1E4496" w:themeFill="text2"/>
            <w:tcMar>
              <w:top w:w="113" w:type="dxa"/>
              <w:left w:w="113" w:type="dxa"/>
              <w:bottom w:w="113" w:type="dxa"/>
              <w:right w:w="113" w:type="dxa"/>
            </w:tcMar>
            <w:vAlign w:val="bottom"/>
          </w:tcPr>
          <w:p w14:paraId="4A22EA4C" w14:textId="77777777" w:rsidR="00CA1B85" w:rsidRPr="00CA1B85" w:rsidRDefault="00CA1B85" w:rsidP="00CA1B85">
            <w:pPr>
              <w:pStyle w:val="CDITable-HeaderRowCentre"/>
            </w:pPr>
            <w:r w:rsidRPr="00CA1B85">
              <w:t>2024</w:t>
            </w:r>
          </w:p>
        </w:tc>
      </w:tr>
      <w:tr w:rsidR="00CA1B85" w:rsidRPr="00CA1B85" w14:paraId="2CF8ACBC" w14:textId="77777777" w:rsidTr="00CA1B85">
        <w:trPr>
          <w:trHeight w:val="60"/>
        </w:trPr>
        <w:tc>
          <w:tcPr>
            <w:tcW w:w="2268" w:type="dxa"/>
            <w:tcBorders>
              <w:bottom w:val="single" w:sz="6" w:space="0" w:color="1E4496" w:themeColor="text2"/>
            </w:tcBorders>
            <w:tcMar>
              <w:top w:w="113" w:type="dxa"/>
              <w:left w:w="113" w:type="dxa"/>
              <w:bottom w:w="113" w:type="dxa"/>
              <w:right w:w="113" w:type="dxa"/>
            </w:tcMar>
            <w:vAlign w:val="center"/>
          </w:tcPr>
          <w:p w14:paraId="1D8AB76F" w14:textId="7A0D0D5F" w:rsidR="00CA1B85" w:rsidRPr="00CA1B85" w:rsidRDefault="00CA1B85" w:rsidP="00CA1B85">
            <w:pPr>
              <w:pStyle w:val="CDITable-RowLeft"/>
            </w:pPr>
            <w:r w:rsidRPr="00CA1B85">
              <w:t>Number of isolates tested</w:t>
            </w:r>
            <w:r>
              <w:t> </w:t>
            </w:r>
            <w:r w:rsidRPr="00CA1B85">
              <w:t>nationally</w:t>
            </w:r>
          </w:p>
        </w:tc>
        <w:tc>
          <w:tcPr>
            <w:tcW w:w="805" w:type="dxa"/>
            <w:tcBorders>
              <w:bottom w:val="single" w:sz="6" w:space="0" w:color="1E4496" w:themeColor="text2"/>
            </w:tcBorders>
            <w:tcMar>
              <w:top w:w="113" w:type="dxa"/>
              <w:left w:w="113" w:type="dxa"/>
              <w:bottom w:w="113" w:type="dxa"/>
              <w:right w:w="113" w:type="dxa"/>
            </w:tcMar>
            <w:vAlign w:val="center"/>
          </w:tcPr>
          <w:p w14:paraId="6DABEF12" w14:textId="77777777" w:rsidR="00CA1B85" w:rsidRPr="00CA1B85" w:rsidRDefault="00CA1B85" w:rsidP="00CA1B85">
            <w:pPr>
              <w:pStyle w:val="CDITable-RowCentre"/>
            </w:pPr>
            <w:r w:rsidRPr="00CA1B85">
              <w:t>4,100</w:t>
            </w:r>
          </w:p>
        </w:tc>
        <w:tc>
          <w:tcPr>
            <w:tcW w:w="805" w:type="dxa"/>
            <w:tcBorders>
              <w:bottom w:val="single" w:sz="6" w:space="0" w:color="1E4496" w:themeColor="text2"/>
            </w:tcBorders>
            <w:tcMar>
              <w:top w:w="113" w:type="dxa"/>
              <w:left w:w="113" w:type="dxa"/>
              <w:bottom w:w="113" w:type="dxa"/>
              <w:right w:w="113" w:type="dxa"/>
            </w:tcMar>
            <w:vAlign w:val="center"/>
          </w:tcPr>
          <w:p w14:paraId="77FF65E5" w14:textId="77777777" w:rsidR="00CA1B85" w:rsidRPr="00CA1B85" w:rsidRDefault="00CA1B85" w:rsidP="00CA1B85">
            <w:pPr>
              <w:pStyle w:val="CDITable-RowCentre"/>
            </w:pPr>
            <w:r w:rsidRPr="00CA1B85">
              <w:t>4,230</w:t>
            </w:r>
          </w:p>
        </w:tc>
        <w:tc>
          <w:tcPr>
            <w:tcW w:w="805" w:type="dxa"/>
            <w:tcBorders>
              <w:bottom w:val="single" w:sz="6" w:space="0" w:color="1E4496" w:themeColor="text2"/>
            </w:tcBorders>
            <w:tcMar>
              <w:top w:w="113" w:type="dxa"/>
              <w:left w:w="113" w:type="dxa"/>
              <w:bottom w:w="113" w:type="dxa"/>
              <w:right w:w="113" w:type="dxa"/>
            </w:tcMar>
            <w:vAlign w:val="center"/>
          </w:tcPr>
          <w:p w14:paraId="1BF4F2D0" w14:textId="77777777" w:rsidR="00CA1B85" w:rsidRPr="00CA1B85" w:rsidRDefault="00CA1B85" w:rsidP="00CA1B85">
            <w:pPr>
              <w:pStyle w:val="CDITable-RowCentre"/>
            </w:pPr>
            <w:r w:rsidRPr="00CA1B85">
              <w:t>4,718</w:t>
            </w:r>
          </w:p>
        </w:tc>
        <w:tc>
          <w:tcPr>
            <w:tcW w:w="805" w:type="dxa"/>
            <w:tcBorders>
              <w:bottom w:val="single" w:sz="6" w:space="0" w:color="1E4496" w:themeColor="text2"/>
            </w:tcBorders>
            <w:tcMar>
              <w:top w:w="113" w:type="dxa"/>
              <w:left w:w="113" w:type="dxa"/>
              <w:bottom w:w="113" w:type="dxa"/>
              <w:right w:w="113" w:type="dxa"/>
            </w:tcMar>
            <w:vAlign w:val="center"/>
          </w:tcPr>
          <w:p w14:paraId="1F13C957" w14:textId="77777777" w:rsidR="00CA1B85" w:rsidRPr="00CA1B85" w:rsidRDefault="00CA1B85" w:rsidP="00CA1B85">
            <w:pPr>
              <w:pStyle w:val="CDITable-RowCentre"/>
            </w:pPr>
            <w:r w:rsidRPr="00CA1B85">
              <w:t>4,897</w:t>
            </w:r>
          </w:p>
        </w:tc>
        <w:tc>
          <w:tcPr>
            <w:tcW w:w="805" w:type="dxa"/>
            <w:tcBorders>
              <w:bottom w:val="single" w:sz="6" w:space="0" w:color="1E4496" w:themeColor="text2"/>
            </w:tcBorders>
            <w:tcMar>
              <w:top w:w="113" w:type="dxa"/>
              <w:left w:w="113" w:type="dxa"/>
              <w:bottom w:w="113" w:type="dxa"/>
              <w:right w:w="113" w:type="dxa"/>
            </w:tcMar>
            <w:vAlign w:val="center"/>
          </w:tcPr>
          <w:p w14:paraId="551FD5C9" w14:textId="77777777" w:rsidR="00CA1B85" w:rsidRPr="00CA1B85" w:rsidRDefault="00CA1B85" w:rsidP="00CA1B85">
            <w:pPr>
              <w:pStyle w:val="CDITable-RowCentre"/>
            </w:pPr>
            <w:r w:rsidRPr="00CA1B85">
              <w:t>4,804</w:t>
            </w:r>
          </w:p>
        </w:tc>
        <w:tc>
          <w:tcPr>
            <w:tcW w:w="805" w:type="dxa"/>
            <w:tcBorders>
              <w:bottom w:val="single" w:sz="6" w:space="0" w:color="1E4496" w:themeColor="text2"/>
            </w:tcBorders>
            <w:tcMar>
              <w:top w:w="113" w:type="dxa"/>
              <w:left w:w="113" w:type="dxa"/>
              <w:bottom w:w="113" w:type="dxa"/>
              <w:right w:w="113" w:type="dxa"/>
            </w:tcMar>
            <w:vAlign w:val="center"/>
          </w:tcPr>
          <w:p w14:paraId="41596F4A" w14:textId="77777777" w:rsidR="00CA1B85" w:rsidRPr="00CA1B85" w:rsidRDefault="00CA1B85" w:rsidP="00CA1B85">
            <w:pPr>
              <w:pStyle w:val="CDITable-RowCentre"/>
            </w:pPr>
            <w:r w:rsidRPr="00CA1B85">
              <w:t>5,411</w:t>
            </w:r>
          </w:p>
        </w:tc>
        <w:tc>
          <w:tcPr>
            <w:tcW w:w="805" w:type="dxa"/>
            <w:tcBorders>
              <w:bottom w:val="single" w:sz="6" w:space="0" w:color="1E4496" w:themeColor="text2"/>
            </w:tcBorders>
            <w:tcMar>
              <w:top w:w="113" w:type="dxa"/>
              <w:left w:w="113" w:type="dxa"/>
              <w:bottom w:w="113" w:type="dxa"/>
              <w:right w:w="113" w:type="dxa"/>
            </w:tcMar>
            <w:vAlign w:val="center"/>
          </w:tcPr>
          <w:p w14:paraId="1F0F399C" w14:textId="77777777" w:rsidR="00CA1B85" w:rsidRPr="00CA1B85" w:rsidRDefault="00CA1B85" w:rsidP="00CA1B85">
            <w:pPr>
              <w:pStyle w:val="CDITable-RowCentre"/>
            </w:pPr>
            <w:r w:rsidRPr="00CA1B85">
              <w:t>6,378</w:t>
            </w:r>
          </w:p>
        </w:tc>
        <w:tc>
          <w:tcPr>
            <w:tcW w:w="805" w:type="dxa"/>
            <w:tcBorders>
              <w:bottom w:val="single" w:sz="6" w:space="0" w:color="1E4496" w:themeColor="text2"/>
            </w:tcBorders>
            <w:tcMar>
              <w:top w:w="113" w:type="dxa"/>
              <w:left w:w="113" w:type="dxa"/>
              <w:bottom w:w="113" w:type="dxa"/>
              <w:right w:w="113" w:type="dxa"/>
            </w:tcMar>
            <w:vAlign w:val="center"/>
          </w:tcPr>
          <w:p w14:paraId="2621D357" w14:textId="77777777" w:rsidR="00CA1B85" w:rsidRPr="00CA1B85" w:rsidRDefault="00CA1B85" w:rsidP="00CA1B85">
            <w:pPr>
              <w:pStyle w:val="CDITable-RowCentre"/>
            </w:pPr>
            <w:r w:rsidRPr="00CA1B85">
              <w:t>7,835</w:t>
            </w:r>
          </w:p>
        </w:tc>
        <w:tc>
          <w:tcPr>
            <w:tcW w:w="805" w:type="dxa"/>
            <w:tcBorders>
              <w:bottom w:val="single" w:sz="6" w:space="0" w:color="1E4496" w:themeColor="text2"/>
            </w:tcBorders>
            <w:tcMar>
              <w:top w:w="113" w:type="dxa"/>
              <w:left w:w="113" w:type="dxa"/>
              <w:bottom w:w="113" w:type="dxa"/>
              <w:right w:w="113" w:type="dxa"/>
            </w:tcMar>
            <w:vAlign w:val="center"/>
          </w:tcPr>
          <w:p w14:paraId="7AB576E3" w14:textId="77777777" w:rsidR="00CA1B85" w:rsidRPr="00CA1B85" w:rsidRDefault="00CA1B85" w:rsidP="00CA1B85">
            <w:pPr>
              <w:pStyle w:val="CDITable-RowCentre"/>
            </w:pPr>
            <w:r w:rsidRPr="00CA1B85">
              <w:t>9,006</w:t>
            </w:r>
          </w:p>
        </w:tc>
        <w:tc>
          <w:tcPr>
            <w:tcW w:w="805" w:type="dxa"/>
            <w:tcBorders>
              <w:bottom w:val="single" w:sz="6" w:space="0" w:color="1E4496" w:themeColor="text2"/>
            </w:tcBorders>
            <w:tcMar>
              <w:top w:w="113" w:type="dxa"/>
              <w:left w:w="113" w:type="dxa"/>
              <w:bottom w:w="113" w:type="dxa"/>
              <w:right w:w="113" w:type="dxa"/>
            </w:tcMar>
            <w:vAlign w:val="center"/>
          </w:tcPr>
          <w:p w14:paraId="1E9ECAD8" w14:textId="77777777" w:rsidR="00CA1B85" w:rsidRPr="00CA1B85" w:rsidRDefault="00CA1B85" w:rsidP="00CA1B85">
            <w:pPr>
              <w:pStyle w:val="CDITable-RowCentre"/>
            </w:pPr>
            <w:r w:rsidRPr="00CA1B85">
              <w:t>9,668</w:t>
            </w:r>
          </w:p>
        </w:tc>
        <w:tc>
          <w:tcPr>
            <w:tcW w:w="805" w:type="dxa"/>
            <w:tcBorders>
              <w:bottom w:val="single" w:sz="6" w:space="0" w:color="1E4496" w:themeColor="text2"/>
            </w:tcBorders>
            <w:tcMar>
              <w:top w:w="113" w:type="dxa"/>
              <w:left w:w="113" w:type="dxa"/>
              <w:bottom w:w="113" w:type="dxa"/>
              <w:right w:w="113" w:type="dxa"/>
            </w:tcMar>
            <w:vAlign w:val="center"/>
          </w:tcPr>
          <w:p w14:paraId="4CD874FE" w14:textId="77777777" w:rsidR="00CA1B85" w:rsidRPr="00CA1B85" w:rsidRDefault="00CA1B85" w:rsidP="00CA1B85">
            <w:pPr>
              <w:pStyle w:val="CDITable-RowCentre"/>
            </w:pPr>
            <w:r w:rsidRPr="00CA1B85">
              <w:t>7,222</w:t>
            </w:r>
          </w:p>
        </w:tc>
        <w:tc>
          <w:tcPr>
            <w:tcW w:w="805" w:type="dxa"/>
            <w:tcBorders>
              <w:bottom w:val="single" w:sz="6" w:space="0" w:color="1E4496" w:themeColor="text2"/>
            </w:tcBorders>
            <w:tcMar>
              <w:top w:w="113" w:type="dxa"/>
              <w:left w:w="113" w:type="dxa"/>
              <w:bottom w:w="113" w:type="dxa"/>
              <w:right w:w="113" w:type="dxa"/>
            </w:tcMar>
            <w:vAlign w:val="center"/>
          </w:tcPr>
          <w:p w14:paraId="270D1AC7" w14:textId="77777777" w:rsidR="00CA1B85" w:rsidRPr="00CA1B85" w:rsidRDefault="00CA1B85" w:rsidP="00CA1B85">
            <w:pPr>
              <w:pStyle w:val="CDITable-RowCentre"/>
            </w:pPr>
            <w:r w:rsidRPr="00CA1B85">
              <w:t>6,254</w:t>
            </w:r>
          </w:p>
        </w:tc>
        <w:tc>
          <w:tcPr>
            <w:tcW w:w="805" w:type="dxa"/>
            <w:tcBorders>
              <w:bottom w:val="single" w:sz="6" w:space="0" w:color="1E4496" w:themeColor="text2"/>
            </w:tcBorders>
            <w:tcMar>
              <w:top w:w="113" w:type="dxa"/>
              <w:left w:w="113" w:type="dxa"/>
              <w:bottom w:w="113" w:type="dxa"/>
              <w:right w:w="113" w:type="dxa"/>
            </w:tcMar>
            <w:vAlign w:val="center"/>
          </w:tcPr>
          <w:p w14:paraId="3CC90A5A" w14:textId="77777777" w:rsidR="00CA1B85" w:rsidRPr="00CA1B85" w:rsidRDefault="00CA1B85" w:rsidP="00CA1B85">
            <w:pPr>
              <w:pStyle w:val="CDITable-RowCentre"/>
            </w:pPr>
            <w:r w:rsidRPr="00CA1B85">
              <w:t>8,199</w:t>
            </w:r>
          </w:p>
        </w:tc>
        <w:tc>
          <w:tcPr>
            <w:tcW w:w="805" w:type="dxa"/>
            <w:tcBorders>
              <w:bottom w:val="single" w:sz="6" w:space="0" w:color="1E4496" w:themeColor="text2"/>
            </w:tcBorders>
            <w:tcMar>
              <w:top w:w="113" w:type="dxa"/>
              <w:left w:w="113" w:type="dxa"/>
              <w:bottom w:w="113" w:type="dxa"/>
              <w:right w:w="113" w:type="dxa"/>
            </w:tcMar>
            <w:vAlign w:val="center"/>
          </w:tcPr>
          <w:p w14:paraId="079EF22B" w14:textId="77777777" w:rsidR="00CA1B85" w:rsidRPr="00CA1B85" w:rsidRDefault="00CA1B85" w:rsidP="00CA1B85">
            <w:pPr>
              <w:pStyle w:val="CDITable-RowCentre"/>
            </w:pPr>
            <w:r w:rsidRPr="00CA1B85">
              <w:t>10,105</w:t>
            </w:r>
          </w:p>
        </w:tc>
        <w:tc>
          <w:tcPr>
            <w:tcW w:w="805" w:type="dxa"/>
            <w:tcBorders>
              <w:bottom w:val="single" w:sz="6" w:space="0" w:color="1E4496" w:themeColor="text2"/>
            </w:tcBorders>
            <w:tcMar>
              <w:top w:w="113" w:type="dxa"/>
              <w:left w:w="113" w:type="dxa"/>
              <w:bottom w:w="113" w:type="dxa"/>
              <w:right w:w="113" w:type="dxa"/>
            </w:tcMar>
            <w:vAlign w:val="center"/>
          </w:tcPr>
          <w:p w14:paraId="77BD1C6E" w14:textId="77777777" w:rsidR="00CA1B85" w:rsidRPr="00CA1B85" w:rsidRDefault="00CA1B85" w:rsidP="00CA1B85">
            <w:pPr>
              <w:pStyle w:val="CDITable-RowCentre"/>
              <w:rPr>
                <w:b/>
                <w:bCs/>
              </w:rPr>
            </w:pPr>
            <w:r w:rsidRPr="00CA1B85">
              <w:rPr>
                <w:b/>
                <w:bCs/>
              </w:rPr>
              <w:t>10,702</w:t>
            </w:r>
          </w:p>
        </w:tc>
      </w:tr>
      <w:tr w:rsidR="00CA1B85" w:rsidRPr="00CA1B85" w14:paraId="524B1DEA" w14:textId="77777777" w:rsidTr="00CA1B85">
        <w:trPr>
          <w:trHeight w:val="60"/>
        </w:trPr>
        <w:tc>
          <w:tcPr>
            <w:tcW w:w="226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077D0A" w14:textId="537941A2" w:rsidR="00CA1B85" w:rsidRPr="00CA1B85" w:rsidRDefault="00CA1B85" w:rsidP="00CA1B85">
            <w:pPr>
              <w:pStyle w:val="CDITable-RowLeft"/>
            </w:pPr>
            <w:r w:rsidRPr="00CA1B85">
              <w:t>Ceftriaxone MIC</w:t>
            </w:r>
            <w:r>
              <w:t> </w:t>
            </w:r>
            <w:r w:rsidRPr="00CA1B85">
              <w:t>0.064</w:t>
            </w:r>
            <w:r>
              <w:t> </w:t>
            </w:r>
            <w:r w:rsidRPr="00CA1B85">
              <w:t>mg/L</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54D32E" w14:textId="77777777" w:rsidR="00CA1B85" w:rsidRPr="00CA1B85" w:rsidRDefault="00CA1B85" w:rsidP="00CA1B85">
            <w:pPr>
              <w:pStyle w:val="CDITable-RowCentre"/>
            </w:pPr>
            <w:r w:rsidRPr="00CA1B85">
              <w:t>4.80%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3670CA" w14:textId="77777777" w:rsidR="00CA1B85" w:rsidRPr="00CA1B85" w:rsidRDefault="00CA1B85" w:rsidP="00CA1B85">
            <w:pPr>
              <w:pStyle w:val="CDITable-RowCentre"/>
            </w:pPr>
            <w:r w:rsidRPr="00CA1B85">
              <w:t>3.20%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91D080" w14:textId="77777777" w:rsidR="00CA1B85" w:rsidRPr="00CA1B85" w:rsidRDefault="00CA1B85" w:rsidP="00CA1B85">
            <w:pPr>
              <w:pStyle w:val="CDITable-RowCentre"/>
            </w:pPr>
            <w:r w:rsidRPr="00CA1B85">
              <w:t>4.10%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F86D2E" w14:textId="77777777" w:rsidR="00CA1B85" w:rsidRPr="00CA1B85" w:rsidRDefault="00CA1B85" w:rsidP="00CA1B85">
            <w:pPr>
              <w:pStyle w:val="CDITable-RowCentre"/>
            </w:pPr>
            <w:r w:rsidRPr="00CA1B85">
              <w:t>8.20%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815DC5" w14:textId="77777777" w:rsidR="00CA1B85" w:rsidRPr="00CA1B85" w:rsidRDefault="00CA1B85" w:rsidP="00CA1B85">
            <w:pPr>
              <w:pStyle w:val="CDITable-RowCentre"/>
            </w:pPr>
            <w:r w:rsidRPr="00CA1B85">
              <w:t>4.80%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F72E9F" w14:textId="77777777" w:rsidR="00CA1B85" w:rsidRPr="00CA1B85" w:rsidRDefault="00CA1B85" w:rsidP="00CA1B85">
            <w:pPr>
              <w:pStyle w:val="CDITable-RowCentre"/>
            </w:pPr>
            <w:r w:rsidRPr="00CA1B85">
              <w:t>1.70%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C484B8" w14:textId="77777777" w:rsidR="00CA1B85" w:rsidRPr="00CA1B85" w:rsidRDefault="00CA1B85" w:rsidP="00CA1B85">
            <w:pPr>
              <w:pStyle w:val="CDITable-RowCentre"/>
            </w:pPr>
            <w:r w:rsidRPr="00CA1B85">
              <w:t>1.65%</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246387" w14:textId="77777777" w:rsidR="00CA1B85" w:rsidRPr="00CA1B85" w:rsidRDefault="00CA1B85" w:rsidP="00CA1B85">
            <w:pPr>
              <w:pStyle w:val="CDITable-RowCentre"/>
            </w:pPr>
            <w:r w:rsidRPr="00CA1B85">
              <w:t>1.02%</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0B2656" w14:textId="77777777" w:rsidR="00CA1B85" w:rsidRPr="00CA1B85" w:rsidRDefault="00CA1B85" w:rsidP="00CA1B85">
            <w:pPr>
              <w:pStyle w:val="CDITable-RowCentre"/>
            </w:pPr>
            <w:r w:rsidRPr="00CA1B85">
              <w:t>1.67%</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CA6120" w14:textId="77777777" w:rsidR="00CA1B85" w:rsidRPr="00CA1B85" w:rsidRDefault="00CA1B85" w:rsidP="00CA1B85">
            <w:pPr>
              <w:pStyle w:val="CDITable-RowCentre"/>
            </w:pPr>
            <w:r w:rsidRPr="00CA1B85">
              <w:t>1.19%</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FCBEB9" w14:textId="77777777" w:rsidR="00CA1B85" w:rsidRPr="00CA1B85" w:rsidRDefault="00CA1B85" w:rsidP="00CA1B85">
            <w:pPr>
              <w:pStyle w:val="CDITable-RowCentre"/>
            </w:pPr>
            <w:r w:rsidRPr="00CA1B85">
              <w:t>0.87%</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2D9E98" w14:textId="77777777" w:rsidR="00CA1B85" w:rsidRPr="00CA1B85" w:rsidRDefault="00CA1B85" w:rsidP="00CA1B85">
            <w:pPr>
              <w:pStyle w:val="CDITable-RowCentre"/>
            </w:pPr>
            <w:r w:rsidRPr="00CA1B85">
              <w:t>0.83%</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29E975" w14:textId="77777777" w:rsidR="00CA1B85" w:rsidRPr="00CA1B85" w:rsidRDefault="00CA1B85" w:rsidP="00CA1B85">
            <w:pPr>
              <w:pStyle w:val="CDITable-RowCentre"/>
            </w:pPr>
            <w:r w:rsidRPr="00CA1B85">
              <w:t>5.05%</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EE2F34" w14:textId="77777777" w:rsidR="00CA1B85" w:rsidRPr="00CA1B85" w:rsidRDefault="00CA1B85" w:rsidP="00CA1B85">
            <w:pPr>
              <w:pStyle w:val="CDITable-RowCentre"/>
            </w:pPr>
            <w:r w:rsidRPr="00CA1B85">
              <w:t>3.29%</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95D64D" w14:textId="77777777" w:rsidR="00CA1B85" w:rsidRPr="00CA1B85" w:rsidRDefault="00CA1B85" w:rsidP="00CA1B85">
            <w:pPr>
              <w:pStyle w:val="CDITable-RowCentre"/>
              <w:rPr>
                <w:b/>
                <w:bCs/>
              </w:rPr>
            </w:pPr>
            <w:r w:rsidRPr="00CA1B85">
              <w:rPr>
                <w:b/>
                <w:bCs/>
              </w:rPr>
              <w:t>2.29%</w:t>
            </w:r>
          </w:p>
        </w:tc>
      </w:tr>
      <w:tr w:rsidR="00CA1B85" w:rsidRPr="00CA1B85" w14:paraId="18AD8ED4" w14:textId="77777777" w:rsidTr="00CA1B85">
        <w:trPr>
          <w:trHeight w:val="60"/>
        </w:trPr>
        <w:tc>
          <w:tcPr>
            <w:tcW w:w="226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C780F6" w14:textId="7330A5B3" w:rsidR="00CA1B85" w:rsidRPr="00CA1B85" w:rsidRDefault="00CA1B85" w:rsidP="00CA1B85">
            <w:pPr>
              <w:pStyle w:val="CDITable-RowLeft"/>
            </w:pPr>
            <w:r w:rsidRPr="00CA1B85">
              <w:t xml:space="preserve">Ceftriaxone </w:t>
            </w:r>
            <w:proofErr w:type="spellStart"/>
            <w:r w:rsidRPr="00CA1B85">
              <w:t>DS</w:t>
            </w:r>
            <w:r w:rsidRPr="00CA1B85">
              <w:rPr>
                <w:vertAlign w:val="superscript"/>
              </w:rPr>
              <w:t>a</w:t>
            </w:r>
            <w:proofErr w:type="spellEnd"/>
            <w:r w:rsidRPr="00CA1B85">
              <w:t xml:space="preserve"> MIC</w:t>
            </w:r>
            <w:r>
              <w:t> </w:t>
            </w:r>
            <w:r w:rsidRPr="00CA1B85">
              <w:t>≥</w:t>
            </w:r>
            <w:r>
              <w:t> </w:t>
            </w:r>
            <w:r w:rsidRPr="00CA1B85">
              <w:t>0.125 mg/L</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AB26DF" w14:textId="77777777" w:rsidR="00CA1B85" w:rsidRPr="00CA1B85" w:rsidRDefault="00CA1B85" w:rsidP="00CA1B85">
            <w:pPr>
              <w:pStyle w:val="CDITable-RowCentre"/>
            </w:pPr>
            <w:r w:rsidRPr="00CA1B85">
              <w:t>0.10%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FF1A1F" w14:textId="77777777" w:rsidR="00CA1B85" w:rsidRPr="00CA1B85" w:rsidRDefault="00CA1B85" w:rsidP="00CA1B85">
            <w:pPr>
              <w:pStyle w:val="CDITable-RowCentre"/>
            </w:pPr>
            <w:r w:rsidRPr="00CA1B85">
              <w:t>0.10%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99DA52" w14:textId="77777777" w:rsidR="00CA1B85" w:rsidRPr="00CA1B85" w:rsidRDefault="00CA1B85" w:rsidP="00CA1B85">
            <w:pPr>
              <w:pStyle w:val="CDITable-RowCentre"/>
            </w:pPr>
            <w:r w:rsidRPr="00CA1B85">
              <w:t>0.30%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596B6E" w14:textId="77777777" w:rsidR="00CA1B85" w:rsidRPr="00CA1B85" w:rsidRDefault="00CA1B85" w:rsidP="00CA1B85">
            <w:pPr>
              <w:pStyle w:val="CDITable-RowCentre"/>
            </w:pPr>
            <w:r w:rsidRPr="00CA1B85">
              <w:t>0.60%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7B4D88" w14:textId="77777777" w:rsidR="00CA1B85" w:rsidRPr="00CA1B85" w:rsidRDefault="00CA1B85" w:rsidP="00CA1B85">
            <w:pPr>
              <w:pStyle w:val="CDITable-RowCentre"/>
            </w:pPr>
            <w:r w:rsidRPr="00CA1B85">
              <w:t>0.60%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5A0378" w14:textId="77777777" w:rsidR="00CA1B85" w:rsidRPr="00CA1B85" w:rsidRDefault="00CA1B85" w:rsidP="00CA1B85">
            <w:pPr>
              <w:pStyle w:val="CDITable-RowCentre"/>
            </w:pPr>
            <w:r w:rsidRPr="00CA1B85">
              <w:t>0.10%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43DAC1" w14:textId="77777777" w:rsidR="00CA1B85" w:rsidRPr="00CA1B85" w:rsidRDefault="00CA1B85" w:rsidP="00CA1B85">
            <w:pPr>
              <w:pStyle w:val="CDITable-RowCentre"/>
            </w:pPr>
            <w:r w:rsidRPr="00CA1B85">
              <w:t>0.05%</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2BCE84" w14:textId="77777777" w:rsidR="00CA1B85" w:rsidRPr="00CA1B85" w:rsidRDefault="00CA1B85" w:rsidP="00CA1B85">
            <w:pPr>
              <w:pStyle w:val="CDITable-RowCentre"/>
            </w:pPr>
            <w:r w:rsidRPr="00CA1B85">
              <w:t>0.04%</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9E84D5" w14:textId="77777777" w:rsidR="00CA1B85" w:rsidRPr="00CA1B85" w:rsidRDefault="00CA1B85" w:rsidP="00CA1B85">
            <w:pPr>
              <w:pStyle w:val="CDITable-RowCentre"/>
            </w:pPr>
            <w:r w:rsidRPr="00CA1B85">
              <w:t>0.06%</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5AA1EA" w14:textId="77777777" w:rsidR="00CA1B85" w:rsidRPr="00CA1B85" w:rsidRDefault="00CA1B85" w:rsidP="00CA1B85">
            <w:pPr>
              <w:pStyle w:val="CDITable-RowCentre"/>
            </w:pPr>
            <w:r w:rsidRPr="00CA1B85">
              <w:t>0.11%</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02733C" w14:textId="77777777" w:rsidR="00CA1B85" w:rsidRPr="00CA1B85" w:rsidRDefault="00CA1B85" w:rsidP="00CA1B85">
            <w:pPr>
              <w:pStyle w:val="CDITable-RowCentre"/>
            </w:pPr>
            <w:r w:rsidRPr="00CA1B85">
              <w:t>0.07%</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0BADD9" w14:textId="77777777" w:rsidR="00CA1B85" w:rsidRPr="00CA1B85" w:rsidRDefault="00CA1B85" w:rsidP="00CA1B85">
            <w:pPr>
              <w:pStyle w:val="CDITable-RowCentre"/>
            </w:pPr>
            <w:r w:rsidRPr="00CA1B85">
              <w:t>0.03%</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192AC8" w14:textId="77777777" w:rsidR="00CA1B85" w:rsidRPr="00CA1B85" w:rsidRDefault="00CA1B85" w:rsidP="00CA1B85">
            <w:pPr>
              <w:pStyle w:val="CDITable-RowCentre"/>
            </w:pPr>
            <w:r w:rsidRPr="00CA1B85">
              <w:t>0.51%</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8B2967" w14:textId="77777777" w:rsidR="00CA1B85" w:rsidRPr="00CA1B85" w:rsidRDefault="00CA1B85" w:rsidP="00CA1B85">
            <w:pPr>
              <w:pStyle w:val="CDITable-RowCentre"/>
            </w:pPr>
            <w:r w:rsidRPr="00CA1B85">
              <w:t>0.22%</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C019E0" w14:textId="77777777" w:rsidR="00CA1B85" w:rsidRPr="00CA1B85" w:rsidRDefault="00CA1B85" w:rsidP="00CA1B85">
            <w:pPr>
              <w:pStyle w:val="CDITable-RowCentre"/>
              <w:rPr>
                <w:b/>
                <w:bCs/>
              </w:rPr>
            </w:pPr>
            <w:r w:rsidRPr="00CA1B85">
              <w:rPr>
                <w:b/>
                <w:bCs/>
              </w:rPr>
              <w:t>0.51%</w:t>
            </w:r>
          </w:p>
        </w:tc>
      </w:tr>
      <w:tr w:rsidR="00CA1B85" w:rsidRPr="00CA1B85" w14:paraId="61D67C35" w14:textId="77777777" w:rsidTr="00CA1B85">
        <w:trPr>
          <w:trHeight w:val="60"/>
        </w:trPr>
        <w:tc>
          <w:tcPr>
            <w:tcW w:w="226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4D166F" w14:textId="77777777" w:rsidR="00CA1B85" w:rsidRPr="00CA1B85" w:rsidRDefault="00CA1B85" w:rsidP="00CA1B85">
            <w:pPr>
              <w:pStyle w:val="CDITable-RowLeft"/>
            </w:pPr>
            <w:r w:rsidRPr="00CA1B85">
              <w:t xml:space="preserve">Ceftriaxone total (MIC values, ≥ 0.064 mg/L) </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627BBE" w14:textId="77777777" w:rsidR="00CA1B85" w:rsidRPr="00CA1B85" w:rsidRDefault="00CA1B85" w:rsidP="00CA1B85">
            <w:pPr>
              <w:pStyle w:val="CDITable-RowCentre"/>
            </w:pPr>
            <w:r w:rsidRPr="00CA1B85">
              <w:t>4.90%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31CC37" w14:textId="77777777" w:rsidR="00CA1B85" w:rsidRPr="00CA1B85" w:rsidRDefault="00CA1B85" w:rsidP="00CA1B85">
            <w:pPr>
              <w:pStyle w:val="CDITable-RowCentre"/>
            </w:pPr>
            <w:r w:rsidRPr="00CA1B85">
              <w:t>3.30%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74298D" w14:textId="77777777" w:rsidR="00CA1B85" w:rsidRPr="00CA1B85" w:rsidRDefault="00CA1B85" w:rsidP="00CA1B85">
            <w:pPr>
              <w:pStyle w:val="CDITable-RowCentre"/>
            </w:pPr>
            <w:r w:rsidRPr="00CA1B85">
              <w:t>4.40%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6B02AD" w14:textId="77777777" w:rsidR="00CA1B85" w:rsidRPr="00CA1B85" w:rsidRDefault="00CA1B85" w:rsidP="00CA1B85">
            <w:pPr>
              <w:pStyle w:val="CDITable-RowCentre"/>
            </w:pPr>
            <w:r w:rsidRPr="00CA1B85">
              <w:t>8.80%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529BD0" w14:textId="77777777" w:rsidR="00CA1B85" w:rsidRPr="00CA1B85" w:rsidRDefault="00CA1B85" w:rsidP="00CA1B85">
            <w:pPr>
              <w:pStyle w:val="CDITable-RowCentre"/>
            </w:pPr>
            <w:r w:rsidRPr="00CA1B85">
              <w:t>5.40%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042CC" w14:textId="77777777" w:rsidR="00CA1B85" w:rsidRPr="00CA1B85" w:rsidRDefault="00CA1B85" w:rsidP="00CA1B85">
            <w:pPr>
              <w:pStyle w:val="CDITable-RowCentre"/>
            </w:pPr>
            <w:r w:rsidRPr="00CA1B85">
              <w:t>1.80%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7F437C" w14:textId="77777777" w:rsidR="00CA1B85" w:rsidRPr="00CA1B85" w:rsidRDefault="00CA1B85" w:rsidP="00CA1B85">
            <w:pPr>
              <w:pStyle w:val="CDITable-RowCentre"/>
            </w:pPr>
            <w:r w:rsidRPr="00CA1B85">
              <w:t>1.70%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4CA870" w14:textId="77777777" w:rsidR="00CA1B85" w:rsidRPr="00CA1B85" w:rsidRDefault="00CA1B85" w:rsidP="00CA1B85">
            <w:pPr>
              <w:pStyle w:val="CDITable-RowCentre"/>
            </w:pPr>
            <w:r w:rsidRPr="00CA1B85">
              <w:t>1.06%</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E6D0F8" w14:textId="77777777" w:rsidR="00CA1B85" w:rsidRPr="00CA1B85" w:rsidRDefault="00CA1B85" w:rsidP="00CA1B85">
            <w:pPr>
              <w:pStyle w:val="CDITable-RowCentre"/>
            </w:pPr>
            <w:r w:rsidRPr="00CA1B85">
              <w:t>1.73%</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EB6C5F" w14:textId="77777777" w:rsidR="00CA1B85" w:rsidRPr="00CA1B85" w:rsidRDefault="00CA1B85" w:rsidP="00CA1B85">
            <w:pPr>
              <w:pStyle w:val="CDITable-RowCentre"/>
            </w:pPr>
            <w:r w:rsidRPr="00CA1B85">
              <w:t>1.30%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A94DC8" w14:textId="77777777" w:rsidR="00CA1B85" w:rsidRPr="00CA1B85" w:rsidRDefault="00CA1B85" w:rsidP="00CA1B85">
            <w:pPr>
              <w:pStyle w:val="CDITable-RowCentre"/>
            </w:pPr>
            <w:r w:rsidRPr="00CA1B85">
              <w:t>0.94%</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19CBC3" w14:textId="77777777" w:rsidR="00CA1B85" w:rsidRPr="00CA1B85" w:rsidRDefault="00CA1B85" w:rsidP="00CA1B85">
            <w:pPr>
              <w:pStyle w:val="CDITable-RowCentre"/>
            </w:pPr>
            <w:r w:rsidRPr="00CA1B85">
              <w:t>0.86%</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AA85B" w14:textId="77777777" w:rsidR="00CA1B85" w:rsidRPr="00CA1B85" w:rsidRDefault="00CA1B85" w:rsidP="00CA1B85">
            <w:pPr>
              <w:pStyle w:val="CDITable-RowCentre"/>
            </w:pPr>
            <w:r w:rsidRPr="00CA1B85">
              <w:t>5.56%</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098934" w14:textId="77777777" w:rsidR="00CA1B85" w:rsidRPr="00CA1B85" w:rsidRDefault="00CA1B85" w:rsidP="00CA1B85">
            <w:pPr>
              <w:pStyle w:val="CDITable-RowCentre"/>
            </w:pPr>
            <w:r w:rsidRPr="00CA1B85">
              <w:t>3.51%</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E185CB" w14:textId="77777777" w:rsidR="00CA1B85" w:rsidRPr="00CA1B85" w:rsidRDefault="00CA1B85" w:rsidP="00CA1B85">
            <w:pPr>
              <w:pStyle w:val="CDITable-RowCentre"/>
              <w:rPr>
                <w:b/>
                <w:bCs/>
              </w:rPr>
            </w:pPr>
            <w:r w:rsidRPr="00CA1B85">
              <w:rPr>
                <w:b/>
                <w:bCs/>
              </w:rPr>
              <w:t>2.80%</w:t>
            </w:r>
          </w:p>
        </w:tc>
      </w:tr>
      <w:tr w:rsidR="00CA1B85" w:rsidRPr="00CA1B85" w14:paraId="2F37AF5A" w14:textId="77777777" w:rsidTr="00CA1B85">
        <w:trPr>
          <w:trHeight w:val="60"/>
        </w:trPr>
        <w:tc>
          <w:tcPr>
            <w:tcW w:w="226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67F7AF" w14:textId="77777777" w:rsidR="00CA1B85" w:rsidRPr="00CA1B85" w:rsidRDefault="00CA1B85" w:rsidP="00CA1B85">
            <w:pPr>
              <w:pStyle w:val="CDITable-RowLeft"/>
            </w:pPr>
            <w:r w:rsidRPr="00CA1B85">
              <w:t>Azithromycin resistance</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95ED22" w14:textId="77777777" w:rsidR="00CA1B85" w:rsidRPr="00CA1B85" w:rsidRDefault="00CA1B85" w:rsidP="00CA1B85">
            <w:pPr>
              <w:pStyle w:val="CDITable-RowCentre"/>
            </w:pPr>
            <w:r w:rsidRPr="00CA1B85">
              <w:t>n/a</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B7153C" w14:textId="77777777" w:rsidR="00CA1B85" w:rsidRPr="00CA1B85" w:rsidRDefault="00CA1B85" w:rsidP="00CA1B85">
            <w:pPr>
              <w:pStyle w:val="CDITable-RowCentre"/>
            </w:pPr>
            <w:r w:rsidRPr="00CA1B85">
              <w:t>1.1%</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B65724" w14:textId="77777777" w:rsidR="00CA1B85" w:rsidRPr="00CA1B85" w:rsidRDefault="00CA1B85" w:rsidP="00CA1B85">
            <w:pPr>
              <w:pStyle w:val="CDITable-RowCentre"/>
            </w:pPr>
            <w:r w:rsidRPr="00CA1B85">
              <w:t>1.3%</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39F0B2" w14:textId="77777777" w:rsidR="00CA1B85" w:rsidRPr="00CA1B85" w:rsidRDefault="00CA1B85" w:rsidP="00CA1B85">
            <w:pPr>
              <w:pStyle w:val="CDITable-RowCentre"/>
            </w:pPr>
            <w:r w:rsidRPr="00CA1B85">
              <w:t>2.1%</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D3CDBC" w14:textId="77777777" w:rsidR="00CA1B85" w:rsidRPr="00CA1B85" w:rsidRDefault="00CA1B85" w:rsidP="00CA1B85">
            <w:pPr>
              <w:pStyle w:val="CDITable-RowCentre"/>
            </w:pPr>
            <w:r w:rsidRPr="00CA1B85">
              <w:t>2.5%</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885C72" w14:textId="77777777" w:rsidR="00CA1B85" w:rsidRPr="00CA1B85" w:rsidRDefault="00CA1B85" w:rsidP="00CA1B85">
            <w:pPr>
              <w:pStyle w:val="CDITable-RowCentre"/>
            </w:pPr>
            <w:r w:rsidRPr="00CA1B85">
              <w:t>2.6%</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4F4F45" w14:textId="77777777" w:rsidR="00CA1B85" w:rsidRPr="00CA1B85" w:rsidRDefault="00CA1B85" w:rsidP="00CA1B85">
            <w:pPr>
              <w:pStyle w:val="CDITable-RowCentre"/>
            </w:pPr>
            <w:r w:rsidRPr="00CA1B85">
              <w:t>5.0%</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A0B2FA" w14:textId="77777777" w:rsidR="00CA1B85" w:rsidRPr="00CA1B85" w:rsidRDefault="00CA1B85" w:rsidP="00CA1B85">
            <w:pPr>
              <w:pStyle w:val="CDITable-RowCentre"/>
            </w:pPr>
            <w:r w:rsidRPr="00CA1B85">
              <w:t>9.3%</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FF0168" w14:textId="77777777" w:rsidR="00CA1B85" w:rsidRPr="00CA1B85" w:rsidRDefault="00CA1B85" w:rsidP="00CA1B85">
            <w:pPr>
              <w:pStyle w:val="CDITable-RowCentre"/>
            </w:pPr>
            <w:r w:rsidRPr="00CA1B85">
              <w:t>6.2%</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E5AB6D" w14:textId="77777777" w:rsidR="00CA1B85" w:rsidRPr="00CA1B85" w:rsidRDefault="00CA1B85" w:rsidP="00CA1B85">
            <w:pPr>
              <w:pStyle w:val="CDITable-RowCentre"/>
            </w:pPr>
            <w:r w:rsidRPr="00CA1B85">
              <w:t>4.6%</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EE5AB9" w14:textId="77777777" w:rsidR="00CA1B85" w:rsidRPr="00CA1B85" w:rsidRDefault="00CA1B85" w:rsidP="00CA1B85">
            <w:pPr>
              <w:pStyle w:val="CDITable-RowCentre"/>
            </w:pPr>
            <w:r w:rsidRPr="00CA1B85">
              <w:t>3.9%</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1B5B27" w14:textId="77777777" w:rsidR="00CA1B85" w:rsidRPr="00CA1B85" w:rsidRDefault="00CA1B85" w:rsidP="00CA1B85">
            <w:pPr>
              <w:pStyle w:val="CDITable-RowCentre"/>
            </w:pPr>
            <w:r w:rsidRPr="00CA1B85">
              <w:t>4.7%</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84A8E2" w14:textId="77777777" w:rsidR="00CA1B85" w:rsidRPr="00CA1B85" w:rsidRDefault="00CA1B85" w:rsidP="00CA1B85">
            <w:pPr>
              <w:pStyle w:val="CDITable-RowCentre"/>
            </w:pPr>
            <w:r w:rsidRPr="00CA1B85">
              <w:t>3.9%</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4FA50A" w14:textId="77777777" w:rsidR="00CA1B85" w:rsidRPr="00CA1B85" w:rsidRDefault="00CA1B85" w:rsidP="00CA1B85">
            <w:pPr>
              <w:pStyle w:val="CDITable-RowCentre"/>
            </w:pPr>
            <w:r w:rsidRPr="00CA1B85">
              <w:t>4.5%</w:t>
            </w:r>
          </w:p>
        </w:tc>
        <w:tc>
          <w:tcPr>
            <w:tcW w:w="80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7B60A8" w14:textId="77777777" w:rsidR="00CA1B85" w:rsidRPr="00CA1B85" w:rsidRDefault="00CA1B85" w:rsidP="00CA1B85">
            <w:pPr>
              <w:pStyle w:val="CDITable-RowCentre"/>
              <w:rPr>
                <w:b/>
                <w:bCs/>
              </w:rPr>
            </w:pPr>
            <w:r w:rsidRPr="00CA1B85">
              <w:rPr>
                <w:b/>
                <w:bCs/>
              </w:rPr>
              <w:t>4.6%</w:t>
            </w:r>
          </w:p>
        </w:tc>
      </w:tr>
    </w:tbl>
    <w:p w14:paraId="374482B0" w14:textId="1C2FD826" w:rsidR="00CA1B85" w:rsidRDefault="00CD252D" w:rsidP="00CA1B85">
      <w:pPr>
        <w:pStyle w:val="CDITable-FirstFootnote"/>
        <w:rPr>
          <w:lang w:val="en-GB"/>
        </w:rPr>
      </w:pPr>
      <w:r w:rsidRPr="00CD252D">
        <w:rPr>
          <w:lang w:val="en-GB"/>
        </w:rPr>
        <w:t>a</w:t>
      </w:r>
      <w:r w:rsidRPr="00CD252D">
        <w:rPr>
          <w:lang w:val="en-GB"/>
        </w:rPr>
        <w:tab/>
        <w:t>DS: decreased susceptibility.</w:t>
      </w:r>
      <w:r w:rsidR="00CA1B85">
        <w:rPr>
          <w:lang w:val="en-GB"/>
        </w:rPr>
        <w:br w:type="page"/>
      </w:r>
    </w:p>
    <w:p w14:paraId="5B1AA0A7" w14:textId="77777777" w:rsidR="00CD252D" w:rsidRPr="00CD252D" w:rsidRDefault="00CD252D" w:rsidP="00CD252D">
      <w:pPr>
        <w:pStyle w:val="CDITable-Title"/>
        <w:rPr>
          <w:lang w:val="en-GB"/>
        </w:rPr>
      </w:pPr>
      <w:bookmarkStart w:id="31" w:name="_Toc213238237"/>
      <w:r w:rsidRPr="00CD252D">
        <w:rPr>
          <w:lang w:val="en-GB"/>
        </w:rPr>
        <w:lastRenderedPageBreak/>
        <w:t>Table 6: Number and proportion (%) of gonococcal isolates with resistance to azithromycin, Australia, 2014 to 2024, by state or territory</w:t>
      </w:r>
      <w:bookmarkEnd w:id="31"/>
    </w:p>
    <w:tbl>
      <w:tblPr>
        <w:tblW w:w="0" w:type="auto"/>
        <w:tblLayout w:type="fixed"/>
        <w:tblCellMar>
          <w:left w:w="0" w:type="dxa"/>
          <w:right w:w="0" w:type="dxa"/>
        </w:tblCellMar>
        <w:tblLook w:val="0000" w:firstRow="0" w:lastRow="0" w:firstColumn="0" w:lastColumn="0" w:noHBand="0" w:noVBand="0"/>
        <w:tblCaption w:val="Table 6: Number and proportion (%) of gonococcal isolates with resistance to azithromycin, Australia, 2014 to 2024, by state or territory"/>
        <w:tblDescription w:val="Table 6 shows the number and proportion as a percentage of gonococcal isolates with resistance to azithromycin over the years 2014 to 2024, in Australia, by state or territory. Nationally the proportion of isolates with resistance to azithromycin increased from 2.5% in 2014 to 9.3% in 2017, but since then has gradually decreased and remains at a relatively low and consistent level of 4.6% in 2024. The proportion of azithromycin resistance reported was highest in Victoria (6.2%), non-remote regions of Western Australia (5.8%), South Australia (4.6%) and Tasmania (4.5%).  Azithromycin resistance remains uncommon in remote regions of Western Australia and the Northern Territory."/>
      </w:tblPr>
      <w:tblGrid>
        <w:gridCol w:w="1701"/>
        <w:gridCol w:w="574"/>
        <w:gridCol w:w="575"/>
        <w:gridCol w:w="575"/>
        <w:gridCol w:w="574"/>
        <w:gridCol w:w="575"/>
        <w:gridCol w:w="575"/>
        <w:gridCol w:w="574"/>
        <w:gridCol w:w="575"/>
        <w:gridCol w:w="575"/>
        <w:gridCol w:w="574"/>
        <w:gridCol w:w="575"/>
        <w:gridCol w:w="575"/>
        <w:gridCol w:w="574"/>
        <w:gridCol w:w="575"/>
        <w:gridCol w:w="575"/>
        <w:gridCol w:w="574"/>
        <w:gridCol w:w="575"/>
        <w:gridCol w:w="575"/>
        <w:gridCol w:w="574"/>
        <w:gridCol w:w="575"/>
        <w:gridCol w:w="575"/>
        <w:gridCol w:w="574"/>
      </w:tblGrid>
      <w:tr w:rsidR="00CA1B85" w:rsidRPr="00CA1B85" w14:paraId="089AF068" w14:textId="77777777" w:rsidTr="00211A71">
        <w:trPr>
          <w:trHeight w:val="60"/>
          <w:tblHeader/>
        </w:trPr>
        <w:tc>
          <w:tcPr>
            <w:tcW w:w="1701" w:type="dxa"/>
            <w:vMerge w:val="restart"/>
            <w:shd w:val="clear" w:color="auto" w:fill="1E4496" w:themeFill="text2"/>
            <w:tcMar>
              <w:top w:w="113" w:type="dxa"/>
              <w:left w:w="113" w:type="dxa"/>
              <w:bottom w:w="113" w:type="dxa"/>
              <w:right w:w="113" w:type="dxa"/>
            </w:tcMar>
            <w:vAlign w:val="bottom"/>
          </w:tcPr>
          <w:p w14:paraId="1CA59312" w14:textId="77777777" w:rsidR="00CA1B85" w:rsidRPr="00CA1B85" w:rsidRDefault="00CA1B85" w:rsidP="00CA1B85">
            <w:pPr>
              <w:pStyle w:val="CDITable-HeaderRowLeft"/>
            </w:pPr>
            <w:r w:rsidRPr="00CA1B85">
              <w:t xml:space="preserve">State or </w:t>
            </w:r>
            <w:proofErr w:type="spellStart"/>
            <w:r w:rsidRPr="00CA1B85">
              <w:t>territory</w:t>
            </w:r>
            <w:r w:rsidRPr="00CA1B85">
              <w:rPr>
                <w:vertAlign w:val="superscript"/>
              </w:rPr>
              <w:t>a</w:t>
            </w:r>
            <w:proofErr w:type="spellEnd"/>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707DE1A" w14:textId="77777777" w:rsidR="00CA1B85" w:rsidRPr="00CA1B85" w:rsidRDefault="00CA1B85" w:rsidP="00CA1B85">
            <w:pPr>
              <w:pStyle w:val="CDITable-HeaderRowCentre"/>
            </w:pPr>
            <w:r w:rsidRPr="00CA1B85">
              <w:t>2014</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3E046A4" w14:textId="77777777" w:rsidR="00CA1B85" w:rsidRPr="00CA1B85" w:rsidRDefault="00CA1B85" w:rsidP="00CA1B85">
            <w:pPr>
              <w:pStyle w:val="CDITable-HeaderRowCentre"/>
            </w:pPr>
            <w:r w:rsidRPr="00CA1B85">
              <w:t>2015</w:t>
            </w:r>
          </w:p>
        </w:tc>
        <w:tc>
          <w:tcPr>
            <w:tcW w:w="115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6E02C815" w14:textId="77777777" w:rsidR="00CA1B85" w:rsidRPr="00CA1B85" w:rsidRDefault="00CA1B85" w:rsidP="00CA1B85">
            <w:pPr>
              <w:pStyle w:val="CDITable-HeaderRowCentre"/>
            </w:pPr>
            <w:r w:rsidRPr="00CA1B85">
              <w:t>2016</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BC2CAE8" w14:textId="77777777" w:rsidR="00CA1B85" w:rsidRPr="00CA1B85" w:rsidRDefault="00CA1B85" w:rsidP="00CA1B85">
            <w:pPr>
              <w:pStyle w:val="CDITable-HeaderRowCentre"/>
            </w:pPr>
            <w:r w:rsidRPr="00CA1B85">
              <w:t>2017</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AEF1B17" w14:textId="77777777" w:rsidR="00CA1B85" w:rsidRPr="00CA1B85" w:rsidRDefault="00CA1B85" w:rsidP="00CA1B85">
            <w:pPr>
              <w:pStyle w:val="CDITable-HeaderRowCentre"/>
            </w:pPr>
            <w:r w:rsidRPr="00CA1B85">
              <w:t>2018</w:t>
            </w:r>
          </w:p>
        </w:tc>
        <w:tc>
          <w:tcPr>
            <w:tcW w:w="115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41EF4874" w14:textId="77777777" w:rsidR="00CA1B85" w:rsidRPr="00CA1B85" w:rsidRDefault="00CA1B85" w:rsidP="00CA1B85">
            <w:pPr>
              <w:pStyle w:val="CDITable-HeaderRowCentre"/>
            </w:pPr>
            <w:r w:rsidRPr="00CA1B85">
              <w:t>2019</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3BB50CD" w14:textId="77777777" w:rsidR="00CA1B85" w:rsidRPr="00CA1B85" w:rsidRDefault="00CA1B85" w:rsidP="00CA1B85">
            <w:pPr>
              <w:pStyle w:val="CDITable-HeaderRowCentre"/>
            </w:pPr>
            <w:r w:rsidRPr="00CA1B85">
              <w:t>2020</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41786F7" w14:textId="77777777" w:rsidR="00CA1B85" w:rsidRPr="00CA1B85" w:rsidRDefault="00CA1B85" w:rsidP="00CA1B85">
            <w:pPr>
              <w:pStyle w:val="CDITable-HeaderRowCentre"/>
            </w:pPr>
            <w:r w:rsidRPr="00CA1B85">
              <w:t>2021</w:t>
            </w:r>
          </w:p>
        </w:tc>
        <w:tc>
          <w:tcPr>
            <w:tcW w:w="1150"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65A177F0" w14:textId="77777777" w:rsidR="00CA1B85" w:rsidRPr="00CA1B85" w:rsidRDefault="00CA1B85" w:rsidP="00CA1B85">
            <w:pPr>
              <w:pStyle w:val="CDITable-HeaderRowCentre"/>
            </w:pPr>
            <w:r w:rsidRPr="00CA1B85">
              <w:t>2022</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7E831397" w14:textId="77777777" w:rsidR="00CA1B85" w:rsidRPr="00CA1B85" w:rsidRDefault="00CA1B85" w:rsidP="00CA1B85">
            <w:pPr>
              <w:pStyle w:val="CDITable-HeaderRowCentre"/>
            </w:pPr>
            <w:r w:rsidRPr="00CA1B85">
              <w:t>2023</w:t>
            </w:r>
          </w:p>
        </w:tc>
        <w:tc>
          <w:tcPr>
            <w:tcW w:w="1149"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5938D28" w14:textId="77777777" w:rsidR="00CA1B85" w:rsidRPr="00CA1B85" w:rsidRDefault="00CA1B85" w:rsidP="00CA1B85">
            <w:pPr>
              <w:pStyle w:val="CDITable-HeaderRowCentre"/>
            </w:pPr>
            <w:r w:rsidRPr="00CA1B85">
              <w:t>2024</w:t>
            </w:r>
          </w:p>
        </w:tc>
      </w:tr>
      <w:tr w:rsidR="00CA1B85" w:rsidRPr="00CA1B85" w14:paraId="644AB680" w14:textId="77777777" w:rsidTr="00211A71">
        <w:trPr>
          <w:trHeight w:val="60"/>
          <w:tblHeader/>
        </w:trPr>
        <w:tc>
          <w:tcPr>
            <w:tcW w:w="1701" w:type="dxa"/>
            <w:vMerge/>
            <w:shd w:val="clear" w:color="auto" w:fill="1E4496" w:themeFill="text2"/>
          </w:tcPr>
          <w:p w14:paraId="3B057416" w14:textId="77777777" w:rsidR="00CA1B85" w:rsidRPr="00CA1B85" w:rsidRDefault="00CA1B85" w:rsidP="00CA1B85"/>
        </w:tc>
        <w:tc>
          <w:tcPr>
            <w:tcW w:w="57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5B435392"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0E9F13D"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69D88BE5" w14:textId="77777777" w:rsidR="00CA1B85" w:rsidRPr="00CA1B85" w:rsidRDefault="00CA1B85" w:rsidP="00CA1B85">
            <w:pPr>
              <w:pStyle w:val="CDITable-HeaderRowCentre"/>
            </w:pPr>
            <w:r w:rsidRPr="00CA1B85">
              <w:t>n</w:t>
            </w:r>
          </w:p>
        </w:tc>
        <w:tc>
          <w:tcPr>
            <w:tcW w:w="57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37BCF1F"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FC5A690"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C93B508" w14:textId="77777777" w:rsidR="00CA1B85" w:rsidRPr="00CA1B85" w:rsidRDefault="00CA1B85" w:rsidP="00CA1B85">
            <w:pPr>
              <w:pStyle w:val="CDITable-HeaderRowCentre"/>
            </w:pPr>
            <w:r w:rsidRPr="00CA1B85">
              <w:t>%</w:t>
            </w:r>
          </w:p>
        </w:tc>
        <w:tc>
          <w:tcPr>
            <w:tcW w:w="57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5994E220"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FB3C6E2"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6EE19D19" w14:textId="77777777" w:rsidR="00CA1B85" w:rsidRPr="00CA1B85" w:rsidRDefault="00CA1B85" w:rsidP="00CA1B85">
            <w:pPr>
              <w:pStyle w:val="CDITable-HeaderRowCentre"/>
            </w:pPr>
            <w:r w:rsidRPr="00CA1B85">
              <w:t>n</w:t>
            </w:r>
          </w:p>
        </w:tc>
        <w:tc>
          <w:tcPr>
            <w:tcW w:w="57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6054AF7B"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2BDCF500"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6AFC961" w14:textId="77777777" w:rsidR="00CA1B85" w:rsidRPr="00CA1B85" w:rsidRDefault="00CA1B85" w:rsidP="00CA1B85">
            <w:pPr>
              <w:pStyle w:val="CDITable-HeaderRowCentre"/>
            </w:pPr>
            <w:r w:rsidRPr="00CA1B85">
              <w:t>%</w:t>
            </w:r>
          </w:p>
        </w:tc>
        <w:tc>
          <w:tcPr>
            <w:tcW w:w="57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0CD79E9"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5CABA28"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5D547A8E" w14:textId="77777777" w:rsidR="00CA1B85" w:rsidRPr="00CA1B85" w:rsidRDefault="00CA1B85" w:rsidP="00CA1B85">
            <w:pPr>
              <w:pStyle w:val="CDITable-HeaderRowCentre"/>
            </w:pPr>
            <w:r w:rsidRPr="00CA1B85">
              <w:t>n</w:t>
            </w:r>
          </w:p>
        </w:tc>
        <w:tc>
          <w:tcPr>
            <w:tcW w:w="574"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CEE7441"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2EE8CD9"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49E3342" w14:textId="77777777" w:rsidR="00CA1B85" w:rsidRPr="00CA1B85" w:rsidRDefault="00CA1B85" w:rsidP="00CA1B85">
            <w:pPr>
              <w:pStyle w:val="CDITable-HeaderRowCentre"/>
            </w:pPr>
            <w:r w:rsidRPr="00CA1B85">
              <w:t>%</w:t>
            </w:r>
          </w:p>
        </w:tc>
        <w:tc>
          <w:tcPr>
            <w:tcW w:w="574"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442116F6" w14:textId="77777777" w:rsidR="00CA1B85" w:rsidRPr="00CA1B85" w:rsidRDefault="00CA1B85" w:rsidP="00CA1B85">
            <w:pPr>
              <w:pStyle w:val="CDITable-HeaderRowCentre"/>
            </w:pPr>
            <w:r w:rsidRPr="00CA1B85">
              <w:t>n</w:t>
            </w:r>
          </w:p>
        </w:tc>
        <w:tc>
          <w:tcPr>
            <w:tcW w:w="57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47AA6BF" w14:textId="77777777" w:rsidR="00CA1B85" w:rsidRPr="00CA1B85" w:rsidRDefault="00CA1B85" w:rsidP="00CA1B85">
            <w:pPr>
              <w:pStyle w:val="CDITable-HeaderRowCentre"/>
            </w:pPr>
            <w:r w:rsidRPr="00CA1B85">
              <w:t>%</w:t>
            </w:r>
          </w:p>
        </w:tc>
        <w:tc>
          <w:tcPr>
            <w:tcW w:w="57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305BBCE3" w14:textId="77777777" w:rsidR="00CA1B85" w:rsidRPr="00CA1B85" w:rsidRDefault="00CA1B85" w:rsidP="00CA1B85">
            <w:pPr>
              <w:pStyle w:val="CDITable-HeaderRowCentre"/>
            </w:pPr>
            <w:r w:rsidRPr="00CA1B85">
              <w:t>n</w:t>
            </w:r>
          </w:p>
        </w:tc>
        <w:tc>
          <w:tcPr>
            <w:tcW w:w="574"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A6A1F97" w14:textId="77777777" w:rsidR="00CA1B85" w:rsidRPr="00CA1B85" w:rsidRDefault="00CA1B85" w:rsidP="00CA1B85">
            <w:pPr>
              <w:pStyle w:val="CDITable-HeaderRowCentre"/>
            </w:pPr>
            <w:r w:rsidRPr="00CA1B85">
              <w:t>%</w:t>
            </w:r>
          </w:p>
        </w:tc>
      </w:tr>
      <w:tr w:rsidR="00CA1B85" w:rsidRPr="00CA1B85" w14:paraId="668F0487" w14:textId="77777777" w:rsidTr="00211A71">
        <w:trPr>
          <w:trHeight w:val="60"/>
        </w:trPr>
        <w:tc>
          <w:tcPr>
            <w:tcW w:w="1701" w:type="dxa"/>
            <w:tcBorders>
              <w:bottom w:val="single" w:sz="6" w:space="0" w:color="1E4496" w:themeColor="text2"/>
            </w:tcBorders>
            <w:tcMar>
              <w:top w:w="113" w:type="dxa"/>
              <w:left w:w="113" w:type="dxa"/>
              <w:bottom w:w="113" w:type="dxa"/>
              <w:right w:w="113" w:type="dxa"/>
            </w:tcMar>
            <w:vAlign w:val="center"/>
          </w:tcPr>
          <w:p w14:paraId="214833C1" w14:textId="77777777" w:rsidR="00CA1B85" w:rsidRPr="00CA1B85" w:rsidRDefault="00CA1B85" w:rsidP="00CA1B85">
            <w:pPr>
              <w:pStyle w:val="CDITable-RowLeft"/>
            </w:pPr>
            <w:r w:rsidRPr="00CA1B85">
              <w:t>ACT</w:t>
            </w:r>
          </w:p>
        </w:tc>
        <w:tc>
          <w:tcPr>
            <w:tcW w:w="574" w:type="dxa"/>
            <w:tcBorders>
              <w:bottom w:val="single" w:sz="6" w:space="0" w:color="1E4496" w:themeColor="text2"/>
            </w:tcBorders>
            <w:tcMar>
              <w:top w:w="113" w:type="dxa"/>
              <w:left w:w="113" w:type="dxa"/>
              <w:bottom w:w="113" w:type="dxa"/>
              <w:right w:w="113" w:type="dxa"/>
            </w:tcMar>
            <w:vAlign w:val="center"/>
          </w:tcPr>
          <w:p w14:paraId="69F63220" w14:textId="77777777" w:rsidR="00CA1B85" w:rsidRPr="00CA1B85" w:rsidRDefault="00CA1B85" w:rsidP="00CA1B85">
            <w:pPr>
              <w:pStyle w:val="CDITable-RowCentre"/>
            </w:pPr>
            <w:r w:rsidRPr="00CA1B85">
              <w:t>7</w:t>
            </w:r>
          </w:p>
        </w:tc>
        <w:tc>
          <w:tcPr>
            <w:tcW w:w="575" w:type="dxa"/>
            <w:tcBorders>
              <w:bottom w:val="single" w:sz="6" w:space="0" w:color="1E4496" w:themeColor="text2"/>
            </w:tcBorders>
            <w:tcMar>
              <w:top w:w="113" w:type="dxa"/>
              <w:left w:w="113" w:type="dxa"/>
              <w:bottom w:w="113" w:type="dxa"/>
              <w:right w:w="113" w:type="dxa"/>
            </w:tcMar>
            <w:vAlign w:val="center"/>
          </w:tcPr>
          <w:p w14:paraId="24EDEC9D" w14:textId="77777777" w:rsidR="00CA1B85" w:rsidRPr="00CA1B85" w:rsidRDefault="00CA1B85" w:rsidP="00CA1B85">
            <w:pPr>
              <w:pStyle w:val="CDITable-RowCentre"/>
            </w:pPr>
            <w:r w:rsidRPr="00CA1B85">
              <w:t>9.3</w:t>
            </w:r>
          </w:p>
        </w:tc>
        <w:tc>
          <w:tcPr>
            <w:tcW w:w="575" w:type="dxa"/>
            <w:tcBorders>
              <w:bottom w:val="single" w:sz="6" w:space="0" w:color="1E4496" w:themeColor="text2"/>
            </w:tcBorders>
            <w:tcMar>
              <w:top w:w="113" w:type="dxa"/>
              <w:left w:w="113" w:type="dxa"/>
              <w:bottom w:w="113" w:type="dxa"/>
              <w:right w:w="113" w:type="dxa"/>
            </w:tcMar>
            <w:vAlign w:val="center"/>
          </w:tcPr>
          <w:p w14:paraId="569B0798" w14:textId="77777777" w:rsidR="00CA1B85" w:rsidRPr="00CA1B85" w:rsidRDefault="00CA1B85" w:rsidP="00CA1B85">
            <w:pPr>
              <w:pStyle w:val="CDITable-RowCentre"/>
            </w:pPr>
            <w:r w:rsidRPr="00CA1B85">
              <w:t>0</w:t>
            </w:r>
          </w:p>
        </w:tc>
        <w:tc>
          <w:tcPr>
            <w:tcW w:w="574" w:type="dxa"/>
            <w:tcBorders>
              <w:bottom w:val="single" w:sz="6" w:space="0" w:color="1E4496" w:themeColor="text2"/>
            </w:tcBorders>
            <w:tcMar>
              <w:top w:w="113" w:type="dxa"/>
              <w:left w:w="113" w:type="dxa"/>
              <w:bottom w:w="113" w:type="dxa"/>
              <w:right w:w="113" w:type="dxa"/>
            </w:tcMar>
            <w:vAlign w:val="center"/>
          </w:tcPr>
          <w:p w14:paraId="147F33C7" w14:textId="77777777" w:rsidR="00CA1B85" w:rsidRPr="00CA1B85" w:rsidRDefault="00CA1B85" w:rsidP="00CA1B85">
            <w:pPr>
              <w:pStyle w:val="CDITable-RowCentre"/>
            </w:pPr>
            <w:r w:rsidRPr="00CA1B85">
              <w:t>0</w:t>
            </w:r>
          </w:p>
        </w:tc>
        <w:tc>
          <w:tcPr>
            <w:tcW w:w="575" w:type="dxa"/>
            <w:tcBorders>
              <w:bottom w:val="single" w:sz="6" w:space="0" w:color="1E4496" w:themeColor="text2"/>
            </w:tcBorders>
            <w:tcMar>
              <w:top w:w="113" w:type="dxa"/>
              <w:left w:w="113" w:type="dxa"/>
              <w:bottom w:w="113" w:type="dxa"/>
              <w:right w:w="113" w:type="dxa"/>
            </w:tcMar>
            <w:vAlign w:val="center"/>
          </w:tcPr>
          <w:p w14:paraId="6EF21FCC" w14:textId="77777777" w:rsidR="00CA1B85" w:rsidRPr="00CA1B85" w:rsidRDefault="00CA1B85" w:rsidP="00CA1B85">
            <w:pPr>
              <w:pStyle w:val="CDITable-RowCentre"/>
            </w:pPr>
            <w:r w:rsidRPr="00CA1B85">
              <w:t>8</w:t>
            </w:r>
          </w:p>
        </w:tc>
        <w:tc>
          <w:tcPr>
            <w:tcW w:w="575" w:type="dxa"/>
            <w:tcBorders>
              <w:bottom w:val="single" w:sz="6" w:space="0" w:color="1E4496" w:themeColor="text2"/>
            </w:tcBorders>
            <w:tcMar>
              <w:top w:w="113" w:type="dxa"/>
              <w:left w:w="113" w:type="dxa"/>
              <w:bottom w:w="113" w:type="dxa"/>
              <w:right w:w="113" w:type="dxa"/>
            </w:tcMar>
            <w:vAlign w:val="center"/>
          </w:tcPr>
          <w:p w14:paraId="59BAD263" w14:textId="77777777" w:rsidR="00CA1B85" w:rsidRPr="00CA1B85" w:rsidRDefault="00CA1B85" w:rsidP="00CA1B85">
            <w:pPr>
              <w:pStyle w:val="CDITable-RowCentre"/>
            </w:pPr>
            <w:r w:rsidRPr="00CA1B85">
              <w:t>7.1</w:t>
            </w:r>
          </w:p>
        </w:tc>
        <w:tc>
          <w:tcPr>
            <w:tcW w:w="574" w:type="dxa"/>
            <w:tcBorders>
              <w:bottom w:val="single" w:sz="6" w:space="0" w:color="1E4496" w:themeColor="text2"/>
            </w:tcBorders>
            <w:tcMar>
              <w:top w:w="113" w:type="dxa"/>
              <w:left w:w="113" w:type="dxa"/>
              <w:bottom w:w="113" w:type="dxa"/>
              <w:right w:w="113" w:type="dxa"/>
            </w:tcMar>
            <w:vAlign w:val="center"/>
          </w:tcPr>
          <w:p w14:paraId="6F2614C7" w14:textId="77777777" w:rsidR="00CA1B85" w:rsidRPr="00CA1B85" w:rsidRDefault="00CA1B85" w:rsidP="00CA1B85">
            <w:pPr>
              <w:pStyle w:val="CDITable-RowCentre"/>
            </w:pPr>
            <w:r w:rsidRPr="00CA1B85">
              <w:t>3</w:t>
            </w:r>
          </w:p>
        </w:tc>
        <w:tc>
          <w:tcPr>
            <w:tcW w:w="575" w:type="dxa"/>
            <w:tcBorders>
              <w:bottom w:val="single" w:sz="6" w:space="0" w:color="1E4496" w:themeColor="text2"/>
            </w:tcBorders>
            <w:tcMar>
              <w:top w:w="113" w:type="dxa"/>
              <w:left w:w="113" w:type="dxa"/>
              <w:bottom w:w="113" w:type="dxa"/>
              <w:right w:w="113" w:type="dxa"/>
            </w:tcMar>
            <w:vAlign w:val="center"/>
          </w:tcPr>
          <w:p w14:paraId="22F7F6F4" w14:textId="77777777" w:rsidR="00CA1B85" w:rsidRPr="00CA1B85" w:rsidRDefault="00CA1B85" w:rsidP="00CA1B85">
            <w:pPr>
              <w:pStyle w:val="CDITable-RowCentre"/>
            </w:pPr>
            <w:r w:rsidRPr="00CA1B85">
              <w:t>2.1</w:t>
            </w:r>
          </w:p>
        </w:tc>
        <w:tc>
          <w:tcPr>
            <w:tcW w:w="575" w:type="dxa"/>
            <w:tcBorders>
              <w:bottom w:val="single" w:sz="6" w:space="0" w:color="1E4496" w:themeColor="text2"/>
            </w:tcBorders>
            <w:tcMar>
              <w:top w:w="113" w:type="dxa"/>
              <w:left w:w="113" w:type="dxa"/>
              <w:bottom w:w="113" w:type="dxa"/>
              <w:right w:w="113" w:type="dxa"/>
            </w:tcMar>
            <w:vAlign w:val="center"/>
          </w:tcPr>
          <w:p w14:paraId="1DC9AE68" w14:textId="77777777" w:rsidR="00CA1B85" w:rsidRPr="00CA1B85" w:rsidRDefault="00CA1B85" w:rsidP="00CA1B85">
            <w:pPr>
              <w:pStyle w:val="CDITable-RowCentre"/>
            </w:pPr>
            <w:r w:rsidRPr="00CA1B85">
              <w:t>18</w:t>
            </w:r>
          </w:p>
        </w:tc>
        <w:tc>
          <w:tcPr>
            <w:tcW w:w="574" w:type="dxa"/>
            <w:tcBorders>
              <w:bottom w:val="single" w:sz="6" w:space="0" w:color="1E4496" w:themeColor="text2"/>
            </w:tcBorders>
            <w:tcMar>
              <w:top w:w="113" w:type="dxa"/>
              <w:left w:w="113" w:type="dxa"/>
              <w:bottom w:w="113" w:type="dxa"/>
              <w:right w:w="113" w:type="dxa"/>
            </w:tcMar>
            <w:vAlign w:val="center"/>
          </w:tcPr>
          <w:p w14:paraId="5D34955C" w14:textId="77777777" w:rsidR="00CA1B85" w:rsidRPr="00CA1B85" w:rsidRDefault="00CA1B85" w:rsidP="00CA1B85">
            <w:pPr>
              <w:pStyle w:val="CDITable-RowCentre"/>
            </w:pPr>
            <w:r w:rsidRPr="00CA1B85">
              <w:t>8.7</w:t>
            </w:r>
          </w:p>
        </w:tc>
        <w:tc>
          <w:tcPr>
            <w:tcW w:w="575" w:type="dxa"/>
            <w:tcBorders>
              <w:bottom w:val="single" w:sz="6" w:space="0" w:color="1E4496" w:themeColor="text2"/>
            </w:tcBorders>
            <w:tcMar>
              <w:top w:w="113" w:type="dxa"/>
              <w:left w:w="113" w:type="dxa"/>
              <w:bottom w:w="113" w:type="dxa"/>
              <w:right w:w="113" w:type="dxa"/>
            </w:tcMar>
            <w:vAlign w:val="center"/>
          </w:tcPr>
          <w:p w14:paraId="4552D27F" w14:textId="77777777" w:rsidR="00CA1B85" w:rsidRPr="00CA1B85" w:rsidRDefault="00CA1B85" w:rsidP="00CA1B85">
            <w:pPr>
              <w:pStyle w:val="CDITable-RowCentre"/>
            </w:pPr>
            <w:r w:rsidRPr="00CA1B85">
              <w:t>14</w:t>
            </w:r>
          </w:p>
        </w:tc>
        <w:tc>
          <w:tcPr>
            <w:tcW w:w="575" w:type="dxa"/>
            <w:tcBorders>
              <w:bottom w:val="single" w:sz="6" w:space="0" w:color="1E4496" w:themeColor="text2"/>
            </w:tcBorders>
            <w:tcMar>
              <w:top w:w="113" w:type="dxa"/>
              <w:left w:w="113" w:type="dxa"/>
              <w:bottom w:w="113" w:type="dxa"/>
              <w:right w:w="113" w:type="dxa"/>
            </w:tcMar>
            <w:vAlign w:val="center"/>
          </w:tcPr>
          <w:p w14:paraId="15623771" w14:textId="77777777" w:rsidR="00CA1B85" w:rsidRPr="00CA1B85" w:rsidRDefault="00CA1B85" w:rsidP="00CA1B85">
            <w:pPr>
              <w:pStyle w:val="CDITable-RowCentre"/>
            </w:pPr>
            <w:r w:rsidRPr="00CA1B85">
              <w:t>7.1</w:t>
            </w:r>
          </w:p>
        </w:tc>
        <w:tc>
          <w:tcPr>
            <w:tcW w:w="574" w:type="dxa"/>
            <w:tcBorders>
              <w:bottom w:val="single" w:sz="6" w:space="0" w:color="1E4496" w:themeColor="text2"/>
            </w:tcBorders>
            <w:tcMar>
              <w:top w:w="113" w:type="dxa"/>
              <w:left w:w="113" w:type="dxa"/>
              <w:bottom w:w="113" w:type="dxa"/>
              <w:right w:w="113" w:type="dxa"/>
            </w:tcMar>
            <w:vAlign w:val="center"/>
          </w:tcPr>
          <w:p w14:paraId="73F5B3B4" w14:textId="77777777" w:rsidR="00CA1B85" w:rsidRPr="00CA1B85" w:rsidRDefault="00CA1B85" w:rsidP="00CA1B85">
            <w:pPr>
              <w:pStyle w:val="CDITable-RowCentre"/>
            </w:pPr>
            <w:r w:rsidRPr="00CA1B85">
              <w:t>9</w:t>
            </w:r>
          </w:p>
        </w:tc>
        <w:tc>
          <w:tcPr>
            <w:tcW w:w="575" w:type="dxa"/>
            <w:tcBorders>
              <w:bottom w:val="single" w:sz="6" w:space="0" w:color="1E4496" w:themeColor="text2"/>
            </w:tcBorders>
            <w:tcMar>
              <w:top w:w="113" w:type="dxa"/>
              <w:left w:w="113" w:type="dxa"/>
              <w:bottom w:w="113" w:type="dxa"/>
              <w:right w:w="113" w:type="dxa"/>
            </w:tcMar>
            <w:vAlign w:val="center"/>
          </w:tcPr>
          <w:p w14:paraId="33FBEF6F" w14:textId="77777777" w:rsidR="00CA1B85" w:rsidRPr="00CA1B85" w:rsidRDefault="00CA1B85" w:rsidP="00CA1B85">
            <w:pPr>
              <w:pStyle w:val="CDITable-RowCentre"/>
            </w:pPr>
            <w:r w:rsidRPr="00CA1B85">
              <w:t>6.1</w:t>
            </w:r>
          </w:p>
        </w:tc>
        <w:tc>
          <w:tcPr>
            <w:tcW w:w="575" w:type="dxa"/>
            <w:tcBorders>
              <w:bottom w:val="single" w:sz="6" w:space="0" w:color="1E4496" w:themeColor="text2"/>
            </w:tcBorders>
            <w:tcMar>
              <w:top w:w="113" w:type="dxa"/>
              <w:left w:w="113" w:type="dxa"/>
              <w:bottom w:w="113" w:type="dxa"/>
              <w:right w:w="113" w:type="dxa"/>
            </w:tcMar>
            <w:vAlign w:val="center"/>
          </w:tcPr>
          <w:p w14:paraId="631D56A7" w14:textId="77777777" w:rsidR="00CA1B85" w:rsidRPr="00CA1B85" w:rsidRDefault="00CA1B85" w:rsidP="00CA1B85">
            <w:pPr>
              <w:pStyle w:val="CDITable-RowCentre"/>
            </w:pPr>
            <w:r w:rsidRPr="00CA1B85">
              <w:t>6</w:t>
            </w:r>
          </w:p>
        </w:tc>
        <w:tc>
          <w:tcPr>
            <w:tcW w:w="574" w:type="dxa"/>
            <w:tcBorders>
              <w:bottom w:val="single" w:sz="6" w:space="0" w:color="1E4496" w:themeColor="text2"/>
            </w:tcBorders>
            <w:tcMar>
              <w:top w:w="113" w:type="dxa"/>
              <w:left w:w="113" w:type="dxa"/>
              <w:bottom w:w="113" w:type="dxa"/>
              <w:right w:w="113" w:type="dxa"/>
            </w:tcMar>
            <w:vAlign w:val="center"/>
          </w:tcPr>
          <w:p w14:paraId="779242FE" w14:textId="77777777" w:rsidR="00CA1B85" w:rsidRPr="00CA1B85" w:rsidRDefault="00CA1B85" w:rsidP="00CA1B85">
            <w:pPr>
              <w:pStyle w:val="CDITable-RowCentre"/>
            </w:pPr>
            <w:r w:rsidRPr="00CA1B85">
              <w:t>3.2</w:t>
            </w:r>
          </w:p>
        </w:tc>
        <w:tc>
          <w:tcPr>
            <w:tcW w:w="575" w:type="dxa"/>
            <w:tcBorders>
              <w:bottom w:val="single" w:sz="6" w:space="0" w:color="1E4496" w:themeColor="text2"/>
            </w:tcBorders>
            <w:tcMar>
              <w:top w:w="113" w:type="dxa"/>
              <w:left w:w="113" w:type="dxa"/>
              <w:bottom w:w="113" w:type="dxa"/>
              <w:right w:w="113" w:type="dxa"/>
            </w:tcMar>
            <w:vAlign w:val="center"/>
          </w:tcPr>
          <w:p w14:paraId="412113EB" w14:textId="77777777" w:rsidR="00CA1B85" w:rsidRPr="00CA1B85" w:rsidRDefault="00CA1B85" w:rsidP="00CA1B85">
            <w:pPr>
              <w:pStyle w:val="CDITable-RowCentre"/>
            </w:pPr>
            <w:r w:rsidRPr="00CA1B85">
              <w:t>7</w:t>
            </w:r>
          </w:p>
        </w:tc>
        <w:tc>
          <w:tcPr>
            <w:tcW w:w="575" w:type="dxa"/>
            <w:tcBorders>
              <w:bottom w:val="single" w:sz="6" w:space="0" w:color="1E4496" w:themeColor="text2"/>
            </w:tcBorders>
            <w:tcMar>
              <w:top w:w="113" w:type="dxa"/>
              <w:left w:w="113" w:type="dxa"/>
              <w:bottom w:w="113" w:type="dxa"/>
              <w:right w:w="113" w:type="dxa"/>
            </w:tcMar>
            <w:vAlign w:val="center"/>
          </w:tcPr>
          <w:p w14:paraId="2D05EBC6" w14:textId="77777777" w:rsidR="00CA1B85" w:rsidRPr="00CA1B85" w:rsidRDefault="00CA1B85" w:rsidP="00CA1B85">
            <w:pPr>
              <w:pStyle w:val="CDITable-RowCentre"/>
            </w:pPr>
            <w:r w:rsidRPr="00CA1B85">
              <w:t>3.2</w:t>
            </w:r>
          </w:p>
        </w:tc>
        <w:tc>
          <w:tcPr>
            <w:tcW w:w="574" w:type="dxa"/>
            <w:tcBorders>
              <w:bottom w:val="single" w:sz="6" w:space="0" w:color="1E4496" w:themeColor="text2"/>
            </w:tcBorders>
            <w:tcMar>
              <w:top w:w="113" w:type="dxa"/>
              <w:left w:w="113" w:type="dxa"/>
              <w:bottom w:w="113" w:type="dxa"/>
              <w:right w:w="113" w:type="dxa"/>
            </w:tcMar>
            <w:vAlign w:val="center"/>
          </w:tcPr>
          <w:p w14:paraId="5732D6C2" w14:textId="77777777" w:rsidR="00CA1B85" w:rsidRPr="00CA1B85" w:rsidRDefault="00CA1B85" w:rsidP="00CA1B85">
            <w:pPr>
              <w:pStyle w:val="CDITable-RowCentre"/>
            </w:pPr>
            <w:r w:rsidRPr="00CA1B85">
              <w:t>5</w:t>
            </w:r>
          </w:p>
        </w:tc>
        <w:tc>
          <w:tcPr>
            <w:tcW w:w="575" w:type="dxa"/>
            <w:tcBorders>
              <w:bottom w:val="single" w:sz="6" w:space="0" w:color="1E4496" w:themeColor="text2"/>
            </w:tcBorders>
            <w:tcMar>
              <w:top w:w="113" w:type="dxa"/>
              <w:left w:w="113" w:type="dxa"/>
              <w:bottom w:w="113" w:type="dxa"/>
              <w:right w:w="113" w:type="dxa"/>
            </w:tcMar>
            <w:vAlign w:val="center"/>
          </w:tcPr>
          <w:p w14:paraId="5465A36C" w14:textId="77777777" w:rsidR="00CA1B85" w:rsidRPr="00CA1B85" w:rsidRDefault="00CA1B85" w:rsidP="00CA1B85">
            <w:pPr>
              <w:pStyle w:val="CDITable-RowCentre"/>
            </w:pPr>
            <w:r w:rsidRPr="00CA1B85">
              <w:t>1.9</w:t>
            </w:r>
          </w:p>
        </w:tc>
        <w:tc>
          <w:tcPr>
            <w:tcW w:w="575" w:type="dxa"/>
            <w:tcBorders>
              <w:bottom w:val="single" w:sz="6" w:space="0" w:color="1E4496" w:themeColor="text2"/>
            </w:tcBorders>
            <w:tcMar>
              <w:top w:w="113" w:type="dxa"/>
              <w:left w:w="113" w:type="dxa"/>
              <w:bottom w:w="113" w:type="dxa"/>
              <w:right w:w="113" w:type="dxa"/>
            </w:tcMar>
            <w:vAlign w:val="center"/>
          </w:tcPr>
          <w:p w14:paraId="5A3B42FF" w14:textId="77777777" w:rsidR="00CA1B85" w:rsidRPr="00CA1B85" w:rsidRDefault="00CA1B85" w:rsidP="00CA1B85">
            <w:pPr>
              <w:pStyle w:val="CDITable-RowCentre"/>
            </w:pPr>
            <w:r w:rsidRPr="00CA1B85">
              <w:t>7</w:t>
            </w:r>
          </w:p>
        </w:tc>
        <w:tc>
          <w:tcPr>
            <w:tcW w:w="574" w:type="dxa"/>
            <w:tcBorders>
              <w:bottom w:val="single" w:sz="6" w:space="0" w:color="1E4496" w:themeColor="text2"/>
            </w:tcBorders>
            <w:tcMar>
              <w:top w:w="113" w:type="dxa"/>
              <w:left w:w="113" w:type="dxa"/>
              <w:bottom w:w="113" w:type="dxa"/>
              <w:right w:w="113" w:type="dxa"/>
            </w:tcMar>
            <w:vAlign w:val="center"/>
          </w:tcPr>
          <w:p w14:paraId="2E860588" w14:textId="77777777" w:rsidR="00CA1B85" w:rsidRPr="00CA1B85" w:rsidRDefault="00CA1B85" w:rsidP="00CA1B85">
            <w:pPr>
              <w:pStyle w:val="CDITable-RowCentre"/>
            </w:pPr>
            <w:r w:rsidRPr="00CA1B85">
              <w:t>2.8</w:t>
            </w:r>
          </w:p>
        </w:tc>
      </w:tr>
      <w:tr w:rsidR="00CA1B85" w:rsidRPr="00CA1B85" w14:paraId="6F01CC59"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AD8BE2" w14:textId="77777777" w:rsidR="00CA1B85" w:rsidRPr="00CA1B85" w:rsidRDefault="00CA1B85" w:rsidP="00CA1B85">
            <w:pPr>
              <w:pStyle w:val="CDITable-RowLeft"/>
            </w:pPr>
            <w:r w:rsidRPr="00CA1B85">
              <w:t>NSW</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DC1299" w14:textId="77777777" w:rsidR="00CA1B85" w:rsidRPr="00CA1B85" w:rsidRDefault="00CA1B85" w:rsidP="00CA1B85">
            <w:pPr>
              <w:pStyle w:val="CDITable-RowCentre"/>
            </w:pPr>
            <w:r w:rsidRPr="00CA1B85">
              <w:t>33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0C26BF2" w14:textId="77777777" w:rsidR="00CA1B85" w:rsidRPr="00CA1B85" w:rsidRDefault="00CA1B85" w:rsidP="00CA1B85">
            <w:pPr>
              <w:pStyle w:val="CDITable-RowCentre"/>
            </w:pPr>
            <w:r w:rsidRPr="00CA1B85">
              <w:t>2.0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B40033" w14:textId="77777777" w:rsidR="00CA1B85" w:rsidRPr="00CA1B85" w:rsidRDefault="00CA1B85" w:rsidP="00CA1B85">
            <w:pPr>
              <w:pStyle w:val="CDITable-RowCentre"/>
            </w:pPr>
            <w:r w:rsidRPr="00CA1B85">
              <w:t>43</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7883D7" w14:textId="77777777" w:rsidR="00CA1B85" w:rsidRPr="00CA1B85" w:rsidRDefault="00CA1B85" w:rsidP="00CA1B85">
            <w:pPr>
              <w:pStyle w:val="CDITable-RowCentre"/>
            </w:pPr>
            <w:r w:rsidRPr="00CA1B85">
              <w:t>2.3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668461" w14:textId="77777777" w:rsidR="00CA1B85" w:rsidRPr="00CA1B85" w:rsidRDefault="00CA1B85" w:rsidP="00CA1B85">
            <w:pPr>
              <w:pStyle w:val="CDITable-RowCentre"/>
            </w:pPr>
            <w:r w:rsidRPr="00CA1B85">
              <w:t>82</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F15CB2" w14:textId="77777777" w:rsidR="00CA1B85" w:rsidRPr="00CA1B85" w:rsidRDefault="00CA1B85" w:rsidP="00CA1B85">
            <w:pPr>
              <w:pStyle w:val="CDITable-RowCentre"/>
            </w:pPr>
            <w:r w:rsidRPr="00CA1B85">
              <w:t>3.6</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7E023D" w14:textId="77777777" w:rsidR="00CA1B85" w:rsidRPr="00CA1B85" w:rsidRDefault="00CA1B85" w:rsidP="00CA1B85">
            <w:pPr>
              <w:pStyle w:val="CDITable-RowCentre"/>
            </w:pPr>
            <w:r w:rsidRPr="00CA1B85">
              <w:t>261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28B574" w14:textId="77777777" w:rsidR="00CA1B85" w:rsidRPr="00CA1B85" w:rsidRDefault="00CA1B85" w:rsidP="00CA1B85">
            <w:pPr>
              <w:pStyle w:val="CDITable-RowCentre"/>
            </w:pPr>
            <w:r w:rsidRPr="00CA1B85">
              <w:t>9.3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C5EE12" w14:textId="77777777" w:rsidR="00CA1B85" w:rsidRPr="00CA1B85" w:rsidRDefault="00CA1B85" w:rsidP="00CA1B85">
            <w:pPr>
              <w:pStyle w:val="CDITable-RowCentre"/>
            </w:pPr>
            <w:r w:rsidRPr="00CA1B85">
              <w:t>230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4AF497" w14:textId="77777777" w:rsidR="00CA1B85" w:rsidRPr="00CA1B85" w:rsidRDefault="00CA1B85" w:rsidP="00CA1B85">
            <w:pPr>
              <w:pStyle w:val="CDITable-RowCentre"/>
            </w:pPr>
            <w:r w:rsidRPr="00CA1B85">
              <w:t>6.5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B962CB5" w14:textId="77777777" w:rsidR="00CA1B85" w:rsidRPr="00CA1B85" w:rsidRDefault="00CA1B85" w:rsidP="00CA1B85">
            <w:pPr>
              <w:pStyle w:val="CDITable-RowCentre"/>
            </w:pPr>
            <w:r w:rsidRPr="00CA1B85">
              <w:t>215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3DEC4D" w14:textId="77777777" w:rsidR="00CA1B85" w:rsidRPr="00CA1B85" w:rsidRDefault="00CA1B85" w:rsidP="00CA1B85">
            <w:pPr>
              <w:pStyle w:val="CDITable-RowCentre"/>
            </w:pPr>
            <w:r w:rsidRPr="00CA1B85">
              <w:t>6.0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9F29ED" w14:textId="77777777" w:rsidR="00CA1B85" w:rsidRPr="00CA1B85" w:rsidRDefault="00CA1B85" w:rsidP="00CA1B85">
            <w:pPr>
              <w:pStyle w:val="CDITable-RowCentre"/>
            </w:pPr>
            <w:r w:rsidRPr="00CA1B85">
              <w:t>181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184EC8" w14:textId="77777777" w:rsidR="00CA1B85" w:rsidRPr="00CA1B85" w:rsidRDefault="00CA1B85" w:rsidP="00CA1B85">
            <w:pPr>
              <w:pStyle w:val="CDITable-RowCentre"/>
            </w:pPr>
            <w:r w:rsidRPr="00CA1B85">
              <w:t>7.0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92EE7F" w14:textId="77777777" w:rsidR="00CA1B85" w:rsidRPr="00CA1B85" w:rsidRDefault="00CA1B85" w:rsidP="00CA1B85">
            <w:pPr>
              <w:pStyle w:val="CDITable-RowCentre"/>
            </w:pPr>
            <w:r w:rsidRPr="00CA1B85">
              <w:t>191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D485E9" w14:textId="77777777" w:rsidR="00CA1B85" w:rsidRPr="00CA1B85" w:rsidRDefault="00CA1B85" w:rsidP="00CA1B85">
            <w:pPr>
              <w:pStyle w:val="CDITable-RowCentre"/>
            </w:pPr>
            <w:r w:rsidRPr="00CA1B85">
              <w:t>9.9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220B4B" w14:textId="77777777" w:rsidR="00CA1B85" w:rsidRPr="00CA1B85" w:rsidRDefault="00CA1B85" w:rsidP="00CA1B85">
            <w:pPr>
              <w:pStyle w:val="CDITable-RowCentre"/>
            </w:pPr>
            <w:r w:rsidRPr="00CA1B85">
              <w:t>109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18194F" w14:textId="77777777" w:rsidR="00CA1B85" w:rsidRPr="00CA1B85" w:rsidRDefault="00CA1B85" w:rsidP="00CA1B85">
            <w:pPr>
              <w:pStyle w:val="CDITable-RowCentre"/>
            </w:pPr>
            <w:r w:rsidRPr="00CA1B85">
              <w:t>4.0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8FB61A" w14:textId="77777777" w:rsidR="00CA1B85" w:rsidRPr="00CA1B85" w:rsidRDefault="00CA1B85" w:rsidP="00CA1B85">
            <w:pPr>
              <w:pStyle w:val="CDITable-RowCentre"/>
            </w:pPr>
            <w:r w:rsidRPr="00CA1B85">
              <w:t>165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49EB72" w14:textId="77777777" w:rsidR="00CA1B85" w:rsidRPr="00CA1B85" w:rsidRDefault="00CA1B85" w:rsidP="00CA1B85">
            <w:pPr>
              <w:pStyle w:val="CDITable-RowCentre"/>
            </w:pPr>
            <w:r w:rsidRPr="00CA1B85">
              <w:t>4.6</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DA52C0" w14:textId="77777777" w:rsidR="00CA1B85" w:rsidRPr="00CA1B85" w:rsidRDefault="00CA1B85" w:rsidP="00CA1B85">
            <w:pPr>
              <w:pStyle w:val="CDITable-RowCentre"/>
            </w:pPr>
            <w:r w:rsidRPr="00CA1B85">
              <w:t>130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A55D86" w14:textId="77777777" w:rsidR="00CA1B85" w:rsidRPr="00CA1B85" w:rsidRDefault="00CA1B85" w:rsidP="00CA1B85">
            <w:pPr>
              <w:pStyle w:val="CDITable-RowCentre"/>
            </w:pPr>
            <w:r w:rsidRPr="00CA1B85">
              <w:t>3.5</w:t>
            </w:r>
          </w:p>
        </w:tc>
      </w:tr>
      <w:tr w:rsidR="00CA1B85" w:rsidRPr="00CA1B85" w14:paraId="7E1C2980"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09571D" w14:textId="77777777" w:rsidR="00CA1B85" w:rsidRPr="00CA1B85" w:rsidRDefault="00CA1B85" w:rsidP="00CA1B85">
            <w:pPr>
              <w:pStyle w:val="CDITable-RowLeft"/>
            </w:pPr>
            <w:r w:rsidRPr="00CA1B85">
              <w:t>Qld</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5FB2DA" w14:textId="77777777" w:rsidR="00CA1B85" w:rsidRPr="00CA1B85" w:rsidRDefault="00CA1B85" w:rsidP="00CA1B85">
            <w:pPr>
              <w:pStyle w:val="CDITable-RowCentre"/>
            </w:pPr>
            <w:r w:rsidRPr="00CA1B85">
              <w:t>23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5D1B54" w14:textId="77777777" w:rsidR="00CA1B85" w:rsidRPr="00CA1B85" w:rsidRDefault="00CA1B85" w:rsidP="00CA1B85">
            <w:pPr>
              <w:pStyle w:val="CDITable-RowCentre"/>
            </w:pPr>
            <w:r w:rsidRPr="00CA1B85">
              <w:t>3.5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EE3FF4" w14:textId="77777777" w:rsidR="00CA1B85" w:rsidRPr="00CA1B85" w:rsidRDefault="00CA1B85" w:rsidP="00CA1B85">
            <w:pPr>
              <w:pStyle w:val="CDITable-RowCentre"/>
            </w:pPr>
            <w:r w:rsidRPr="00CA1B85">
              <w:t>42</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1856B3" w14:textId="77777777" w:rsidR="00CA1B85" w:rsidRPr="00CA1B85" w:rsidRDefault="00CA1B85" w:rsidP="00CA1B85">
            <w:pPr>
              <w:pStyle w:val="CDITable-RowCentre"/>
            </w:pPr>
            <w:r w:rsidRPr="00CA1B85">
              <w:t>5.8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C2C973" w14:textId="77777777" w:rsidR="00CA1B85" w:rsidRPr="00CA1B85" w:rsidRDefault="00CA1B85" w:rsidP="00CA1B85">
            <w:pPr>
              <w:pStyle w:val="CDITable-RowCentre"/>
            </w:pPr>
            <w:r w:rsidRPr="00CA1B85">
              <w:t>10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B71200" w14:textId="77777777" w:rsidR="00CA1B85" w:rsidRPr="00CA1B85" w:rsidRDefault="00CA1B85" w:rsidP="00CA1B85">
            <w:pPr>
              <w:pStyle w:val="CDITable-RowCentre"/>
            </w:pPr>
            <w:r w:rsidRPr="00CA1B85">
              <w:t>1.2</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3A5FF1" w14:textId="77777777" w:rsidR="00CA1B85" w:rsidRPr="00CA1B85" w:rsidRDefault="00CA1B85" w:rsidP="00CA1B85">
            <w:pPr>
              <w:pStyle w:val="CDITable-RowCentre"/>
            </w:pPr>
            <w:r w:rsidRPr="00CA1B85">
              <w:t>61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E7F8780" w14:textId="77777777" w:rsidR="00CA1B85" w:rsidRPr="00CA1B85" w:rsidRDefault="00CA1B85" w:rsidP="00CA1B85">
            <w:pPr>
              <w:pStyle w:val="CDITable-RowCentre"/>
            </w:pPr>
            <w:r w:rsidRPr="00CA1B85">
              <w:t>4.9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7E295E" w14:textId="77777777" w:rsidR="00CA1B85" w:rsidRPr="00CA1B85" w:rsidRDefault="00CA1B85" w:rsidP="00CA1B85">
            <w:pPr>
              <w:pStyle w:val="CDITable-RowCentre"/>
            </w:pPr>
            <w:r w:rsidRPr="00CA1B85">
              <w:t>68</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05DC41" w14:textId="77777777" w:rsidR="00CA1B85" w:rsidRPr="00CA1B85" w:rsidRDefault="00CA1B85" w:rsidP="00CA1B85">
            <w:pPr>
              <w:pStyle w:val="CDITable-RowCentre"/>
            </w:pPr>
            <w:r w:rsidRPr="00CA1B85">
              <w:t>4.9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DF930A" w14:textId="77777777" w:rsidR="00CA1B85" w:rsidRPr="00CA1B85" w:rsidRDefault="00CA1B85" w:rsidP="00CA1B85">
            <w:pPr>
              <w:pStyle w:val="CDITable-RowCentre"/>
            </w:pPr>
            <w:r w:rsidRPr="00CA1B85">
              <w:t>32</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718AFE9" w14:textId="77777777" w:rsidR="00CA1B85" w:rsidRPr="00CA1B85" w:rsidRDefault="00CA1B85" w:rsidP="00CA1B85">
            <w:pPr>
              <w:pStyle w:val="CDITable-RowCentre"/>
            </w:pPr>
            <w:r w:rsidRPr="00CA1B85">
              <w:t>1.9</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217037" w14:textId="77777777" w:rsidR="00CA1B85" w:rsidRPr="00CA1B85" w:rsidRDefault="00CA1B85" w:rsidP="00CA1B85">
            <w:pPr>
              <w:pStyle w:val="CDITable-RowCentre"/>
            </w:pPr>
            <w:r w:rsidRPr="00CA1B85">
              <w:t>43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2DA971D" w14:textId="77777777" w:rsidR="00CA1B85" w:rsidRPr="00CA1B85" w:rsidRDefault="00CA1B85" w:rsidP="00CA1B85">
            <w:pPr>
              <w:pStyle w:val="CDITable-RowCentre"/>
            </w:pPr>
            <w:r w:rsidRPr="00CA1B85">
              <w:t>2.9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E42905" w14:textId="77777777" w:rsidR="00CA1B85" w:rsidRPr="00CA1B85" w:rsidRDefault="00CA1B85" w:rsidP="00CA1B85">
            <w:pPr>
              <w:pStyle w:val="CDITable-RowCentre"/>
            </w:pPr>
            <w:r w:rsidRPr="00CA1B85">
              <w:t>14</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069DD4" w14:textId="77777777" w:rsidR="00CA1B85" w:rsidRPr="00CA1B85" w:rsidRDefault="00CA1B85" w:rsidP="00CA1B85">
            <w:pPr>
              <w:pStyle w:val="CDITable-RowCentre"/>
            </w:pPr>
            <w:r w:rsidRPr="00CA1B85">
              <w:t>1.2</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E18EFA" w14:textId="77777777" w:rsidR="00CA1B85" w:rsidRPr="00CA1B85" w:rsidRDefault="00CA1B85" w:rsidP="00CA1B85">
            <w:pPr>
              <w:pStyle w:val="CDITable-RowCentre"/>
            </w:pPr>
            <w:r w:rsidRPr="00CA1B85">
              <w:t>32</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36F92B" w14:textId="77777777" w:rsidR="00CA1B85" w:rsidRPr="00CA1B85" w:rsidRDefault="00CA1B85" w:rsidP="00CA1B85">
            <w:pPr>
              <w:pStyle w:val="CDITable-RowCentre"/>
            </w:pPr>
            <w:r w:rsidRPr="00CA1B85">
              <w:t>2.3</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01B31F" w14:textId="77777777" w:rsidR="00CA1B85" w:rsidRPr="00CA1B85" w:rsidRDefault="00CA1B85" w:rsidP="00CA1B85">
            <w:pPr>
              <w:pStyle w:val="CDITable-RowCentre"/>
            </w:pPr>
            <w:r w:rsidRPr="00CA1B85">
              <w:t>41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41978F" w14:textId="77777777" w:rsidR="00CA1B85" w:rsidRPr="00CA1B85" w:rsidRDefault="00CA1B85" w:rsidP="00CA1B85">
            <w:pPr>
              <w:pStyle w:val="CDITable-RowCentre"/>
            </w:pPr>
            <w:r w:rsidRPr="00CA1B85">
              <w:t>2.7</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6026FB" w14:textId="77777777" w:rsidR="00CA1B85" w:rsidRPr="00CA1B85" w:rsidRDefault="00CA1B85" w:rsidP="00CA1B85">
            <w:pPr>
              <w:pStyle w:val="CDITable-RowCentre"/>
            </w:pPr>
            <w:r w:rsidRPr="00CA1B85">
              <w:t>51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C469D1" w14:textId="77777777" w:rsidR="00CA1B85" w:rsidRPr="00CA1B85" w:rsidRDefault="00CA1B85" w:rsidP="00CA1B85">
            <w:pPr>
              <w:pStyle w:val="CDITable-RowCentre"/>
            </w:pPr>
            <w:r w:rsidRPr="00CA1B85">
              <w:t>3.5</w:t>
            </w:r>
          </w:p>
        </w:tc>
      </w:tr>
      <w:tr w:rsidR="00CA1B85" w:rsidRPr="00CA1B85" w14:paraId="41C98EB0"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7104A5" w14:textId="77777777" w:rsidR="00CA1B85" w:rsidRPr="00CA1B85" w:rsidRDefault="00CA1B85" w:rsidP="00CA1B85">
            <w:pPr>
              <w:pStyle w:val="CDITable-RowLeft"/>
            </w:pPr>
            <w:r w:rsidRPr="00CA1B85">
              <w:t>SA</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CBEC36"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3184EB" w14:textId="77777777" w:rsidR="00CA1B85" w:rsidRPr="00CA1B85" w:rsidRDefault="00CA1B85" w:rsidP="00CA1B85">
            <w:pPr>
              <w:pStyle w:val="CDITable-RowCentre"/>
            </w:pPr>
            <w:r w:rsidRPr="00CA1B85">
              <w:t>0.5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C51925" w14:textId="77777777" w:rsidR="00CA1B85" w:rsidRPr="00CA1B85" w:rsidRDefault="00CA1B85" w:rsidP="00CA1B85">
            <w:pPr>
              <w:pStyle w:val="CDITable-RowCentre"/>
            </w:pPr>
            <w:r w:rsidRPr="00CA1B85">
              <w:t>7</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6257F6" w14:textId="77777777" w:rsidR="00CA1B85" w:rsidRPr="00CA1B85" w:rsidRDefault="00CA1B85" w:rsidP="00CA1B85">
            <w:pPr>
              <w:pStyle w:val="CDITable-RowCentre"/>
            </w:pPr>
            <w:r w:rsidRPr="00CA1B85">
              <w:t>2.8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D5690F" w14:textId="77777777" w:rsidR="00CA1B85" w:rsidRPr="00CA1B85" w:rsidRDefault="00CA1B85" w:rsidP="00CA1B85">
            <w:pPr>
              <w:pStyle w:val="CDITable-RowCentre"/>
            </w:pPr>
            <w:r w:rsidRPr="00CA1B85">
              <w:t>68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2C457C" w14:textId="77777777" w:rsidR="00CA1B85" w:rsidRPr="00211A71" w:rsidRDefault="00CA1B85" w:rsidP="00CA1B85">
            <w:pPr>
              <w:pStyle w:val="CDITable-RowCentre"/>
              <w:rPr>
                <w:spacing w:val="-2"/>
              </w:rPr>
            </w:pPr>
            <w:r w:rsidRPr="00211A71">
              <w:rPr>
                <w:spacing w:val="-2"/>
              </w:rPr>
              <w:t>19.5</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726225" w14:textId="77777777" w:rsidR="00CA1B85" w:rsidRPr="00CA1B85" w:rsidRDefault="00CA1B85" w:rsidP="00CA1B85">
            <w:pPr>
              <w:pStyle w:val="CDITable-RowCentre"/>
            </w:pPr>
            <w:r w:rsidRPr="00CA1B85">
              <w:t>46</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2BCC7A" w14:textId="77777777" w:rsidR="00CA1B85" w:rsidRPr="00211A71" w:rsidRDefault="00CA1B85" w:rsidP="00CA1B85">
            <w:pPr>
              <w:pStyle w:val="CDITable-RowCentre"/>
              <w:rPr>
                <w:spacing w:val="-2"/>
              </w:rPr>
            </w:pPr>
            <w:r w:rsidRPr="00211A71">
              <w:rPr>
                <w:spacing w:val="-2"/>
              </w:rPr>
              <w:t>12.8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505683" w14:textId="77777777" w:rsidR="00CA1B85" w:rsidRPr="00CA1B85" w:rsidRDefault="00CA1B85" w:rsidP="00CA1B85">
            <w:pPr>
              <w:pStyle w:val="CDITable-RowCentre"/>
            </w:pPr>
            <w:r w:rsidRPr="00CA1B85">
              <w:t>7</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13B288" w14:textId="77777777" w:rsidR="00CA1B85" w:rsidRPr="00CA1B85" w:rsidRDefault="00CA1B85" w:rsidP="00CA1B85">
            <w:pPr>
              <w:pStyle w:val="CDITable-RowCentre"/>
            </w:pPr>
            <w:r w:rsidRPr="00CA1B85">
              <w:t>3.0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B50E89" w14:textId="77777777" w:rsidR="00CA1B85" w:rsidRPr="00CA1B85" w:rsidRDefault="00CA1B85" w:rsidP="00CA1B85">
            <w:pPr>
              <w:pStyle w:val="CDITable-RowCentre"/>
            </w:pPr>
            <w:r w:rsidRPr="00CA1B85">
              <w:t>11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FB4C74" w14:textId="77777777" w:rsidR="00CA1B85" w:rsidRPr="00CA1B85" w:rsidRDefault="00CA1B85" w:rsidP="00CA1B85">
            <w:pPr>
              <w:pStyle w:val="CDITable-RowCentre"/>
            </w:pPr>
            <w:r w:rsidRPr="00CA1B85">
              <w:t>2.0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B0B7D5"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896157" w14:textId="77777777" w:rsidR="00CA1B85" w:rsidRPr="00CA1B85" w:rsidRDefault="00CA1B85" w:rsidP="00CA1B85">
            <w:pPr>
              <w:pStyle w:val="CDITable-RowCentre"/>
            </w:pPr>
            <w:r w:rsidRPr="00CA1B85">
              <w:t>0.3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67FCEE" w14:textId="77777777" w:rsidR="00CA1B85" w:rsidRPr="00CA1B85" w:rsidRDefault="00CA1B85" w:rsidP="00CA1B85">
            <w:pPr>
              <w:pStyle w:val="CDITable-RowCentre"/>
            </w:pPr>
            <w:r w:rsidRPr="00CA1B85">
              <w:t>3</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05F0463" w14:textId="77777777" w:rsidR="00CA1B85" w:rsidRPr="00CA1B85" w:rsidRDefault="00CA1B85" w:rsidP="00CA1B85">
            <w:pPr>
              <w:pStyle w:val="CDITable-RowCentre"/>
            </w:pPr>
            <w:r w:rsidRPr="00CA1B85">
              <w:t>1.0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8382034" w14:textId="77777777" w:rsidR="00CA1B85" w:rsidRPr="00CA1B85" w:rsidRDefault="00CA1B85" w:rsidP="00CA1B85">
            <w:pPr>
              <w:pStyle w:val="CDITable-RowCentre"/>
            </w:pPr>
            <w:r w:rsidRPr="00CA1B85">
              <w:t>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386DB8" w14:textId="77777777" w:rsidR="00CA1B85" w:rsidRPr="00CA1B85" w:rsidRDefault="00CA1B85" w:rsidP="00CA1B85">
            <w:pPr>
              <w:pStyle w:val="CDITable-RowCentre"/>
            </w:pPr>
            <w:r w:rsidRPr="00CA1B85">
              <w:t>0.7</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D5E504" w14:textId="77777777" w:rsidR="00CA1B85" w:rsidRPr="00CA1B85" w:rsidRDefault="00CA1B85" w:rsidP="00CA1B85">
            <w:pPr>
              <w:pStyle w:val="CDITable-RowCentre"/>
            </w:pPr>
            <w:r w:rsidRPr="00CA1B85">
              <w:t>17</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BF94A3" w14:textId="77777777" w:rsidR="00CA1B85" w:rsidRPr="00CA1B85" w:rsidRDefault="00CA1B85" w:rsidP="00CA1B85">
            <w:pPr>
              <w:pStyle w:val="CDITable-RowCentre"/>
            </w:pPr>
            <w:r w:rsidRPr="00CA1B85">
              <w:t>2.9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B5DDF3" w14:textId="77777777" w:rsidR="00CA1B85" w:rsidRPr="00CA1B85" w:rsidRDefault="00CA1B85" w:rsidP="00CA1B85">
            <w:pPr>
              <w:pStyle w:val="CDITable-RowCentre"/>
            </w:pPr>
            <w:r w:rsidRPr="00CA1B85">
              <w:t>30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10779C" w14:textId="77777777" w:rsidR="00CA1B85" w:rsidRPr="00CA1B85" w:rsidRDefault="00CA1B85" w:rsidP="00CA1B85">
            <w:pPr>
              <w:pStyle w:val="CDITable-RowCentre"/>
            </w:pPr>
            <w:r w:rsidRPr="00CA1B85">
              <w:t>4.6</w:t>
            </w:r>
          </w:p>
        </w:tc>
      </w:tr>
      <w:tr w:rsidR="00CA1B85" w:rsidRPr="00CA1B85" w14:paraId="7237ED35"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73C8E1" w14:textId="77777777" w:rsidR="00CA1B85" w:rsidRPr="00CA1B85" w:rsidRDefault="00CA1B85" w:rsidP="00CA1B85">
            <w:pPr>
              <w:pStyle w:val="CDITable-RowLeft"/>
            </w:pPr>
            <w:r w:rsidRPr="00CA1B85">
              <w:t>Tas.</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EE62DD"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538D54" w14:textId="77777777" w:rsidR="00CA1B85" w:rsidRPr="00CA1B85" w:rsidRDefault="00CA1B85" w:rsidP="00CA1B85">
            <w:pPr>
              <w:pStyle w:val="CDITable-RowCentre"/>
            </w:pPr>
            <w:r w:rsidRPr="00CA1B85">
              <w:t>3.3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61AF93" w14:textId="77777777" w:rsidR="00CA1B85" w:rsidRPr="00CA1B85" w:rsidRDefault="00CA1B85" w:rsidP="00CA1B85">
            <w:pPr>
              <w:pStyle w:val="CDITable-RowCentre"/>
            </w:pPr>
            <w:r w:rsidRPr="00CA1B85">
              <w:t>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996EFF" w14:textId="77777777" w:rsidR="00CA1B85" w:rsidRPr="00CA1B85" w:rsidRDefault="00CA1B85" w:rsidP="00CA1B85">
            <w:pPr>
              <w:pStyle w:val="CDITable-RowCentre"/>
            </w:pPr>
            <w:r w:rsidRPr="00CA1B85">
              <w:t>4.3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440940" w14:textId="77777777" w:rsidR="00CA1B85" w:rsidRPr="00CA1B85" w:rsidRDefault="00CA1B85" w:rsidP="00CA1B85">
            <w:pPr>
              <w:pStyle w:val="CDITable-RowCentre"/>
            </w:pPr>
            <w:r w:rsidRPr="00CA1B85">
              <w:t>4</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23A335" w14:textId="77777777" w:rsidR="00CA1B85" w:rsidRPr="00211A71" w:rsidRDefault="00CA1B85" w:rsidP="00CA1B85">
            <w:pPr>
              <w:pStyle w:val="CDITable-RowCentre"/>
              <w:rPr>
                <w:spacing w:val="-2"/>
              </w:rPr>
            </w:pPr>
            <w:r w:rsidRPr="00211A71">
              <w:rPr>
                <w:spacing w:val="-2"/>
              </w:rPr>
              <w:t>14.3</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39029E" w14:textId="77777777" w:rsidR="00CA1B85" w:rsidRPr="00CA1B85" w:rsidRDefault="00CA1B85" w:rsidP="00CA1B85">
            <w:pPr>
              <w:pStyle w:val="CDITable-RowCentre"/>
            </w:pPr>
            <w:r w:rsidRPr="00CA1B85">
              <w:t>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26437C" w14:textId="77777777" w:rsidR="00CA1B85" w:rsidRPr="00CA1B85" w:rsidRDefault="00CA1B85" w:rsidP="00CA1B85">
            <w:pPr>
              <w:pStyle w:val="CDITable-RowCentre"/>
            </w:pPr>
            <w:r w:rsidRPr="00CA1B85">
              <w:t>9.0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F7CEF4" w14:textId="77777777" w:rsidR="00CA1B85" w:rsidRPr="00CA1B85" w:rsidRDefault="00CA1B85" w:rsidP="00CA1B85">
            <w:pPr>
              <w:pStyle w:val="CDITable-RowCentre"/>
            </w:pPr>
            <w:r w:rsidRPr="00CA1B85">
              <w:t>3</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CB377C" w14:textId="77777777" w:rsidR="00CA1B85" w:rsidRPr="00CA1B85" w:rsidRDefault="00CA1B85" w:rsidP="00CA1B85">
            <w:pPr>
              <w:pStyle w:val="CDITable-RowCentre"/>
            </w:pPr>
            <w:r w:rsidRPr="00CA1B85">
              <w:t>6.0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1C8FE0"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C859B9" w14:textId="77777777" w:rsidR="00CA1B85" w:rsidRPr="00CA1B85" w:rsidRDefault="00CA1B85" w:rsidP="00CA1B85">
            <w:pPr>
              <w:pStyle w:val="CDITable-RowCentre"/>
            </w:pPr>
            <w:r w:rsidRPr="00CA1B85">
              <w:t>2.0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26BD69"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3D4F9E"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243E96" w14:textId="77777777" w:rsidR="00CA1B85" w:rsidRPr="00CA1B85" w:rsidRDefault="00CA1B85" w:rsidP="00CA1B85">
            <w:pPr>
              <w:pStyle w:val="CDITable-RowCentre"/>
            </w:pPr>
            <w:r w:rsidRPr="00CA1B85">
              <w:t>4</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81C055" w14:textId="77777777" w:rsidR="00CA1B85" w:rsidRPr="00CA1B85" w:rsidRDefault="00CA1B85" w:rsidP="00CA1B85">
            <w:pPr>
              <w:pStyle w:val="CDITable-RowCentre"/>
            </w:pPr>
            <w:r w:rsidRPr="00CA1B85">
              <w:t>5.8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BC4D6D" w14:textId="77777777" w:rsidR="00CA1B85" w:rsidRPr="00CA1B85" w:rsidRDefault="00CA1B85" w:rsidP="00CA1B85">
            <w:pPr>
              <w:pStyle w:val="CDITable-RowCentre"/>
            </w:pPr>
            <w:r w:rsidRPr="00CA1B85">
              <w:t>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F3328E" w14:textId="77777777" w:rsidR="00CA1B85" w:rsidRPr="00CA1B85" w:rsidRDefault="00CA1B85" w:rsidP="00CA1B85">
            <w:pPr>
              <w:pStyle w:val="CDITable-RowCentre"/>
            </w:pPr>
            <w:r w:rsidRPr="00CA1B85">
              <w:t>5.2</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E730E7" w14:textId="77777777" w:rsidR="00CA1B85" w:rsidRPr="00CA1B85" w:rsidRDefault="00CA1B85" w:rsidP="00CA1B85">
            <w:pPr>
              <w:pStyle w:val="CDITable-RowCentre"/>
            </w:pPr>
            <w:r w:rsidRPr="00CA1B85">
              <w:t>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4BD40E" w14:textId="77777777" w:rsidR="00CA1B85" w:rsidRPr="00CA1B85" w:rsidRDefault="00CA1B85" w:rsidP="00CA1B85">
            <w:pPr>
              <w:pStyle w:val="CDITable-RowCentre"/>
            </w:pPr>
            <w:r w:rsidRPr="00CA1B85">
              <w:t>5.9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12D129" w14:textId="77777777" w:rsidR="00CA1B85" w:rsidRPr="00CA1B85" w:rsidRDefault="00CA1B85" w:rsidP="00CA1B85">
            <w:pPr>
              <w:pStyle w:val="CDITable-RowCentre"/>
            </w:pPr>
            <w:r w:rsidRPr="00CA1B85">
              <w:t>4</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EEF4F4" w14:textId="77777777" w:rsidR="00CA1B85" w:rsidRPr="00CA1B85" w:rsidRDefault="00CA1B85" w:rsidP="00CA1B85">
            <w:pPr>
              <w:pStyle w:val="CDITable-RowCentre"/>
            </w:pPr>
            <w:r w:rsidRPr="00CA1B85">
              <w:t>4.5</w:t>
            </w:r>
          </w:p>
        </w:tc>
      </w:tr>
      <w:tr w:rsidR="00CA1B85" w:rsidRPr="00CA1B85" w14:paraId="62DFB98D"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940FC6" w14:textId="77777777" w:rsidR="00CA1B85" w:rsidRPr="00CA1B85" w:rsidRDefault="00CA1B85" w:rsidP="00CA1B85">
            <w:pPr>
              <w:pStyle w:val="CDITable-RowLeft"/>
            </w:pPr>
            <w:r w:rsidRPr="00CA1B85">
              <w:t>Vic.</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2E1324" w14:textId="77777777" w:rsidR="00CA1B85" w:rsidRPr="00CA1B85" w:rsidRDefault="00CA1B85" w:rsidP="00CA1B85">
            <w:pPr>
              <w:pStyle w:val="CDITable-RowCentre"/>
            </w:pPr>
            <w:r w:rsidRPr="00CA1B85">
              <w:t>33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A141B7" w14:textId="77777777" w:rsidR="00CA1B85" w:rsidRPr="00CA1B85" w:rsidRDefault="00CA1B85" w:rsidP="00CA1B85">
            <w:pPr>
              <w:pStyle w:val="CDITable-RowCentre"/>
            </w:pPr>
            <w:r w:rsidRPr="00CA1B85">
              <w:t>2.3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62EA10" w14:textId="77777777" w:rsidR="00CA1B85" w:rsidRPr="00CA1B85" w:rsidRDefault="00CA1B85" w:rsidP="00CA1B85">
            <w:pPr>
              <w:pStyle w:val="CDITable-RowCentre"/>
            </w:pPr>
            <w:r w:rsidRPr="00CA1B85">
              <w:t>30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BA46D2" w14:textId="77777777" w:rsidR="00CA1B85" w:rsidRPr="00CA1B85" w:rsidRDefault="00CA1B85" w:rsidP="00CA1B85">
            <w:pPr>
              <w:pStyle w:val="CDITable-RowCentre"/>
            </w:pPr>
            <w:r w:rsidRPr="00CA1B85">
              <w:t>1.8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3BCC6A" w14:textId="77777777" w:rsidR="00CA1B85" w:rsidRPr="00CA1B85" w:rsidRDefault="00CA1B85" w:rsidP="00CA1B85">
            <w:pPr>
              <w:pStyle w:val="CDITable-RowCentre"/>
            </w:pPr>
            <w:r w:rsidRPr="00CA1B85">
              <w:t>93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1DEE73" w14:textId="77777777" w:rsidR="00CA1B85" w:rsidRPr="00CA1B85" w:rsidRDefault="00CA1B85" w:rsidP="00CA1B85">
            <w:pPr>
              <w:pStyle w:val="CDITable-RowCentre"/>
            </w:pPr>
            <w:r w:rsidRPr="00CA1B85">
              <w:t>5.4</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519A01" w14:textId="77777777" w:rsidR="00CA1B85" w:rsidRPr="00CA1B85" w:rsidRDefault="00CA1B85" w:rsidP="00CA1B85">
            <w:pPr>
              <w:pStyle w:val="CDITable-RowCentre"/>
            </w:pPr>
            <w:r w:rsidRPr="00CA1B85">
              <w:t>304</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F8DE53C" w14:textId="77777777" w:rsidR="00CA1B85" w:rsidRPr="00211A71" w:rsidRDefault="00CA1B85" w:rsidP="00CA1B85">
            <w:pPr>
              <w:pStyle w:val="CDITable-RowCentre"/>
              <w:rPr>
                <w:spacing w:val="-2"/>
              </w:rPr>
            </w:pPr>
            <w:r w:rsidRPr="00211A71">
              <w:rPr>
                <w:spacing w:val="-2"/>
              </w:rPr>
              <w:t>13.5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A03CF1" w14:textId="77777777" w:rsidR="00CA1B85" w:rsidRPr="00CA1B85" w:rsidRDefault="00CA1B85" w:rsidP="00CA1B85">
            <w:pPr>
              <w:pStyle w:val="CDITable-RowCentre"/>
            </w:pPr>
            <w:r w:rsidRPr="00CA1B85">
              <w:t>217</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4E8CB0" w14:textId="77777777" w:rsidR="00CA1B85" w:rsidRPr="00CA1B85" w:rsidRDefault="00CA1B85" w:rsidP="00CA1B85">
            <w:pPr>
              <w:pStyle w:val="CDITable-RowCentre"/>
            </w:pPr>
            <w:r w:rsidRPr="00CA1B85">
              <w:t>8.3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F78436A" w14:textId="77777777" w:rsidR="00CA1B85" w:rsidRPr="00CA1B85" w:rsidRDefault="00CA1B85" w:rsidP="00CA1B85">
            <w:pPr>
              <w:pStyle w:val="CDITable-RowCentre"/>
            </w:pPr>
            <w:r w:rsidRPr="00CA1B85">
              <w:t>161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BEE1BF" w14:textId="77777777" w:rsidR="00CA1B85" w:rsidRPr="00CA1B85" w:rsidRDefault="00CA1B85" w:rsidP="00CA1B85">
            <w:pPr>
              <w:pStyle w:val="CDITable-RowCentre"/>
            </w:pPr>
            <w:r w:rsidRPr="00CA1B85">
              <w:t>6.2</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E7249F" w14:textId="77777777" w:rsidR="00CA1B85" w:rsidRPr="00CA1B85" w:rsidRDefault="00CA1B85" w:rsidP="00CA1B85">
            <w:pPr>
              <w:pStyle w:val="CDITable-RowCentre"/>
            </w:pPr>
            <w:r w:rsidRPr="00CA1B85">
              <w:t>29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749F22" w14:textId="77777777" w:rsidR="00CA1B85" w:rsidRPr="00CA1B85" w:rsidRDefault="00CA1B85" w:rsidP="00CA1B85">
            <w:pPr>
              <w:pStyle w:val="CDITable-RowCentre"/>
            </w:pPr>
            <w:r w:rsidRPr="00CA1B85">
              <w:t>1.7</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09BE1C" w14:textId="77777777" w:rsidR="00CA1B85" w:rsidRPr="00CA1B85" w:rsidRDefault="00CA1B85" w:rsidP="00CA1B85">
            <w:pPr>
              <w:pStyle w:val="CDITable-RowCentre"/>
            </w:pPr>
            <w:r w:rsidRPr="00CA1B85">
              <w:t>59</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CEFB15" w14:textId="77777777" w:rsidR="00CA1B85" w:rsidRPr="00CA1B85" w:rsidRDefault="00CA1B85" w:rsidP="00CA1B85">
            <w:pPr>
              <w:pStyle w:val="CDITable-RowCentre"/>
            </w:pPr>
            <w:r w:rsidRPr="00CA1B85">
              <w:t>3.1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E833655" w14:textId="77777777" w:rsidR="00CA1B85" w:rsidRPr="00CA1B85" w:rsidRDefault="00CA1B85" w:rsidP="00CA1B85">
            <w:pPr>
              <w:pStyle w:val="CDITable-RowCentre"/>
            </w:pPr>
            <w:r w:rsidRPr="00CA1B85">
              <w:t>144</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AC855B1" w14:textId="77777777" w:rsidR="00CA1B85" w:rsidRPr="00CA1B85" w:rsidRDefault="00CA1B85" w:rsidP="00CA1B85">
            <w:pPr>
              <w:pStyle w:val="CDITable-RowCentre"/>
            </w:pPr>
            <w:r w:rsidRPr="00CA1B85">
              <w:t>5.8</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8C0FB0" w14:textId="77777777" w:rsidR="00CA1B85" w:rsidRPr="00CA1B85" w:rsidRDefault="00CA1B85" w:rsidP="00CA1B85">
            <w:pPr>
              <w:pStyle w:val="CDITable-RowCentre"/>
            </w:pPr>
            <w:r w:rsidRPr="00CA1B85">
              <w:t>159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42A91C" w14:textId="77777777" w:rsidR="00CA1B85" w:rsidRPr="00CA1B85" w:rsidRDefault="00CA1B85" w:rsidP="00CA1B85">
            <w:pPr>
              <w:pStyle w:val="CDITable-RowCentre"/>
            </w:pPr>
            <w:r w:rsidRPr="00CA1B85">
              <w:t>5.8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5E464E" w14:textId="77777777" w:rsidR="00CA1B85" w:rsidRPr="00CA1B85" w:rsidRDefault="00CA1B85" w:rsidP="00CA1B85">
            <w:pPr>
              <w:pStyle w:val="CDITable-RowCentre"/>
            </w:pPr>
            <w:r w:rsidRPr="00CA1B85">
              <w:t>201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BDB7B" w14:textId="77777777" w:rsidR="00CA1B85" w:rsidRPr="00CA1B85" w:rsidRDefault="00CA1B85" w:rsidP="00CA1B85">
            <w:pPr>
              <w:pStyle w:val="CDITable-RowCentre"/>
            </w:pPr>
            <w:r w:rsidRPr="00CA1B85">
              <w:t>6.2</w:t>
            </w:r>
          </w:p>
        </w:tc>
      </w:tr>
      <w:tr w:rsidR="00CA1B85" w:rsidRPr="00CA1B85" w14:paraId="1E2AEFEC"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DE3515" w14:textId="77777777" w:rsidR="00CA1B85" w:rsidRPr="00CA1B85" w:rsidRDefault="00CA1B85" w:rsidP="00CA1B85">
            <w:pPr>
              <w:pStyle w:val="CDITable-RowLeft"/>
            </w:pPr>
            <w:r w:rsidRPr="00CA1B85">
              <w:t>NT non-remote</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A73ED2"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921D01C"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39A97F"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28597C"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FDB68D"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510427" w14:textId="77777777" w:rsidR="00CA1B85" w:rsidRPr="00CA1B85" w:rsidRDefault="00CA1B85" w:rsidP="00CA1B85">
            <w:pPr>
              <w:pStyle w:val="CDITable-RowCentre"/>
            </w:pPr>
            <w:r w:rsidRPr="00CA1B85">
              <w:t>1.9</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195092"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34A305" w14:textId="77777777" w:rsidR="00CA1B85" w:rsidRPr="00CA1B85" w:rsidRDefault="00CA1B85" w:rsidP="00CA1B85">
            <w:pPr>
              <w:pStyle w:val="CDITable-RowCentre"/>
            </w:pPr>
            <w:r w:rsidRPr="00CA1B85">
              <w:t>1.7</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5EB036" w14:textId="77777777" w:rsidR="00CA1B85" w:rsidRPr="00CA1B85" w:rsidRDefault="00CA1B85" w:rsidP="00CA1B85">
            <w:pPr>
              <w:pStyle w:val="CDITable-RowCentre"/>
            </w:pPr>
            <w:r w:rsidRPr="00CA1B85">
              <w:t>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9AE6B3" w14:textId="77777777" w:rsidR="00CA1B85" w:rsidRPr="00CA1B85" w:rsidRDefault="00CA1B85" w:rsidP="00CA1B85">
            <w:pPr>
              <w:pStyle w:val="CDITable-RowCentre"/>
            </w:pPr>
            <w:r w:rsidRPr="00CA1B85">
              <w:t>1.5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914E1F"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6EE716" w14:textId="77777777" w:rsidR="00CA1B85" w:rsidRPr="00CA1B85" w:rsidRDefault="00CA1B85" w:rsidP="00CA1B85">
            <w:pPr>
              <w:pStyle w:val="CDITable-RowCentre"/>
            </w:pPr>
            <w:r w:rsidRPr="00CA1B85">
              <w:t>1.8</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BA3F913" w14:textId="77777777" w:rsidR="00CA1B85" w:rsidRPr="00CA1B85" w:rsidRDefault="00CA1B85" w:rsidP="00CA1B85">
            <w:pPr>
              <w:pStyle w:val="CDITable-RowCentre"/>
            </w:pPr>
            <w:r w:rsidRPr="00CA1B85">
              <w:t>2</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97560C" w14:textId="77777777" w:rsidR="00CA1B85" w:rsidRPr="00CA1B85" w:rsidRDefault="00CA1B85" w:rsidP="00CA1B85">
            <w:pPr>
              <w:pStyle w:val="CDITable-RowCentre"/>
            </w:pPr>
            <w:r w:rsidRPr="00CA1B85">
              <w:t>3.9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4CCE5D9" w14:textId="77777777" w:rsidR="00CA1B85" w:rsidRPr="00CA1B85" w:rsidRDefault="00CA1B85" w:rsidP="00CA1B85">
            <w:pPr>
              <w:pStyle w:val="CDITable-RowCentre"/>
            </w:pPr>
            <w:r w:rsidRPr="00CA1B85">
              <w:t>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9A875B" w14:textId="77777777" w:rsidR="00CA1B85" w:rsidRPr="00CA1B85" w:rsidRDefault="00CA1B85" w:rsidP="00CA1B85">
            <w:pPr>
              <w:pStyle w:val="CDITable-RowCentre"/>
            </w:pPr>
            <w:r w:rsidRPr="00CA1B85">
              <w:t>2.0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477983"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0D6D0F" w14:textId="77777777" w:rsidR="00CA1B85" w:rsidRPr="00CA1B85" w:rsidRDefault="00CA1B85" w:rsidP="00CA1B85">
            <w:pPr>
              <w:pStyle w:val="CDITable-RowCentre"/>
            </w:pPr>
            <w:r w:rsidRPr="00CA1B85">
              <w:t>1.1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1DA374" w14:textId="77777777" w:rsidR="00CA1B85" w:rsidRPr="00CA1B85" w:rsidRDefault="00CA1B85" w:rsidP="00CA1B85">
            <w:pPr>
              <w:pStyle w:val="CDITable-RowCentre"/>
            </w:pPr>
            <w:r w:rsidRPr="00CA1B85">
              <w:t>4</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146C28" w14:textId="77777777" w:rsidR="00CA1B85" w:rsidRPr="00CA1B85" w:rsidRDefault="00CA1B85" w:rsidP="00CA1B85">
            <w:pPr>
              <w:pStyle w:val="CDITable-RowCentre"/>
            </w:pPr>
            <w:r w:rsidRPr="00CA1B85">
              <w:t>3.8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8644A1" w14:textId="77777777" w:rsidR="00CA1B85" w:rsidRPr="00CA1B85" w:rsidRDefault="00CA1B85" w:rsidP="00CA1B85">
            <w:pPr>
              <w:pStyle w:val="CDITable-RowCentre"/>
            </w:pPr>
            <w:r w:rsidRPr="00CA1B85">
              <w:t>2</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037EFA" w14:textId="77777777" w:rsidR="00CA1B85" w:rsidRPr="00CA1B85" w:rsidRDefault="00CA1B85" w:rsidP="00CA1B85">
            <w:pPr>
              <w:pStyle w:val="CDITable-RowCentre"/>
            </w:pPr>
            <w:r w:rsidRPr="00CA1B85">
              <w:t>2.1</w:t>
            </w:r>
          </w:p>
        </w:tc>
      </w:tr>
      <w:tr w:rsidR="00CA1B85" w:rsidRPr="00CA1B85" w14:paraId="1CC6DE09"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4305ED" w14:textId="77777777" w:rsidR="00CA1B85" w:rsidRPr="00CA1B85" w:rsidRDefault="00CA1B85" w:rsidP="00CA1B85">
            <w:pPr>
              <w:pStyle w:val="CDITable-RowLeft"/>
            </w:pPr>
            <w:r w:rsidRPr="00CA1B85">
              <w:t>NT remote</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474317"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E5BC13"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6CDBE7"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3CECD6"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567EE6"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4EF706"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67873B" w14:textId="77777777" w:rsidR="00CA1B85" w:rsidRPr="00CA1B85" w:rsidRDefault="00CA1B85" w:rsidP="00CA1B85">
            <w:pPr>
              <w:pStyle w:val="CDITable-RowCentre"/>
            </w:pPr>
            <w:r w:rsidRPr="00CA1B85">
              <w:t>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BBD6F3" w14:textId="77777777" w:rsidR="00CA1B85" w:rsidRPr="00CA1B85" w:rsidRDefault="00CA1B85" w:rsidP="00CA1B85">
            <w:pPr>
              <w:pStyle w:val="CDITable-RowCentre"/>
            </w:pPr>
            <w:r w:rsidRPr="00CA1B85">
              <w:t>0.6</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31ED10"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604EE9"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C02126"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C4AD36"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35B495"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5D61F0"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831BAA"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C91CAD"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35E0379"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B7FEA5" w14:textId="77777777" w:rsidR="00CA1B85" w:rsidRPr="00CA1B85" w:rsidRDefault="00CA1B85" w:rsidP="00CA1B85">
            <w:pPr>
              <w:pStyle w:val="CDITable-RowCentre"/>
            </w:pPr>
            <w:r w:rsidRPr="00CA1B85">
              <w:t>0</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B0B093"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72A675" w14:textId="77777777" w:rsidR="00CA1B85" w:rsidRPr="00CA1B85" w:rsidRDefault="00CA1B85" w:rsidP="00CA1B85">
            <w:pPr>
              <w:pStyle w:val="CDITable-RowCentre"/>
            </w:pPr>
            <w:r w:rsidRPr="00CA1B85">
              <w:t>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68B30A" w14:textId="77777777" w:rsidR="00CA1B85" w:rsidRPr="00CA1B85" w:rsidRDefault="00CA1B85" w:rsidP="00CA1B85">
            <w:pPr>
              <w:pStyle w:val="CDITable-RowCentre"/>
            </w:pPr>
            <w:r w:rsidRPr="00CA1B85">
              <w:t>1</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A96CFC" w14:textId="77777777" w:rsidR="00CA1B85" w:rsidRPr="00CA1B85" w:rsidRDefault="00CA1B85" w:rsidP="00CA1B85">
            <w:pPr>
              <w:pStyle w:val="CDITable-RowCentre"/>
            </w:pPr>
            <w:r w:rsidRPr="00CA1B85">
              <w:t>1.3</w:t>
            </w:r>
          </w:p>
        </w:tc>
      </w:tr>
      <w:tr w:rsidR="00CA1B85" w:rsidRPr="00CA1B85" w14:paraId="7EA2223E" w14:textId="77777777" w:rsidTr="00211A71">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440B49F" w14:textId="77777777" w:rsidR="00CA1B85" w:rsidRPr="00CA1B85" w:rsidRDefault="00CA1B85" w:rsidP="00CA1B85">
            <w:pPr>
              <w:pStyle w:val="CDITable-RowLeft"/>
            </w:pPr>
            <w:r w:rsidRPr="00CA1B85">
              <w:t>WA non-remote</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5DF7D4" w14:textId="77777777" w:rsidR="00CA1B85" w:rsidRPr="00CA1B85" w:rsidRDefault="00CA1B85" w:rsidP="00CA1B85">
            <w:pPr>
              <w:pStyle w:val="CDITable-RowCentre"/>
            </w:pPr>
            <w:r w:rsidRPr="00CA1B85">
              <w:t>21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F93F1B" w14:textId="77777777" w:rsidR="00CA1B85" w:rsidRPr="00CA1B85" w:rsidRDefault="00CA1B85" w:rsidP="00CA1B85">
            <w:pPr>
              <w:pStyle w:val="CDITable-RowCentre"/>
            </w:pPr>
            <w:r w:rsidRPr="00CA1B85">
              <w:t>5.3</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0F6C666" w14:textId="77777777" w:rsidR="00CA1B85" w:rsidRPr="00CA1B85" w:rsidRDefault="00CA1B85" w:rsidP="00CA1B85">
            <w:pPr>
              <w:pStyle w:val="CDITable-RowCentre"/>
            </w:pPr>
            <w:r w:rsidRPr="00CA1B85">
              <w:t>15</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261DDA" w14:textId="77777777" w:rsidR="00CA1B85" w:rsidRPr="00CA1B85" w:rsidRDefault="00CA1B85" w:rsidP="00CA1B85">
            <w:pPr>
              <w:pStyle w:val="CDITable-RowCentre"/>
            </w:pPr>
            <w:r w:rsidRPr="00CA1B85">
              <w:t>3.8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F543C7E" w14:textId="77777777" w:rsidR="00CA1B85" w:rsidRPr="00CA1B85" w:rsidRDefault="00CA1B85" w:rsidP="00CA1B85">
            <w:pPr>
              <w:pStyle w:val="CDITable-RowCentre"/>
            </w:pPr>
            <w:r w:rsidRPr="00CA1B85">
              <w:t>51</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A170D5" w14:textId="77777777" w:rsidR="00CA1B85" w:rsidRPr="00CA1B85" w:rsidRDefault="00CA1B85" w:rsidP="00CA1B85">
            <w:pPr>
              <w:pStyle w:val="CDITable-RowCentre"/>
            </w:pPr>
            <w:r w:rsidRPr="00CA1B85">
              <w:t>7.6</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728B06" w14:textId="77777777" w:rsidR="00CA1B85" w:rsidRPr="00CA1B85" w:rsidRDefault="00CA1B85" w:rsidP="00CA1B85">
            <w:pPr>
              <w:pStyle w:val="CDITable-RowCentre"/>
            </w:pPr>
            <w:r w:rsidRPr="00CA1B85">
              <w:t>40</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4C3161" w14:textId="77777777" w:rsidR="00CA1B85" w:rsidRPr="00CA1B85" w:rsidRDefault="00CA1B85" w:rsidP="00CA1B85">
            <w:pPr>
              <w:pStyle w:val="CDITable-RowCentre"/>
            </w:pPr>
            <w:r w:rsidRPr="00CA1B85">
              <w:t>6.4</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40F4C07" w14:textId="77777777" w:rsidR="00CA1B85" w:rsidRPr="00CA1B85" w:rsidRDefault="00CA1B85" w:rsidP="00CA1B85">
            <w:pPr>
              <w:pStyle w:val="CDITable-RowCentre"/>
            </w:pPr>
            <w:r w:rsidRPr="00CA1B85">
              <w:t>16</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E470B4" w14:textId="77777777" w:rsidR="00CA1B85" w:rsidRPr="00CA1B85" w:rsidRDefault="00CA1B85" w:rsidP="00CA1B85">
            <w:pPr>
              <w:pStyle w:val="CDITable-RowCentre"/>
            </w:pPr>
            <w:r w:rsidRPr="00CA1B85">
              <w:t>2.5</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C459CB" w14:textId="77777777" w:rsidR="00CA1B85" w:rsidRPr="00CA1B85" w:rsidRDefault="00CA1B85" w:rsidP="00CA1B85">
            <w:pPr>
              <w:pStyle w:val="CDITable-RowCentre"/>
            </w:pPr>
            <w:r w:rsidRPr="00CA1B85">
              <w:t>12</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B5A79F" w14:textId="77777777" w:rsidR="00CA1B85" w:rsidRPr="00CA1B85" w:rsidRDefault="00CA1B85" w:rsidP="00CA1B85">
            <w:pPr>
              <w:pStyle w:val="CDITable-RowCentre"/>
            </w:pPr>
            <w:r w:rsidRPr="00CA1B85">
              <w:t>1.6</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EC67BC" w14:textId="77777777" w:rsidR="00CA1B85" w:rsidRPr="00CA1B85" w:rsidRDefault="00CA1B85" w:rsidP="00CA1B85">
            <w:pPr>
              <w:pStyle w:val="CDITable-RowCentre"/>
            </w:pPr>
            <w:r w:rsidRPr="00CA1B85">
              <w:t>18</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54837E" w14:textId="77777777" w:rsidR="00CA1B85" w:rsidRPr="00CA1B85" w:rsidRDefault="00CA1B85" w:rsidP="00CA1B85">
            <w:pPr>
              <w:pStyle w:val="CDITable-RowCentre"/>
            </w:pPr>
            <w:r w:rsidRPr="00CA1B85">
              <w:t>2.6</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455DB3" w14:textId="77777777" w:rsidR="00CA1B85" w:rsidRPr="00CA1B85" w:rsidRDefault="00CA1B85" w:rsidP="00CA1B85">
            <w:pPr>
              <w:pStyle w:val="CDITable-RowCentre"/>
            </w:pPr>
            <w:r w:rsidRPr="00CA1B85">
              <w:t>18</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288F91" w14:textId="77777777" w:rsidR="00CA1B85" w:rsidRPr="00CA1B85" w:rsidRDefault="00CA1B85" w:rsidP="00CA1B85">
            <w:pPr>
              <w:pStyle w:val="CDITable-RowCentre"/>
            </w:pPr>
            <w:r w:rsidRPr="00CA1B85">
              <w:t>3.7</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188AF6" w14:textId="77777777" w:rsidR="00CA1B85" w:rsidRPr="00CA1B85" w:rsidRDefault="00CA1B85" w:rsidP="00CA1B85">
            <w:pPr>
              <w:pStyle w:val="CDITable-RowCentre"/>
            </w:pPr>
            <w:r w:rsidRPr="00CA1B85">
              <w:t>16</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997DEAE" w14:textId="77777777" w:rsidR="00CA1B85" w:rsidRPr="00CA1B85" w:rsidRDefault="00CA1B85" w:rsidP="00CA1B85">
            <w:pPr>
              <w:pStyle w:val="CDITable-RowCentre"/>
            </w:pPr>
            <w:r w:rsidRPr="00CA1B85">
              <w:t>3.3</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466E7D" w14:textId="77777777" w:rsidR="00CA1B85" w:rsidRPr="00CA1B85" w:rsidRDefault="00CA1B85" w:rsidP="00CA1B85">
            <w:pPr>
              <w:pStyle w:val="CDITable-RowCentre"/>
            </w:pPr>
            <w:r w:rsidRPr="00CA1B85">
              <w:t>57</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096A82" w14:textId="77777777" w:rsidR="00CA1B85" w:rsidRPr="00CA1B85" w:rsidRDefault="00CA1B85" w:rsidP="00CA1B85">
            <w:pPr>
              <w:pStyle w:val="CDITable-RowCentre"/>
            </w:pPr>
            <w:r w:rsidRPr="00CA1B85">
              <w:t>5.9</w:t>
            </w:r>
          </w:p>
        </w:tc>
        <w:tc>
          <w:tcPr>
            <w:tcW w:w="57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B47C071" w14:textId="77777777" w:rsidR="00CA1B85" w:rsidRPr="00CA1B85" w:rsidRDefault="00CA1B85" w:rsidP="00CA1B85">
            <w:pPr>
              <w:pStyle w:val="CDITable-RowCentre"/>
            </w:pPr>
            <w:r w:rsidRPr="00CA1B85">
              <w:t>62</w:t>
            </w:r>
          </w:p>
        </w:tc>
        <w:tc>
          <w:tcPr>
            <w:tcW w:w="57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AE5FE8" w14:textId="77777777" w:rsidR="00CA1B85" w:rsidRPr="00CA1B85" w:rsidRDefault="00CA1B85" w:rsidP="00CA1B85">
            <w:pPr>
              <w:pStyle w:val="CDITable-RowCentre"/>
            </w:pPr>
            <w:r w:rsidRPr="00CA1B85">
              <w:t>5.8</w:t>
            </w:r>
          </w:p>
        </w:tc>
      </w:tr>
      <w:tr w:rsidR="00CA1B85" w:rsidRPr="00CA1B85" w14:paraId="306B2838" w14:textId="77777777" w:rsidTr="00211A71">
        <w:trPr>
          <w:trHeight w:val="60"/>
        </w:trPr>
        <w:tc>
          <w:tcPr>
            <w:tcW w:w="1701" w:type="dxa"/>
            <w:tcBorders>
              <w:top w:val="single" w:sz="6" w:space="0" w:color="1E4496" w:themeColor="text2"/>
            </w:tcBorders>
            <w:tcMar>
              <w:top w:w="113" w:type="dxa"/>
              <w:left w:w="113" w:type="dxa"/>
              <w:bottom w:w="113" w:type="dxa"/>
              <w:right w:w="113" w:type="dxa"/>
            </w:tcMar>
            <w:vAlign w:val="center"/>
          </w:tcPr>
          <w:p w14:paraId="2D0891FF" w14:textId="77777777" w:rsidR="00CA1B85" w:rsidRPr="00CA1B85" w:rsidRDefault="00CA1B85" w:rsidP="00CA1B85">
            <w:pPr>
              <w:pStyle w:val="CDITable-RowLeft"/>
            </w:pPr>
            <w:r w:rsidRPr="00CA1B85">
              <w:t>WA remote</w:t>
            </w:r>
          </w:p>
        </w:tc>
        <w:tc>
          <w:tcPr>
            <w:tcW w:w="574" w:type="dxa"/>
            <w:tcBorders>
              <w:top w:val="single" w:sz="6" w:space="0" w:color="1E4496" w:themeColor="text2"/>
            </w:tcBorders>
            <w:tcMar>
              <w:top w:w="113" w:type="dxa"/>
              <w:left w:w="113" w:type="dxa"/>
              <w:bottom w:w="113" w:type="dxa"/>
              <w:right w:w="113" w:type="dxa"/>
            </w:tcMar>
            <w:vAlign w:val="center"/>
          </w:tcPr>
          <w:p w14:paraId="3CD5A5A6" w14:textId="77777777" w:rsidR="00CA1B85" w:rsidRPr="00CA1B85" w:rsidRDefault="00CA1B85" w:rsidP="00CA1B85">
            <w:pPr>
              <w:pStyle w:val="CDITable-RowCentre"/>
            </w:pPr>
            <w:r w:rsidRPr="00CA1B85">
              <w:t>0</w:t>
            </w:r>
          </w:p>
        </w:tc>
        <w:tc>
          <w:tcPr>
            <w:tcW w:w="575" w:type="dxa"/>
            <w:tcBorders>
              <w:top w:val="single" w:sz="6" w:space="0" w:color="1E4496" w:themeColor="text2"/>
            </w:tcBorders>
            <w:tcMar>
              <w:top w:w="113" w:type="dxa"/>
              <w:left w:w="113" w:type="dxa"/>
              <w:bottom w:w="113" w:type="dxa"/>
              <w:right w:w="113" w:type="dxa"/>
            </w:tcMar>
            <w:vAlign w:val="center"/>
          </w:tcPr>
          <w:p w14:paraId="6B40AC1E" w14:textId="77777777" w:rsidR="00CA1B85" w:rsidRPr="00CA1B85" w:rsidRDefault="00CA1B85" w:rsidP="00CA1B85">
            <w:pPr>
              <w:pStyle w:val="CDITable-RowCentre"/>
            </w:pPr>
            <w:r w:rsidRPr="00CA1B85">
              <w:t>0</w:t>
            </w:r>
          </w:p>
        </w:tc>
        <w:tc>
          <w:tcPr>
            <w:tcW w:w="575" w:type="dxa"/>
            <w:tcBorders>
              <w:top w:val="single" w:sz="6" w:space="0" w:color="1E4496" w:themeColor="text2"/>
            </w:tcBorders>
            <w:tcMar>
              <w:top w:w="113" w:type="dxa"/>
              <w:left w:w="113" w:type="dxa"/>
              <w:bottom w:w="113" w:type="dxa"/>
              <w:right w:w="113" w:type="dxa"/>
            </w:tcMar>
            <w:vAlign w:val="center"/>
          </w:tcPr>
          <w:p w14:paraId="2B17DA6F" w14:textId="77777777" w:rsidR="00CA1B85" w:rsidRPr="00CA1B85" w:rsidRDefault="00CA1B85" w:rsidP="00CA1B85">
            <w:pPr>
              <w:pStyle w:val="CDITable-RowCentre"/>
            </w:pPr>
            <w:r w:rsidRPr="00CA1B85">
              <w:t>0</w:t>
            </w:r>
          </w:p>
        </w:tc>
        <w:tc>
          <w:tcPr>
            <w:tcW w:w="574" w:type="dxa"/>
            <w:tcBorders>
              <w:top w:val="single" w:sz="6" w:space="0" w:color="1E4496" w:themeColor="text2"/>
            </w:tcBorders>
            <w:tcMar>
              <w:top w:w="113" w:type="dxa"/>
              <w:left w:w="113" w:type="dxa"/>
              <w:bottom w:w="113" w:type="dxa"/>
              <w:right w:w="113" w:type="dxa"/>
            </w:tcMar>
            <w:vAlign w:val="center"/>
          </w:tcPr>
          <w:p w14:paraId="4D239E94" w14:textId="77777777" w:rsidR="00CA1B85" w:rsidRPr="00CA1B85" w:rsidRDefault="00CA1B85" w:rsidP="00CA1B85">
            <w:pPr>
              <w:pStyle w:val="CDITable-RowCentre"/>
            </w:pPr>
            <w:r w:rsidRPr="00CA1B85">
              <w:t>0</w:t>
            </w:r>
          </w:p>
        </w:tc>
        <w:tc>
          <w:tcPr>
            <w:tcW w:w="575" w:type="dxa"/>
            <w:tcBorders>
              <w:top w:val="single" w:sz="6" w:space="0" w:color="1E4496" w:themeColor="text2"/>
            </w:tcBorders>
            <w:tcMar>
              <w:top w:w="113" w:type="dxa"/>
              <w:left w:w="113" w:type="dxa"/>
              <w:bottom w:w="113" w:type="dxa"/>
              <w:right w:w="113" w:type="dxa"/>
            </w:tcMar>
            <w:vAlign w:val="center"/>
          </w:tcPr>
          <w:p w14:paraId="6A876DD4" w14:textId="77777777" w:rsidR="00CA1B85" w:rsidRPr="00CA1B85" w:rsidRDefault="00CA1B85" w:rsidP="00CA1B85">
            <w:pPr>
              <w:pStyle w:val="CDITable-RowCentre"/>
            </w:pPr>
            <w:r w:rsidRPr="00CA1B85">
              <w:t>1</w:t>
            </w:r>
          </w:p>
        </w:tc>
        <w:tc>
          <w:tcPr>
            <w:tcW w:w="575" w:type="dxa"/>
            <w:tcBorders>
              <w:top w:val="single" w:sz="6" w:space="0" w:color="1E4496" w:themeColor="text2"/>
            </w:tcBorders>
            <w:tcMar>
              <w:top w:w="113" w:type="dxa"/>
              <w:left w:w="113" w:type="dxa"/>
              <w:bottom w:w="113" w:type="dxa"/>
              <w:right w:w="113" w:type="dxa"/>
            </w:tcMar>
            <w:vAlign w:val="center"/>
          </w:tcPr>
          <w:p w14:paraId="688D4497" w14:textId="77777777" w:rsidR="00CA1B85" w:rsidRPr="00CA1B85" w:rsidRDefault="00CA1B85" w:rsidP="00CA1B85">
            <w:pPr>
              <w:pStyle w:val="CDITable-RowCentre"/>
            </w:pPr>
            <w:r w:rsidRPr="00CA1B85">
              <w:t>0.8</w:t>
            </w:r>
          </w:p>
        </w:tc>
        <w:tc>
          <w:tcPr>
            <w:tcW w:w="574" w:type="dxa"/>
            <w:tcBorders>
              <w:top w:val="single" w:sz="6" w:space="0" w:color="1E4496" w:themeColor="text2"/>
            </w:tcBorders>
            <w:tcMar>
              <w:top w:w="113" w:type="dxa"/>
              <w:left w:w="113" w:type="dxa"/>
              <w:bottom w:w="113" w:type="dxa"/>
              <w:right w:w="113" w:type="dxa"/>
            </w:tcMar>
            <w:vAlign w:val="center"/>
          </w:tcPr>
          <w:p w14:paraId="0E8D4840" w14:textId="77777777" w:rsidR="00CA1B85" w:rsidRPr="00CA1B85" w:rsidRDefault="00CA1B85" w:rsidP="00CA1B85">
            <w:pPr>
              <w:pStyle w:val="CDITable-RowCentre"/>
            </w:pPr>
            <w:r w:rsidRPr="00CA1B85">
              <w:t>4</w:t>
            </w:r>
          </w:p>
        </w:tc>
        <w:tc>
          <w:tcPr>
            <w:tcW w:w="575" w:type="dxa"/>
            <w:tcBorders>
              <w:top w:val="single" w:sz="6" w:space="0" w:color="1E4496" w:themeColor="text2"/>
            </w:tcBorders>
            <w:tcMar>
              <w:top w:w="113" w:type="dxa"/>
              <w:left w:w="113" w:type="dxa"/>
              <w:bottom w:w="113" w:type="dxa"/>
              <w:right w:w="113" w:type="dxa"/>
            </w:tcMar>
            <w:vAlign w:val="center"/>
          </w:tcPr>
          <w:p w14:paraId="5D19683C" w14:textId="77777777" w:rsidR="00CA1B85" w:rsidRPr="00CA1B85" w:rsidRDefault="00CA1B85" w:rsidP="00CA1B85">
            <w:pPr>
              <w:pStyle w:val="CDITable-RowCentre"/>
            </w:pPr>
            <w:r w:rsidRPr="00CA1B85">
              <w:t>3.4</w:t>
            </w:r>
          </w:p>
        </w:tc>
        <w:tc>
          <w:tcPr>
            <w:tcW w:w="575" w:type="dxa"/>
            <w:tcBorders>
              <w:top w:val="single" w:sz="6" w:space="0" w:color="1E4496" w:themeColor="text2"/>
            </w:tcBorders>
            <w:tcMar>
              <w:top w:w="113" w:type="dxa"/>
              <w:left w:w="113" w:type="dxa"/>
              <w:bottom w:w="113" w:type="dxa"/>
              <w:right w:w="113" w:type="dxa"/>
            </w:tcMar>
            <w:vAlign w:val="center"/>
          </w:tcPr>
          <w:p w14:paraId="32C0AD59" w14:textId="77777777" w:rsidR="00CA1B85" w:rsidRPr="00CA1B85" w:rsidRDefault="00CA1B85" w:rsidP="00CA1B85">
            <w:pPr>
              <w:pStyle w:val="CDITable-RowCentre"/>
            </w:pPr>
            <w:r w:rsidRPr="00CA1B85">
              <w:t>1</w:t>
            </w:r>
          </w:p>
        </w:tc>
        <w:tc>
          <w:tcPr>
            <w:tcW w:w="574" w:type="dxa"/>
            <w:tcBorders>
              <w:top w:val="single" w:sz="6" w:space="0" w:color="1E4496" w:themeColor="text2"/>
            </w:tcBorders>
            <w:tcMar>
              <w:top w:w="113" w:type="dxa"/>
              <w:left w:w="113" w:type="dxa"/>
              <w:bottom w:w="113" w:type="dxa"/>
              <w:right w:w="113" w:type="dxa"/>
            </w:tcMar>
            <w:vAlign w:val="center"/>
          </w:tcPr>
          <w:p w14:paraId="24C70A39" w14:textId="77777777" w:rsidR="00CA1B85" w:rsidRPr="00CA1B85" w:rsidRDefault="00CA1B85" w:rsidP="00CA1B85">
            <w:pPr>
              <w:pStyle w:val="CDITable-RowCentre"/>
            </w:pPr>
            <w:r w:rsidRPr="00CA1B85">
              <w:t>0.9</w:t>
            </w:r>
          </w:p>
        </w:tc>
        <w:tc>
          <w:tcPr>
            <w:tcW w:w="575" w:type="dxa"/>
            <w:tcBorders>
              <w:top w:val="single" w:sz="6" w:space="0" w:color="1E4496" w:themeColor="text2"/>
            </w:tcBorders>
            <w:tcMar>
              <w:top w:w="113" w:type="dxa"/>
              <w:left w:w="113" w:type="dxa"/>
              <w:bottom w:w="113" w:type="dxa"/>
              <w:right w:w="113" w:type="dxa"/>
            </w:tcMar>
            <w:vAlign w:val="center"/>
          </w:tcPr>
          <w:p w14:paraId="02DFECDA" w14:textId="77777777" w:rsidR="00CA1B85" w:rsidRPr="00CA1B85" w:rsidRDefault="00CA1B85" w:rsidP="00CA1B85">
            <w:pPr>
              <w:pStyle w:val="CDITable-RowCentre"/>
            </w:pPr>
            <w:r w:rsidRPr="00CA1B85">
              <w:t>1</w:t>
            </w:r>
          </w:p>
        </w:tc>
        <w:tc>
          <w:tcPr>
            <w:tcW w:w="575" w:type="dxa"/>
            <w:tcBorders>
              <w:top w:val="single" w:sz="6" w:space="0" w:color="1E4496" w:themeColor="text2"/>
            </w:tcBorders>
            <w:tcMar>
              <w:top w:w="113" w:type="dxa"/>
              <w:left w:w="113" w:type="dxa"/>
              <w:bottom w:w="113" w:type="dxa"/>
              <w:right w:w="113" w:type="dxa"/>
            </w:tcMar>
            <w:vAlign w:val="center"/>
          </w:tcPr>
          <w:p w14:paraId="638E06E3" w14:textId="77777777" w:rsidR="00CA1B85" w:rsidRPr="00CA1B85" w:rsidRDefault="00CA1B85" w:rsidP="00CA1B85">
            <w:pPr>
              <w:pStyle w:val="CDITable-RowCentre"/>
            </w:pPr>
            <w:r w:rsidRPr="00CA1B85">
              <w:t>1.2</w:t>
            </w:r>
          </w:p>
        </w:tc>
        <w:tc>
          <w:tcPr>
            <w:tcW w:w="574" w:type="dxa"/>
            <w:tcBorders>
              <w:top w:val="single" w:sz="6" w:space="0" w:color="1E4496" w:themeColor="text2"/>
            </w:tcBorders>
            <w:tcMar>
              <w:top w:w="113" w:type="dxa"/>
              <w:left w:w="113" w:type="dxa"/>
              <w:bottom w:w="113" w:type="dxa"/>
              <w:right w:w="113" w:type="dxa"/>
            </w:tcMar>
            <w:vAlign w:val="center"/>
          </w:tcPr>
          <w:p w14:paraId="5AAB2C4D" w14:textId="77777777" w:rsidR="00CA1B85" w:rsidRPr="00CA1B85" w:rsidRDefault="00CA1B85" w:rsidP="00CA1B85">
            <w:pPr>
              <w:pStyle w:val="CDITable-RowCentre"/>
            </w:pPr>
            <w:r w:rsidRPr="00CA1B85">
              <w:t>1</w:t>
            </w:r>
          </w:p>
        </w:tc>
        <w:tc>
          <w:tcPr>
            <w:tcW w:w="575" w:type="dxa"/>
            <w:tcBorders>
              <w:top w:val="single" w:sz="6" w:space="0" w:color="1E4496" w:themeColor="text2"/>
            </w:tcBorders>
            <w:tcMar>
              <w:top w:w="113" w:type="dxa"/>
              <w:left w:w="113" w:type="dxa"/>
              <w:bottom w:w="113" w:type="dxa"/>
              <w:right w:w="113" w:type="dxa"/>
            </w:tcMar>
            <w:vAlign w:val="center"/>
          </w:tcPr>
          <w:p w14:paraId="73CF5DC9" w14:textId="77777777" w:rsidR="00CA1B85" w:rsidRPr="00CA1B85" w:rsidRDefault="00CA1B85" w:rsidP="00CA1B85">
            <w:pPr>
              <w:pStyle w:val="CDITable-RowCentre"/>
            </w:pPr>
            <w:r w:rsidRPr="00CA1B85">
              <w:t>0.9</w:t>
            </w:r>
          </w:p>
        </w:tc>
        <w:tc>
          <w:tcPr>
            <w:tcW w:w="575" w:type="dxa"/>
            <w:tcBorders>
              <w:top w:val="single" w:sz="6" w:space="0" w:color="1E4496" w:themeColor="text2"/>
            </w:tcBorders>
            <w:tcMar>
              <w:top w:w="113" w:type="dxa"/>
              <w:left w:w="113" w:type="dxa"/>
              <w:bottom w:w="113" w:type="dxa"/>
              <w:right w:w="113" w:type="dxa"/>
            </w:tcMar>
            <w:vAlign w:val="center"/>
          </w:tcPr>
          <w:p w14:paraId="754DE3B9" w14:textId="77777777" w:rsidR="00CA1B85" w:rsidRPr="00CA1B85" w:rsidRDefault="00CA1B85" w:rsidP="00CA1B85">
            <w:pPr>
              <w:pStyle w:val="CDITable-RowCentre"/>
            </w:pPr>
            <w:r w:rsidRPr="00CA1B85">
              <w:t>0</w:t>
            </w:r>
          </w:p>
        </w:tc>
        <w:tc>
          <w:tcPr>
            <w:tcW w:w="574" w:type="dxa"/>
            <w:tcBorders>
              <w:top w:val="single" w:sz="6" w:space="0" w:color="1E4496" w:themeColor="text2"/>
            </w:tcBorders>
            <w:tcMar>
              <w:top w:w="113" w:type="dxa"/>
              <w:left w:w="113" w:type="dxa"/>
              <w:bottom w:w="113" w:type="dxa"/>
              <w:right w:w="113" w:type="dxa"/>
            </w:tcMar>
            <w:vAlign w:val="center"/>
          </w:tcPr>
          <w:p w14:paraId="48262C37" w14:textId="77777777" w:rsidR="00CA1B85" w:rsidRPr="00CA1B85" w:rsidRDefault="00CA1B85" w:rsidP="00CA1B85">
            <w:pPr>
              <w:pStyle w:val="CDITable-RowCentre"/>
            </w:pPr>
            <w:r w:rsidRPr="00CA1B85">
              <w:t>0</w:t>
            </w:r>
          </w:p>
        </w:tc>
        <w:tc>
          <w:tcPr>
            <w:tcW w:w="575" w:type="dxa"/>
            <w:tcBorders>
              <w:top w:val="single" w:sz="6" w:space="0" w:color="1E4496" w:themeColor="text2"/>
            </w:tcBorders>
            <w:tcMar>
              <w:top w:w="113" w:type="dxa"/>
              <w:left w:w="113" w:type="dxa"/>
              <w:bottom w:w="113" w:type="dxa"/>
              <w:right w:w="113" w:type="dxa"/>
            </w:tcMar>
            <w:vAlign w:val="center"/>
          </w:tcPr>
          <w:p w14:paraId="7B7B0521" w14:textId="77777777" w:rsidR="00CA1B85" w:rsidRPr="00CA1B85" w:rsidRDefault="00CA1B85" w:rsidP="00CA1B85">
            <w:pPr>
              <w:pStyle w:val="CDITable-RowCentre"/>
            </w:pPr>
            <w:r w:rsidRPr="00CA1B85">
              <w:t>0</w:t>
            </w:r>
          </w:p>
        </w:tc>
        <w:tc>
          <w:tcPr>
            <w:tcW w:w="575" w:type="dxa"/>
            <w:tcBorders>
              <w:top w:val="single" w:sz="6" w:space="0" w:color="1E4496" w:themeColor="text2"/>
            </w:tcBorders>
            <w:tcMar>
              <w:top w:w="113" w:type="dxa"/>
              <w:left w:w="113" w:type="dxa"/>
              <w:bottom w:w="113" w:type="dxa"/>
              <w:right w:w="113" w:type="dxa"/>
            </w:tcMar>
            <w:vAlign w:val="center"/>
          </w:tcPr>
          <w:p w14:paraId="3980CA4F" w14:textId="77777777" w:rsidR="00CA1B85" w:rsidRPr="00CA1B85" w:rsidRDefault="00CA1B85" w:rsidP="00CA1B85">
            <w:pPr>
              <w:pStyle w:val="CDITable-RowCentre"/>
            </w:pPr>
            <w:r w:rsidRPr="00CA1B85">
              <w:t>0</w:t>
            </w:r>
          </w:p>
        </w:tc>
        <w:tc>
          <w:tcPr>
            <w:tcW w:w="574" w:type="dxa"/>
            <w:tcBorders>
              <w:top w:val="single" w:sz="6" w:space="0" w:color="1E4496" w:themeColor="text2"/>
            </w:tcBorders>
            <w:tcMar>
              <w:top w:w="113" w:type="dxa"/>
              <w:left w:w="113" w:type="dxa"/>
              <w:bottom w:w="113" w:type="dxa"/>
              <w:right w:w="113" w:type="dxa"/>
            </w:tcMar>
            <w:vAlign w:val="center"/>
          </w:tcPr>
          <w:p w14:paraId="1CDE1457" w14:textId="77777777" w:rsidR="00CA1B85" w:rsidRPr="00CA1B85" w:rsidRDefault="00CA1B85" w:rsidP="00CA1B85">
            <w:pPr>
              <w:pStyle w:val="CDITable-RowCentre"/>
            </w:pPr>
            <w:r w:rsidRPr="00CA1B85">
              <w:t>2</w:t>
            </w:r>
          </w:p>
        </w:tc>
        <w:tc>
          <w:tcPr>
            <w:tcW w:w="575" w:type="dxa"/>
            <w:tcBorders>
              <w:top w:val="single" w:sz="6" w:space="0" w:color="1E4496" w:themeColor="text2"/>
            </w:tcBorders>
            <w:tcMar>
              <w:top w:w="113" w:type="dxa"/>
              <w:left w:w="113" w:type="dxa"/>
              <w:bottom w:w="113" w:type="dxa"/>
              <w:right w:w="113" w:type="dxa"/>
            </w:tcMar>
            <w:vAlign w:val="center"/>
          </w:tcPr>
          <w:p w14:paraId="0EBF06B4" w14:textId="77777777" w:rsidR="00CA1B85" w:rsidRPr="00CA1B85" w:rsidRDefault="00CA1B85" w:rsidP="00CA1B85">
            <w:pPr>
              <w:pStyle w:val="CDITable-RowCentre"/>
            </w:pPr>
            <w:r w:rsidRPr="00CA1B85">
              <w:t>3</w:t>
            </w:r>
          </w:p>
        </w:tc>
        <w:tc>
          <w:tcPr>
            <w:tcW w:w="575" w:type="dxa"/>
            <w:tcBorders>
              <w:top w:val="single" w:sz="6" w:space="0" w:color="1E4496" w:themeColor="text2"/>
            </w:tcBorders>
            <w:tcMar>
              <w:top w:w="113" w:type="dxa"/>
              <w:left w:w="113" w:type="dxa"/>
              <w:bottom w:w="113" w:type="dxa"/>
              <w:right w:w="113" w:type="dxa"/>
            </w:tcMar>
            <w:vAlign w:val="center"/>
          </w:tcPr>
          <w:p w14:paraId="5170EA9A" w14:textId="77777777" w:rsidR="00CA1B85" w:rsidRPr="00CA1B85" w:rsidRDefault="00CA1B85" w:rsidP="00CA1B85">
            <w:pPr>
              <w:pStyle w:val="CDITable-RowCentre"/>
            </w:pPr>
            <w:r w:rsidRPr="00CA1B85">
              <w:t>1</w:t>
            </w:r>
          </w:p>
        </w:tc>
        <w:tc>
          <w:tcPr>
            <w:tcW w:w="574" w:type="dxa"/>
            <w:tcBorders>
              <w:top w:val="single" w:sz="6" w:space="0" w:color="1E4496" w:themeColor="text2"/>
            </w:tcBorders>
            <w:tcMar>
              <w:top w:w="113" w:type="dxa"/>
              <w:left w:w="113" w:type="dxa"/>
              <w:bottom w:w="113" w:type="dxa"/>
              <w:right w:w="113" w:type="dxa"/>
            </w:tcMar>
            <w:vAlign w:val="center"/>
          </w:tcPr>
          <w:p w14:paraId="73E4ED29" w14:textId="77777777" w:rsidR="00CA1B85" w:rsidRPr="00CA1B85" w:rsidRDefault="00CA1B85" w:rsidP="00CA1B85">
            <w:pPr>
              <w:pStyle w:val="CDITable-RowCentre"/>
            </w:pPr>
            <w:r w:rsidRPr="00CA1B85">
              <w:t>1.3</w:t>
            </w:r>
          </w:p>
        </w:tc>
      </w:tr>
      <w:tr w:rsidR="00CA1B85" w:rsidRPr="00CA1B85" w14:paraId="6763CC63" w14:textId="77777777" w:rsidTr="00211A71">
        <w:trPr>
          <w:trHeight w:val="60"/>
        </w:trPr>
        <w:tc>
          <w:tcPr>
            <w:tcW w:w="170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9F2BC98" w14:textId="77777777" w:rsidR="00CA1B85" w:rsidRPr="00CA1B85" w:rsidRDefault="00CA1B85" w:rsidP="00CA1B85">
            <w:pPr>
              <w:pStyle w:val="CDITable-TotalRowLeft"/>
            </w:pPr>
            <w:r w:rsidRPr="00CA1B85">
              <w:t>Australia</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039DB4E" w14:textId="77777777" w:rsidR="00CA1B85" w:rsidRPr="00CA1B85" w:rsidRDefault="00CA1B85" w:rsidP="00CA1B85">
            <w:pPr>
              <w:pStyle w:val="CDITable-TotalRowCentre"/>
            </w:pPr>
            <w:r w:rsidRPr="00CA1B85">
              <w:t>119</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69EE8C6" w14:textId="77777777" w:rsidR="00CA1B85" w:rsidRPr="00CA1B85" w:rsidRDefault="00CA1B85" w:rsidP="00CA1B85">
            <w:pPr>
              <w:pStyle w:val="CDITable-TotalRowCentre"/>
            </w:pPr>
            <w:r w:rsidRPr="00CA1B85">
              <w:t>2.5</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954B890" w14:textId="77777777" w:rsidR="00CA1B85" w:rsidRPr="00CA1B85" w:rsidRDefault="00CA1B85" w:rsidP="00CA1B85">
            <w:pPr>
              <w:pStyle w:val="CDITable-TotalRowCentre"/>
            </w:pPr>
            <w:r w:rsidRPr="00CA1B85">
              <w:t>138</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23954D6" w14:textId="77777777" w:rsidR="00CA1B85" w:rsidRPr="00CA1B85" w:rsidRDefault="00CA1B85" w:rsidP="00CA1B85">
            <w:pPr>
              <w:pStyle w:val="CDITable-TotalRowCentre"/>
            </w:pPr>
            <w:r w:rsidRPr="00CA1B85">
              <w:t>2.6</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C787E7F" w14:textId="77777777" w:rsidR="00CA1B85" w:rsidRPr="00CA1B85" w:rsidRDefault="00CA1B85" w:rsidP="00CA1B85">
            <w:pPr>
              <w:pStyle w:val="CDITable-TotalRowCentre"/>
            </w:pPr>
            <w:r w:rsidRPr="00CA1B85">
              <w:t>318</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5997F37" w14:textId="77777777" w:rsidR="00CA1B85" w:rsidRPr="00CA1B85" w:rsidRDefault="00CA1B85" w:rsidP="00CA1B85">
            <w:pPr>
              <w:pStyle w:val="CDITable-TotalRowCentre"/>
            </w:pPr>
            <w:r w:rsidRPr="00CA1B85">
              <w:t>5.0</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CB239D8" w14:textId="77777777" w:rsidR="00CA1B85" w:rsidRPr="00CA1B85" w:rsidRDefault="00CA1B85" w:rsidP="00CA1B85">
            <w:pPr>
              <w:pStyle w:val="CDITable-TotalRowCentre"/>
            </w:pPr>
            <w:r w:rsidRPr="00CA1B85">
              <w:t>726</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C61FDA4" w14:textId="77777777" w:rsidR="00CA1B85" w:rsidRPr="00CA1B85" w:rsidRDefault="00CA1B85" w:rsidP="00CA1B85">
            <w:pPr>
              <w:pStyle w:val="CDITable-TotalRowCentre"/>
            </w:pPr>
            <w:r w:rsidRPr="00CA1B85">
              <w:t>9.3</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64C6541" w14:textId="77777777" w:rsidR="00CA1B85" w:rsidRPr="00CA1B85" w:rsidRDefault="00CA1B85" w:rsidP="00CA1B85">
            <w:pPr>
              <w:pStyle w:val="CDITable-TotalRowCentre"/>
            </w:pPr>
            <w:r w:rsidRPr="00CA1B85">
              <w:t>561</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BD53EF0" w14:textId="77777777" w:rsidR="00CA1B85" w:rsidRPr="00CA1B85" w:rsidRDefault="00CA1B85" w:rsidP="00CA1B85">
            <w:pPr>
              <w:pStyle w:val="CDITable-TotalRowCentre"/>
            </w:pPr>
            <w:r w:rsidRPr="00CA1B85">
              <w:t>6.2</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EDC4C3D" w14:textId="77777777" w:rsidR="00CA1B85" w:rsidRPr="00CA1B85" w:rsidRDefault="00CA1B85" w:rsidP="00CA1B85">
            <w:pPr>
              <w:pStyle w:val="CDITable-TotalRowCentre"/>
            </w:pPr>
            <w:r w:rsidRPr="00CA1B85">
              <w:t>448</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4658BD6" w14:textId="77777777" w:rsidR="00CA1B85" w:rsidRPr="00CA1B85" w:rsidRDefault="00CA1B85" w:rsidP="00CA1B85">
            <w:pPr>
              <w:pStyle w:val="CDITable-TotalRowCentre"/>
            </w:pPr>
            <w:r w:rsidRPr="00CA1B85">
              <w:t>4.6</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6B27C1D" w14:textId="77777777" w:rsidR="00CA1B85" w:rsidRPr="00CA1B85" w:rsidRDefault="00CA1B85" w:rsidP="00CA1B85">
            <w:pPr>
              <w:pStyle w:val="CDITable-TotalRowCentre"/>
            </w:pPr>
            <w:r w:rsidRPr="00CA1B85">
              <w:t>284</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850498B" w14:textId="77777777" w:rsidR="00CA1B85" w:rsidRPr="00CA1B85" w:rsidRDefault="00CA1B85" w:rsidP="00CA1B85">
            <w:pPr>
              <w:pStyle w:val="CDITable-TotalRowCentre"/>
            </w:pPr>
            <w:r w:rsidRPr="00CA1B85">
              <w:t>3.9</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B220747" w14:textId="77777777" w:rsidR="00CA1B85" w:rsidRPr="00CA1B85" w:rsidRDefault="00CA1B85" w:rsidP="00CA1B85">
            <w:pPr>
              <w:pStyle w:val="CDITable-TotalRowCentre"/>
            </w:pPr>
            <w:r w:rsidRPr="00CA1B85">
              <w:t>296</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37E07F5" w14:textId="77777777" w:rsidR="00CA1B85" w:rsidRPr="00CA1B85" w:rsidRDefault="00CA1B85" w:rsidP="00CA1B85">
            <w:pPr>
              <w:pStyle w:val="CDITable-TotalRowCentre"/>
            </w:pPr>
            <w:r w:rsidRPr="00CA1B85">
              <w:t>4.7</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50421B0" w14:textId="77777777" w:rsidR="00CA1B85" w:rsidRPr="00CA1B85" w:rsidRDefault="00CA1B85" w:rsidP="00CA1B85">
            <w:pPr>
              <w:pStyle w:val="CDITable-TotalRowCentre"/>
            </w:pPr>
            <w:r w:rsidRPr="00CA1B85">
              <w:t>317</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A8D350E" w14:textId="77777777" w:rsidR="00CA1B85" w:rsidRPr="00CA1B85" w:rsidRDefault="00CA1B85" w:rsidP="00CA1B85">
            <w:pPr>
              <w:pStyle w:val="CDITable-TotalRowCentre"/>
            </w:pPr>
            <w:r w:rsidRPr="00CA1B85">
              <w:t>3.9</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63924F1" w14:textId="77777777" w:rsidR="00CA1B85" w:rsidRPr="00CA1B85" w:rsidRDefault="00CA1B85" w:rsidP="00CA1B85">
            <w:pPr>
              <w:pStyle w:val="CDITable-TotalRowCentre"/>
            </w:pPr>
            <w:r w:rsidRPr="00CA1B85">
              <w:t>458</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94AF6A2" w14:textId="77777777" w:rsidR="00CA1B85" w:rsidRPr="00CA1B85" w:rsidRDefault="00CA1B85" w:rsidP="00CA1B85">
            <w:pPr>
              <w:pStyle w:val="CDITable-TotalRowCentre"/>
            </w:pPr>
            <w:r w:rsidRPr="00CA1B85">
              <w:t>4.5</w:t>
            </w:r>
          </w:p>
        </w:tc>
        <w:tc>
          <w:tcPr>
            <w:tcW w:w="57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BE490D2" w14:textId="77777777" w:rsidR="00CA1B85" w:rsidRPr="00CA1B85" w:rsidRDefault="00CA1B85" w:rsidP="00CA1B85">
            <w:pPr>
              <w:pStyle w:val="CDITable-TotalRowCentre"/>
            </w:pPr>
            <w:r w:rsidRPr="00CA1B85">
              <w:t>489</w:t>
            </w:r>
          </w:p>
        </w:tc>
        <w:tc>
          <w:tcPr>
            <w:tcW w:w="57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A94BEAC" w14:textId="77777777" w:rsidR="00CA1B85" w:rsidRPr="00CA1B85" w:rsidRDefault="00CA1B85" w:rsidP="00CA1B85">
            <w:pPr>
              <w:pStyle w:val="CDITable-TotalRowCentre"/>
            </w:pPr>
            <w:r w:rsidRPr="00CA1B85">
              <w:t>4.6</w:t>
            </w:r>
          </w:p>
        </w:tc>
      </w:tr>
    </w:tbl>
    <w:p w14:paraId="4BFC84FF" w14:textId="2C8B29A8" w:rsidR="00AF6C73" w:rsidRDefault="00CD252D" w:rsidP="00CD252D">
      <w:pPr>
        <w:pStyle w:val="CDITable-FirstFootnote"/>
        <w:rPr>
          <w:lang w:val="en-GB"/>
        </w:rPr>
      </w:pPr>
      <w:proofErr w:type="gramStart"/>
      <w:r w:rsidRPr="00CD252D">
        <w:rPr>
          <w:lang w:val="en-GB"/>
        </w:rPr>
        <w:t>a</w:t>
      </w:r>
      <w:proofErr w:type="gramEnd"/>
      <w:r w:rsidRPr="00CD252D">
        <w:rPr>
          <w:lang w:val="en-GB"/>
        </w:rPr>
        <w:tab/>
        <w:t>ACT: Australian Capital Territory; NSW: New South Wales; Qld: Queensland; SA: South Australia; Tas.: Tasmania; Vic.: Victoria; NT: Northern Territory; WA: Western Australia.</w:t>
      </w:r>
    </w:p>
    <w:p w14:paraId="71D5614D" w14:textId="77777777" w:rsidR="00AF6C73" w:rsidRDefault="00AF6C73" w:rsidP="00620821">
      <w:pPr>
        <w:rPr>
          <w:lang w:val="en-GB"/>
        </w:rPr>
        <w:sectPr w:rsidR="00AF6C73" w:rsidSect="00AF6C73">
          <w:footnotePr>
            <w:numFmt w:val="lowerRoman"/>
          </w:footnotePr>
          <w:pgSz w:w="16840" w:h="11907" w:orient="landscape" w:code="9"/>
          <w:pgMar w:top="1134" w:right="1134" w:bottom="1134" w:left="1134" w:header="709" w:footer="567" w:gutter="0"/>
          <w:cols w:space="708"/>
          <w:docGrid w:linePitch="360"/>
        </w:sectPr>
      </w:pPr>
    </w:p>
    <w:p w14:paraId="2D045056" w14:textId="7EFC89E5" w:rsidR="00620821" w:rsidRPr="00620821" w:rsidRDefault="00620821" w:rsidP="00AF6C73">
      <w:pPr>
        <w:pStyle w:val="Heading3-nospacebefore"/>
      </w:pPr>
      <w:r w:rsidRPr="00620821">
        <w:lastRenderedPageBreak/>
        <w:t>Penicillin</w:t>
      </w:r>
    </w:p>
    <w:p w14:paraId="198AAF0A" w14:textId="77777777" w:rsidR="00620821" w:rsidRPr="00620821" w:rsidRDefault="00620821" w:rsidP="00620821">
      <w:pPr>
        <w:rPr>
          <w:lang w:val="en-GB"/>
        </w:rPr>
      </w:pPr>
      <w:r w:rsidRPr="00620821">
        <w:rPr>
          <w:lang w:val="en-GB"/>
        </w:rPr>
        <w:t xml:space="preserve">Penicillin resistance results from ß-lactamase production and/or from the aggregation of </w:t>
      </w:r>
      <w:proofErr w:type="gramStart"/>
      <w:r w:rsidRPr="00620821">
        <w:rPr>
          <w:lang w:val="en-GB"/>
        </w:rPr>
        <w:t>chromosomally-controlled</w:t>
      </w:r>
      <w:proofErr w:type="gramEnd"/>
      <w:r w:rsidRPr="00620821">
        <w:rPr>
          <w:lang w:val="en-GB"/>
        </w:rPr>
        <w:t xml:space="preserve"> resistance mechanisms. These are denoted respectively as PPNG and </w:t>
      </w:r>
      <w:proofErr w:type="gramStart"/>
      <w:r w:rsidRPr="00620821">
        <w:rPr>
          <w:lang w:val="en-GB"/>
        </w:rPr>
        <w:t>chromosomally-mediated</w:t>
      </w:r>
      <w:proofErr w:type="gramEnd"/>
      <w:r w:rsidRPr="00620821">
        <w:rPr>
          <w:lang w:val="en-GB"/>
        </w:rPr>
        <w:t xml:space="preserve"> resistance to penicillin (CMRP). In 2024, in Australia, 3,000 isolates (3,000/9,726; 30.8%) were penicillin resistant (Table 3), </w:t>
      </w:r>
      <w:proofErr w:type="gramStart"/>
      <w:r w:rsidRPr="00620821">
        <w:rPr>
          <w:lang w:val="en-GB"/>
        </w:rPr>
        <w:t>similar to</w:t>
      </w:r>
      <w:proofErr w:type="gramEnd"/>
      <w:r w:rsidRPr="00620821">
        <w:rPr>
          <w:lang w:val="en-GB"/>
        </w:rPr>
        <w:t xml:space="preserve"> reports in 2023 (3,102/10,105; 30.7%).</w:t>
      </w:r>
      <w:r w:rsidRPr="00620821">
        <w:rPr>
          <w:vertAlign w:val="superscript"/>
          <w:lang w:val="en-GB"/>
        </w:rPr>
        <w:t>22</w:t>
      </w:r>
      <w:r w:rsidRPr="00620821">
        <w:rPr>
          <w:lang w:val="en-GB"/>
        </w:rPr>
        <w:t xml:space="preserve"> The proportion of penicillin-resistant isolates has fluctuated in the range 22–44% between 2008 and 2023.</w:t>
      </w:r>
      <w:r w:rsidRPr="00620821">
        <w:rPr>
          <w:vertAlign w:val="superscript"/>
          <w:lang w:val="en-GB"/>
        </w:rPr>
        <w:t>18</w:t>
      </w:r>
      <w:r w:rsidRPr="00620821">
        <w:rPr>
          <w:lang w:val="en-GB"/>
        </w:rPr>
        <w:t xml:space="preserve"> In 2024, the penicillin-resistant NG were 82.7% PPNG (2,480/3,000) and 17.3% CMRP (520/3,000). </w:t>
      </w:r>
    </w:p>
    <w:p w14:paraId="7869C428" w14:textId="4891F613" w:rsidR="00620821" w:rsidRPr="00620821" w:rsidRDefault="00620821" w:rsidP="00620821">
      <w:pPr>
        <w:rPr>
          <w:lang w:val="en-GB"/>
        </w:rPr>
      </w:pPr>
      <w:r w:rsidRPr="00620821">
        <w:rPr>
          <w:lang w:val="en-GB"/>
        </w:rPr>
        <w:t>In 2024, there were 173 isolates tested with penicillin from the Northern Territory, with 78 referred from remote areas (Alice Springs, Katherine, Tennant Creek, and Arnhem Land regions) and 95 from Darwin and surrounding urban areas (non-remote). Of the NG isolates from remote areas, 4</w:t>
      </w:r>
      <w:r w:rsidR="00FB14A1">
        <w:rPr>
          <w:lang w:val="en-GB"/>
        </w:rPr>
        <w:t> </w:t>
      </w:r>
      <w:r w:rsidRPr="00620821">
        <w:rPr>
          <w:lang w:val="en-GB"/>
        </w:rPr>
        <w:t xml:space="preserve">were penicillin resistant, PPNG (4/78; 5.1%). In 2024, there were 1,145 isolates tested with penicillin from Western Australia, with 75 referred from remote regions and 1,070 from urban and suburban Perth (non-remote). Penicillin resistance was reported in 19/75 (25%) of remote cases, of which 16 (16/19; 84.2%) were PPNG and three were CMRP. </w:t>
      </w:r>
    </w:p>
    <w:p w14:paraId="0C973536" w14:textId="39431F63" w:rsidR="00620821" w:rsidRPr="00620821" w:rsidRDefault="00620821" w:rsidP="00620821">
      <w:pPr>
        <w:pStyle w:val="Heading3"/>
        <w:rPr>
          <w:lang w:val="en-GB"/>
        </w:rPr>
      </w:pPr>
      <w:r w:rsidRPr="00620821">
        <w:rPr>
          <w:lang w:val="en-GB"/>
        </w:rPr>
        <w:t>Ciprofloxacin</w:t>
      </w:r>
    </w:p>
    <w:p w14:paraId="05FA8C8A" w14:textId="5FFA68A4" w:rsidR="00E925CC" w:rsidRDefault="00620821" w:rsidP="004F4D5E">
      <w:r w:rsidRPr="00620821">
        <w:rPr>
          <w:lang w:val="en-GB"/>
        </w:rPr>
        <w:t>In 2024, ciprofloxacin resistance was reported in 5,595 isolates (57.5%), lower than in 2022 (63.3%)</w:t>
      </w:r>
      <w:r w:rsidRPr="00620821">
        <w:rPr>
          <w:vertAlign w:val="superscript"/>
          <w:lang w:val="en-GB"/>
        </w:rPr>
        <w:t>20</w:t>
      </w:r>
      <w:r w:rsidRPr="00620821">
        <w:rPr>
          <w:lang w:val="en-GB"/>
        </w:rPr>
        <w:t xml:space="preserve"> and 2023 (60.3%) (Table 3).</w:t>
      </w:r>
      <w:r w:rsidRPr="00620821">
        <w:rPr>
          <w:vertAlign w:val="superscript"/>
          <w:lang w:val="en-GB"/>
        </w:rPr>
        <w:t>22</w:t>
      </w:r>
      <w:r w:rsidRPr="00620821">
        <w:rPr>
          <w:lang w:val="en-GB"/>
        </w:rPr>
        <w:t xml:space="preserve"> Ciprofloxacin has not been recommended in Australia as a first-line therapy for gonococcal infections since the late 1990s. As reported by the AGSP, the rate of ciprofloxacin resistance progressively declined in Australia since 2008, from a peak of 71%, before reaching a nadir of 25.6% in 2018.</w:t>
      </w:r>
      <w:r w:rsidRPr="00620821">
        <w:rPr>
          <w:vertAlign w:val="superscript"/>
          <w:lang w:val="en-GB"/>
        </w:rPr>
        <w:t>18</w:t>
      </w:r>
      <w:r w:rsidRPr="00620821">
        <w:rPr>
          <w:lang w:val="en-GB"/>
        </w:rPr>
        <w:t xml:space="preserve"> The increase in ciprofloxacin resistance from 52.9% in 2021 to 63.3% in 2022 can be attributed to an extent to the expansion of the ST-7827 clone, particularly in New South Wales.</w:t>
      </w:r>
      <w:r w:rsidRPr="00620821">
        <w:rPr>
          <w:vertAlign w:val="superscript"/>
          <w:lang w:val="en-GB"/>
        </w:rPr>
        <w:t>23</w:t>
      </w:r>
    </w:p>
    <w:p w14:paraId="29BC02EF" w14:textId="77777777" w:rsidR="00FB14A1" w:rsidRPr="00FB14A1" w:rsidRDefault="00FB14A1" w:rsidP="00FB14A1">
      <w:pPr>
        <w:pStyle w:val="Heading3"/>
        <w:rPr>
          <w:lang w:val="en-GB"/>
        </w:rPr>
      </w:pPr>
      <w:r w:rsidRPr="00FB14A1">
        <w:rPr>
          <w:lang w:val="en-GB"/>
        </w:rPr>
        <w:t>Tetracyclines</w:t>
      </w:r>
    </w:p>
    <w:p w14:paraId="2CC95634" w14:textId="77777777" w:rsidR="00FB14A1" w:rsidRPr="00FB14A1" w:rsidRDefault="00FB14A1" w:rsidP="00FB14A1">
      <w:pPr>
        <w:rPr>
          <w:lang w:val="en-GB"/>
        </w:rPr>
      </w:pPr>
      <w:r w:rsidRPr="00FB14A1">
        <w:rPr>
          <w:lang w:val="en-GB"/>
        </w:rPr>
        <w:t xml:space="preserve">To optimise reporting of tetracycline resistance in NG, from 2018, NNN reference laboratories have performed tetracycline MIC testing where possible. This replaces historical breakpoint testing for high-level tetracycline-resistant </w:t>
      </w:r>
      <w:r w:rsidRPr="00FB14A1">
        <w:rPr>
          <w:i/>
          <w:iCs/>
          <w:lang w:val="en-GB"/>
        </w:rPr>
        <w:t>N. gonorrhoeae</w:t>
      </w:r>
      <w:r w:rsidRPr="00FB14A1">
        <w:rPr>
          <w:lang w:val="en-GB"/>
        </w:rPr>
        <w:t xml:space="preserve"> (TRNG) (MIC ≥ 16 mg/L) reported by the AGSP as an epidemiological marker for plasmid-mediated resistance. Tetracycline resistance is defined as MIC ≥ 2 mg/L. Nationally in 2024, 82.0% of isolates were tested (8,775/10,702); of tested isolates, 35.2% (3,086/8,775) were tetracycline resistant. Tetracycline resistance data are presented by jurisdiction and aggregated for Australia as shown in Table 7. </w:t>
      </w:r>
    </w:p>
    <w:p w14:paraId="42FCD864" w14:textId="77777777" w:rsidR="00FB14A1" w:rsidRPr="00FB14A1" w:rsidRDefault="00FB14A1" w:rsidP="00FB14A1">
      <w:pPr>
        <w:pStyle w:val="Heading3"/>
        <w:rPr>
          <w:lang w:val="en-GB"/>
        </w:rPr>
      </w:pPr>
      <w:r w:rsidRPr="00FB14A1">
        <w:rPr>
          <w:lang w:val="en-GB"/>
        </w:rPr>
        <w:t>Spectinomycin</w:t>
      </w:r>
    </w:p>
    <w:p w14:paraId="79064373" w14:textId="77777777" w:rsidR="00FB14A1" w:rsidRPr="00FB14A1" w:rsidRDefault="00FB14A1" w:rsidP="00FB14A1">
      <w:pPr>
        <w:rPr>
          <w:lang w:val="en-GB"/>
        </w:rPr>
      </w:pPr>
      <w:r w:rsidRPr="00FB14A1">
        <w:rPr>
          <w:lang w:val="en-GB"/>
        </w:rPr>
        <w:t xml:space="preserve">In 2024, all isolates tested (8,138/10,702; 76.0%) were susceptible to spectinomycin. </w:t>
      </w:r>
    </w:p>
    <w:p w14:paraId="00568BCA" w14:textId="77777777" w:rsidR="00FB14A1" w:rsidRPr="00FB14A1" w:rsidRDefault="00FB14A1" w:rsidP="00FB14A1">
      <w:pPr>
        <w:pStyle w:val="Heading3"/>
        <w:rPr>
          <w:lang w:val="en-GB"/>
        </w:rPr>
      </w:pPr>
      <w:r w:rsidRPr="00FB14A1">
        <w:rPr>
          <w:lang w:val="en-GB"/>
        </w:rPr>
        <w:t>Gentamicin</w:t>
      </w:r>
    </w:p>
    <w:p w14:paraId="133D8559" w14:textId="77777777" w:rsidR="00FB14A1" w:rsidRPr="00FB14A1" w:rsidRDefault="00FB14A1" w:rsidP="00FB14A1">
      <w:pPr>
        <w:rPr>
          <w:lang w:val="en-GB"/>
        </w:rPr>
      </w:pPr>
      <w:r w:rsidRPr="00FB14A1">
        <w:rPr>
          <w:lang w:val="en-GB"/>
        </w:rPr>
        <w:t xml:space="preserve">In 2024, gentamicin susceptibility testing data was available for 1,728 isolates from all jurisdictions excepting South Australia. The median MIC value was 4 mg/L; and the range was ≤ 1.0–16 mg/L. There </w:t>
      </w:r>
      <w:proofErr w:type="gramStart"/>
      <w:r w:rsidRPr="00FB14A1">
        <w:rPr>
          <w:lang w:val="en-GB"/>
        </w:rPr>
        <w:t>are</w:t>
      </w:r>
      <w:proofErr w:type="gramEnd"/>
      <w:r w:rsidRPr="00FB14A1">
        <w:rPr>
          <w:lang w:val="en-GB"/>
        </w:rPr>
        <w:t xml:space="preserve"> no gentamicin breakpoints defined for NG. </w:t>
      </w:r>
    </w:p>
    <w:p w14:paraId="3A316D51" w14:textId="4C598151" w:rsidR="00FB14A1" w:rsidRPr="00FB14A1" w:rsidRDefault="00FB14A1" w:rsidP="00FB14A1">
      <w:pPr>
        <w:pStyle w:val="CDITable-Title"/>
        <w:rPr>
          <w:lang w:val="en-GB"/>
        </w:rPr>
      </w:pPr>
      <w:bookmarkStart w:id="32" w:name="_Toc213238238"/>
      <w:r w:rsidRPr="00FB14A1">
        <w:rPr>
          <w:lang w:val="en-GB"/>
        </w:rPr>
        <w:lastRenderedPageBreak/>
        <w:t>Table 7: Number and proportion (%) of gonococcal isolates with resistance to tetracycline (MIC ≥</w:t>
      </w:r>
      <w:r w:rsidR="00D503AF">
        <w:rPr>
          <w:lang w:val="en-GB"/>
        </w:rPr>
        <w:t xml:space="preserve"> </w:t>
      </w:r>
      <w:r w:rsidRPr="00FB14A1">
        <w:rPr>
          <w:lang w:val="en-GB"/>
        </w:rPr>
        <w:t>2 mg/L), Australia, 2024, by state or territory</w:t>
      </w:r>
      <w:bookmarkEnd w:id="32"/>
      <w:r w:rsidRPr="00FB14A1">
        <w:rPr>
          <w:lang w:val="en-GB"/>
        </w:rPr>
        <w:t xml:space="preserve"> </w:t>
      </w:r>
    </w:p>
    <w:tbl>
      <w:tblPr>
        <w:tblW w:w="0" w:type="auto"/>
        <w:tblLayout w:type="fixed"/>
        <w:tblCellMar>
          <w:left w:w="0" w:type="dxa"/>
          <w:right w:w="0" w:type="dxa"/>
        </w:tblCellMar>
        <w:tblLook w:val="0000" w:firstRow="0" w:lastRow="0" w:firstColumn="0" w:lastColumn="0" w:noHBand="0" w:noVBand="0"/>
        <w:tblCaption w:val="Table 7: Number and proportion (%) of gonococcal isolates with resistance to tetracycline (MIC ≥2 mg/L), Australia, 2024, by state or territory "/>
        <w:tblDescription w:val="Table 7 shows the number and proportion as a percentage of gonococcal isolates with resistance to tetracycline (MIC ≥2 mg/L) in 2024 in Australia, by state or territory, where testing was available. The data represents tetracycline resistance (TetR), by mechanisms not limited solely to high level plasmid-mediated resistance."/>
      </w:tblPr>
      <w:tblGrid>
        <w:gridCol w:w="2835"/>
        <w:gridCol w:w="2608"/>
        <w:gridCol w:w="2097"/>
        <w:gridCol w:w="2098"/>
      </w:tblGrid>
      <w:tr w:rsidR="00A40DB9" w:rsidRPr="00A40DB9" w14:paraId="63082354" w14:textId="77777777" w:rsidTr="00CD252D">
        <w:trPr>
          <w:trHeight w:val="60"/>
          <w:tblHeader/>
        </w:trPr>
        <w:tc>
          <w:tcPr>
            <w:tcW w:w="2835" w:type="dxa"/>
            <w:vMerge w:val="restart"/>
            <w:shd w:val="clear" w:color="auto" w:fill="1E4496" w:themeFill="text2"/>
            <w:tcMar>
              <w:top w:w="113" w:type="dxa"/>
              <w:left w:w="113" w:type="dxa"/>
              <w:bottom w:w="113" w:type="dxa"/>
              <w:right w:w="113" w:type="dxa"/>
            </w:tcMar>
            <w:vAlign w:val="bottom"/>
          </w:tcPr>
          <w:p w14:paraId="5C3CDB89" w14:textId="77777777" w:rsidR="00A40DB9" w:rsidRPr="00A40DB9" w:rsidRDefault="00A40DB9" w:rsidP="00CD252D">
            <w:pPr>
              <w:pStyle w:val="CDITable-HeaderRowLeft"/>
            </w:pPr>
            <w:r w:rsidRPr="00A40DB9">
              <w:t>State or territory</w:t>
            </w:r>
          </w:p>
        </w:tc>
        <w:tc>
          <w:tcPr>
            <w:tcW w:w="2608" w:type="dxa"/>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5BEF8DA" w14:textId="77777777" w:rsidR="00A40DB9" w:rsidRPr="00A40DB9" w:rsidRDefault="00A40DB9" w:rsidP="00CD252D">
            <w:pPr>
              <w:pStyle w:val="CDITable-HeaderRowCentre"/>
            </w:pPr>
            <w:r w:rsidRPr="00A40DB9">
              <w:t>Number of isolates tested</w:t>
            </w:r>
          </w:p>
        </w:tc>
        <w:tc>
          <w:tcPr>
            <w:tcW w:w="419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2A5D941F" w14:textId="77777777" w:rsidR="00A40DB9" w:rsidRPr="00A40DB9" w:rsidRDefault="00A40DB9" w:rsidP="00CD252D">
            <w:pPr>
              <w:pStyle w:val="CDITable-HeaderRowCentre"/>
            </w:pPr>
            <w:r w:rsidRPr="00A40DB9">
              <w:t>Tetracycline resistance MIC ≥ 2 mg/L</w:t>
            </w:r>
          </w:p>
        </w:tc>
      </w:tr>
      <w:tr w:rsidR="00A40DB9" w:rsidRPr="00A40DB9" w14:paraId="69965BBE" w14:textId="77777777" w:rsidTr="00CD252D">
        <w:trPr>
          <w:trHeight w:val="60"/>
          <w:tblHeader/>
        </w:trPr>
        <w:tc>
          <w:tcPr>
            <w:tcW w:w="2835" w:type="dxa"/>
            <w:vMerge/>
            <w:shd w:val="clear" w:color="auto" w:fill="1E4496" w:themeFill="text2"/>
          </w:tcPr>
          <w:p w14:paraId="4A4044F3" w14:textId="77777777" w:rsidR="00A40DB9" w:rsidRPr="00A40DB9" w:rsidRDefault="00A40DB9" w:rsidP="00A40DB9"/>
        </w:tc>
        <w:tc>
          <w:tcPr>
            <w:tcW w:w="260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EA20CA6" w14:textId="77777777" w:rsidR="00A40DB9" w:rsidRPr="00A40DB9" w:rsidRDefault="00A40DB9" w:rsidP="00CD252D">
            <w:pPr>
              <w:pStyle w:val="CDITable-HeaderRowCentre"/>
            </w:pPr>
            <w:r w:rsidRPr="00A40DB9">
              <w:t>2024</w:t>
            </w:r>
          </w:p>
        </w:tc>
        <w:tc>
          <w:tcPr>
            <w:tcW w:w="209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9CC0522" w14:textId="77777777" w:rsidR="00A40DB9" w:rsidRPr="00A40DB9" w:rsidRDefault="00A40DB9" w:rsidP="00CD252D">
            <w:pPr>
              <w:pStyle w:val="CDITable-HeaderRowCentre"/>
            </w:pPr>
            <w:r w:rsidRPr="00A40DB9">
              <w:t>n</w:t>
            </w:r>
          </w:p>
        </w:tc>
        <w:tc>
          <w:tcPr>
            <w:tcW w:w="209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32EDD879" w14:textId="77777777" w:rsidR="00A40DB9" w:rsidRPr="00A40DB9" w:rsidRDefault="00A40DB9" w:rsidP="00CD252D">
            <w:pPr>
              <w:pStyle w:val="CDITable-HeaderRowCentre"/>
            </w:pPr>
            <w:r w:rsidRPr="00A40DB9">
              <w:t>%</w:t>
            </w:r>
          </w:p>
        </w:tc>
      </w:tr>
      <w:tr w:rsidR="00A40DB9" w:rsidRPr="00A40DB9" w14:paraId="531FF3C4" w14:textId="77777777" w:rsidTr="00CD252D">
        <w:trPr>
          <w:trHeight w:val="60"/>
        </w:trPr>
        <w:tc>
          <w:tcPr>
            <w:tcW w:w="2835" w:type="dxa"/>
            <w:tcBorders>
              <w:bottom w:val="single" w:sz="6" w:space="0" w:color="1E4496" w:themeColor="text2"/>
            </w:tcBorders>
            <w:tcMar>
              <w:top w:w="113" w:type="dxa"/>
              <w:left w:w="113" w:type="dxa"/>
              <w:bottom w:w="113" w:type="dxa"/>
              <w:right w:w="113" w:type="dxa"/>
            </w:tcMar>
            <w:vAlign w:val="center"/>
          </w:tcPr>
          <w:p w14:paraId="484A744B" w14:textId="77777777" w:rsidR="00A40DB9" w:rsidRPr="00A40DB9" w:rsidRDefault="00A40DB9" w:rsidP="00CD252D">
            <w:pPr>
              <w:pStyle w:val="CDITable-RowLeft"/>
            </w:pPr>
            <w:r w:rsidRPr="00A40DB9">
              <w:t>Australian Capital Territory</w:t>
            </w:r>
          </w:p>
        </w:tc>
        <w:tc>
          <w:tcPr>
            <w:tcW w:w="2608" w:type="dxa"/>
            <w:tcBorders>
              <w:bottom w:val="single" w:sz="6" w:space="0" w:color="1E4496" w:themeColor="text2"/>
            </w:tcBorders>
            <w:tcMar>
              <w:top w:w="113" w:type="dxa"/>
              <w:left w:w="113" w:type="dxa"/>
              <w:bottom w:w="113" w:type="dxa"/>
              <w:right w:w="113" w:type="dxa"/>
            </w:tcMar>
            <w:vAlign w:val="center"/>
          </w:tcPr>
          <w:p w14:paraId="6B5C4D24" w14:textId="77777777" w:rsidR="00A40DB9" w:rsidRPr="00A40DB9" w:rsidRDefault="00A40DB9" w:rsidP="00CD252D">
            <w:pPr>
              <w:pStyle w:val="CDITable-RowCentre"/>
            </w:pPr>
            <w:r w:rsidRPr="00A40DB9">
              <w:t>240</w:t>
            </w:r>
          </w:p>
        </w:tc>
        <w:tc>
          <w:tcPr>
            <w:tcW w:w="2097" w:type="dxa"/>
            <w:tcBorders>
              <w:bottom w:val="single" w:sz="6" w:space="0" w:color="1E4496" w:themeColor="text2"/>
            </w:tcBorders>
            <w:tcMar>
              <w:top w:w="113" w:type="dxa"/>
              <w:left w:w="113" w:type="dxa"/>
              <w:bottom w:w="113" w:type="dxa"/>
              <w:right w:w="113" w:type="dxa"/>
            </w:tcMar>
            <w:vAlign w:val="center"/>
          </w:tcPr>
          <w:p w14:paraId="4F084D7F" w14:textId="77777777" w:rsidR="00A40DB9" w:rsidRPr="00A40DB9" w:rsidRDefault="00A40DB9" w:rsidP="00CD252D">
            <w:pPr>
              <w:pStyle w:val="CDITable-RowCentre"/>
            </w:pPr>
            <w:r w:rsidRPr="00A40DB9">
              <w:t>54</w:t>
            </w:r>
          </w:p>
        </w:tc>
        <w:tc>
          <w:tcPr>
            <w:tcW w:w="2098" w:type="dxa"/>
            <w:tcBorders>
              <w:bottom w:val="single" w:sz="6" w:space="0" w:color="1E4496" w:themeColor="text2"/>
            </w:tcBorders>
            <w:tcMar>
              <w:top w:w="113" w:type="dxa"/>
              <w:left w:w="113" w:type="dxa"/>
              <w:bottom w:w="113" w:type="dxa"/>
              <w:right w:w="113" w:type="dxa"/>
            </w:tcMar>
            <w:vAlign w:val="center"/>
          </w:tcPr>
          <w:p w14:paraId="0C91DEE0" w14:textId="77777777" w:rsidR="00A40DB9" w:rsidRPr="00A40DB9" w:rsidRDefault="00A40DB9" w:rsidP="00CD252D">
            <w:pPr>
              <w:pStyle w:val="CDITable-RowCentre"/>
            </w:pPr>
            <w:r w:rsidRPr="00A40DB9">
              <w:t>22.5%</w:t>
            </w:r>
          </w:p>
        </w:tc>
      </w:tr>
      <w:tr w:rsidR="00A40DB9" w:rsidRPr="00A40DB9" w14:paraId="641592B1"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D78F7B" w14:textId="77777777" w:rsidR="00A40DB9" w:rsidRPr="00A40DB9" w:rsidRDefault="00A40DB9" w:rsidP="00CD252D">
            <w:pPr>
              <w:pStyle w:val="CDITable-RowLeft"/>
            </w:pPr>
            <w:r w:rsidRPr="00A40DB9">
              <w:t>New South Wales</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7A81D06" w14:textId="77777777" w:rsidR="00A40DB9" w:rsidRPr="00A40DB9" w:rsidRDefault="00A40DB9" w:rsidP="00CD252D">
            <w:pPr>
              <w:pStyle w:val="CDITable-RowCentre"/>
            </w:pPr>
            <w:r w:rsidRPr="00A40DB9">
              <w:t>2,536</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6E69FD" w14:textId="77777777" w:rsidR="00A40DB9" w:rsidRPr="00A40DB9" w:rsidRDefault="00A40DB9" w:rsidP="00CD252D">
            <w:pPr>
              <w:pStyle w:val="CDITable-RowCentre"/>
            </w:pPr>
            <w:r w:rsidRPr="00A40DB9">
              <w:t>800</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E4DD96" w14:textId="77777777" w:rsidR="00A40DB9" w:rsidRPr="00A40DB9" w:rsidRDefault="00A40DB9" w:rsidP="00CD252D">
            <w:pPr>
              <w:pStyle w:val="CDITable-RowCentre"/>
            </w:pPr>
            <w:r w:rsidRPr="00A40DB9">
              <w:t>31.5%</w:t>
            </w:r>
          </w:p>
        </w:tc>
      </w:tr>
      <w:tr w:rsidR="00A40DB9" w:rsidRPr="00A40DB9" w14:paraId="40F5EBFC"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A969EB" w14:textId="77777777" w:rsidR="00A40DB9" w:rsidRPr="00A40DB9" w:rsidRDefault="00A40DB9" w:rsidP="00CD252D">
            <w:pPr>
              <w:pStyle w:val="CDITable-RowLeft"/>
            </w:pPr>
            <w:r w:rsidRPr="00A40DB9">
              <w:t>Queensland</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0511923" w14:textId="77777777" w:rsidR="00A40DB9" w:rsidRPr="00A40DB9" w:rsidRDefault="00A40DB9" w:rsidP="00CD252D">
            <w:pPr>
              <w:pStyle w:val="CDITable-RowCentre"/>
            </w:pPr>
            <w:r w:rsidRPr="00A40DB9">
              <w:t>1,429</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3E3979" w14:textId="77777777" w:rsidR="00A40DB9" w:rsidRPr="00A40DB9" w:rsidRDefault="00A40DB9" w:rsidP="00CD252D">
            <w:pPr>
              <w:pStyle w:val="CDITable-RowCentre"/>
            </w:pPr>
            <w:r w:rsidRPr="00A40DB9">
              <w:t>491</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2F7DB2" w14:textId="77777777" w:rsidR="00A40DB9" w:rsidRPr="00A40DB9" w:rsidRDefault="00A40DB9" w:rsidP="00CD252D">
            <w:pPr>
              <w:pStyle w:val="CDITable-RowCentre"/>
            </w:pPr>
            <w:r w:rsidRPr="00A40DB9">
              <w:t>34.4%</w:t>
            </w:r>
          </w:p>
        </w:tc>
      </w:tr>
      <w:tr w:rsidR="00A40DB9" w:rsidRPr="00A40DB9" w14:paraId="4FB7691C"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56AF69E" w14:textId="77777777" w:rsidR="00A40DB9" w:rsidRPr="00A40DB9" w:rsidRDefault="00A40DB9" w:rsidP="00CD252D">
            <w:pPr>
              <w:pStyle w:val="CDITable-RowLeft"/>
            </w:pPr>
            <w:r w:rsidRPr="00A40DB9">
              <w:t>South Australia</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83DD98" w14:textId="77777777" w:rsidR="00A40DB9" w:rsidRPr="00A40DB9" w:rsidRDefault="00A40DB9" w:rsidP="00CD252D">
            <w:pPr>
              <w:pStyle w:val="CDITable-RowCentre"/>
            </w:pPr>
            <w:r w:rsidRPr="00A40DB9">
              <w:t>3</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4D8F406" w14:textId="77777777" w:rsidR="00A40DB9" w:rsidRPr="00A40DB9" w:rsidRDefault="00A40DB9" w:rsidP="00CD252D">
            <w:pPr>
              <w:pStyle w:val="CDITable-RowCentre"/>
            </w:pPr>
            <w:r w:rsidRPr="00A40DB9">
              <w:t>0</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1661EC" w14:textId="77777777" w:rsidR="00A40DB9" w:rsidRPr="00A40DB9" w:rsidRDefault="00A40DB9" w:rsidP="00CD252D">
            <w:pPr>
              <w:pStyle w:val="CDITable-RowCentre"/>
            </w:pPr>
            <w:r w:rsidRPr="00A40DB9">
              <w:t>0%</w:t>
            </w:r>
          </w:p>
        </w:tc>
      </w:tr>
      <w:tr w:rsidR="00A40DB9" w:rsidRPr="00A40DB9" w14:paraId="2D9AD869"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4830DC" w14:textId="77777777" w:rsidR="00A40DB9" w:rsidRPr="00A40DB9" w:rsidRDefault="00A40DB9" w:rsidP="00CD252D">
            <w:pPr>
              <w:pStyle w:val="CDITable-RowLeft"/>
            </w:pPr>
            <w:r w:rsidRPr="00A40DB9">
              <w:t>Tasmania</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E875205" w14:textId="77777777" w:rsidR="00A40DB9" w:rsidRPr="00A40DB9" w:rsidRDefault="00A40DB9" w:rsidP="00CD252D">
            <w:pPr>
              <w:pStyle w:val="CDITable-RowCentre"/>
            </w:pPr>
            <w:r w:rsidRPr="00A40DB9">
              <w:t>88</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8626B73" w14:textId="77777777" w:rsidR="00A40DB9" w:rsidRPr="00A40DB9" w:rsidRDefault="00A40DB9" w:rsidP="00CD252D">
            <w:pPr>
              <w:pStyle w:val="CDITable-RowCentre"/>
            </w:pPr>
            <w:r w:rsidRPr="00A40DB9">
              <w:t>34</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C0E841" w14:textId="77777777" w:rsidR="00A40DB9" w:rsidRPr="00A40DB9" w:rsidRDefault="00A40DB9" w:rsidP="00CD252D">
            <w:pPr>
              <w:pStyle w:val="CDITable-RowCentre"/>
            </w:pPr>
            <w:r w:rsidRPr="00A40DB9">
              <w:t>38.6%</w:t>
            </w:r>
          </w:p>
        </w:tc>
      </w:tr>
      <w:tr w:rsidR="00A40DB9" w:rsidRPr="00A40DB9" w14:paraId="112731EF"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86D02F9" w14:textId="77777777" w:rsidR="00A40DB9" w:rsidRPr="00A40DB9" w:rsidRDefault="00A40DB9" w:rsidP="00CD252D">
            <w:pPr>
              <w:pStyle w:val="CDITable-RowLeft"/>
            </w:pPr>
            <w:r w:rsidRPr="00A40DB9">
              <w:t>Victoria</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17C13A" w14:textId="77777777" w:rsidR="00A40DB9" w:rsidRPr="00A40DB9" w:rsidRDefault="00A40DB9" w:rsidP="00CD252D">
            <w:pPr>
              <w:pStyle w:val="CDITable-RowCentre"/>
            </w:pPr>
            <w:r w:rsidRPr="00A40DB9">
              <w:t>3,173</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5CC5CF" w14:textId="77777777" w:rsidR="00A40DB9" w:rsidRPr="00A40DB9" w:rsidRDefault="00A40DB9" w:rsidP="00CD252D">
            <w:pPr>
              <w:pStyle w:val="CDITable-RowCentre"/>
            </w:pPr>
            <w:r w:rsidRPr="00A40DB9">
              <w:t>1,389</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1D53DD" w14:textId="77777777" w:rsidR="00A40DB9" w:rsidRPr="00A40DB9" w:rsidRDefault="00A40DB9" w:rsidP="00CD252D">
            <w:pPr>
              <w:pStyle w:val="CDITable-RowCentre"/>
            </w:pPr>
            <w:r w:rsidRPr="00A40DB9">
              <w:t>43.8%</w:t>
            </w:r>
          </w:p>
        </w:tc>
      </w:tr>
      <w:tr w:rsidR="00A40DB9" w:rsidRPr="00A40DB9" w14:paraId="3D72DF26"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B35FD6" w14:textId="77777777" w:rsidR="00A40DB9" w:rsidRPr="00A40DB9" w:rsidRDefault="00A40DB9" w:rsidP="00CD252D">
            <w:pPr>
              <w:pStyle w:val="CDITable-RowLeft"/>
            </w:pPr>
            <w:r w:rsidRPr="00A40DB9">
              <w:t>Northern Territory non-remote</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7706F8F" w14:textId="77777777" w:rsidR="00A40DB9" w:rsidRPr="00A40DB9" w:rsidRDefault="00A40DB9" w:rsidP="00CD252D">
            <w:pPr>
              <w:pStyle w:val="CDITable-RowCentre"/>
            </w:pPr>
            <w:r w:rsidRPr="00A40DB9">
              <w:t>85</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47A1F" w14:textId="77777777" w:rsidR="00A40DB9" w:rsidRPr="00A40DB9" w:rsidRDefault="00A40DB9" w:rsidP="00CD252D">
            <w:pPr>
              <w:pStyle w:val="CDITable-RowCentre"/>
            </w:pPr>
            <w:r w:rsidRPr="00A40DB9">
              <w:t>14</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7DC171" w14:textId="77777777" w:rsidR="00A40DB9" w:rsidRPr="00A40DB9" w:rsidRDefault="00A40DB9" w:rsidP="00CD252D">
            <w:pPr>
              <w:pStyle w:val="CDITable-RowCentre"/>
            </w:pPr>
            <w:r w:rsidRPr="00A40DB9">
              <w:t>16.5%</w:t>
            </w:r>
          </w:p>
        </w:tc>
      </w:tr>
      <w:tr w:rsidR="00A40DB9" w:rsidRPr="00A40DB9" w14:paraId="40D91D65"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E77923" w14:textId="77777777" w:rsidR="00A40DB9" w:rsidRPr="00A40DB9" w:rsidRDefault="00A40DB9" w:rsidP="00CD252D">
            <w:pPr>
              <w:pStyle w:val="CDITable-RowLeft"/>
            </w:pPr>
            <w:r w:rsidRPr="00A40DB9">
              <w:t>Northern Territory remote</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1F26BB" w14:textId="77777777" w:rsidR="00A40DB9" w:rsidRPr="00A40DB9" w:rsidRDefault="00A40DB9" w:rsidP="00CD252D">
            <w:pPr>
              <w:pStyle w:val="CDITable-RowCentre"/>
            </w:pPr>
            <w:r w:rsidRPr="00A40DB9">
              <w:t>76</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1DA6E1" w14:textId="77777777" w:rsidR="00A40DB9" w:rsidRPr="00A40DB9" w:rsidRDefault="00A40DB9" w:rsidP="00CD252D">
            <w:pPr>
              <w:pStyle w:val="CDITable-RowCentre"/>
            </w:pPr>
            <w:r w:rsidRPr="00A40DB9">
              <w:t>2</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97E280" w14:textId="77777777" w:rsidR="00A40DB9" w:rsidRPr="00A40DB9" w:rsidRDefault="00A40DB9" w:rsidP="00CD252D">
            <w:pPr>
              <w:pStyle w:val="CDITable-RowCentre"/>
            </w:pPr>
            <w:r w:rsidRPr="00A40DB9">
              <w:t>2.6%</w:t>
            </w:r>
          </w:p>
        </w:tc>
      </w:tr>
      <w:tr w:rsidR="00A40DB9" w:rsidRPr="00A40DB9" w14:paraId="1F632377" w14:textId="77777777" w:rsidTr="00CD252D">
        <w:trPr>
          <w:trHeight w:val="60"/>
        </w:trPr>
        <w:tc>
          <w:tcPr>
            <w:tcW w:w="283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497DD0" w14:textId="77777777" w:rsidR="00A40DB9" w:rsidRPr="00A40DB9" w:rsidRDefault="00A40DB9" w:rsidP="00CD252D">
            <w:pPr>
              <w:pStyle w:val="CDITable-RowLeft"/>
            </w:pPr>
            <w:r w:rsidRPr="00A40DB9">
              <w:t>Western Australia non-remote</w:t>
            </w:r>
          </w:p>
        </w:tc>
        <w:tc>
          <w:tcPr>
            <w:tcW w:w="260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26C7165" w14:textId="77777777" w:rsidR="00A40DB9" w:rsidRPr="00A40DB9" w:rsidRDefault="00A40DB9" w:rsidP="00CD252D">
            <w:pPr>
              <w:pStyle w:val="CDITable-RowCentre"/>
            </w:pPr>
            <w:r w:rsidRPr="00A40DB9">
              <w:t>1,070</w:t>
            </w:r>
          </w:p>
        </w:tc>
        <w:tc>
          <w:tcPr>
            <w:tcW w:w="209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4731EB" w14:textId="77777777" w:rsidR="00A40DB9" w:rsidRPr="00A40DB9" w:rsidRDefault="00A40DB9" w:rsidP="00CD252D">
            <w:pPr>
              <w:pStyle w:val="CDITable-RowCentre"/>
            </w:pPr>
            <w:r w:rsidRPr="00A40DB9">
              <w:t>288</w:t>
            </w:r>
          </w:p>
        </w:tc>
        <w:tc>
          <w:tcPr>
            <w:tcW w:w="209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752D285" w14:textId="77777777" w:rsidR="00A40DB9" w:rsidRPr="00A40DB9" w:rsidRDefault="00A40DB9" w:rsidP="00CD252D">
            <w:pPr>
              <w:pStyle w:val="CDITable-RowCentre"/>
            </w:pPr>
            <w:r w:rsidRPr="00A40DB9">
              <w:t>26.9%</w:t>
            </w:r>
          </w:p>
        </w:tc>
      </w:tr>
      <w:tr w:rsidR="00A40DB9" w:rsidRPr="00A40DB9" w14:paraId="00E2634C" w14:textId="77777777" w:rsidTr="00CD252D">
        <w:trPr>
          <w:trHeight w:val="60"/>
        </w:trPr>
        <w:tc>
          <w:tcPr>
            <w:tcW w:w="2835" w:type="dxa"/>
            <w:tcBorders>
              <w:top w:val="single" w:sz="6" w:space="0" w:color="1E4496" w:themeColor="text2"/>
            </w:tcBorders>
            <w:tcMar>
              <w:top w:w="113" w:type="dxa"/>
              <w:left w:w="113" w:type="dxa"/>
              <w:bottom w:w="113" w:type="dxa"/>
              <w:right w:w="113" w:type="dxa"/>
            </w:tcMar>
            <w:vAlign w:val="center"/>
          </w:tcPr>
          <w:p w14:paraId="39545C54" w14:textId="77777777" w:rsidR="00A40DB9" w:rsidRPr="00A40DB9" w:rsidRDefault="00A40DB9" w:rsidP="00CD252D">
            <w:pPr>
              <w:pStyle w:val="CDITable-RowLeft"/>
            </w:pPr>
            <w:r w:rsidRPr="00A40DB9">
              <w:t>Western Australia remote</w:t>
            </w:r>
          </w:p>
        </w:tc>
        <w:tc>
          <w:tcPr>
            <w:tcW w:w="2608" w:type="dxa"/>
            <w:tcBorders>
              <w:top w:val="single" w:sz="6" w:space="0" w:color="1E4496" w:themeColor="text2"/>
            </w:tcBorders>
            <w:tcMar>
              <w:top w:w="113" w:type="dxa"/>
              <w:left w:w="113" w:type="dxa"/>
              <w:bottom w:w="113" w:type="dxa"/>
              <w:right w:w="113" w:type="dxa"/>
            </w:tcMar>
            <w:vAlign w:val="center"/>
          </w:tcPr>
          <w:p w14:paraId="7466E305" w14:textId="77777777" w:rsidR="00A40DB9" w:rsidRPr="00A40DB9" w:rsidRDefault="00A40DB9" w:rsidP="00CD252D">
            <w:pPr>
              <w:pStyle w:val="CDITable-RowCentre"/>
            </w:pPr>
            <w:r w:rsidRPr="00A40DB9">
              <w:t>75</w:t>
            </w:r>
          </w:p>
        </w:tc>
        <w:tc>
          <w:tcPr>
            <w:tcW w:w="2097" w:type="dxa"/>
            <w:tcBorders>
              <w:top w:val="single" w:sz="6" w:space="0" w:color="1E4496" w:themeColor="text2"/>
            </w:tcBorders>
            <w:tcMar>
              <w:top w:w="113" w:type="dxa"/>
              <w:left w:w="113" w:type="dxa"/>
              <w:bottom w:w="113" w:type="dxa"/>
              <w:right w:w="113" w:type="dxa"/>
            </w:tcMar>
            <w:vAlign w:val="center"/>
          </w:tcPr>
          <w:p w14:paraId="2A203539" w14:textId="77777777" w:rsidR="00A40DB9" w:rsidRPr="00A40DB9" w:rsidRDefault="00A40DB9" w:rsidP="00CD252D">
            <w:pPr>
              <w:pStyle w:val="CDITable-RowCentre"/>
            </w:pPr>
            <w:r w:rsidRPr="00A40DB9">
              <w:t>14</w:t>
            </w:r>
          </w:p>
        </w:tc>
        <w:tc>
          <w:tcPr>
            <w:tcW w:w="2098" w:type="dxa"/>
            <w:tcBorders>
              <w:top w:val="single" w:sz="6" w:space="0" w:color="1E4496" w:themeColor="text2"/>
            </w:tcBorders>
            <w:tcMar>
              <w:top w:w="113" w:type="dxa"/>
              <w:left w:w="113" w:type="dxa"/>
              <w:bottom w:w="113" w:type="dxa"/>
              <w:right w:w="113" w:type="dxa"/>
            </w:tcMar>
            <w:vAlign w:val="center"/>
          </w:tcPr>
          <w:p w14:paraId="30A68FAB" w14:textId="77777777" w:rsidR="00A40DB9" w:rsidRPr="00A40DB9" w:rsidRDefault="00A40DB9" w:rsidP="00CD252D">
            <w:pPr>
              <w:pStyle w:val="CDITable-RowCentre"/>
            </w:pPr>
            <w:r w:rsidRPr="00A40DB9">
              <w:t>18.7%</w:t>
            </w:r>
          </w:p>
        </w:tc>
      </w:tr>
      <w:tr w:rsidR="00A40DB9" w:rsidRPr="00A40DB9" w14:paraId="1FE5B41F" w14:textId="77777777" w:rsidTr="00CD252D">
        <w:trPr>
          <w:trHeight w:val="60"/>
        </w:trPr>
        <w:tc>
          <w:tcPr>
            <w:tcW w:w="2835"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8081BBA" w14:textId="77777777" w:rsidR="00A40DB9" w:rsidRPr="00A40DB9" w:rsidRDefault="00A40DB9" w:rsidP="00CD252D">
            <w:pPr>
              <w:pStyle w:val="CDITable-TotalRowLeft"/>
            </w:pPr>
            <w:r w:rsidRPr="00A40DB9">
              <w:t>Australia</w:t>
            </w:r>
          </w:p>
        </w:tc>
        <w:tc>
          <w:tcPr>
            <w:tcW w:w="260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A1C5C21" w14:textId="77777777" w:rsidR="00A40DB9" w:rsidRPr="00A40DB9" w:rsidRDefault="00A40DB9" w:rsidP="00CD252D">
            <w:pPr>
              <w:pStyle w:val="CDITable-TotalRowCentre"/>
            </w:pPr>
            <w:r w:rsidRPr="00A40DB9">
              <w:t>8,775</w:t>
            </w:r>
          </w:p>
        </w:tc>
        <w:tc>
          <w:tcPr>
            <w:tcW w:w="209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D072DBF" w14:textId="77777777" w:rsidR="00A40DB9" w:rsidRPr="00A40DB9" w:rsidRDefault="00A40DB9" w:rsidP="00CD252D">
            <w:pPr>
              <w:pStyle w:val="CDITable-TotalRowCentre"/>
            </w:pPr>
            <w:r w:rsidRPr="00A40DB9">
              <w:t>3,086</w:t>
            </w:r>
          </w:p>
        </w:tc>
        <w:tc>
          <w:tcPr>
            <w:tcW w:w="209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772F31F" w14:textId="77777777" w:rsidR="00A40DB9" w:rsidRPr="00A40DB9" w:rsidRDefault="00A40DB9" w:rsidP="00CD252D">
            <w:pPr>
              <w:pStyle w:val="CDITable-TotalRowCentre"/>
            </w:pPr>
            <w:r w:rsidRPr="00A40DB9">
              <w:t>35.2%</w:t>
            </w:r>
          </w:p>
        </w:tc>
      </w:tr>
    </w:tbl>
    <w:p w14:paraId="4B9FEAF3" w14:textId="77777777" w:rsidR="006E0B0E" w:rsidRDefault="008017B6" w:rsidP="008017B6">
      <w:pPr>
        <w:pStyle w:val="Heading1"/>
      </w:pPr>
      <w:bookmarkStart w:id="33" w:name="_Toc213239652"/>
      <w:bookmarkStart w:id="34" w:name="_Toc195519590"/>
      <w:bookmarkStart w:id="35" w:name="_Toc195522359"/>
      <w:r>
        <w:lastRenderedPageBreak/>
        <w:t>Discussion</w:t>
      </w:r>
      <w:bookmarkEnd w:id="33"/>
    </w:p>
    <w:p w14:paraId="7BEA1B9B" w14:textId="77777777" w:rsidR="00211A71" w:rsidRPr="00211A71" w:rsidRDefault="00211A71" w:rsidP="00211A71">
      <w:pPr>
        <w:rPr>
          <w:lang w:val="en-GB"/>
        </w:rPr>
      </w:pPr>
      <w:r w:rsidRPr="00211A71">
        <w:rPr>
          <w:lang w:val="en-GB"/>
        </w:rPr>
        <w:t>In 2024, the number of notifications of NG infections in Australia was 44,554, an increase of 28% from the pre-pandemic notifications to the NNDSS in 2019 (34,742).</w:t>
      </w:r>
      <w:r w:rsidRPr="00211A71">
        <w:rPr>
          <w:vertAlign w:val="superscript"/>
          <w:lang w:val="en-GB"/>
        </w:rPr>
        <w:t>10</w:t>
      </w:r>
      <w:r w:rsidRPr="00211A71">
        <w:rPr>
          <w:lang w:val="en-GB"/>
        </w:rPr>
        <w:t xml:space="preserve"> The NNN jurisdictional reference laboratories reported data from clinical testing of 10,702 NG isolates (representing 24.0% of infections) from urban and remote settings, in both public and private health sectors. The remote regions of Western Australia and the Northern Territory continue to report the highest rates of gonococcal disease, relatively low rates of AMR, and low numbers of isolates available for AST. </w:t>
      </w:r>
    </w:p>
    <w:p w14:paraId="5F31FC3F" w14:textId="1D558C34" w:rsidR="00211A71" w:rsidRPr="00211A71" w:rsidRDefault="00211A71" w:rsidP="00211A71">
      <w:pPr>
        <w:rPr>
          <w:lang w:val="en-GB"/>
        </w:rPr>
      </w:pPr>
      <w:r w:rsidRPr="00211A71">
        <w:rPr>
          <w:lang w:val="en-GB"/>
        </w:rPr>
        <w:t>From 2016 to 2018, AGSP isolates with ceftriaxone DS (MIC value ≥ 0.125 mg/L) were stable in the range 0.04–0.06%.</w:t>
      </w:r>
      <w:r w:rsidRPr="00211A71">
        <w:rPr>
          <w:vertAlign w:val="superscript"/>
          <w:lang w:val="en-GB"/>
        </w:rPr>
        <w:t>8,18</w:t>
      </w:r>
      <w:r w:rsidRPr="00211A71">
        <w:rPr>
          <w:lang w:val="en-GB"/>
        </w:rPr>
        <w:t xml:space="preserve"> However, in 2019, this increased to 0.11% (Table 5) then decreased during 2020–2021 coincident with public health containment measures for COVID-19. In 2022, the AGSP reported a surge in the number and proportion of isolates with ceftriaxone MIC values ≥</w:t>
      </w:r>
      <w:r w:rsidR="008B207F">
        <w:rPr>
          <w:lang w:val="en-GB"/>
        </w:rPr>
        <w:t> </w:t>
      </w:r>
      <w:r w:rsidRPr="00211A71">
        <w:rPr>
          <w:lang w:val="en-GB"/>
        </w:rPr>
        <w:t xml:space="preserve">0.064 mg/L, largely attributed to the expansion of a clone of limited genomic diversity of sequence type ST-7827, detected in both male and female patients in New South Wales. These ST-7827 isolates had a non-mosaic </w:t>
      </w:r>
      <w:r w:rsidRPr="00211A71">
        <w:rPr>
          <w:i/>
          <w:iCs/>
          <w:lang w:val="en-GB"/>
        </w:rPr>
        <w:t>penA</w:t>
      </w:r>
      <w:r w:rsidRPr="00211A71">
        <w:rPr>
          <w:lang w:val="en-GB"/>
        </w:rPr>
        <w:t xml:space="preserve"> allele, and all were susceptible to azithromycin, but were resistant to ciprofloxacin.</w:t>
      </w:r>
      <w:r w:rsidRPr="00211A71">
        <w:rPr>
          <w:vertAlign w:val="superscript"/>
          <w:lang w:val="en-GB"/>
        </w:rPr>
        <w:t>23</w:t>
      </w:r>
      <w:r w:rsidRPr="00211A71">
        <w:rPr>
          <w:lang w:val="en-GB"/>
        </w:rPr>
        <w:t xml:space="preserve"> In 2023 and 2024 the detection of ST-7827 NG subsided in Australia. This has been seen in other settings, where similarly NG ST-7827 rates increased rapidly in Norway during 2016–2018, then waned.</w:t>
      </w:r>
      <w:r w:rsidRPr="00211A71">
        <w:rPr>
          <w:vertAlign w:val="superscript"/>
          <w:lang w:val="en-GB"/>
        </w:rPr>
        <w:t>24</w:t>
      </w:r>
      <w:r w:rsidRPr="00211A71">
        <w:rPr>
          <w:lang w:val="en-GB"/>
        </w:rPr>
        <w:t xml:space="preserve"> </w:t>
      </w:r>
    </w:p>
    <w:p w14:paraId="1BA6EF4E" w14:textId="21BECEB3" w:rsidR="00211A71" w:rsidRPr="00211A71" w:rsidRDefault="00211A71" w:rsidP="00211A71">
      <w:pPr>
        <w:rPr>
          <w:lang w:val="en-GB"/>
        </w:rPr>
      </w:pPr>
      <w:r w:rsidRPr="00211A71">
        <w:rPr>
          <w:lang w:val="en-GB"/>
        </w:rPr>
        <w:t>In 2024, there was a marked increase of isolates with ceftriaxone MIC values ≥ 0.125 mg/L,</w:t>
      </w:r>
      <w:r w:rsidRPr="00211A71">
        <w:rPr>
          <w:vertAlign w:val="superscript"/>
          <w:lang w:val="en-GB"/>
        </w:rPr>
        <w:t xml:space="preserve"> </w:t>
      </w:r>
      <w:r w:rsidRPr="00211A71">
        <w:rPr>
          <w:lang w:val="en-GB"/>
        </w:rPr>
        <w:t>with 55 cases compared with 27 reported in 2023.</w:t>
      </w:r>
      <w:r w:rsidRPr="00211A71">
        <w:rPr>
          <w:vertAlign w:val="superscript"/>
          <w:lang w:val="en-GB"/>
        </w:rPr>
        <w:t>22</w:t>
      </w:r>
      <w:r w:rsidRPr="00211A71">
        <w:rPr>
          <w:lang w:val="en-GB"/>
        </w:rPr>
        <w:t xml:space="preserve"> In 2024, isolates with ceftriaxone DS were reported by the AGSP from New South Wales (23); Victoria (18); Western Australia (6); Queensland (4); South Australia (3); and Tasmania (1). Of these, 42/55 (76%), from multiple jurisdictions (New South Wales (18), Victoria (13), Western Australia (5), South Australia (3), Queensland (2) and Tasmania (1)), were confirmed by whole genome sequencing to harbour the mosaic </w:t>
      </w:r>
      <w:r w:rsidRPr="00211A71">
        <w:rPr>
          <w:i/>
          <w:iCs/>
          <w:lang w:val="en-GB"/>
        </w:rPr>
        <w:t>penA</w:t>
      </w:r>
      <w:r w:rsidRPr="00211A71">
        <w:rPr>
          <w:lang w:val="en-GB"/>
        </w:rPr>
        <w:t xml:space="preserve"> allele </w:t>
      </w:r>
      <w:r w:rsidRPr="00211A71">
        <w:rPr>
          <w:i/>
          <w:iCs/>
          <w:lang w:val="en-GB"/>
        </w:rPr>
        <w:t>60.001</w:t>
      </w:r>
      <w:r w:rsidRPr="00211A71">
        <w:rPr>
          <w:lang w:val="en-GB"/>
        </w:rPr>
        <w:t>. This allele is responsible for key alterations in the penicillin binding protein 2 associated with ceftriaxone resistance. The ceftriaxone MIC values associated with these 42 isolates ranged from 0.125 to 1.0</w:t>
      </w:r>
      <w:r w:rsidR="008B207F">
        <w:rPr>
          <w:lang w:val="en-GB"/>
        </w:rPr>
        <w:t> </w:t>
      </w:r>
      <w:r w:rsidRPr="00211A71">
        <w:rPr>
          <w:lang w:val="en-GB"/>
        </w:rPr>
        <w:t>mg/L. Of the cases with available travel history, most had confirmed travel or links to the Asia Pacific region; however, five cases (5/42) occurred in individuals with no history of travel, suggesting local transmission. A 2022 report from the United Kingdom (UK),</w:t>
      </w:r>
      <w:r w:rsidRPr="00211A71">
        <w:rPr>
          <w:vertAlign w:val="superscript"/>
          <w:lang w:val="en-GB"/>
        </w:rPr>
        <w:t>25</w:t>
      </w:r>
      <w:r w:rsidRPr="00211A71">
        <w:rPr>
          <w:lang w:val="en-GB"/>
        </w:rPr>
        <w:t xml:space="preserve"> describing a surge in detection of NG isolates harbouring the </w:t>
      </w:r>
      <w:r w:rsidRPr="00211A71">
        <w:rPr>
          <w:i/>
          <w:iCs/>
          <w:lang w:val="en-GB"/>
        </w:rPr>
        <w:t>penA 60.001</w:t>
      </w:r>
      <w:r w:rsidRPr="00211A71">
        <w:rPr>
          <w:lang w:val="en-GB"/>
        </w:rPr>
        <w:t xml:space="preserve"> allele, heightened concerns regarding emergence of gonococcal AMR. </w:t>
      </w:r>
    </w:p>
    <w:p w14:paraId="6E3744D2" w14:textId="699560DF" w:rsidR="00211A71" w:rsidRPr="00211A71" w:rsidRDefault="00211A71" w:rsidP="00211A71">
      <w:pPr>
        <w:rPr>
          <w:lang w:val="en-GB"/>
        </w:rPr>
      </w:pPr>
      <w:r w:rsidRPr="00211A71">
        <w:rPr>
          <w:lang w:val="en-GB"/>
        </w:rPr>
        <w:t>Nine (9) of the 55 ceftriaxone MIC ≥ 0.125 mg/L isolates reported from Australia in 2024 had an extensively drug-resistant (XDR)</w:t>
      </w:r>
      <w:r w:rsidRPr="00211A71">
        <w:rPr>
          <w:vertAlign w:val="superscript"/>
          <w:lang w:val="en-GB"/>
        </w:rPr>
        <w:t>26</w:t>
      </w:r>
      <w:r w:rsidRPr="00211A71">
        <w:rPr>
          <w:lang w:val="en-GB"/>
        </w:rPr>
        <w:t xml:space="preserve"> profile (ceftriaxone MIC: 0.125–0.50 mg/L; azithromycin MIC ≥</w:t>
      </w:r>
      <w:r w:rsidR="008B207F">
        <w:rPr>
          <w:lang w:val="en-GB"/>
        </w:rPr>
        <w:t> </w:t>
      </w:r>
      <w:r w:rsidRPr="00211A71">
        <w:rPr>
          <w:lang w:val="en-GB"/>
        </w:rPr>
        <w:t xml:space="preserve">256 mg/L); all harboured the mosaic </w:t>
      </w:r>
      <w:r w:rsidRPr="00211A71">
        <w:rPr>
          <w:i/>
          <w:iCs/>
          <w:lang w:val="en-GB"/>
        </w:rPr>
        <w:t>penA 60.001</w:t>
      </w:r>
      <w:r w:rsidRPr="00211A71">
        <w:rPr>
          <w:lang w:val="en-GB"/>
        </w:rPr>
        <w:t xml:space="preserve"> allele, and were reported from Victoria (4), Western Australia (3), Queensland (1) and South Australia (1). The first reports of XDR NG were from Australia (two unrelated cases, one with a travel history in the Asia-Pacific) and one from the UK (with a travel link to Thailand) in 2018.</w:t>
      </w:r>
      <w:r w:rsidRPr="00211A71">
        <w:rPr>
          <w:vertAlign w:val="superscript"/>
          <w:lang w:val="en-GB"/>
        </w:rPr>
        <w:t>4,25</w:t>
      </w:r>
      <w:r w:rsidRPr="00211A71">
        <w:rPr>
          <w:lang w:val="en-GB"/>
        </w:rPr>
        <w:t xml:space="preserve"> On genomic analysis, there was limited diversity between the 2018 UK and Australian XDR isolates, suggesting these isolates belonged to the same gonococcal clone.</w:t>
      </w:r>
      <w:r w:rsidRPr="00211A71">
        <w:rPr>
          <w:vertAlign w:val="superscript"/>
          <w:lang w:val="en-GB"/>
        </w:rPr>
        <w:t>3</w:t>
      </w:r>
      <w:r w:rsidRPr="00211A71">
        <w:rPr>
          <w:lang w:val="en-GB"/>
        </w:rPr>
        <w:t xml:space="preserve"> In 2022, two further cases were reported, one in Austria with travel links in Cambodia,</w:t>
      </w:r>
      <w:r w:rsidRPr="00211A71">
        <w:rPr>
          <w:vertAlign w:val="superscript"/>
          <w:lang w:val="en-GB"/>
        </w:rPr>
        <w:t>27</w:t>
      </w:r>
      <w:r w:rsidRPr="00211A71">
        <w:rPr>
          <w:lang w:val="en-GB"/>
        </w:rPr>
        <w:t xml:space="preserve"> and another in the UK with contact in the Asia-Pacific.</w:t>
      </w:r>
      <w:r w:rsidRPr="00211A71">
        <w:rPr>
          <w:vertAlign w:val="superscript"/>
          <w:lang w:val="en-GB"/>
        </w:rPr>
        <w:t>28</w:t>
      </w:r>
      <w:r w:rsidRPr="00211A71">
        <w:rPr>
          <w:lang w:val="en-GB"/>
        </w:rPr>
        <w:t xml:space="preserve"> Genomic analysis found the 2022 UK and European isolates to be identical</w:t>
      </w:r>
      <w:r w:rsidRPr="00211A71">
        <w:rPr>
          <w:vertAlign w:val="superscript"/>
          <w:lang w:val="en-GB"/>
        </w:rPr>
        <w:t>28</w:t>
      </w:r>
      <w:r w:rsidRPr="00211A71">
        <w:rPr>
          <w:lang w:val="en-GB"/>
        </w:rPr>
        <w:t xml:space="preserve"> and related to the case reported in the UK in 2018. These findings strongly suggest these strains are in circulation in the Asia-Pacific.</w:t>
      </w:r>
      <w:r w:rsidRPr="00211A71">
        <w:rPr>
          <w:vertAlign w:val="superscript"/>
          <w:lang w:val="en-GB"/>
        </w:rPr>
        <w:t>28</w:t>
      </w:r>
      <w:r w:rsidRPr="00211A71">
        <w:rPr>
          <w:lang w:val="en-GB"/>
        </w:rPr>
        <w:t xml:space="preserve"> The detection of a further four such isolates in Victoria in 2023, which were also genomically </w:t>
      </w:r>
      <w:proofErr w:type="gramStart"/>
      <w:r w:rsidRPr="00211A71">
        <w:rPr>
          <w:lang w:val="en-GB"/>
        </w:rPr>
        <w:t>similar to</w:t>
      </w:r>
      <w:proofErr w:type="gramEnd"/>
      <w:r w:rsidRPr="00211A71">
        <w:rPr>
          <w:lang w:val="en-GB"/>
        </w:rPr>
        <w:t xml:space="preserve"> earlier investigations, amounts to 14 reports of XDR NG in Australia since 2022 and is extremely concerning.</w:t>
      </w:r>
    </w:p>
    <w:p w14:paraId="5958230D" w14:textId="77777777" w:rsidR="00211A71" w:rsidRPr="00211A71" w:rsidRDefault="00211A71" w:rsidP="00211A71">
      <w:pPr>
        <w:rPr>
          <w:lang w:val="en-GB"/>
        </w:rPr>
      </w:pPr>
      <w:r w:rsidRPr="00211A71">
        <w:rPr>
          <w:lang w:val="en-GB"/>
        </w:rPr>
        <w:lastRenderedPageBreak/>
        <w:t xml:space="preserve">Azithromycin resistance has been reported by the AGSP since 2007. Following the introduction of dual therapy in 2014, resistance to azithromycin in all jurisdictions of Australia has been observed (Table 6), increasing from 2016, and peaking at 9.3% in 2017. However, rates halved in 2019 (4.6%), and have remained relatively stable nationally for the last five years (3.9% to 4.7%), with some variation across the jurisdictions. In 2024, azithromycin resistance was highest in Victoria (6.2%), non-remote Western Australia (5.8%), South Australia (4.6%) and Tasmania (4.5%). </w:t>
      </w:r>
    </w:p>
    <w:p w14:paraId="25457FD1" w14:textId="77777777" w:rsidR="00211A71" w:rsidRPr="00211A71" w:rsidRDefault="00211A71" w:rsidP="00211A71">
      <w:pPr>
        <w:rPr>
          <w:lang w:val="en-GB"/>
        </w:rPr>
      </w:pPr>
      <w:r w:rsidRPr="00211A71">
        <w:rPr>
          <w:lang w:val="en-GB"/>
        </w:rPr>
        <w:t>In 2013, high-level resistance (HLR: MIC ≥ 256 mg/L) to azithromycin in gonococci was reported for the first time in Australia.</w:t>
      </w:r>
      <w:r w:rsidRPr="00211A71">
        <w:rPr>
          <w:vertAlign w:val="superscript"/>
          <w:lang w:val="en-GB"/>
        </w:rPr>
        <w:t>29</w:t>
      </w:r>
      <w:r w:rsidRPr="00211A71">
        <w:rPr>
          <w:lang w:val="en-GB"/>
        </w:rPr>
        <w:t xml:space="preserve"> Since then, there have been sporadic reports of NG isolates with HLR to azithromycin in Australia annually; none were reported in 2021. In 2022, nine such isolates were reported nationally and notably this number increased to 27 in 2023</w:t>
      </w:r>
      <w:r w:rsidRPr="00211A71">
        <w:rPr>
          <w:vertAlign w:val="superscript"/>
          <w:lang w:val="en-GB"/>
        </w:rPr>
        <w:t>20,22</w:t>
      </w:r>
      <w:r w:rsidRPr="00211A71">
        <w:rPr>
          <w:lang w:val="en-GB"/>
        </w:rPr>
        <w:t xml:space="preserve"> and increased again to 46 in 2024, the highest number reported to date. These isolates were largely contributed from New South Wales (26/46) and Victoria (8/46</w:t>
      </w:r>
      <w:proofErr w:type="gramStart"/>
      <w:r w:rsidRPr="00211A71">
        <w:rPr>
          <w:lang w:val="en-GB"/>
        </w:rPr>
        <w:t>)</w:t>
      </w:r>
      <w:proofErr w:type="gramEnd"/>
      <w:r w:rsidRPr="00211A71">
        <w:rPr>
          <w:lang w:val="en-GB"/>
        </w:rPr>
        <w:t xml:space="preserve"> and the majority were isolated from male patients. Whilst data from the jurisdictions regarding travel history are limited, some cases were associated with overseas travel to South America, Africa and Europe. </w:t>
      </w:r>
    </w:p>
    <w:p w14:paraId="76454373" w14:textId="77777777" w:rsidR="00211A71" w:rsidRPr="00211A71" w:rsidRDefault="00211A71" w:rsidP="00211A71">
      <w:pPr>
        <w:rPr>
          <w:lang w:val="en-GB"/>
        </w:rPr>
      </w:pPr>
      <w:r w:rsidRPr="00211A71">
        <w:rPr>
          <w:lang w:val="en-GB"/>
        </w:rPr>
        <w:t>In 2024, penicillin resistance was reported in 30.8% of isolates (3,000/10,702), an increase from 2020 (26.6%). The proportion of penicillin-resistant isolates has been reported in the range 22–44% between 2008 and 2023.</w:t>
      </w:r>
      <w:r w:rsidRPr="00211A71">
        <w:rPr>
          <w:vertAlign w:val="superscript"/>
          <w:lang w:val="en-GB"/>
        </w:rPr>
        <w:t>18</w:t>
      </w:r>
      <w:r w:rsidRPr="00211A71">
        <w:rPr>
          <w:lang w:val="en-GB"/>
        </w:rPr>
        <w:t xml:space="preserve"> In 2024, of the penicillin-resistant isolates, the majority were PPNG (82.7%; 2,480/3,000); the remaining 17.3% (520/3,000) were CMRP. With regards to the isolates from remote regions, of the 78 isolates from remote Northern Territory, four were penicillin resistant, PPNG (5%). There were 75 isolates from remote Western Australia: 19 (25.3%) were penicillin resistant, 16 were PPNG and three were CMRP.</w:t>
      </w:r>
    </w:p>
    <w:p w14:paraId="5A397A67" w14:textId="77777777" w:rsidR="00211A71" w:rsidRPr="00211A71" w:rsidRDefault="00211A71" w:rsidP="00211A71">
      <w:pPr>
        <w:rPr>
          <w:lang w:val="en-GB"/>
        </w:rPr>
      </w:pPr>
      <w:r w:rsidRPr="00211A71">
        <w:rPr>
          <w:lang w:val="en-GB"/>
        </w:rPr>
        <w:t>In 2024, ciprofloxacin resistance was reported in 57.5% of tested isolates, lower than 60.3% in 2023 and 63.3% in 2022.</w:t>
      </w:r>
      <w:r w:rsidRPr="00211A71">
        <w:rPr>
          <w:vertAlign w:val="superscript"/>
          <w:lang w:val="en-GB"/>
        </w:rPr>
        <w:t>18</w:t>
      </w:r>
      <w:r w:rsidRPr="00211A71">
        <w:rPr>
          <w:lang w:val="en-GB"/>
        </w:rPr>
        <w:t xml:space="preserve"> The rate of ciprofloxacin resistance reported in Australia had progressively declined from 71% in 2008 to 25.6% in 2018. The increase in ciprofloxacin resistance from 2021 can be attributed, to an extent, to the expansion of the ST-7827 clone, particularly in New South Wales.</w:t>
      </w:r>
      <w:r w:rsidRPr="00211A71">
        <w:rPr>
          <w:vertAlign w:val="superscript"/>
          <w:lang w:val="en-GB"/>
        </w:rPr>
        <w:t>23</w:t>
      </w:r>
      <w:r w:rsidRPr="00211A71">
        <w:rPr>
          <w:lang w:val="en-GB"/>
        </w:rPr>
        <w:t xml:space="preserve"> With regards to the remote regions of Australia, of the 78 isolates from remote Northern Territory, three were ciprofloxacin resistant (3.8%) and of the 75 isolates from remote Western Australia, 21 were ciprofloxacin resistant (28.0%). </w:t>
      </w:r>
    </w:p>
    <w:p w14:paraId="6A19A359" w14:textId="77777777" w:rsidR="00211A71" w:rsidRPr="00211A71" w:rsidRDefault="00211A71" w:rsidP="00211A71">
      <w:pPr>
        <w:rPr>
          <w:lang w:val="en-GB"/>
        </w:rPr>
      </w:pPr>
      <w:r w:rsidRPr="00211A71">
        <w:rPr>
          <w:lang w:val="en-GB"/>
        </w:rPr>
        <w:t xml:space="preserve">In 2024, gentamicin susceptibility testing data were available for 1,728 NG isolates from New South Wales, Tasmania, Western Australia, the Australian Capital Territory and the Northern Territory. The median MIC value was 4 mg/L; the range was ≤ 1.0–16 mg/L. There </w:t>
      </w:r>
      <w:proofErr w:type="gramStart"/>
      <w:r w:rsidRPr="00211A71">
        <w:rPr>
          <w:lang w:val="en-GB"/>
        </w:rPr>
        <w:t>are</w:t>
      </w:r>
      <w:proofErr w:type="gramEnd"/>
      <w:r w:rsidRPr="00211A71">
        <w:rPr>
          <w:lang w:val="en-GB"/>
        </w:rPr>
        <w:t xml:space="preserve"> no gentamicin breakpoints defined for NG. The inclusion of gentamicin as an indicator for ongoing surveillance by the AGSP is in line with the requirements of the WHO Global Antimicrobial Resistance Surveillance System (GLASS). </w:t>
      </w:r>
    </w:p>
    <w:p w14:paraId="749C76AE" w14:textId="77777777" w:rsidR="00211A71" w:rsidRPr="00211A71" w:rsidRDefault="00211A71" w:rsidP="00211A71">
      <w:pPr>
        <w:rPr>
          <w:lang w:val="en-GB"/>
        </w:rPr>
      </w:pPr>
      <w:r w:rsidRPr="00211A71">
        <w:rPr>
          <w:lang w:val="en-GB"/>
        </w:rPr>
        <w:t xml:space="preserve">Nationally in 2024, tetracycline resistance was tested in 82.0% of isolates (8,775/10,702); of isolates tested, 35.2% (3,086/8,775) were tetracycline resistant. The highest rate was reported from Victoria (43.8%), with resistance reported in other jurisdictions (excluding remote Northern Territory and Western Australia) in the range 16–39%, noting there are no data from South Australia. Tetracycline resistance has been reported in the AGSP in recent years coincident with increasing use of doxycycline post-exposure prophylaxis for syphilis and chlamydia. </w:t>
      </w:r>
    </w:p>
    <w:p w14:paraId="3181D9E3" w14:textId="77777777" w:rsidR="00211A71" w:rsidRPr="00211A71" w:rsidRDefault="00211A71" w:rsidP="00211A71">
      <w:pPr>
        <w:rPr>
          <w:lang w:val="en-GB"/>
        </w:rPr>
      </w:pPr>
      <w:r w:rsidRPr="00211A71">
        <w:rPr>
          <w:lang w:val="en-GB"/>
        </w:rPr>
        <w:t xml:space="preserve">In 2024, several concerning observations are reported by the AGSP: the surge in NG isolates detected nationally with the </w:t>
      </w:r>
      <w:r w:rsidRPr="00211A71">
        <w:rPr>
          <w:i/>
          <w:iCs/>
          <w:lang w:val="en-GB"/>
        </w:rPr>
        <w:t>penA 60.001</w:t>
      </w:r>
      <w:r w:rsidRPr="00211A71">
        <w:rPr>
          <w:lang w:val="en-GB"/>
        </w:rPr>
        <w:t xml:space="preserve"> allele; the detection of isolates with an XDR profile from Victoria, Western Australia, Queensland and South Australia; and the increase in notifications of isolates with high level resistance to azithromycin, primarily from New South Wales and Victoria. These findings mirror reports from the United Kingdom and Europe,</w:t>
      </w:r>
      <w:r w:rsidRPr="00211A71">
        <w:rPr>
          <w:vertAlign w:val="superscript"/>
          <w:lang w:val="en-GB"/>
        </w:rPr>
        <w:t>25,27,30–32</w:t>
      </w:r>
      <w:r w:rsidRPr="00211A71">
        <w:rPr>
          <w:lang w:val="en-GB"/>
        </w:rPr>
        <w:t xml:space="preserve"> where similar detections and local transmission have been reported. The ideal alternate treatment to ceftriaxone </w:t>
      </w:r>
      <w:r w:rsidRPr="00211A71">
        <w:rPr>
          <w:lang w:val="en-GB"/>
        </w:rPr>
        <w:lastRenderedPageBreak/>
        <w:t>is yet to be identified, and in the global context culture is rarely performed, and rapid diagnostic assays to determine ceftriaxone susceptibility to facilitate stewardship are not commercially available. Disease prevention strategies under investigation for the future include the MenB-4C vaccine, designed to protect against meningococcal disease, but shown to be moderately effective against gonorrhoea in various populations, although the duration of protection is uncertain.</w:t>
      </w:r>
    </w:p>
    <w:p w14:paraId="510559BF" w14:textId="22B2412D" w:rsidR="0001020A" w:rsidRDefault="00211A71" w:rsidP="00830AEA">
      <w:r w:rsidRPr="00211A71">
        <w:rPr>
          <w:lang w:val="en-GB"/>
        </w:rPr>
        <w:t xml:space="preserve">Additional clinical, public health and laboratory investigations have been implemented as part of the response to these events. These include follow up, test of cure, genomic analysis at the jurisdictional level, and investigations regarding travel history. Strategies to prevent infection, including when travelling, are critical. The findings from this report underscore the ongoing importance of surveillance based on bacterial culture and AST of NG to inform future therapeutic strategies; to monitor for the presence and spread of resistant isolates; and to detect instances of treatment failure. </w:t>
      </w:r>
    </w:p>
    <w:p w14:paraId="1CE31F50" w14:textId="77777777" w:rsidR="00F216F0" w:rsidRDefault="00F216F0" w:rsidP="00F216F0">
      <w:pPr>
        <w:pStyle w:val="Heading1"/>
      </w:pPr>
      <w:bookmarkStart w:id="36" w:name="_Toc195530510"/>
      <w:bookmarkStart w:id="37" w:name="_Toc213239653"/>
      <w:bookmarkStart w:id="38" w:name="_Toc195530508"/>
      <w:bookmarkEnd w:id="34"/>
      <w:bookmarkEnd w:id="35"/>
      <w:r>
        <w:lastRenderedPageBreak/>
        <w:t>Acknowledgments</w:t>
      </w:r>
      <w:bookmarkEnd w:id="36"/>
      <w:bookmarkEnd w:id="37"/>
    </w:p>
    <w:p w14:paraId="26CEB081" w14:textId="77777777" w:rsidR="008B207F" w:rsidRPr="008B207F" w:rsidRDefault="008B207F" w:rsidP="008B207F">
      <w:pPr>
        <w:rPr>
          <w:lang w:val="en-GB"/>
        </w:rPr>
      </w:pPr>
      <w:r w:rsidRPr="008B207F">
        <w:rPr>
          <w:lang w:val="en-GB"/>
        </w:rPr>
        <w:t xml:space="preserve">The NNN is supported by the Australian Government Department of Health, Disability and Ageing to provide the AGSP. We thank the many laboratories, private and public, throughout Australia for referral of isolates for testing. </w:t>
      </w:r>
    </w:p>
    <w:p w14:paraId="503509DE" w14:textId="09BA97EF" w:rsidR="00F216F0" w:rsidRPr="008017B6" w:rsidRDefault="008B207F" w:rsidP="00F216F0">
      <w:r w:rsidRPr="008B207F">
        <w:rPr>
          <w:lang w:val="en-GB"/>
        </w:rPr>
        <w:t>Members of the NNN in 2024 (and to whom isolates should be referred): Amy Jennison, Gino</w:t>
      </w:r>
      <w:r>
        <w:rPr>
          <w:lang w:val="en-GB"/>
        </w:rPr>
        <w:t> </w:t>
      </w:r>
      <w:r w:rsidRPr="008B207F">
        <w:rPr>
          <w:lang w:val="en-GB"/>
        </w:rPr>
        <w:t xml:space="preserve">Micalizzi, Kerri Le, Rikki Graham (Queensland Public Health Microbiology, Forensic and Scientific Services, Coopers Plains, Queensland); Athena </w:t>
      </w:r>
      <w:proofErr w:type="spellStart"/>
      <w:r w:rsidRPr="008B207F">
        <w:rPr>
          <w:lang w:val="en-GB"/>
        </w:rPr>
        <w:t>Limnios</w:t>
      </w:r>
      <w:proofErr w:type="spellEnd"/>
      <w:r w:rsidRPr="008B207F">
        <w:rPr>
          <w:lang w:val="en-GB"/>
        </w:rPr>
        <w:t xml:space="preserve">, Tiffany Hogan, Ratan Kundu, Jayshree </w:t>
      </w:r>
      <w:proofErr w:type="spellStart"/>
      <w:r w:rsidRPr="008B207F">
        <w:rPr>
          <w:lang w:val="en-GB"/>
        </w:rPr>
        <w:t>Bastakoti</w:t>
      </w:r>
      <w:proofErr w:type="spellEnd"/>
      <w:r w:rsidRPr="008B207F">
        <w:rPr>
          <w:lang w:val="en-GB"/>
        </w:rPr>
        <w:t xml:space="preserve"> , Sebastiaan J van Hal and Monica M Lahra (WHO CC for STI and AMR New South Wales Health Pathology Department of Microbiology, The Prince of Wales Hospital, Randwick, New South Wales and School of Medical Sciences, Faculty of Medicine, the University of New South Wales, Kensington, New South Wales); Paula Roydhouse, Samantha Tawil, Michelle Tait and Benjamin P Howden (The Microbiological Diagnostic Unit (PHL), Department of Microbiology and Immunology, Peter Doherty Institute for Infection and Immunity, The University of Melbourne, Parkville, Victoria); Megan Hodgson, Lex Leong and Morgyn Warner (SA Pathology, South Australia); Hui Leen Tan, Melissa Rhodes, Emmanel D’orazio and David Speers (Department of Microbiology and Infectious Diseases, PathWest Laboratory Medicine, Fiona</w:t>
      </w:r>
      <w:r>
        <w:rPr>
          <w:lang w:val="en-GB"/>
        </w:rPr>
        <w:t> </w:t>
      </w:r>
      <w:r w:rsidRPr="008B207F">
        <w:rPr>
          <w:lang w:val="en-GB"/>
        </w:rPr>
        <w:t xml:space="preserve">Stanley Hospital, Western Australia); Belinda McEwan, Louise Cooley (Department of Microbiology and Infectious Diseases, Royal Hobart Hospital, Hobart, Tasmania); Kevin Freeman, Jaimee Harbridge and Rob Baird (Microbiology Laboratory, Territory Pathology, Royal Darwin Hospital, Tiwi, Northern Territory); and Susan Bradbury, Michelle McKeown and Karina Kennedy (Microbiology Department, The Canberra Hospital, Garran, Australian Capital Territory). </w:t>
      </w:r>
    </w:p>
    <w:p w14:paraId="1DC86045" w14:textId="77777777" w:rsidR="008A0736" w:rsidRDefault="008A0736" w:rsidP="008A0736">
      <w:pPr>
        <w:pStyle w:val="Heading1"/>
      </w:pPr>
      <w:bookmarkStart w:id="39" w:name="_Toc213239654"/>
      <w:r>
        <w:lastRenderedPageBreak/>
        <w:t>Author details</w:t>
      </w:r>
      <w:bookmarkEnd w:id="38"/>
      <w:bookmarkEnd w:id="39"/>
    </w:p>
    <w:p w14:paraId="67B6B4AF" w14:textId="77777777" w:rsidR="008B207F" w:rsidRPr="008B207F" w:rsidRDefault="008B207F" w:rsidP="008B207F">
      <w:pPr>
        <w:rPr>
          <w:lang w:val="en-GB"/>
        </w:rPr>
      </w:pPr>
      <w:r w:rsidRPr="008B207F">
        <w:rPr>
          <w:lang w:val="en-GB"/>
        </w:rPr>
        <w:t>Monica M Lahra</w:t>
      </w:r>
      <w:r w:rsidRPr="008B207F">
        <w:rPr>
          <w:vertAlign w:val="superscript"/>
          <w:lang w:val="en-GB"/>
        </w:rPr>
        <w:t>1, 2</w:t>
      </w:r>
      <w:r w:rsidRPr="008B207F">
        <w:rPr>
          <w:lang w:val="en-GB"/>
        </w:rPr>
        <w:t xml:space="preserve"> </w:t>
      </w:r>
    </w:p>
    <w:p w14:paraId="673E7D8E" w14:textId="77777777" w:rsidR="008B207F" w:rsidRPr="008B207F" w:rsidRDefault="008B207F" w:rsidP="008B207F">
      <w:pPr>
        <w:rPr>
          <w:lang w:val="en-GB"/>
        </w:rPr>
      </w:pPr>
      <w:r w:rsidRPr="008B207F">
        <w:rPr>
          <w:lang w:val="en-GB"/>
        </w:rPr>
        <w:t>Siobhan M Hurley</w:t>
      </w:r>
      <w:r w:rsidRPr="008B207F">
        <w:rPr>
          <w:vertAlign w:val="superscript"/>
          <w:lang w:val="en-GB"/>
        </w:rPr>
        <w:t>1</w:t>
      </w:r>
    </w:p>
    <w:p w14:paraId="6363A493" w14:textId="77777777" w:rsidR="008B207F" w:rsidRPr="008B207F" w:rsidRDefault="008B207F" w:rsidP="008B207F">
      <w:pPr>
        <w:rPr>
          <w:lang w:val="en-GB"/>
        </w:rPr>
      </w:pPr>
      <w:r w:rsidRPr="008B207F">
        <w:rPr>
          <w:lang w:val="en-GB"/>
        </w:rPr>
        <w:t>Sebastiaan van Hal</w:t>
      </w:r>
      <w:r w:rsidRPr="008B207F">
        <w:rPr>
          <w:vertAlign w:val="superscript"/>
          <w:lang w:val="en-GB"/>
        </w:rPr>
        <w:t>3,4</w:t>
      </w:r>
      <w:r w:rsidRPr="008B207F">
        <w:rPr>
          <w:lang w:val="en-GB"/>
        </w:rPr>
        <w:t xml:space="preserve"> </w:t>
      </w:r>
    </w:p>
    <w:p w14:paraId="00AD7C24" w14:textId="77777777" w:rsidR="008B207F" w:rsidRPr="008B207F" w:rsidRDefault="008B207F" w:rsidP="008B207F">
      <w:pPr>
        <w:rPr>
          <w:lang w:val="en-GB"/>
        </w:rPr>
      </w:pPr>
      <w:r w:rsidRPr="008B207F">
        <w:rPr>
          <w:lang w:val="en-GB"/>
        </w:rPr>
        <w:t>Tiffany R Hogan</w:t>
      </w:r>
      <w:r w:rsidRPr="008B207F">
        <w:rPr>
          <w:vertAlign w:val="superscript"/>
          <w:lang w:val="en-GB"/>
        </w:rPr>
        <w:t>1</w:t>
      </w:r>
      <w:r w:rsidRPr="008B207F">
        <w:rPr>
          <w:lang w:val="en-GB"/>
        </w:rPr>
        <w:t xml:space="preserve"> </w:t>
      </w:r>
    </w:p>
    <w:p w14:paraId="1A80114D" w14:textId="77777777" w:rsidR="008B207F" w:rsidRPr="008B207F" w:rsidRDefault="008B207F" w:rsidP="008B207F">
      <w:pPr>
        <w:pStyle w:val="CDINumberedList1L1"/>
        <w:rPr>
          <w:lang w:val="en-GB"/>
        </w:rPr>
      </w:pPr>
      <w:r w:rsidRPr="008B207F">
        <w:rPr>
          <w:lang w:val="en-GB"/>
        </w:rPr>
        <w:t xml:space="preserve">Neisseria Reference Laboratory and World Health Organization Collaborating Centre for STI and AMR, Sydney. NSW Health Pathology, Microbiology, The Prince of Wales Hospital, Randwick, NSW, 2031, Australia </w:t>
      </w:r>
    </w:p>
    <w:p w14:paraId="3E246E7F" w14:textId="77777777" w:rsidR="008B207F" w:rsidRPr="008B207F" w:rsidRDefault="008B207F" w:rsidP="008B207F">
      <w:pPr>
        <w:pStyle w:val="CDINumberedList1L1"/>
        <w:rPr>
          <w:lang w:val="en-GB"/>
        </w:rPr>
      </w:pPr>
      <w:r w:rsidRPr="008B207F">
        <w:rPr>
          <w:lang w:val="en-GB"/>
        </w:rPr>
        <w:t xml:space="preserve">School of Medical Sciences, Faculty of Medicine, The University of New South Wales, NSW, 2052, Australia </w:t>
      </w:r>
    </w:p>
    <w:p w14:paraId="16AFD3F8" w14:textId="77777777" w:rsidR="008B207F" w:rsidRPr="008B207F" w:rsidRDefault="008B207F" w:rsidP="008B207F">
      <w:pPr>
        <w:pStyle w:val="CDINumberedList1L1"/>
        <w:rPr>
          <w:lang w:val="en-GB"/>
        </w:rPr>
      </w:pPr>
      <w:r w:rsidRPr="008B207F">
        <w:rPr>
          <w:lang w:val="en-GB"/>
        </w:rPr>
        <w:t xml:space="preserve">New South Wales Health Pathology, Microbiology, Royal Prince Alfred Hospital Camperdown, NSW, Australia </w:t>
      </w:r>
    </w:p>
    <w:p w14:paraId="2B21E9A5" w14:textId="3C707E80" w:rsidR="00423436" w:rsidRPr="008017B6" w:rsidRDefault="008B207F" w:rsidP="00FC362E">
      <w:pPr>
        <w:pStyle w:val="CDINumberedList1L1"/>
      </w:pPr>
      <w:r w:rsidRPr="008B207F">
        <w:rPr>
          <w:lang w:val="en-GB"/>
        </w:rPr>
        <w:t xml:space="preserve">School of Medicine, University of Sydney </w:t>
      </w:r>
    </w:p>
    <w:p w14:paraId="4F0D29B8" w14:textId="77777777" w:rsidR="00423436" w:rsidRDefault="00423436" w:rsidP="00423436">
      <w:pPr>
        <w:pStyle w:val="CDICorrespondingauthor"/>
      </w:pPr>
      <w:r>
        <w:t>Corresponding author</w:t>
      </w:r>
    </w:p>
    <w:p w14:paraId="5E79C116" w14:textId="77777777" w:rsidR="008B207F" w:rsidRPr="008B207F" w:rsidRDefault="008B207F" w:rsidP="008B207F">
      <w:pPr>
        <w:rPr>
          <w:lang w:val="en-GB"/>
        </w:rPr>
      </w:pPr>
      <w:r w:rsidRPr="008B207F">
        <w:rPr>
          <w:lang w:val="en-GB"/>
        </w:rPr>
        <w:t xml:space="preserve">Professor Monica M Lahra </w:t>
      </w:r>
    </w:p>
    <w:p w14:paraId="7FF1424E" w14:textId="77777777" w:rsidR="008B207F" w:rsidRPr="008B207F" w:rsidRDefault="008B207F" w:rsidP="008B207F">
      <w:pPr>
        <w:rPr>
          <w:lang w:val="en-GB"/>
        </w:rPr>
      </w:pPr>
      <w:r w:rsidRPr="008B207F">
        <w:rPr>
          <w:lang w:val="en-GB"/>
        </w:rPr>
        <w:t>World Health Organization Collaborating Centre for STI and AMR, Sydney and, Neisseria Reference Laboratory, NSW Health Pathology, Microbiology, The Prince of Wales Hospital, Randwick, NSW, 2031</w:t>
      </w:r>
    </w:p>
    <w:p w14:paraId="658997F4" w14:textId="77777777" w:rsidR="008B207F" w:rsidRPr="008B207F" w:rsidRDefault="008B207F" w:rsidP="008B207F">
      <w:pPr>
        <w:rPr>
          <w:lang w:val="en-GB"/>
        </w:rPr>
      </w:pPr>
      <w:r w:rsidRPr="008B207F">
        <w:rPr>
          <w:lang w:val="en-GB"/>
        </w:rPr>
        <w:t xml:space="preserve">School of Medical Sciences, Faculty of Medicine, the University of New South Wales, NSW, 2052 Australia </w:t>
      </w:r>
    </w:p>
    <w:p w14:paraId="6A9761F3" w14:textId="77777777" w:rsidR="008B207F" w:rsidRPr="008B207F" w:rsidRDefault="008B207F" w:rsidP="008B207F">
      <w:pPr>
        <w:rPr>
          <w:lang w:val="en-GB"/>
        </w:rPr>
      </w:pPr>
      <w:r w:rsidRPr="008B207F">
        <w:rPr>
          <w:lang w:val="en-GB"/>
        </w:rPr>
        <w:t xml:space="preserve">Telephone: +61 2 9382 3678 </w:t>
      </w:r>
    </w:p>
    <w:p w14:paraId="4C95A036" w14:textId="77777777" w:rsidR="008B207F" w:rsidRPr="008B207F" w:rsidRDefault="008B207F" w:rsidP="008B207F">
      <w:pPr>
        <w:rPr>
          <w:lang w:val="en-GB"/>
        </w:rPr>
      </w:pPr>
      <w:r w:rsidRPr="008B207F">
        <w:rPr>
          <w:lang w:val="en-GB"/>
        </w:rPr>
        <w:t xml:space="preserve">Facsimile: +61 2 9382 3720 </w:t>
      </w:r>
    </w:p>
    <w:p w14:paraId="47065C53" w14:textId="3C046FB5" w:rsidR="008A0736" w:rsidRDefault="008B207F" w:rsidP="00423436">
      <w:r w:rsidRPr="008B207F">
        <w:rPr>
          <w:lang w:val="en-GB"/>
        </w:rPr>
        <w:t xml:space="preserve">Email: </w:t>
      </w:r>
      <w:hyperlink r:id="rId25" w:history="1">
        <w:r w:rsidRPr="008B207F">
          <w:rPr>
            <w:rStyle w:val="Hyperlink"/>
            <w:lang w:val="en-GB"/>
          </w:rPr>
          <w:t>monica.lahra@health.nsw.gov.au</w:t>
        </w:r>
      </w:hyperlink>
      <w:r>
        <w:rPr>
          <w:lang w:val="en-GB"/>
        </w:rPr>
        <w:t xml:space="preserve"> </w:t>
      </w:r>
    </w:p>
    <w:p w14:paraId="5A10A5E1" w14:textId="77777777" w:rsidR="008A0736" w:rsidRDefault="008A0736" w:rsidP="00122ADA">
      <w:pPr>
        <w:pStyle w:val="Heading1"/>
      </w:pPr>
      <w:bookmarkStart w:id="40" w:name="_Toc195530511"/>
      <w:bookmarkStart w:id="41" w:name="_Toc213239655"/>
      <w:r>
        <w:lastRenderedPageBreak/>
        <w:t>References</w:t>
      </w:r>
      <w:bookmarkEnd w:id="40"/>
      <w:bookmarkEnd w:id="41"/>
    </w:p>
    <w:p w14:paraId="065FAA66" w14:textId="47742F4D" w:rsidR="008B207F" w:rsidRPr="008B207F" w:rsidRDefault="008B207F" w:rsidP="008B207F">
      <w:pPr>
        <w:pStyle w:val="CDINumberedList1L1"/>
        <w:numPr>
          <w:ilvl w:val="0"/>
          <w:numId w:val="10"/>
        </w:numPr>
        <w:ind w:left="397" w:hanging="397"/>
        <w:rPr>
          <w:lang w:val="en-GB"/>
        </w:rPr>
      </w:pPr>
      <w:r w:rsidRPr="008B207F">
        <w:rPr>
          <w:lang w:val="en-GB"/>
        </w:rPr>
        <w:t xml:space="preserve">Lahra MM, George CR, Whiley DM. The Australian Gonococcal Surveillance Programme 1979–2017. </w:t>
      </w:r>
      <w:r w:rsidRPr="008B207F">
        <w:rPr>
          <w:i/>
          <w:iCs/>
          <w:lang w:val="en-GB"/>
        </w:rPr>
        <w:t>Microbiol Aust</w:t>
      </w:r>
      <w:r w:rsidRPr="008B207F">
        <w:rPr>
          <w:lang w:val="en-GB"/>
        </w:rPr>
        <w:t xml:space="preserve">. 2017;38(4):175–9. doi: </w:t>
      </w:r>
      <w:hyperlink r:id="rId26" w:history="1">
        <w:r w:rsidRPr="00150665">
          <w:rPr>
            <w:rStyle w:val="Hyperlink"/>
            <w:lang w:val="en-GB"/>
          </w:rPr>
          <w:t>https://doi.org/10.1071/MA17062</w:t>
        </w:r>
      </w:hyperlink>
      <w:r w:rsidRPr="008B207F">
        <w:rPr>
          <w:lang w:val="en-GB"/>
        </w:rPr>
        <w:t xml:space="preserve">. </w:t>
      </w:r>
    </w:p>
    <w:p w14:paraId="1F18CB1F" w14:textId="79304254" w:rsidR="008B207F" w:rsidRPr="008B207F" w:rsidRDefault="008B207F" w:rsidP="008B207F">
      <w:pPr>
        <w:pStyle w:val="CDINumberedList1L1"/>
        <w:ind w:left="397" w:hanging="397"/>
        <w:rPr>
          <w:lang w:val="en-GB"/>
        </w:rPr>
      </w:pPr>
      <w:r w:rsidRPr="008B207F">
        <w:rPr>
          <w:lang w:val="en-GB"/>
        </w:rPr>
        <w:t xml:space="preserve">Lahra MM, Martin I, </w:t>
      </w:r>
      <w:proofErr w:type="spellStart"/>
      <w:r w:rsidRPr="008B207F">
        <w:rPr>
          <w:lang w:val="en-GB"/>
        </w:rPr>
        <w:t>Demczuk</w:t>
      </w:r>
      <w:proofErr w:type="spellEnd"/>
      <w:r w:rsidRPr="008B207F">
        <w:rPr>
          <w:lang w:val="en-GB"/>
        </w:rPr>
        <w:t xml:space="preserve"> W, Jennison AV, Lee KI, Nakayama SI et al. Cooperative recognition of internationally disseminated ceftriaxone-resistant </w:t>
      </w:r>
      <w:r w:rsidRPr="008B207F">
        <w:rPr>
          <w:i/>
          <w:iCs/>
          <w:lang w:val="en-GB"/>
        </w:rPr>
        <w:t>Neisseria gonorrhoeae</w:t>
      </w:r>
      <w:r w:rsidRPr="008B207F">
        <w:rPr>
          <w:lang w:val="en-GB"/>
        </w:rPr>
        <w:t xml:space="preserve"> strain. </w:t>
      </w:r>
      <w:r w:rsidRPr="008B207F">
        <w:rPr>
          <w:i/>
          <w:iCs/>
          <w:lang w:val="en-GB"/>
        </w:rPr>
        <w:t>Emerg Infect Dis</w:t>
      </w:r>
      <w:r w:rsidRPr="008B207F">
        <w:rPr>
          <w:lang w:val="en-GB"/>
        </w:rPr>
        <w:t xml:space="preserve">. 2018;24(4):735–40. doi: </w:t>
      </w:r>
      <w:hyperlink r:id="rId27" w:history="1">
        <w:r w:rsidRPr="00150665">
          <w:rPr>
            <w:rStyle w:val="Hyperlink"/>
            <w:lang w:val="en-GB"/>
          </w:rPr>
          <w:t>https://doi.org/10.3201/eid2404.171873</w:t>
        </w:r>
      </w:hyperlink>
      <w:r w:rsidRPr="008B207F">
        <w:rPr>
          <w:lang w:val="en-GB"/>
        </w:rPr>
        <w:t xml:space="preserve">. </w:t>
      </w:r>
    </w:p>
    <w:p w14:paraId="1535235B" w14:textId="3598DB2D" w:rsidR="008B207F" w:rsidRPr="008B207F" w:rsidRDefault="008B207F" w:rsidP="008B207F">
      <w:pPr>
        <w:pStyle w:val="CDINumberedList1L1"/>
        <w:ind w:left="397" w:hanging="397"/>
        <w:rPr>
          <w:lang w:val="en-GB"/>
        </w:rPr>
      </w:pPr>
      <w:r w:rsidRPr="008B207F">
        <w:rPr>
          <w:lang w:val="en-GB"/>
        </w:rPr>
        <w:t xml:space="preserve">Whiley DM, Jennison A, Pearson J, Lahra MM. Genetic characterisation of </w:t>
      </w:r>
      <w:r w:rsidRPr="008B207F">
        <w:rPr>
          <w:i/>
          <w:iCs/>
          <w:lang w:val="en-GB"/>
        </w:rPr>
        <w:t>Neisseria gonorrhoeae</w:t>
      </w:r>
      <w:r w:rsidRPr="008B207F">
        <w:rPr>
          <w:lang w:val="en-GB"/>
        </w:rPr>
        <w:t xml:space="preserve"> resistant to both ceftriaxone and azithromycin. </w:t>
      </w:r>
      <w:r w:rsidRPr="008B207F">
        <w:rPr>
          <w:i/>
          <w:iCs/>
          <w:lang w:val="en-GB"/>
        </w:rPr>
        <w:t>Lancet Infect Dis</w:t>
      </w:r>
      <w:r w:rsidRPr="008B207F">
        <w:rPr>
          <w:lang w:val="en-GB"/>
        </w:rPr>
        <w:t xml:space="preserve">. 2018; 18(7):717–8. doi: </w:t>
      </w:r>
      <w:hyperlink r:id="rId28" w:history="1">
        <w:r w:rsidRPr="00150665">
          <w:rPr>
            <w:rStyle w:val="Hyperlink"/>
            <w:lang w:val="en-GB"/>
          </w:rPr>
          <w:t>https://doi.org/10.1016/S1473-3099(18)30340-2</w:t>
        </w:r>
      </w:hyperlink>
      <w:r w:rsidRPr="008B207F">
        <w:rPr>
          <w:lang w:val="en-GB"/>
        </w:rPr>
        <w:t xml:space="preserve">. </w:t>
      </w:r>
    </w:p>
    <w:p w14:paraId="329A0B4A" w14:textId="70017764" w:rsidR="008B207F" w:rsidRPr="008B207F" w:rsidRDefault="008B207F" w:rsidP="008B207F">
      <w:pPr>
        <w:pStyle w:val="CDINumberedList1L1"/>
        <w:ind w:left="397" w:hanging="397"/>
        <w:rPr>
          <w:lang w:val="en-GB"/>
        </w:rPr>
      </w:pPr>
      <w:r w:rsidRPr="008B207F">
        <w:rPr>
          <w:lang w:val="en-GB"/>
        </w:rPr>
        <w:t xml:space="preserve">European Centre for Disease Prevention and Control (ECDC). Rapid risk assessment: extensively drug-resistant (XDR) Neisseria gonorrhoeae in the United Kingdom and Australia. [Internet.] Stockholm: ECDC; 7 May 2018. Available from: </w:t>
      </w:r>
      <w:hyperlink r:id="rId29" w:history="1">
        <w:r w:rsidR="008E6FB1" w:rsidRPr="00150665">
          <w:rPr>
            <w:rStyle w:val="Hyperlink"/>
            <w:lang w:val="en-GB"/>
          </w:rPr>
          <w:t>https://www.ecdc.europa.eu/en/publications-data/rapid-risk-assessment-extensively-drug-resistant-xdr-neisseria-gonorrhoeae-united</w:t>
        </w:r>
      </w:hyperlink>
      <w:r w:rsidRPr="008B207F">
        <w:rPr>
          <w:lang w:val="en-GB"/>
        </w:rPr>
        <w:t xml:space="preserve">. </w:t>
      </w:r>
    </w:p>
    <w:p w14:paraId="5AAFD652" w14:textId="6B4609A9" w:rsidR="008B207F" w:rsidRPr="008B207F" w:rsidRDefault="008B207F" w:rsidP="008B207F">
      <w:pPr>
        <w:pStyle w:val="CDINumberedList1L1"/>
        <w:ind w:left="397" w:hanging="397"/>
        <w:rPr>
          <w:lang w:val="en-GB"/>
        </w:rPr>
      </w:pPr>
      <w:proofErr w:type="spellStart"/>
      <w:r w:rsidRPr="008B207F">
        <w:rPr>
          <w:lang w:val="en-GB"/>
        </w:rPr>
        <w:t>Tapsall</w:t>
      </w:r>
      <w:proofErr w:type="spellEnd"/>
      <w:r w:rsidRPr="008B207F">
        <w:rPr>
          <w:lang w:val="en-GB"/>
        </w:rPr>
        <w:t xml:space="preserve"> JW, </w:t>
      </w:r>
      <w:proofErr w:type="spellStart"/>
      <w:r w:rsidRPr="008B207F">
        <w:rPr>
          <w:lang w:val="en-GB"/>
        </w:rPr>
        <w:t>Limnios</w:t>
      </w:r>
      <w:proofErr w:type="spellEnd"/>
      <w:r w:rsidRPr="008B207F">
        <w:rPr>
          <w:lang w:val="en-GB"/>
        </w:rPr>
        <w:t xml:space="preserve"> EA, Murphy DM. Analysis of trends in antimicrobial resistance in </w:t>
      </w:r>
      <w:r w:rsidRPr="008B207F">
        <w:rPr>
          <w:i/>
          <w:iCs/>
          <w:lang w:val="en-GB"/>
        </w:rPr>
        <w:t>Neisseria gonorrhoeae</w:t>
      </w:r>
      <w:r w:rsidRPr="008B207F">
        <w:rPr>
          <w:lang w:val="en-GB"/>
        </w:rPr>
        <w:t xml:space="preserve"> isolated in Australia, 1997–2006. </w:t>
      </w:r>
      <w:r w:rsidRPr="008B207F">
        <w:rPr>
          <w:i/>
          <w:iCs/>
          <w:lang w:val="en-GB"/>
        </w:rPr>
        <w:t>J Antimicrob Chemother</w:t>
      </w:r>
      <w:r w:rsidRPr="008B207F">
        <w:rPr>
          <w:lang w:val="en-GB"/>
        </w:rPr>
        <w:t xml:space="preserve">. 2008;61(1):150–5. doi: </w:t>
      </w:r>
      <w:hyperlink r:id="rId30" w:history="1">
        <w:r w:rsidR="008E6FB1" w:rsidRPr="00150665">
          <w:rPr>
            <w:rStyle w:val="Hyperlink"/>
            <w:lang w:val="en-GB"/>
          </w:rPr>
          <w:t>https://doi.org/10.1093/jac/dkm434</w:t>
        </w:r>
      </w:hyperlink>
      <w:r w:rsidRPr="008B207F">
        <w:rPr>
          <w:lang w:val="en-GB"/>
        </w:rPr>
        <w:t xml:space="preserve">. </w:t>
      </w:r>
    </w:p>
    <w:p w14:paraId="26BDE9B9" w14:textId="619DC562" w:rsidR="008B207F" w:rsidRPr="008B207F" w:rsidRDefault="008B207F" w:rsidP="008B207F">
      <w:pPr>
        <w:pStyle w:val="CDINumberedList1L1"/>
        <w:ind w:left="397" w:hanging="397"/>
        <w:rPr>
          <w:lang w:val="en-GB"/>
        </w:rPr>
      </w:pPr>
      <w:r w:rsidRPr="008B207F">
        <w:rPr>
          <w:lang w:val="en-GB"/>
        </w:rPr>
        <w:t xml:space="preserve">Hanrahan JK, Hogan TR, Buckley C, </w:t>
      </w:r>
      <w:proofErr w:type="spellStart"/>
      <w:r w:rsidRPr="008B207F">
        <w:rPr>
          <w:lang w:val="en-GB"/>
        </w:rPr>
        <w:t>Trembizki</w:t>
      </w:r>
      <w:proofErr w:type="spellEnd"/>
      <w:r w:rsidRPr="008B207F">
        <w:rPr>
          <w:lang w:val="en-GB"/>
        </w:rPr>
        <w:t xml:space="preserve"> E, Mitchell H, Lau CL et al. Emergence and spread of ciprofloxacin-resistant </w:t>
      </w:r>
      <w:r w:rsidRPr="008B207F">
        <w:rPr>
          <w:i/>
          <w:iCs/>
          <w:lang w:val="en-GB"/>
        </w:rPr>
        <w:t>Neisseria gonorrhoeae</w:t>
      </w:r>
      <w:r w:rsidRPr="008B207F">
        <w:rPr>
          <w:lang w:val="en-GB"/>
        </w:rPr>
        <w:t xml:space="preserve"> in New South Wales, Australia: lessons from history. </w:t>
      </w:r>
      <w:r w:rsidRPr="008B207F">
        <w:rPr>
          <w:i/>
          <w:iCs/>
          <w:lang w:val="en-GB"/>
        </w:rPr>
        <w:t>J Antimicrob Chemother</w:t>
      </w:r>
      <w:r w:rsidRPr="008B207F">
        <w:rPr>
          <w:lang w:val="en-GB"/>
        </w:rPr>
        <w:t>. 2019;74(8):2214–9. doi:</w:t>
      </w:r>
      <w:r w:rsidR="008E6FB1">
        <w:rPr>
          <w:lang w:val="en-GB"/>
        </w:rPr>
        <w:t> </w:t>
      </w:r>
      <w:hyperlink r:id="rId31" w:history="1">
        <w:r w:rsidR="008E6FB1" w:rsidRPr="00150665">
          <w:rPr>
            <w:rStyle w:val="Hyperlink"/>
            <w:lang w:val="en-GB"/>
          </w:rPr>
          <w:t>https://doi.org/10.1093/jac/dkz182</w:t>
        </w:r>
      </w:hyperlink>
      <w:r w:rsidRPr="008B207F">
        <w:rPr>
          <w:lang w:val="en-GB"/>
        </w:rPr>
        <w:t xml:space="preserve">. </w:t>
      </w:r>
    </w:p>
    <w:p w14:paraId="5EBC2131" w14:textId="7700E92A" w:rsidR="008B207F" w:rsidRPr="008B207F" w:rsidRDefault="008B207F" w:rsidP="008B207F">
      <w:pPr>
        <w:pStyle w:val="CDINumberedList1L1"/>
        <w:ind w:left="397" w:hanging="397"/>
        <w:rPr>
          <w:lang w:val="en-GB"/>
        </w:rPr>
      </w:pPr>
      <w:r w:rsidRPr="008B207F">
        <w:rPr>
          <w:lang w:val="en-GB"/>
        </w:rPr>
        <w:t xml:space="preserve">World Health Organization (WHO). </w:t>
      </w:r>
      <w:r w:rsidRPr="008B207F">
        <w:rPr>
          <w:i/>
          <w:iCs/>
          <w:lang w:val="en-GB"/>
        </w:rPr>
        <w:t>Global action plan to control the spread and impact of antimicrobial resistance in Neisseria gonorrhoeae</w:t>
      </w:r>
      <w:r w:rsidRPr="008B207F">
        <w:rPr>
          <w:lang w:val="en-GB"/>
        </w:rPr>
        <w:t xml:space="preserve">. Geneva: WHO; 2012. [Accessed on 8 June 2025.] Available from: </w:t>
      </w:r>
      <w:hyperlink r:id="rId32" w:history="1">
        <w:r w:rsidR="008E6FB1" w:rsidRPr="00150665">
          <w:rPr>
            <w:rStyle w:val="Hyperlink"/>
            <w:lang w:val="en-GB"/>
          </w:rPr>
          <w:t>https://apps.who.int/iris/handle/10665/44863</w:t>
        </w:r>
      </w:hyperlink>
      <w:r w:rsidRPr="008B207F">
        <w:rPr>
          <w:lang w:val="en-GB"/>
        </w:rPr>
        <w:t>.</w:t>
      </w:r>
    </w:p>
    <w:p w14:paraId="72523D79" w14:textId="438237C1" w:rsidR="008B207F" w:rsidRPr="008B207F" w:rsidRDefault="008B207F" w:rsidP="008B207F">
      <w:pPr>
        <w:pStyle w:val="CDINumberedList1L1"/>
        <w:ind w:left="397" w:hanging="397"/>
        <w:rPr>
          <w:lang w:val="en-GB"/>
        </w:rPr>
      </w:pPr>
      <w:r w:rsidRPr="008B207F">
        <w:rPr>
          <w:lang w:val="en-GB"/>
        </w:rPr>
        <w:t xml:space="preserve">Armstrong BH, </w:t>
      </w:r>
      <w:proofErr w:type="spellStart"/>
      <w:r w:rsidRPr="008B207F">
        <w:rPr>
          <w:lang w:val="en-GB"/>
        </w:rPr>
        <w:t>Limnios</w:t>
      </w:r>
      <w:proofErr w:type="spellEnd"/>
      <w:r w:rsidRPr="008B207F">
        <w:rPr>
          <w:lang w:val="en-GB"/>
        </w:rPr>
        <w:t xml:space="preserve"> A, Lewis DA, Hogan T, Kundu R, Ray S et al. Is gentamicin a viable therapeutic option for treating resistant </w:t>
      </w:r>
      <w:r w:rsidRPr="008B207F">
        <w:rPr>
          <w:i/>
          <w:iCs/>
          <w:lang w:val="en-GB"/>
        </w:rPr>
        <w:t>Neisseria gonorrhoeae</w:t>
      </w:r>
      <w:r w:rsidRPr="008B207F">
        <w:rPr>
          <w:lang w:val="en-GB"/>
        </w:rPr>
        <w:t xml:space="preserve"> in New South Wales? </w:t>
      </w:r>
      <w:r w:rsidRPr="008B207F">
        <w:rPr>
          <w:i/>
          <w:iCs/>
          <w:lang w:val="en-GB"/>
        </w:rPr>
        <w:t>Commun Dis Intell (2018)</w:t>
      </w:r>
      <w:r w:rsidRPr="008B207F">
        <w:rPr>
          <w:lang w:val="en-GB"/>
        </w:rPr>
        <w:t xml:space="preserve">. 2021;45. doi: </w:t>
      </w:r>
      <w:hyperlink r:id="rId33" w:history="1">
        <w:r w:rsidR="008E6FB1" w:rsidRPr="00150665">
          <w:rPr>
            <w:rStyle w:val="Hyperlink"/>
            <w:lang w:val="en-GB"/>
          </w:rPr>
          <w:t>https://doi.org/10.33321/cdi.2021.45.12</w:t>
        </w:r>
      </w:hyperlink>
      <w:r w:rsidRPr="008B207F">
        <w:rPr>
          <w:lang w:val="en-GB"/>
        </w:rPr>
        <w:t>.</w:t>
      </w:r>
    </w:p>
    <w:p w14:paraId="580D41A4" w14:textId="39D7658A" w:rsidR="008B207F" w:rsidRPr="008B207F" w:rsidRDefault="008B207F" w:rsidP="008B207F">
      <w:pPr>
        <w:pStyle w:val="CDINumberedList1L1"/>
        <w:ind w:left="397" w:hanging="397"/>
        <w:rPr>
          <w:lang w:val="en-GB"/>
        </w:rPr>
      </w:pPr>
      <w:r w:rsidRPr="008B207F">
        <w:rPr>
          <w:lang w:val="en-GB"/>
        </w:rPr>
        <w:t xml:space="preserve">Lahra MM, Hogan TR, Armstrong BH, for the National Neisseria Network. Australian Gonococcal Surveillance Programme Annual Report, 2021. </w:t>
      </w:r>
      <w:r w:rsidRPr="008B207F">
        <w:rPr>
          <w:i/>
          <w:iCs/>
          <w:lang w:val="en-GB"/>
        </w:rPr>
        <w:t>Commun Dis Intell (2018)</w:t>
      </w:r>
      <w:r w:rsidRPr="008B207F">
        <w:rPr>
          <w:lang w:val="en-GB"/>
        </w:rPr>
        <w:t xml:space="preserve">. 2022;46. doi: </w:t>
      </w:r>
      <w:hyperlink r:id="rId34" w:history="1">
        <w:r w:rsidR="008E6FB1" w:rsidRPr="00150665">
          <w:rPr>
            <w:rStyle w:val="Hyperlink"/>
            <w:lang w:val="en-GB"/>
          </w:rPr>
          <w:t>https://doi.org/10.33321/cdi.2022.46.52</w:t>
        </w:r>
      </w:hyperlink>
      <w:r w:rsidRPr="008B207F">
        <w:rPr>
          <w:lang w:val="en-GB"/>
        </w:rPr>
        <w:t xml:space="preserve">. </w:t>
      </w:r>
    </w:p>
    <w:p w14:paraId="0F9C25FE" w14:textId="02C02185" w:rsidR="008B207F" w:rsidRPr="008B207F" w:rsidRDefault="008B207F" w:rsidP="008B207F">
      <w:pPr>
        <w:pStyle w:val="CDINumberedList1L1"/>
        <w:ind w:left="397" w:hanging="397"/>
        <w:rPr>
          <w:lang w:val="en-GB"/>
        </w:rPr>
      </w:pPr>
      <w:r w:rsidRPr="008B207F">
        <w:rPr>
          <w:lang w:val="en-GB"/>
        </w:rPr>
        <w:t xml:space="preserve">Australian Government Department of Health, Disability and Ageing. National Notifiable Diseases Surveillance System (NNDSS) data visualisation tool. [Webpage.] Canberra: Australian Government Department of Health, Disability and Ageing; 14 December 2022. [Accessed on 22 April 2025.] Available from: </w:t>
      </w:r>
      <w:hyperlink r:id="rId35" w:history="1">
        <w:r w:rsidR="008E6FB1" w:rsidRPr="00150665">
          <w:rPr>
            <w:rStyle w:val="Hyperlink"/>
            <w:lang w:val="en-GB"/>
          </w:rPr>
          <w:t>https://www.health.gov.au/resources/apps-and-tools/national-notifiable-diseases-surveillance-system-nndss-data-visualisation-tool</w:t>
        </w:r>
      </w:hyperlink>
      <w:r w:rsidRPr="008B207F">
        <w:rPr>
          <w:lang w:val="en-GB"/>
        </w:rPr>
        <w:t>.</w:t>
      </w:r>
    </w:p>
    <w:p w14:paraId="746A4CF3" w14:textId="5AA6CDF6" w:rsidR="008B207F" w:rsidRPr="008B207F" w:rsidRDefault="008B207F" w:rsidP="008B207F">
      <w:pPr>
        <w:pStyle w:val="CDINumberedList1L1"/>
        <w:ind w:left="397" w:hanging="397"/>
        <w:rPr>
          <w:lang w:val="en-GB"/>
        </w:rPr>
      </w:pPr>
      <w:r w:rsidRPr="008B207F">
        <w:rPr>
          <w:lang w:val="en-GB"/>
        </w:rPr>
        <w:t xml:space="preserve">King J, McManus H, Kwon JA, Gray R, McGregor S, Kirby Institute. </w:t>
      </w:r>
      <w:r w:rsidRPr="008B207F">
        <w:rPr>
          <w:i/>
          <w:iCs/>
          <w:lang w:val="en-GB"/>
        </w:rPr>
        <w:t>HIV, viral hepatitis and sexually transmissible infections in Australia: annual surveillance report 2024: sexually transmissible infections</w:t>
      </w:r>
      <w:r w:rsidRPr="008B207F">
        <w:rPr>
          <w:lang w:val="en-GB"/>
        </w:rPr>
        <w:t xml:space="preserve">. Sydney: University of New South Wales, Kirby Institute; 2024. Available from: </w:t>
      </w:r>
      <w:hyperlink r:id="rId36" w:history="1">
        <w:r w:rsidR="008E6FB1" w:rsidRPr="00150665">
          <w:rPr>
            <w:rStyle w:val="Hyperlink"/>
            <w:lang w:val="en-GB"/>
          </w:rPr>
          <w:t>https://www.kirby.unsw.edu.au/sites/default/files/documents/Annual_Surveillance_Report_2024_STI_1.pdf</w:t>
        </w:r>
      </w:hyperlink>
      <w:r w:rsidRPr="008B207F">
        <w:rPr>
          <w:lang w:val="en-GB"/>
        </w:rPr>
        <w:t xml:space="preserve">. </w:t>
      </w:r>
    </w:p>
    <w:p w14:paraId="2D16F1A7" w14:textId="0C787964" w:rsidR="008B207F" w:rsidRPr="008B207F" w:rsidRDefault="008B207F" w:rsidP="008B207F">
      <w:pPr>
        <w:pStyle w:val="CDINumberedList1L1"/>
        <w:ind w:left="397" w:hanging="397"/>
        <w:rPr>
          <w:lang w:val="en-GB"/>
        </w:rPr>
      </w:pPr>
      <w:proofErr w:type="spellStart"/>
      <w:r w:rsidRPr="008B207F">
        <w:rPr>
          <w:lang w:val="en-GB"/>
        </w:rPr>
        <w:lastRenderedPageBreak/>
        <w:t>Naruka</w:t>
      </w:r>
      <w:proofErr w:type="spellEnd"/>
      <w:r w:rsidRPr="008B207F">
        <w:rPr>
          <w:lang w:val="en-GB"/>
        </w:rPr>
        <w:t xml:space="preserve"> E, King J, Miller A, Thomas JR, Monaghan R, McGregor S. Bloodborne viral and sexually transmissible infections in Aboriginal and Torres Strait Islander peoples: annual surveillance report 2024. Sydney: University of New South Wales, Kirby Institute; 2024. Available from: </w:t>
      </w:r>
      <w:hyperlink r:id="rId37" w:history="1">
        <w:r w:rsidR="008E6FB1" w:rsidRPr="00150665">
          <w:rPr>
            <w:rStyle w:val="Hyperlink"/>
            <w:lang w:val="en-GB"/>
          </w:rPr>
          <w:t>https://data.kirby.unsw.edu.au/atsi-report</w:t>
        </w:r>
      </w:hyperlink>
      <w:r w:rsidRPr="008B207F">
        <w:rPr>
          <w:lang w:val="en-GB"/>
        </w:rPr>
        <w:t>.</w:t>
      </w:r>
    </w:p>
    <w:p w14:paraId="64415262" w14:textId="657F6D0C" w:rsidR="008B207F" w:rsidRPr="008B207F" w:rsidRDefault="008B207F" w:rsidP="008B207F">
      <w:pPr>
        <w:pStyle w:val="CDINumberedList1L1"/>
        <w:ind w:left="397" w:hanging="397"/>
        <w:rPr>
          <w:lang w:val="en-GB"/>
        </w:rPr>
      </w:pPr>
      <w:r w:rsidRPr="008B207F">
        <w:rPr>
          <w:lang w:val="en-GB"/>
        </w:rPr>
        <w:t xml:space="preserve">Goire N, Freeman K, </w:t>
      </w:r>
      <w:proofErr w:type="spellStart"/>
      <w:r w:rsidRPr="008B207F">
        <w:rPr>
          <w:lang w:val="en-GB"/>
        </w:rPr>
        <w:t>Tapsall</w:t>
      </w:r>
      <w:proofErr w:type="spellEnd"/>
      <w:r w:rsidRPr="008B207F">
        <w:rPr>
          <w:lang w:val="en-GB"/>
        </w:rPr>
        <w:t xml:space="preserve"> JW, Lambert SB, Nissen MD, Sloots TP et al. Enhancing gonococcal antimicrobial resistance surveillance: a real-time PCR assay for detection of penicillinase-producing </w:t>
      </w:r>
      <w:r w:rsidRPr="008B207F">
        <w:rPr>
          <w:i/>
          <w:iCs/>
          <w:lang w:val="en-GB"/>
        </w:rPr>
        <w:t>Neisseria gonorrhoeae</w:t>
      </w:r>
      <w:r w:rsidRPr="008B207F">
        <w:rPr>
          <w:lang w:val="en-GB"/>
        </w:rPr>
        <w:t xml:space="preserve"> by use of </w:t>
      </w:r>
      <w:proofErr w:type="spellStart"/>
      <w:r w:rsidRPr="008B207F">
        <w:rPr>
          <w:lang w:val="en-GB"/>
        </w:rPr>
        <w:t>noncultured</w:t>
      </w:r>
      <w:proofErr w:type="spellEnd"/>
      <w:r w:rsidRPr="008B207F">
        <w:rPr>
          <w:lang w:val="en-GB"/>
        </w:rPr>
        <w:t xml:space="preserve"> clinical samples. </w:t>
      </w:r>
      <w:r w:rsidRPr="008B207F">
        <w:rPr>
          <w:i/>
          <w:iCs/>
          <w:lang w:val="en-GB"/>
        </w:rPr>
        <w:t>J Clin Microbiol</w:t>
      </w:r>
      <w:r w:rsidRPr="008B207F">
        <w:rPr>
          <w:lang w:val="en-GB"/>
        </w:rPr>
        <w:t xml:space="preserve">. 2011;49(2):513–8. doi: </w:t>
      </w:r>
      <w:hyperlink r:id="rId38" w:history="1">
        <w:r w:rsidR="008E6FB1" w:rsidRPr="00150665">
          <w:rPr>
            <w:rStyle w:val="Hyperlink"/>
            <w:lang w:val="en-GB"/>
          </w:rPr>
          <w:t>https://doi.org/10.1128/JCM.02024-10</w:t>
        </w:r>
      </w:hyperlink>
      <w:r w:rsidRPr="008B207F">
        <w:rPr>
          <w:lang w:val="en-GB"/>
        </w:rPr>
        <w:t xml:space="preserve">. </w:t>
      </w:r>
    </w:p>
    <w:p w14:paraId="390254B7" w14:textId="4266123D" w:rsidR="008B207F" w:rsidRPr="008B207F" w:rsidRDefault="008B207F" w:rsidP="008B207F">
      <w:pPr>
        <w:pStyle w:val="CDINumberedList1L1"/>
        <w:ind w:left="397" w:hanging="397"/>
        <w:rPr>
          <w:lang w:val="en-GB"/>
        </w:rPr>
      </w:pPr>
      <w:r w:rsidRPr="008B207F">
        <w:rPr>
          <w:lang w:val="en-GB"/>
        </w:rPr>
        <w:t xml:space="preserve">Speers DJ, Fisk RE, Goire N, Mak DB. Non-culture </w:t>
      </w:r>
      <w:r w:rsidRPr="008B207F">
        <w:rPr>
          <w:i/>
          <w:iCs/>
          <w:lang w:val="en-GB"/>
        </w:rPr>
        <w:t>Neisseria gonorrhoeae</w:t>
      </w:r>
      <w:r w:rsidRPr="008B207F">
        <w:rPr>
          <w:lang w:val="en-GB"/>
        </w:rPr>
        <w:t xml:space="preserve"> molecular penicillinase production surveillance demonstrates the long-term success of empirical dual therapy and informs gonorrhoea management guidelines in a highly endemic setting. </w:t>
      </w:r>
      <w:r w:rsidRPr="008B207F">
        <w:rPr>
          <w:i/>
          <w:iCs/>
          <w:lang w:val="en-GB"/>
        </w:rPr>
        <w:t>J</w:t>
      </w:r>
      <w:r w:rsidR="008E6FB1">
        <w:rPr>
          <w:i/>
          <w:iCs/>
          <w:lang w:val="en-GB"/>
        </w:rPr>
        <w:t> </w:t>
      </w:r>
      <w:r w:rsidRPr="008B207F">
        <w:rPr>
          <w:i/>
          <w:iCs/>
          <w:lang w:val="en-GB"/>
        </w:rPr>
        <w:t>Antimicrob Chemother</w:t>
      </w:r>
      <w:r w:rsidRPr="008B207F">
        <w:rPr>
          <w:lang w:val="en-GB"/>
        </w:rPr>
        <w:t xml:space="preserve">. 2014;69(5):1243–7. doi: </w:t>
      </w:r>
      <w:hyperlink r:id="rId39" w:history="1">
        <w:r w:rsidR="008E6FB1" w:rsidRPr="00150665">
          <w:rPr>
            <w:rStyle w:val="Hyperlink"/>
            <w:lang w:val="en-GB"/>
          </w:rPr>
          <w:t>https://doi.org/10.1093/jac/dkt501</w:t>
        </w:r>
      </w:hyperlink>
      <w:r w:rsidRPr="008B207F">
        <w:rPr>
          <w:lang w:val="en-GB"/>
        </w:rPr>
        <w:t xml:space="preserve">. </w:t>
      </w:r>
    </w:p>
    <w:p w14:paraId="2978C587" w14:textId="64164895" w:rsidR="008B207F" w:rsidRPr="008B207F" w:rsidRDefault="008B207F" w:rsidP="008B207F">
      <w:pPr>
        <w:pStyle w:val="CDINumberedList1L1"/>
        <w:ind w:left="397" w:hanging="397"/>
        <w:rPr>
          <w:lang w:val="en-GB"/>
        </w:rPr>
      </w:pPr>
      <w:r w:rsidRPr="008B207F">
        <w:rPr>
          <w:lang w:val="en-GB"/>
        </w:rPr>
        <w:t xml:space="preserve">Northern Territory Government Department of Health (NT Health), Centre for Disease Control. </w:t>
      </w:r>
      <w:r w:rsidRPr="008B207F">
        <w:rPr>
          <w:i/>
          <w:iCs/>
          <w:lang w:val="en-GB"/>
        </w:rPr>
        <w:t>Public Health Alert: Penicillinase-producing Neisseria gonorrhoeae (PPNG): changes treatment recommendations for gonorrhoea NT wide</w:t>
      </w:r>
      <w:r w:rsidRPr="008B207F">
        <w:rPr>
          <w:lang w:val="en-GB"/>
        </w:rPr>
        <w:t xml:space="preserve">. Darwin: NT Health; 23 October 2023. Available from: </w:t>
      </w:r>
      <w:hyperlink r:id="rId40" w:history="1">
        <w:r w:rsidR="008E6FB1" w:rsidRPr="00150665">
          <w:rPr>
            <w:rStyle w:val="Hyperlink"/>
            <w:lang w:val="en-GB"/>
          </w:rPr>
          <w:t>https://health.nt.gov.au/__data/assets/pdf_file/0006/1288635/health-alert-penicillinase-producing-neisseria-gonorrhoeae-231023.pdf</w:t>
        </w:r>
      </w:hyperlink>
      <w:r w:rsidRPr="008B207F">
        <w:rPr>
          <w:lang w:val="en-GB"/>
        </w:rPr>
        <w:t>.</w:t>
      </w:r>
    </w:p>
    <w:p w14:paraId="193E85BE" w14:textId="087F91D3" w:rsidR="008B207F" w:rsidRPr="008B207F" w:rsidRDefault="008B207F" w:rsidP="008B207F">
      <w:pPr>
        <w:pStyle w:val="CDINumberedList1L1"/>
        <w:ind w:left="397" w:hanging="397"/>
        <w:rPr>
          <w:lang w:val="en-GB"/>
        </w:rPr>
      </w:pPr>
      <w:proofErr w:type="spellStart"/>
      <w:r w:rsidRPr="008B207F">
        <w:rPr>
          <w:lang w:val="en-GB"/>
        </w:rPr>
        <w:t>Tapsall</w:t>
      </w:r>
      <w:proofErr w:type="spellEnd"/>
      <w:r w:rsidRPr="008B207F">
        <w:rPr>
          <w:lang w:val="en-GB"/>
        </w:rPr>
        <w:t xml:space="preserve"> J, World Health Organization (WHO) Anti-Infective Drug Resistance Surveillance and Containment Team. </w:t>
      </w:r>
      <w:r w:rsidRPr="008B207F">
        <w:rPr>
          <w:i/>
          <w:iCs/>
          <w:lang w:val="en-GB"/>
        </w:rPr>
        <w:t>Antimicrobial resistance in Neisseria gonorrhoeae</w:t>
      </w:r>
      <w:r w:rsidRPr="008B207F">
        <w:rPr>
          <w:lang w:val="en-GB"/>
        </w:rPr>
        <w:t xml:space="preserve">. Geneva: WHO; 2001. [Accessed on 12 June 2025.] Available from: </w:t>
      </w:r>
      <w:hyperlink r:id="rId41" w:history="1">
        <w:r w:rsidR="008E6FB1" w:rsidRPr="00150665">
          <w:rPr>
            <w:rStyle w:val="Hyperlink"/>
            <w:lang w:val="en-GB"/>
          </w:rPr>
          <w:t>https://apps.who.int/iris/handle/10665/66963</w:t>
        </w:r>
      </w:hyperlink>
      <w:r w:rsidRPr="008B207F">
        <w:rPr>
          <w:lang w:val="en-GB"/>
        </w:rPr>
        <w:t>.</w:t>
      </w:r>
    </w:p>
    <w:p w14:paraId="0E9D7842" w14:textId="6146538C" w:rsidR="008B207F" w:rsidRPr="008B207F" w:rsidRDefault="008B207F" w:rsidP="008B207F">
      <w:pPr>
        <w:pStyle w:val="CDINumberedList1L1"/>
        <w:ind w:left="397" w:hanging="397"/>
        <w:rPr>
          <w:lang w:val="en-GB"/>
        </w:rPr>
      </w:pPr>
      <w:proofErr w:type="spellStart"/>
      <w:r w:rsidRPr="008B207F">
        <w:rPr>
          <w:lang w:val="en-GB"/>
        </w:rPr>
        <w:t>Tapsall</w:t>
      </w:r>
      <w:proofErr w:type="spellEnd"/>
      <w:r w:rsidRPr="008B207F">
        <w:rPr>
          <w:lang w:val="en-GB"/>
        </w:rPr>
        <w:t xml:space="preserve"> JW, Australian Gonococcal Surveillance Programme. Use of a quality assurance scheme in a long-term multicentric study of antibiotic susceptibility of </w:t>
      </w:r>
      <w:r w:rsidRPr="008B207F">
        <w:rPr>
          <w:i/>
          <w:iCs/>
          <w:lang w:val="en-GB"/>
        </w:rPr>
        <w:t>Neisseria gonorrhoeae</w:t>
      </w:r>
      <w:r w:rsidRPr="008B207F">
        <w:rPr>
          <w:lang w:val="en-GB"/>
        </w:rPr>
        <w:t xml:space="preserve">. </w:t>
      </w:r>
      <w:proofErr w:type="spellStart"/>
      <w:r w:rsidRPr="008B207F">
        <w:rPr>
          <w:i/>
          <w:iCs/>
          <w:lang w:val="en-GB"/>
        </w:rPr>
        <w:t>Genitourin</w:t>
      </w:r>
      <w:proofErr w:type="spellEnd"/>
      <w:r w:rsidRPr="008B207F">
        <w:rPr>
          <w:i/>
          <w:iCs/>
          <w:lang w:val="en-GB"/>
        </w:rPr>
        <w:t xml:space="preserve"> Med</w:t>
      </w:r>
      <w:r w:rsidRPr="008B207F">
        <w:rPr>
          <w:lang w:val="en-GB"/>
        </w:rPr>
        <w:t xml:space="preserve">. 1990;66(1):8–13. doi: </w:t>
      </w:r>
      <w:hyperlink r:id="rId42" w:history="1">
        <w:r w:rsidR="008E6FB1" w:rsidRPr="00150665">
          <w:rPr>
            <w:rStyle w:val="Hyperlink"/>
            <w:lang w:val="en-GB"/>
          </w:rPr>
          <w:t>https://doi.org/10.1136/sti.66.1.8</w:t>
        </w:r>
      </w:hyperlink>
      <w:r w:rsidRPr="008B207F">
        <w:rPr>
          <w:lang w:val="en-GB"/>
        </w:rPr>
        <w:t xml:space="preserve">. </w:t>
      </w:r>
    </w:p>
    <w:p w14:paraId="4A1B3239" w14:textId="127934AB" w:rsidR="008B207F" w:rsidRPr="008B207F" w:rsidRDefault="008B207F" w:rsidP="008B207F">
      <w:pPr>
        <w:pStyle w:val="CDINumberedList1L1"/>
        <w:ind w:left="397" w:hanging="397"/>
        <w:rPr>
          <w:lang w:val="en-GB"/>
        </w:rPr>
      </w:pPr>
      <w:r w:rsidRPr="008B207F">
        <w:rPr>
          <w:i/>
          <w:iCs/>
          <w:lang w:val="en-GB"/>
        </w:rPr>
        <w:t>Communicable Diseases Intelligence</w:t>
      </w:r>
      <w:r w:rsidRPr="008B207F">
        <w:rPr>
          <w:lang w:val="en-GB"/>
        </w:rPr>
        <w:t xml:space="preserve"> website. Australian Gonococcal Surveillance Programme (AGSP) annual reports 2008–2023. [Webpage.] Canberra: Australian Government Department of Health and Aged Care, Interim Australian Centre for Disease Control; 2025. [Accessed on 12 June 2025.] Available from: </w:t>
      </w:r>
      <w:hyperlink r:id="rId43" w:history="1">
        <w:r w:rsidR="008E6FB1" w:rsidRPr="00150665">
          <w:rPr>
            <w:rStyle w:val="Hyperlink"/>
            <w:lang w:val="en-GB"/>
          </w:rPr>
          <w:t>https://ojs.cdi.cdc.gov.au/index.php/cdi/catalog/category/Gonococcal_AGSP_annual_reports</w:t>
        </w:r>
      </w:hyperlink>
      <w:r w:rsidRPr="008B207F">
        <w:rPr>
          <w:lang w:val="en-GB"/>
        </w:rPr>
        <w:t>.</w:t>
      </w:r>
    </w:p>
    <w:p w14:paraId="1062A208" w14:textId="700F2C52" w:rsidR="008B207F" w:rsidRPr="008B207F" w:rsidRDefault="008B207F" w:rsidP="008B207F">
      <w:pPr>
        <w:pStyle w:val="CDINumberedList1L1"/>
        <w:ind w:left="397" w:hanging="397"/>
        <w:rPr>
          <w:lang w:val="en-GB"/>
        </w:rPr>
      </w:pPr>
      <w:r w:rsidRPr="008B207F">
        <w:rPr>
          <w:lang w:val="en-GB"/>
        </w:rPr>
        <w:t xml:space="preserve">Bercot B, </w:t>
      </w:r>
      <w:proofErr w:type="spellStart"/>
      <w:r w:rsidRPr="008B207F">
        <w:rPr>
          <w:lang w:val="en-GB"/>
        </w:rPr>
        <w:t>Caméléna</w:t>
      </w:r>
      <w:proofErr w:type="spellEnd"/>
      <w:r w:rsidRPr="008B207F">
        <w:rPr>
          <w:lang w:val="en-GB"/>
        </w:rPr>
        <w:t xml:space="preserve"> F, </w:t>
      </w:r>
      <w:proofErr w:type="spellStart"/>
      <w:r w:rsidRPr="008B207F">
        <w:rPr>
          <w:lang w:val="en-GB"/>
        </w:rPr>
        <w:t>Mérimèche</w:t>
      </w:r>
      <w:proofErr w:type="spellEnd"/>
      <w:r w:rsidRPr="008B207F">
        <w:rPr>
          <w:lang w:val="en-GB"/>
        </w:rPr>
        <w:t xml:space="preserve"> M, Jacobsson S, Sbaa G, </w:t>
      </w:r>
      <w:proofErr w:type="spellStart"/>
      <w:r w:rsidRPr="008B207F">
        <w:rPr>
          <w:lang w:val="en-GB"/>
        </w:rPr>
        <w:t>Mainardis</w:t>
      </w:r>
      <w:proofErr w:type="spellEnd"/>
      <w:r w:rsidRPr="008B207F">
        <w:rPr>
          <w:lang w:val="en-GB"/>
        </w:rPr>
        <w:t xml:space="preserve"> M et al. Ceftriaxone-resistant, multidrug-resistant </w:t>
      </w:r>
      <w:r w:rsidRPr="008B207F">
        <w:rPr>
          <w:i/>
          <w:iCs/>
          <w:lang w:val="en-GB"/>
        </w:rPr>
        <w:t>Neisseria gonorrhoeae</w:t>
      </w:r>
      <w:r w:rsidRPr="008B207F">
        <w:rPr>
          <w:lang w:val="en-GB"/>
        </w:rPr>
        <w:t xml:space="preserve"> with a novel mosaic </w:t>
      </w:r>
      <w:r w:rsidRPr="008B207F">
        <w:rPr>
          <w:i/>
          <w:iCs/>
          <w:lang w:val="en-GB"/>
        </w:rPr>
        <w:t>penA-237.001 gene</w:t>
      </w:r>
      <w:r w:rsidRPr="008B207F">
        <w:rPr>
          <w:lang w:val="en-GB"/>
        </w:rPr>
        <w:t xml:space="preserve">, France, June 2022. </w:t>
      </w:r>
      <w:r w:rsidRPr="008B207F">
        <w:rPr>
          <w:i/>
          <w:iCs/>
          <w:lang w:val="en-GB"/>
        </w:rPr>
        <w:t xml:space="preserve">Euro </w:t>
      </w:r>
      <w:proofErr w:type="spellStart"/>
      <w:r w:rsidRPr="008B207F">
        <w:rPr>
          <w:i/>
          <w:iCs/>
          <w:lang w:val="en-GB"/>
        </w:rPr>
        <w:t>Surveill</w:t>
      </w:r>
      <w:proofErr w:type="spellEnd"/>
      <w:r w:rsidRPr="008B207F">
        <w:rPr>
          <w:lang w:val="en-GB"/>
        </w:rPr>
        <w:t xml:space="preserve">. 2022;27(50):2200899. doi: </w:t>
      </w:r>
      <w:hyperlink r:id="rId44" w:history="1">
        <w:r w:rsidR="008E6FB1" w:rsidRPr="00150665">
          <w:rPr>
            <w:rStyle w:val="Hyperlink"/>
            <w:lang w:val="en-GB"/>
          </w:rPr>
          <w:t>https://doi.org/10.2807/1560-7917.ES.2022.27.50.2200899</w:t>
        </w:r>
      </w:hyperlink>
      <w:r w:rsidRPr="008B207F">
        <w:rPr>
          <w:lang w:val="en-GB"/>
        </w:rPr>
        <w:t xml:space="preserve">. </w:t>
      </w:r>
    </w:p>
    <w:p w14:paraId="32EEC0E8" w14:textId="022CDDE9" w:rsidR="008B207F" w:rsidRPr="008B207F" w:rsidRDefault="008B207F" w:rsidP="008B207F">
      <w:pPr>
        <w:pStyle w:val="CDINumberedList1L1"/>
        <w:ind w:left="397" w:hanging="397"/>
        <w:rPr>
          <w:lang w:val="en-GB"/>
        </w:rPr>
      </w:pPr>
      <w:r w:rsidRPr="008B207F">
        <w:rPr>
          <w:lang w:val="en-GB"/>
        </w:rPr>
        <w:t xml:space="preserve">Lahra MM, van Hal SJ, Hogan TR, for the National Neisseria Network. Australian Gonococcal Surveillance Programme Annual Report, 2022. </w:t>
      </w:r>
      <w:r w:rsidRPr="008B207F">
        <w:rPr>
          <w:i/>
          <w:iCs/>
          <w:lang w:val="en-GB"/>
        </w:rPr>
        <w:t>Commun Dis Intell (2018)</w:t>
      </w:r>
      <w:r w:rsidRPr="008B207F">
        <w:rPr>
          <w:lang w:val="en-GB"/>
        </w:rPr>
        <w:t>. 2023;47. doi:</w:t>
      </w:r>
      <w:r w:rsidR="008E6FB1">
        <w:rPr>
          <w:lang w:val="en-GB"/>
        </w:rPr>
        <w:t> </w:t>
      </w:r>
      <w:hyperlink r:id="rId45" w:history="1">
        <w:r w:rsidR="008E6FB1" w:rsidRPr="00150665">
          <w:rPr>
            <w:rStyle w:val="Hyperlink"/>
            <w:lang w:val="en-GB"/>
          </w:rPr>
          <w:t>https://doi.org/10.33321/cdi.2023.47.45</w:t>
        </w:r>
      </w:hyperlink>
      <w:r w:rsidRPr="008B207F">
        <w:rPr>
          <w:lang w:val="en-GB"/>
        </w:rPr>
        <w:t xml:space="preserve">. </w:t>
      </w:r>
    </w:p>
    <w:p w14:paraId="0C6B605F" w14:textId="1FCFB88D" w:rsidR="008B207F" w:rsidRPr="008B207F" w:rsidRDefault="008B207F" w:rsidP="008B207F">
      <w:pPr>
        <w:pStyle w:val="CDINumberedList1L1"/>
        <w:ind w:left="397" w:hanging="397"/>
        <w:rPr>
          <w:lang w:val="en-GB"/>
        </w:rPr>
      </w:pPr>
      <w:proofErr w:type="spellStart"/>
      <w:r w:rsidRPr="008B207F">
        <w:rPr>
          <w:lang w:val="en-GB"/>
        </w:rPr>
        <w:t>Laumen</w:t>
      </w:r>
      <w:proofErr w:type="spellEnd"/>
      <w:r w:rsidRPr="008B207F">
        <w:rPr>
          <w:lang w:val="en-GB"/>
        </w:rPr>
        <w:t xml:space="preserve"> JGE, Manoharan-Basil SS, Verhoeven E, </w:t>
      </w:r>
      <w:proofErr w:type="spellStart"/>
      <w:r w:rsidRPr="008B207F">
        <w:rPr>
          <w:lang w:val="en-GB"/>
        </w:rPr>
        <w:t>Abdellati</w:t>
      </w:r>
      <w:proofErr w:type="spellEnd"/>
      <w:r w:rsidRPr="008B207F">
        <w:rPr>
          <w:lang w:val="en-GB"/>
        </w:rPr>
        <w:t xml:space="preserve"> S, De </w:t>
      </w:r>
      <w:proofErr w:type="spellStart"/>
      <w:r w:rsidRPr="008B207F">
        <w:rPr>
          <w:lang w:val="en-GB"/>
        </w:rPr>
        <w:t>Baetselier</w:t>
      </w:r>
      <w:proofErr w:type="spellEnd"/>
      <w:r w:rsidRPr="008B207F">
        <w:rPr>
          <w:lang w:val="en-GB"/>
        </w:rPr>
        <w:t xml:space="preserve"> I, Crucitti T et al. Molecular pathways to high-level azithromycin resistance in </w:t>
      </w:r>
      <w:r w:rsidRPr="008B207F">
        <w:rPr>
          <w:i/>
          <w:iCs/>
          <w:lang w:val="en-GB"/>
        </w:rPr>
        <w:t>Neisseria gonorrhoeae</w:t>
      </w:r>
      <w:r w:rsidRPr="008B207F">
        <w:rPr>
          <w:lang w:val="en-GB"/>
        </w:rPr>
        <w:t xml:space="preserve">. </w:t>
      </w:r>
      <w:r w:rsidRPr="008B207F">
        <w:rPr>
          <w:i/>
          <w:iCs/>
          <w:lang w:val="en-GB"/>
        </w:rPr>
        <w:t>J</w:t>
      </w:r>
      <w:r w:rsidR="008E6FB1">
        <w:rPr>
          <w:i/>
          <w:iCs/>
          <w:lang w:val="en-GB"/>
        </w:rPr>
        <w:t> </w:t>
      </w:r>
      <w:r w:rsidRPr="008B207F">
        <w:rPr>
          <w:i/>
          <w:iCs/>
          <w:lang w:val="en-GB"/>
        </w:rPr>
        <w:t>Antimicrob Chemother</w:t>
      </w:r>
      <w:r w:rsidRPr="008B207F">
        <w:rPr>
          <w:lang w:val="en-GB"/>
        </w:rPr>
        <w:t xml:space="preserve">. 2021;76(7):1752–8. doi: </w:t>
      </w:r>
      <w:hyperlink r:id="rId46" w:history="1">
        <w:r w:rsidR="008E6FB1" w:rsidRPr="00150665">
          <w:rPr>
            <w:rStyle w:val="Hyperlink"/>
            <w:lang w:val="en-GB"/>
          </w:rPr>
          <w:t>https://doi.org/10.1093/jac/dkab084</w:t>
        </w:r>
      </w:hyperlink>
      <w:r w:rsidRPr="008B207F">
        <w:rPr>
          <w:lang w:val="en-GB"/>
        </w:rPr>
        <w:t xml:space="preserve">. </w:t>
      </w:r>
    </w:p>
    <w:p w14:paraId="0E5CD90F" w14:textId="4203D009" w:rsidR="008B207F" w:rsidRPr="008B207F" w:rsidRDefault="008B207F" w:rsidP="008B207F">
      <w:pPr>
        <w:pStyle w:val="CDINumberedList1L1"/>
        <w:ind w:left="397" w:hanging="397"/>
        <w:rPr>
          <w:lang w:val="en-GB"/>
        </w:rPr>
      </w:pPr>
      <w:r w:rsidRPr="008B207F">
        <w:rPr>
          <w:lang w:val="en-GB"/>
        </w:rPr>
        <w:t xml:space="preserve">Lahra MM, van Hal SJ, Hogan TR. Australian Gonococcal Surveillance Programme Annual Report, 2023. </w:t>
      </w:r>
      <w:r w:rsidRPr="008B207F">
        <w:rPr>
          <w:i/>
          <w:iCs/>
          <w:lang w:val="en-GB"/>
        </w:rPr>
        <w:t>Commun Dis Intell (2018)</w:t>
      </w:r>
      <w:r w:rsidRPr="008B207F">
        <w:rPr>
          <w:lang w:val="en-GB"/>
        </w:rPr>
        <w:t>. 2025;49. doi:</w:t>
      </w:r>
      <w:r w:rsidR="008E6FB1">
        <w:rPr>
          <w:lang w:val="en-GB"/>
        </w:rPr>
        <w:t> </w:t>
      </w:r>
      <w:hyperlink r:id="rId47" w:history="1">
        <w:r w:rsidR="008E6FB1" w:rsidRPr="00150665">
          <w:rPr>
            <w:rStyle w:val="Hyperlink"/>
            <w:lang w:val="en-GB"/>
          </w:rPr>
          <w:t>https://doi.org/10.33321/cdi.2025.49.007</w:t>
        </w:r>
      </w:hyperlink>
      <w:r w:rsidRPr="008B207F">
        <w:rPr>
          <w:lang w:val="en-GB"/>
        </w:rPr>
        <w:t xml:space="preserve">. </w:t>
      </w:r>
    </w:p>
    <w:p w14:paraId="1AFFBEF0" w14:textId="3AB76682" w:rsidR="008B207F" w:rsidRPr="008B207F" w:rsidRDefault="008B207F" w:rsidP="008B207F">
      <w:pPr>
        <w:pStyle w:val="CDINumberedList1L1"/>
        <w:ind w:left="397" w:hanging="397"/>
        <w:rPr>
          <w:lang w:val="en-GB"/>
        </w:rPr>
      </w:pPr>
      <w:r w:rsidRPr="008B207F">
        <w:rPr>
          <w:lang w:val="en-GB"/>
        </w:rPr>
        <w:lastRenderedPageBreak/>
        <w:t xml:space="preserve">van Hal SJ, Whiley DM, Le T, Ray S, Kundu RL, Kerr E et al. Rapid expansion of </w:t>
      </w:r>
      <w:r w:rsidRPr="008B207F">
        <w:rPr>
          <w:i/>
          <w:iCs/>
          <w:lang w:val="en-GB"/>
        </w:rPr>
        <w:t>Neisseria gonorrhoeae</w:t>
      </w:r>
      <w:r w:rsidRPr="008B207F">
        <w:rPr>
          <w:lang w:val="en-GB"/>
        </w:rPr>
        <w:t xml:space="preserve"> ST-7827 clone in Australia, with variable ceftriaxone phenotype unexplained by genotype. </w:t>
      </w:r>
      <w:r w:rsidRPr="008B207F">
        <w:rPr>
          <w:i/>
          <w:iCs/>
          <w:lang w:val="en-GB"/>
        </w:rPr>
        <w:t>J Antimicrob Chemother</w:t>
      </w:r>
      <w:r w:rsidRPr="008B207F">
        <w:rPr>
          <w:lang w:val="en-GB"/>
        </w:rPr>
        <w:t>. 2023;78(9):2203–8. doi:</w:t>
      </w:r>
      <w:r w:rsidR="008E6FB1">
        <w:rPr>
          <w:lang w:val="en-GB"/>
        </w:rPr>
        <w:t> </w:t>
      </w:r>
      <w:hyperlink r:id="rId48" w:history="1">
        <w:r w:rsidR="008E6FB1" w:rsidRPr="00150665">
          <w:rPr>
            <w:rStyle w:val="Hyperlink"/>
            <w:lang w:val="en-GB"/>
          </w:rPr>
          <w:t>https://doi.org/10.1093/jac/dkad221</w:t>
        </w:r>
      </w:hyperlink>
      <w:r w:rsidRPr="008B207F">
        <w:rPr>
          <w:lang w:val="en-GB"/>
        </w:rPr>
        <w:t xml:space="preserve">. </w:t>
      </w:r>
    </w:p>
    <w:p w14:paraId="604CB049" w14:textId="4F2A318C" w:rsidR="008B207F" w:rsidRPr="008B207F" w:rsidRDefault="008B207F" w:rsidP="008B207F">
      <w:pPr>
        <w:pStyle w:val="CDINumberedList1L1"/>
        <w:ind w:left="397" w:hanging="397"/>
        <w:rPr>
          <w:lang w:val="en-GB"/>
        </w:rPr>
      </w:pPr>
      <w:r w:rsidRPr="008B207F">
        <w:rPr>
          <w:lang w:val="en-GB"/>
        </w:rPr>
        <w:t xml:space="preserve">Osnes MN, Didelot X, Korne-Elenbaas J, </w:t>
      </w:r>
      <w:proofErr w:type="spellStart"/>
      <w:r w:rsidRPr="008B207F">
        <w:rPr>
          <w:lang w:val="en-GB"/>
        </w:rPr>
        <w:t>Alfsnes</w:t>
      </w:r>
      <w:proofErr w:type="spellEnd"/>
      <w:r w:rsidRPr="008B207F">
        <w:rPr>
          <w:lang w:val="en-GB"/>
        </w:rPr>
        <w:t xml:space="preserve"> K, </w:t>
      </w:r>
      <w:proofErr w:type="spellStart"/>
      <w:r w:rsidRPr="008B207F">
        <w:rPr>
          <w:lang w:val="en-GB"/>
        </w:rPr>
        <w:t>Brynildsrud</w:t>
      </w:r>
      <w:proofErr w:type="spellEnd"/>
      <w:r w:rsidRPr="008B207F">
        <w:rPr>
          <w:lang w:val="en-GB"/>
        </w:rPr>
        <w:t xml:space="preserve"> OB, Syversen G et al. Sudden emergence of a </w:t>
      </w:r>
      <w:r w:rsidRPr="008B207F">
        <w:rPr>
          <w:i/>
          <w:iCs/>
          <w:lang w:val="en-GB"/>
        </w:rPr>
        <w:t>Neisseria gonorrhoeae</w:t>
      </w:r>
      <w:r w:rsidRPr="008B207F">
        <w:rPr>
          <w:lang w:val="en-GB"/>
        </w:rPr>
        <w:t xml:space="preserve"> clade with reduced susceptibility to extended-spectrum cephalosporins, Norway. </w:t>
      </w:r>
      <w:proofErr w:type="spellStart"/>
      <w:r w:rsidRPr="008B207F">
        <w:rPr>
          <w:i/>
          <w:iCs/>
          <w:lang w:val="en-GB"/>
        </w:rPr>
        <w:t>Microb</w:t>
      </w:r>
      <w:proofErr w:type="spellEnd"/>
      <w:r w:rsidRPr="008B207F">
        <w:rPr>
          <w:i/>
          <w:iCs/>
          <w:lang w:val="en-GB"/>
        </w:rPr>
        <w:t xml:space="preserve"> </w:t>
      </w:r>
      <w:proofErr w:type="spellStart"/>
      <w:r w:rsidRPr="008B207F">
        <w:rPr>
          <w:i/>
          <w:iCs/>
          <w:lang w:val="en-GB"/>
        </w:rPr>
        <w:t>Genom</w:t>
      </w:r>
      <w:proofErr w:type="spellEnd"/>
      <w:r w:rsidRPr="008B207F">
        <w:rPr>
          <w:lang w:val="en-GB"/>
        </w:rPr>
        <w:t>. 2020;6(12</w:t>
      </w:r>
      <w:proofErr w:type="gramStart"/>
      <w:r w:rsidRPr="008B207F">
        <w:rPr>
          <w:lang w:val="en-GB"/>
        </w:rPr>
        <w:t>):mgen</w:t>
      </w:r>
      <w:proofErr w:type="gramEnd"/>
      <w:r w:rsidRPr="008B207F">
        <w:rPr>
          <w:lang w:val="en-GB"/>
        </w:rPr>
        <w:t>000480. doi:</w:t>
      </w:r>
      <w:r w:rsidR="008E6FB1">
        <w:rPr>
          <w:lang w:val="en-GB"/>
        </w:rPr>
        <w:t> </w:t>
      </w:r>
      <w:hyperlink r:id="rId49" w:history="1">
        <w:r w:rsidR="008E6FB1" w:rsidRPr="00150665">
          <w:rPr>
            <w:rStyle w:val="Hyperlink"/>
            <w:lang w:val="en-GB"/>
          </w:rPr>
          <w:t>https://doi.org/10.1099/mgen.0.000480</w:t>
        </w:r>
      </w:hyperlink>
      <w:r w:rsidRPr="008B207F">
        <w:rPr>
          <w:lang w:val="en-GB"/>
        </w:rPr>
        <w:t>.</w:t>
      </w:r>
    </w:p>
    <w:p w14:paraId="7913DC13" w14:textId="1211ADE2" w:rsidR="008B207F" w:rsidRPr="008B207F" w:rsidRDefault="008B207F" w:rsidP="008B207F">
      <w:pPr>
        <w:pStyle w:val="CDINumberedList1L1"/>
        <w:ind w:left="397" w:hanging="397"/>
        <w:rPr>
          <w:lang w:val="en-GB"/>
        </w:rPr>
      </w:pPr>
      <w:r w:rsidRPr="008B207F">
        <w:rPr>
          <w:lang w:val="en-GB"/>
        </w:rPr>
        <w:t xml:space="preserve">Day M, Pitt R, Mody N, Saunders J, Rai R, Nori A et al. Detection of 10 cases of ceftriaxone-resistant </w:t>
      </w:r>
      <w:r w:rsidRPr="008B207F">
        <w:rPr>
          <w:i/>
          <w:iCs/>
          <w:lang w:val="en-GB"/>
        </w:rPr>
        <w:t>Neisseria gonorrhoeae</w:t>
      </w:r>
      <w:r w:rsidRPr="008B207F">
        <w:rPr>
          <w:lang w:val="en-GB"/>
        </w:rPr>
        <w:t xml:space="preserve"> in the United Kingdom, December 2021 to June 2022. </w:t>
      </w:r>
      <w:r w:rsidRPr="008B207F">
        <w:rPr>
          <w:i/>
          <w:iCs/>
          <w:lang w:val="en-GB"/>
        </w:rPr>
        <w:t xml:space="preserve">Euro </w:t>
      </w:r>
      <w:proofErr w:type="spellStart"/>
      <w:r w:rsidRPr="008B207F">
        <w:rPr>
          <w:i/>
          <w:iCs/>
          <w:lang w:val="en-GB"/>
        </w:rPr>
        <w:t>Surveill</w:t>
      </w:r>
      <w:proofErr w:type="spellEnd"/>
      <w:r w:rsidRPr="008B207F">
        <w:rPr>
          <w:lang w:val="en-GB"/>
        </w:rPr>
        <w:t xml:space="preserve">. 2022;27(46):2200803. </w:t>
      </w:r>
      <w:r w:rsidR="008E6FB1">
        <w:rPr>
          <w:lang w:val="en-GB"/>
        </w:rPr>
        <w:br/>
      </w:r>
      <w:r w:rsidRPr="008B207F">
        <w:rPr>
          <w:lang w:val="en-GB"/>
        </w:rPr>
        <w:t xml:space="preserve">doi: </w:t>
      </w:r>
      <w:hyperlink r:id="rId50" w:history="1">
        <w:r w:rsidR="008E6FB1" w:rsidRPr="00150665">
          <w:rPr>
            <w:rStyle w:val="Hyperlink"/>
            <w:lang w:val="en-GB"/>
          </w:rPr>
          <w:t>https://doi.org/10.2807/1560-7917.ES.2022.27.46.2200803</w:t>
        </w:r>
      </w:hyperlink>
      <w:r w:rsidRPr="008B207F">
        <w:rPr>
          <w:lang w:val="en-GB"/>
        </w:rPr>
        <w:t xml:space="preserve">. </w:t>
      </w:r>
    </w:p>
    <w:p w14:paraId="09EEB2E7" w14:textId="09BAB557" w:rsidR="008B207F" w:rsidRPr="008B207F" w:rsidRDefault="008B207F" w:rsidP="008B207F">
      <w:pPr>
        <w:pStyle w:val="CDINumberedList1L1"/>
        <w:ind w:left="397" w:hanging="397"/>
        <w:rPr>
          <w:lang w:val="en-GB"/>
        </w:rPr>
      </w:pPr>
      <w:proofErr w:type="spellStart"/>
      <w:r w:rsidRPr="008B207F">
        <w:rPr>
          <w:lang w:val="en-GB"/>
        </w:rPr>
        <w:t>Tapsall</w:t>
      </w:r>
      <w:proofErr w:type="spellEnd"/>
      <w:r w:rsidRPr="008B207F">
        <w:rPr>
          <w:lang w:val="en-GB"/>
        </w:rPr>
        <w:t xml:space="preserve"> JW, Ndowa F, Lewis DA, </w:t>
      </w:r>
      <w:proofErr w:type="spellStart"/>
      <w:r w:rsidRPr="008B207F">
        <w:rPr>
          <w:lang w:val="en-GB"/>
        </w:rPr>
        <w:t>Unemo</w:t>
      </w:r>
      <w:proofErr w:type="spellEnd"/>
      <w:r w:rsidRPr="008B207F">
        <w:rPr>
          <w:lang w:val="en-GB"/>
        </w:rPr>
        <w:t xml:space="preserve"> M. Meeting the public health challenge of multidrug- and extensively drug-resistant </w:t>
      </w:r>
      <w:r w:rsidRPr="008B207F">
        <w:rPr>
          <w:i/>
          <w:iCs/>
          <w:lang w:val="en-GB"/>
        </w:rPr>
        <w:t>Neisseria gonorrhoeae</w:t>
      </w:r>
      <w:r w:rsidRPr="008B207F">
        <w:rPr>
          <w:lang w:val="en-GB"/>
        </w:rPr>
        <w:t xml:space="preserve">. </w:t>
      </w:r>
      <w:r w:rsidRPr="008B207F">
        <w:rPr>
          <w:i/>
          <w:iCs/>
          <w:lang w:val="en-GB"/>
        </w:rPr>
        <w:t>Expert Rev Anti Infect Ther</w:t>
      </w:r>
      <w:r w:rsidRPr="008B207F">
        <w:rPr>
          <w:lang w:val="en-GB"/>
        </w:rPr>
        <w:t xml:space="preserve">. 2009;7(7):821–34. doi: </w:t>
      </w:r>
      <w:hyperlink r:id="rId51" w:history="1">
        <w:r w:rsidR="008E6FB1" w:rsidRPr="00150665">
          <w:rPr>
            <w:rStyle w:val="Hyperlink"/>
            <w:lang w:val="en-GB"/>
          </w:rPr>
          <w:t>https://doi.org/10.1586/eri.09.63</w:t>
        </w:r>
      </w:hyperlink>
      <w:r w:rsidRPr="008B207F">
        <w:rPr>
          <w:lang w:val="en-GB"/>
        </w:rPr>
        <w:t xml:space="preserve">. </w:t>
      </w:r>
    </w:p>
    <w:p w14:paraId="2551EDE9" w14:textId="3C1C6ED9" w:rsidR="008B207F" w:rsidRPr="008B207F" w:rsidRDefault="008B207F" w:rsidP="008B207F">
      <w:pPr>
        <w:pStyle w:val="CDINumberedList1L1"/>
        <w:ind w:left="397" w:hanging="397"/>
        <w:rPr>
          <w:lang w:val="en-GB"/>
        </w:rPr>
      </w:pPr>
      <w:proofErr w:type="spellStart"/>
      <w:r w:rsidRPr="008B207F">
        <w:rPr>
          <w:lang w:val="en-GB"/>
        </w:rPr>
        <w:t>Pleininger</w:t>
      </w:r>
      <w:proofErr w:type="spellEnd"/>
      <w:r w:rsidRPr="008B207F">
        <w:rPr>
          <w:lang w:val="en-GB"/>
        </w:rPr>
        <w:t xml:space="preserve"> S, Indra A, </w:t>
      </w:r>
      <w:proofErr w:type="spellStart"/>
      <w:r w:rsidRPr="008B207F">
        <w:rPr>
          <w:lang w:val="en-GB"/>
        </w:rPr>
        <w:t>Golparian</w:t>
      </w:r>
      <w:proofErr w:type="spellEnd"/>
      <w:r w:rsidRPr="008B207F">
        <w:rPr>
          <w:lang w:val="en-GB"/>
        </w:rPr>
        <w:t xml:space="preserve"> D, Heger F, Schindler S, Jacobsson S et al. Extensively drug-resistant (XDR) </w:t>
      </w:r>
      <w:r w:rsidRPr="008B207F">
        <w:rPr>
          <w:i/>
          <w:iCs/>
          <w:lang w:val="en-GB"/>
        </w:rPr>
        <w:t>Neisseria gonorrhoeae</w:t>
      </w:r>
      <w:r w:rsidRPr="008B207F">
        <w:rPr>
          <w:lang w:val="en-GB"/>
        </w:rPr>
        <w:t xml:space="preserve"> causing possible gonorrhoea treatment failure with ceftriaxone plus azithromycin in Austria, April 2022. </w:t>
      </w:r>
      <w:r w:rsidRPr="008B207F">
        <w:rPr>
          <w:i/>
          <w:iCs/>
          <w:lang w:val="en-GB"/>
        </w:rPr>
        <w:t xml:space="preserve">Euro </w:t>
      </w:r>
      <w:proofErr w:type="spellStart"/>
      <w:r w:rsidRPr="008B207F">
        <w:rPr>
          <w:i/>
          <w:iCs/>
          <w:lang w:val="en-GB"/>
        </w:rPr>
        <w:t>Surveill</w:t>
      </w:r>
      <w:proofErr w:type="spellEnd"/>
      <w:r w:rsidRPr="008B207F">
        <w:rPr>
          <w:lang w:val="en-GB"/>
        </w:rPr>
        <w:t>. 2022;27(24):2200455. doi:</w:t>
      </w:r>
      <w:r w:rsidR="008E6FB1">
        <w:rPr>
          <w:lang w:val="en-GB"/>
        </w:rPr>
        <w:t> </w:t>
      </w:r>
      <w:hyperlink r:id="rId52" w:history="1">
        <w:r w:rsidR="008E6FB1" w:rsidRPr="00150665">
          <w:rPr>
            <w:rStyle w:val="Hyperlink"/>
            <w:lang w:val="en-GB"/>
          </w:rPr>
          <w:t>https://doi.org/10.2807/1560-7917.ES.2022.27.24.2200455</w:t>
        </w:r>
      </w:hyperlink>
      <w:r w:rsidRPr="008B207F">
        <w:rPr>
          <w:lang w:val="en-GB"/>
        </w:rPr>
        <w:t xml:space="preserve">. </w:t>
      </w:r>
    </w:p>
    <w:p w14:paraId="5320BAA4" w14:textId="11037F20" w:rsidR="008B207F" w:rsidRPr="008B207F" w:rsidRDefault="008B207F" w:rsidP="008B207F">
      <w:pPr>
        <w:pStyle w:val="CDINumberedList1L1"/>
        <w:ind w:left="397" w:hanging="397"/>
        <w:rPr>
          <w:lang w:val="en-GB"/>
        </w:rPr>
      </w:pPr>
      <w:r w:rsidRPr="008B207F">
        <w:rPr>
          <w:lang w:val="en-GB"/>
        </w:rPr>
        <w:t xml:space="preserve">Jennison AV, Whiley D, Lahra MM, Graham RM, Cole MJ, Hughes G et al. Genetic relatedness of ceftriaxone-resistant and high-level azithromycin resistant </w:t>
      </w:r>
      <w:r w:rsidRPr="008B207F">
        <w:rPr>
          <w:i/>
          <w:iCs/>
          <w:lang w:val="en-GB"/>
        </w:rPr>
        <w:t>Neisseria gonorrhoeae</w:t>
      </w:r>
      <w:r w:rsidRPr="008B207F">
        <w:rPr>
          <w:lang w:val="en-GB"/>
        </w:rPr>
        <w:t xml:space="preserve"> cases, United Kingdom and Australia, February to April 2018. Euro </w:t>
      </w:r>
      <w:proofErr w:type="spellStart"/>
      <w:r w:rsidRPr="008B207F">
        <w:rPr>
          <w:lang w:val="en-GB"/>
        </w:rPr>
        <w:t>Surveill</w:t>
      </w:r>
      <w:proofErr w:type="spellEnd"/>
      <w:r w:rsidRPr="008B207F">
        <w:rPr>
          <w:lang w:val="en-GB"/>
        </w:rPr>
        <w:t xml:space="preserve">. 2019;24(8):1900118. doi: </w:t>
      </w:r>
      <w:hyperlink r:id="rId53" w:history="1">
        <w:r w:rsidR="008E6FB1" w:rsidRPr="00150665">
          <w:rPr>
            <w:rStyle w:val="Hyperlink"/>
            <w:lang w:val="en-GB"/>
          </w:rPr>
          <w:t>https://doi.org/10.2807/1560-7917.ES.2019.24.8.1900118</w:t>
        </w:r>
      </w:hyperlink>
      <w:r w:rsidRPr="008B207F">
        <w:rPr>
          <w:lang w:val="en-GB"/>
        </w:rPr>
        <w:t xml:space="preserve">. </w:t>
      </w:r>
    </w:p>
    <w:p w14:paraId="29A50BDB" w14:textId="2860192A" w:rsidR="008B207F" w:rsidRPr="008B207F" w:rsidRDefault="008B207F" w:rsidP="008B207F">
      <w:pPr>
        <w:pStyle w:val="CDINumberedList1L1"/>
        <w:ind w:left="397" w:hanging="397"/>
        <w:rPr>
          <w:lang w:val="en-GB"/>
        </w:rPr>
      </w:pPr>
      <w:r w:rsidRPr="008B207F">
        <w:rPr>
          <w:lang w:val="en-GB"/>
        </w:rPr>
        <w:t xml:space="preserve">Lahra MM, Australian Gonococcal Surveillance Program. Australian Gonococcal Surveillance Programme annual report, 2013. </w:t>
      </w:r>
      <w:r w:rsidRPr="008B207F">
        <w:rPr>
          <w:i/>
          <w:iCs/>
          <w:lang w:val="en-GB"/>
        </w:rPr>
        <w:t>Commun Dis Intell Q Rep</w:t>
      </w:r>
      <w:r w:rsidRPr="008B207F">
        <w:rPr>
          <w:lang w:val="en-GB"/>
        </w:rPr>
        <w:t>. 2015;39(1</w:t>
      </w:r>
      <w:proofErr w:type="gramStart"/>
      <w:r w:rsidRPr="008B207F">
        <w:rPr>
          <w:lang w:val="en-GB"/>
        </w:rPr>
        <w:t>):E</w:t>
      </w:r>
      <w:proofErr w:type="gramEnd"/>
      <w:r w:rsidRPr="008B207F">
        <w:rPr>
          <w:lang w:val="en-GB"/>
        </w:rPr>
        <w:t>137–45. doi:</w:t>
      </w:r>
      <w:r w:rsidR="008E6FB1">
        <w:rPr>
          <w:lang w:val="en-GB"/>
        </w:rPr>
        <w:t> </w:t>
      </w:r>
      <w:hyperlink r:id="rId54" w:history="1">
        <w:r w:rsidR="008E6FB1" w:rsidRPr="00150665">
          <w:rPr>
            <w:rStyle w:val="Hyperlink"/>
            <w:lang w:val="en-GB"/>
          </w:rPr>
          <w:t>https://doi.org/10.33321/cdi.2015.39.8</w:t>
        </w:r>
      </w:hyperlink>
      <w:r w:rsidRPr="008B207F">
        <w:rPr>
          <w:lang w:val="en-GB"/>
        </w:rPr>
        <w:t xml:space="preserve">. </w:t>
      </w:r>
    </w:p>
    <w:p w14:paraId="3BC4A813" w14:textId="5912D675" w:rsidR="008B207F" w:rsidRPr="008B207F" w:rsidRDefault="008B207F" w:rsidP="008B207F">
      <w:pPr>
        <w:pStyle w:val="CDINumberedList1L1"/>
        <w:ind w:left="397" w:hanging="397"/>
        <w:rPr>
          <w:lang w:val="en-GB"/>
        </w:rPr>
      </w:pPr>
      <w:proofErr w:type="spellStart"/>
      <w:r w:rsidRPr="008B207F">
        <w:rPr>
          <w:lang w:val="en-GB"/>
        </w:rPr>
        <w:t>Maubaret</w:t>
      </w:r>
      <w:proofErr w:type="spellEnd"/>
      <w:r w:rsidRPr="008B207F">
        <w:rPr>
          <w:lang w:val="en-GB"/>
        </w:rPr>
        <w:t xml:space="preserve"> C, </w:t>
      </w:r>
      <w:proofErr w:type="spellStart"/>
      <w:r w:rsidRPr="008B207F">
        <w:rPr>
          <w:lang w:val="en-GB"/>
        </w:rPr>
        <w:t>Caméléna</w:t>
      </w:r>
      <w:proofErr w:type="spellEnd"/>
      <w:r w:rsidRPr="008B207F">
        <w:rPr>
          <w:lang w:val="en-GB"/>
        </w:rPr>
        <w:t xml:space="preserve"> F, </w:t>
      </w:r>
      <w:proofErr w:type="spellStart"/>
      <w:r w:rsidRPr="008B207F">
        <w:rPr>
          <w:lang w:val="en-GB"/>
        </w:rPr>
        <w:t>Mérimèche</w:t>
      </w:r>
      <w:proofErr w:type="spellEnd"/>
      <w:r w:rsidRPr="008B207F">
        <w:rPr>
          <w:lang w:val="en-GB"/>
        </w:rPr>
        <w:t xml:space="preserve"> M, Braille A, </w:t>
      </w:r>
      <w:proofErr w:type="spellStart"/>
      <w:r w:rsidRPr="008B207F">
        <w:rPr>
          <w:lang w:val="en-GB"/>
        </w:rPr>
        <w:t>Liberge</w:t>
      </w:r>
      <w:proofErr w:type="spellEnd"/>
      <w:r w:rsidRPr="008B207F">
        <w:rPr>
          <w:lang w:val="en-GB"/>
        </w:rPr>
        <w:t xml:space="preserve"> M, </w:t>
      </w:r>
      <w:proofErr w:type="spellStart"/>
      <w:r w:rsidRPr="008B207F">
        <w:rPr>
          <w:lang w:val="en-GB"/>
        </w:rPr>
        <w:t>Mainardis</w:t>
      </w:r>
      <w:proofErr w:type="spellEnd"/>
      <w:r w:rsidRPr="008B207F">
        <w:rPr>
          <w:lang w:val="en-GB"/>
        </w:rPr>
        <w:t xml:space="preserve"> M et al. Two cases of extensively drug-resistant (XDR) </w:t>
      </w:r>
      <w:r w:rsidRPr="008B207F">
        <w:rPr>
          <w:i/>
          <w:iCs/>
          <w:lang w:val="en-GB"/>
        </w:rPr>
        <w:t>Neisseria gonorrhoeae</w:t>
      </w:r>
      <w:r w:rsidRPr="008B207F">
        <w:rPr>
          <w:lang w:val="en-GB"/>
        </w:rPr>
        <w:t xml:space="preserve"> infection combining ceftriaxone-resistance and high-level azithromycin resistance, France, November 2022 and May 2023. </w:t>
      </w:r>
      <w:r w:rsidRPr="008B207F">
        <w:rPr>
          <w:i/>
          <w:iCs/>
          <w:lang w:val="en-GB"/>
        </w:rPr>
        <w:t xml:space="preserve">Euro </w:t>
      </w:r>
      <w:proofErr w:type="spellStart"/>
      <w:r w:rsidRPr="008B207F">
        <w:rPr>
          <w:i/>
          <w:iCs/>
          <w:lang w:val="en-GB"/>
        </w:rPr>
        <w:t>Surveill</w:t>
      </w:r>
      <w:proofErr w:type="spellEnd"/>
      <w:r w:rsidRPr="008B207F">
        <w:rPr>
          <w:lang w:val="en-GB"/>
        </w:rPr>
        <w:t>. 2023;28(37):2300456.</w:t>
      </w:r>
      <w:r w:rsidR="008E6FB1">
        <w:rPr>
          <w:lang w:val="en-GB"/>
        </w:rPr>
        <w:br/>
      </w:r>
      <w:r w:rsidRPr="008B207F">
        <w:rPr>
          <w:lang w:val="en-GB"/>
        </w:rPr>
        <w:t xml:space="preserve">doi: </w:t>
      </w:r>
      <w:hyperlink r:id="rId55" w:history="1">
        <w:r w:rsidR="008E6FB1" w:rsidRPr="00150665">
          <w:rPr>
            <w:rStyle w:val="Hyperlink"/>
            <w:lang w:val="en-GB"/>
          </w:rPr>
          <w:t>https://doi.org/10.2807/1560-7917.ES.2023.28.37.2300456</w:t>
        </w:r>
      </w:hyperlink>
      <w:r w:rsidRPr="008B207F">
        <w:rPr>
          <w:lang w:val="en-GB"/>
        </w:rPr>
        <w:t xml:space="preserve">. </w:t>
      </w:r>
    </w:p>
    <w:p w14:paraId="0270C0BD" w14:textId="0B3E6AA3" w:rsidR="008B207F" w:rsidRPr="008B207F" w:rsidRDefault="008B207F" w:rsidP="008B207F">
      <w:pPr>
        <w:pStyle w:val="CDINumberedList1L1"/>
        <w:ind w:left="397" w:hanging="397"/>
        <w:rPr>
          <w:lang w:val="en-GB"/>
        </w:rPr>
      </w:pPr>
      <w:proofErr w:type="spellStart"/>
      <w:r w:rsidRPr="008B207F">
        <w:rPr>
          <w:lang w:val="en-GB"/>
        </w:rPr>
        <w:t>Caméléna</w:t>
      </w:r>
      <w:proofErr w:type="spellEnd"/>
      <w:r w:rsidRPr="008B207F">
        <w:rPr>
          <w:lang w:val="en-GB"/>
        </w:rPr>
        <w:t xml:space="preserve"> F, </w:t>
      </w:r>
      <w:proofErr w:type="spellStart"/>
      <w:r w:rsidRPr="008B207F">
        <w:rPr>
          <w:lang w:val="en-GB"/>
        </w:rPr>
        <w:t>Mérimèche</w:t>
      </w:r>
      <w:proofErr w:type="spellEnd"/>
      <w:r w:rsidRPr="008B207F">
        <w:rPr>
          <w:lang w:val="en-GB"/>
        </w:rPr>
        <w:t xml:space="preserve"> M, Brousseau J, </w:t>
      </w:r>
      <w:proofErr w:type="spellStart"/>
      <w:r w:rsidRPr="008B207F">
        <w:rPr>
          <w:lang w:val="en-GB"/>
        </w:rPr>
        <w:t>Mainardis</w:t>
      </w:r>
      <w:proofErr w:type="spellEnd"/>
      <w:r w:rsidRPr="008B207F">
        <w:rPr>
          <w:lang w:val="en-GB"/>
        </w:rPr>
        <w:t xml:space="preserve"> M, Verger P, Le </w:t>
      </w:r>
      <w:proofErr w:type="spellStart"/>
      <w:r w:rsidRPr="008B207F">
        <w:rPr>
          <w:lang w:val="en-GB"/>
        </w:rPr>
        <w:t>Risbé</w:t>
      </w:r>
      <w:proofErr w:type="spellEnd"/>
      <w:r w:rsidRPr="008B207F">
        <w:rPr>
          <w:lang w:val="en-GB"/>
        </w:rPr>
        <w:t xml:space="preserve"> C et al. Emergence of extensively drug-resistant </w:t>
      </w:r>
      <w:r w:rsidRPr="008B207F">
        <w:rPr>
          <w:i/>
          <w:iCs/>
          <w:lang w:val="en-GB"/>
        </w:rPr>
        <w:t>Neisseria gonorrhoeae</w:t>
      </w:r>
      <w:r w:rsidRPr="008B207F">
        <w:rPr>
          <w:lang w:val="en-GB"/>
        </w:rPr>
        <w:t xml:space="preserve">, France, 2023. </w:t>
      </w:r>
      <w:r w:rsidRPr="008B207F">
        <w:rPr>
          <w:i/>
          <w:iCs/>
          <w:lang w:val="en-GB"/>
        </w:rPr>
        <w:t>Emerg Infect Dis</w:t>
      </w:r>
      <w:r w:rsidRPr="008B207F">
        <w:rPr>
          <w:lang w:val="en-GB"/>
        </w:rPr>
        <w:t xml:space="preserve">. 2024;30(9):1903–6. doi: </w:t>
      </w:r>
      <w:hyperlink r:id="rId56" w:history="1">
        <w:r w:rsidR="008E6FB1" w:rsidRPr="00150665">
          <w:rPr>
            <w:rStyle w:val="Hyperlink"/>
            <w:lang w:val="en-GB"/>
          </w:rPr>
          <w:t>https://doi.org/10.3201/eid3009.240557</w:t>
        </w:r>
      </w:hyperlink>
      <w:r w:rsidRPr="008B207F">
        <w:rPr>
          <w:lang w:val="en-GB"/>
        </w:rPr>
        <w:t xml:space="preserve">. </w:t>
      </w:r>
    </w:p>
    <w:p w14:paraId="4BB89EC0" w14:textId="4F11404A" w:rsidR="0058264F" w:rsidRPr="001E3ECB" w:rsidRDefault="008B207F" w:rsidP="008B207F">
      <w:pPr>
        <w:pStyle w:val="CDINumberedList1L1"/>
        <w:ind w:left="397" w:hanging="397"/>
      </w:pPr>
      <w:r w:rsidRPr="008B207F">
        <w:rPr>
          <w:lang w:val="en-GB"/>
        </w:rPr>
        <w:t xml:space="preserve">van Hal SJ, Sherry N, Coombs G, Mowlaboccus S, Whiley DM, Lahra MM. Emergence of an extensively drug-resistant </w:t>
      </w:r>
      <w:r w:rsidRPr="008B207F">
        <w:rPr>
          <w:i/>
          <w:iCs/>
          <w:lang w:val="en-GB"/>
        </w:rPr>
        <w:t>Neisseria gonorrhoeae</w:t>
      </w:r>
      <w:r w:rsidRPr="008B207F">
        <w:rPr>
          <w:lang w:val="en-GB"/>
        </w:rPr>
        <w:t xml:space="preserve"> clone. </w:t>
      </w:r>
      <w:r w:rsidRPr="008B207F">
        <w:rPr>
          <w:i/>
          <w:iCs/>
          <w:lang w:val="en-GB"/>
        </w:rPr>
        <w:t>Lancet Infect Dis</w:t>
      </w:r>
      <w:r w:rsidRPr="008B207F">
        <w:rPr>
          <w:lang w:val="en-GB"/>
        </w:rPr>
        <w:t>. 2024;24(9</w:t>
      </w:r>
      <w:proofErr w:type="gramStart"/>
      <w:r w:rsidRPr="008B207F">
        <w:rPr>
          <w:lang w:val="en-GB"/>
        </w:rPr>
        <w:t>):e</w:t>
      </w:r>
      <w:proofErr w:type="gramEnd"/>
      <w:r w:rsidRPr="008B207F">
        <w:rPr>
          <w:lang w:val="en-GB"/>
        </w:rPr>
        <w:t xml:space="preserve">547–8. doi: </w:t>
      </w:r>
      <w:hyperlink r:id="rId57" w:history="1">
        <w:r w:rsidR="008E6FB1" w:rsidRPr="00150665">
          <w:rPr>
            <w:rStyle w:val="Hyperlink"/>
            <w:lang w:val="en-GB"/>
          </w:rPr>
          <w:t>https://doi.org/10.1016/S1473-3099(24)00486-9</w:t>
        </w:r>
      </w:hyperlink>
      <w:r w:rsidRPr="008B207F">
        <w:rPr>
          <w:lang w:val="en-GB"/>
        </w:rPr>
        <w:t>.</w:t>
      </w:r>
    </w:p>
    <w:sectPr w:rsidR="0058264F" w:rsidRPr="001E3ECB"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68E1" w14:textId="77777777" w:rsidR="008566F5" w:rsidRDefault="008566F5" w:rsidP="00E54DBA">
      <w:r>
        <w:separator/>
      </w:r>
    </w:p>
    <w:p w14:paraId="59FD656A" w14:textId="77777777" w:rsidR="008566F5" w:rsidRDefault="008566F5"/>
    <w:p w14:paraId="69288000" w14:textId="77777777" w:rsidR="008566F5" w:rsidRDefault="008566F5" w:rsidP="008714B0"/>
  </w:endnote>
  <w:endnote w:type="continuationSeparator" w:id="0">
    <w:p w14:paraId="54311B87" w14:textId="77777777" w:rsidR="008566F5" w:rsidRDefault="008566F5" w:rsidP="00E54DBA">
      <w:r>
        <w:continuationSeparator/>
      </w:r>
    </w:p>
    <w:p w14:paraId="7AF9E8D3" w14:textId="77777777" w:rsidR="008566F5" w:rsidRDefault="008566F5"/>
    <w:p w14:paraId="6065DE3C" w14:textId="77777777" w:rsidR="008566F5" w:rsidRDefault="008566F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31E0"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6E7F8FC3" wp14:editId="2EBB17AA">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038E27C"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F8FC3"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0038E27C"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4125" w14:textId="1C819199"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8566F5">
        <w:t>2025</w:t>
      </w:r>
    </w:fldSimple>
    <w:r w:rsidR="009B78A9">
      <w:t>;</w:t>
    </w:r>
    <w:fldSimple w:instr=" DOCPROPERTY  Vol  \* MERGEFORMAT ">
      <w:r w:rsidR="008566F5">
        <w:t>49</w:t>
      </w:r>
    </w:fldSimple>
    <w:r w:rsidR="00385655" w:rsidRPr="001D0612">
      <w:t xml:space="preserve"> </w:t>
    </w:r>
    <w:r w:rsidR="00385655" w:rsidRPr="00B85B74">
      <w:t>•</w:t>
    </w:r>
    <w:r w:rsidR="00385655">
      <w:t xml:space="preserve"> </w:t>
    </w:r>
    <w:fldSimple w:instr=" DOCPROPERTY  DOI  \* MERGEFORMAT ">
      <w:r w:rsidR="00882E98">
        <w:t>doi.org/10.33321/cdi.2025.49.056</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882E98">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2913"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387FE28E" wp14:editId="1D232C84">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295D1FBD"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FE28E"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295D1FBD"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8AA2" w14:textId="77777777" w:rsidR="008566F5" w:rsidRPr="00B91FB5" w:rsidRDefault="008566F5" w:rsidP="00B91FB5">
      <w:pPr>
        <w:spacing w:line="240" w:lineRule="auto"/>
        <w:rPr>
          <w:sz w:val="18"/>
          <w:szCs w:val="18"/>
        </w:rPr>
      </w:pPr>
      <w:r w:rsidRPr="00B91FB5">
        <w:rPr>
          <w:sz w:val="18"/>
          <w:szCs w:val="18"/>
        </w:rPr>
        <w:separator/>
      </w:r>
    </w:p>
  </w:footnote>
  <w:footnote w:type="continuationSeparator" w:id="0">
    <w:p w14:paraId="5EEE49B2" w14:textId="77777777" w:rsidR="008566F5" w:rsidRDefault="008566F5" w:rsidP="00E54DBA">
      <w:r>
        <w:continuationSeparator/>
      </w:r>
    </w:p>
  </w:footnote>
  <w:footnote w:type="continuationNotice" w:id="1">
    <w:p w14:paraId="4302DE09" w14:textId="77777777" w:rsidR="008566F5" w:rsidRPr="00224EFF" w:rsidRDefault="008566F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EC66"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3126E6BA" wp14:editId="3C6E4CA8">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74CF3460"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26E6BA"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74CF3460"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250F"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401A"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5A8796EB" wp14:editId="1EB59E20">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10DFEB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8796EB"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610DFEBE"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28E654E2"/>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24075160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6F5"/>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6274"/>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11A71"/>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5C73"/>
    <w:rsid w:val="00256309"/>
    <w:rsid w:val="002571C9"/>
    <w:rsid w:val="00257484"/>
    <w:rsid w:val="00260636"/>
    <w:rsid w:val="00262EA6"/>
    <w:rsid w:val="00264B29"/>
    <w:rsid w:val="00271AFA"/>
    <w:rsid w:val="00272F00"/>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4F7E"/>
    <w:rsid w:val="0032526F"/>
    <w:rsid w:val="00325841"/>
    <w:rsid w:val="003316F4"/>
    <w:rsid w:val="003323BC"/>
    <w:rsid w:val="003370A9"/>
    <w:rsid w:val="0034063D"/>
    <w:rsid w:val="0034139B"/>
    <w:rsid w:val="00341720"/>
    <w:rsid w:val="00343003"/>
    <w:rsid w:val="00343991"/>
    <w:rsid w:val="003440E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4D5E"/>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0821"/>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48D3"/>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6F5"/>
    <w:rsid w:val="00856EC6"/>
    <w:rsid w:val="00856FF3"/>
    <w:rsid w:val="0086228F"/>
    <w:rsid w:val="00862C50"/>
    <w:rsid w:val="00863F8D"/>
    <w:rsid w:val="008673F6"/>
    <w:rsid w:val="00867976"/>
    <w:rsid w:val="008714B0"/>
    <w:rsid w:val="00872A7F"/>
    <w:rsid w:val="0087374B"/>
    <w:rsid w:val="00876331"/>
    <w:rsid w:val="00877B90"/>
    <w:rsid w:val="00880726"/>
    <w:rsid w:val="00882E98"/>
    <w:rsid w:val="008863B2"/>
    <w:rsid w:val="0089025E"/>
    <w:rsid w:val="00895527"/>
    <w:rsid w:val="00897881"/>
    <w:rsid w:val="008A0736"/>
    <w:rsid w:val="008A3532"/>
    <w:rsid w:val="008A3544"/>
    <w:rsid w:val="008B207F"/>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6FB1"/>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D0F93"/>
    <w:rsid w:val="009D56E7"/>
    <w:rsid w:val="009D77CC"/>
    <w:rsid w:val="009D797A"/>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0DB9"/>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3C9E"/>
    <w:rsid w:val="00AE0209"/>
    <w:rsid w:val="00AE3DCF"/>
    <w:rsid w:val="00AE4452"/>
    <w:rsid w:val="00AE6604"/>
    <w:rsid w:val="00AE7C38"/>
    <w:rsid w:val="00AF1538"/>
    <w:rsid w:val="00AF1FAC"/>
    <w:rsid w:val="00AF2679"/>
    <w:rsid w:val="00AF2814"/>
    <w:rsid w:val="00AF5008"/>
    <w:rsid w:val="00AF6920"/>
    <w:rsid w:val="00AF6C73"/>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14A9"/>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C25"/>
    <w:rsid w:val="00BE6C3D"/>
    <w:rsid w:val="00BE73E6"/>
    <w:rsid w:val="00BF1476"/>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35E0"/>
    <w:rsid w:val="00C7723C"/>
    <w:rsid w:val="00C81439"/>
    <w:rsid w:val="00C82027"/>
    <w:rsid w:val="00C838F5"/>
    <w:rsid w:val="00C841C0"/>
    <w:rsid w:val="00C91F37"/>
    <w:rsid w:val="00C97898"/>
    <w:rsid w:val="00CA07E5"/>
    <w:rsid w:val="00CA1AF4"/>
    <w:rsid w:val="00CA1B85"/>
    <w:rsid w:val="00CA4725"/>
    <w:rsid w:val="00CA6068"/>
    <w:rsid w:val="00CA757A"/>
    <w:rsid w:val="00CB15E1"/>
    <w:rsid w:val="00CB3460"/>
    <w:rsid w:val="00CB3D46"/>
    <w:rsid w:val="00CB3D75"/>
    <w:rsid w:val="00CC0771"/>
    <w:rsid w:val="00CC3648"/>
    <w:rsid w:val="00CC7AF8"/>
    <w:rsid w:val="00CD1A87"/>
    <w:rsid w:val="00CD252D"/>
    <w:rsid w:val="00CD35F3"/>
    <w:rsid w:val="00CD4362"/>
    <w:rsid w:val="00CD5C93"/>
    <w:rsid w:val="00CD69CD"/>
    <w:rsid w:val="00CE05E9"/>
    <w:rsid w:val="00CE2CC7"/>
    <w:rsid w:val="00CE342B"/>
    <w:rsid w:val="00CE4961"/>
    <w:rsid w:val="00CE63A5"/>
    <w:rsid w:val="00CE6CCC"/>
    <w:rsid w:val="00CF131F"/>
    <w:rsid w:val="00CF320C"/>
    <w:rsid w:val="00CF3A4B"/>
    <w:rsid w:val="00CF4001"/>
    <w:rsid w:val="00CF75DF"/>
    <w:rsid w:val="00D01D28"/>
    <w:rsid w:val="00D05837"/>
    <w:rsid w:val="00D11736"/>
    <w:rsid w:val="00D12D8A"/>
    <w:rsid w:val="00D13E0C"/>
    <w:rsid w:val="00D20FB5"/>
    <w:rsid w:val="00D22CC8"/>
    <w:rsid w:val="00D25896"/>
    <w:rsid w:val="00D26EE6"/>
    <w:rsid w:val="00D32A59"/>
    <w:rsid w:val="00D32C4E"/>
    <w:rsid w:val="00D33918"/>
    <w:rsid w:val="00D34AAF"/>
    <w:rsid w:val="00D36033"/>
    <w:rsid w:val="00D373A1"/>
    <w:rsid w:val="00D37C0F"/>
    <w:rsid w:val="00D4113F"/>
    <w:rsid w:val="00D43E8E"/>
    <w:rsid w:val="00D45661"/>
    <w:rsid w:val="00D45943"/>
    <w:rsid w:val="00D47D22"/>
    <w:rsid w:val="00D50346"/>
    <w:rsid w:val="00D50368"/>
    <w:rsid w:val="00D503AF"/>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436D"/>
    <w:rsid w:val="00E87669"/>
    <w:rsid w:val="00E877F0"/>
    <w:rsid w:val="00E91ABD"/>
    <w:rsid w:val="00E92237"/>
    <w:rsid w:val="00E925CC"/>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4C85"/>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38A2"/>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4A1"/>
    <w:rsid w:val="00FB17AB"/>
    <w:rsid w:val="00FB48CF"/>
    <w:rsid w:val="00FC002E"/>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35DC9"/>
  <w15:docId w15:val="{4C109EEC-B7E1-43C0-88E8-EA7F207B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07F"/>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8E6FB1"/>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8E6FB1"/>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Bold">
    <w:name w:val="Bold"/>
    <w:uiPriority w:val="99"/>
    <w:rsid w:val="004F4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26" Type="http://schemas.openxmlformats.org/officeDocument/2006/relationships/hyperlink" Target="https://doi.org/10.1071/MA17062" TargetMode="External"/><Relationship Id="rId39" Type="http://schemas.openxmlformats.org/officeDocument/2006/relationships/hyperlink" Target="https://doi.org/10.1093/jac/dkt501" TargetMode="External"/><Relationship Id="rId21" Type="http://schemas.openxmlformats.org/officeDocument/2006/relationships/footer" Target="footer1.xml"/><Relationship Id="rId34" Type="http://schemas.openxmlformats.org/officeDocument/2006/relationships/hyperlink" Target="https://doi.org/10.33321/cdi.2022.46.52" TargetMode="External"/><Relationship Id="rId42" Type="http://schemas.openxmlformats.org/officeDocument/2006/relationships/hyperlink" Target="https://doi.org/10.1136/sti.66.1.8" TargetMode="External"/><Relationship Id="rId47" Type="http://schemas.openxmlformats.org/officeDocument/2006/relationships/hyperlink" Target="https://doi.org/10.33321/cdi.2025.49.007" TargetMode="External"/><Relationship Id="rId50" Type="http://schemas.openxmlformats.org/officeDocument/2006/relationships/hyperlink" Target="https://doi.org/10.2807/1560-7917.ES.2022.27.46.2200803" TargetMode="External"/><Relationship Id="rId55" Type="http://schemas.openxmlformats.org/officeDocument/2006/relationships/hyperlink" Target="https://doi.org/10.2807/1560-7917.ES.2023.28.37.230045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https://www.ecdc.europa.eu/en/publications-data/rapid-risk-assessment-extensively-drug-resistant-xdr-neisseria-gonorrhoeae-united" TargetMode="External"/><Relationship Id="rId11" Type="http://schemas.openxmlformats.org/officeDocument/2006/relationships/hyperlink" Target="https://creativecommons.org/licenses/by-nc-nd/4.0/legalcode" TargetMode="External"/><Relationship Id="rId24" Type="http://schemas.openxmlformats.org/officeDocument/2006/relationships/footer" Target="footer3.xml"/><Relationship Id="rId32" Type="http://schemas.openxmlformats.org/officeDocument/2006/relationships/hyperlink" Target="https://apps.who.int/iris/handle/10665/44863" TargetMode="External"/><Relationship Id="rId37" Type="http://schemas.openxmlformats.org/officeDocument/2006/relationships/hyperlink" Target="https://data.kirby.unsw.edu.au/atsi-report" TargetMode="External"/><Relationship Id="rId40" Type="http://schemas.openxmlformats.org/officeDocument/2006/relationships/hyperlink" Target="https://health.nt.gov.au/__data/assets/pdf_file/0006/1288635/health-alert-penicillinase-producing-neisseria-gonorrhoeae-231023.pdf" TargetMode="External"/><Relationship Id="rId45" Type="http://schemas.openxmlformats.org/officeDocument/2006/relationships/hyperlink" Target="https://doi.org/10.33321/cdi.2023.47.45" TargetMode="External"/><Relationship Id="rId53" Type="http://schemas.openxmlformats.org/officeDocument/2006/relationships/hyperlink" Target="https://doi.org/10.2807/1560-7917.ES.2019.24.8.1900118" TargetMode="Externa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footer" Target="footer2.xml"/><Relationship Id="rId27" Type="http://schemas.openxmlformats.org/officeDocument/2006/relationships/hyperlink" Target="https://doi.org/10.3201/eid2404.171873" TargetMode="External"/><Relationship Id="rId30" Type="http://schemas.openxmlformats.org/officeDocument/2006/relationships/hyperlink" Target="https://doi.org/10.1093/jac/dkm434" TargetMode="External"/><Relationship Id="rId35" Type="http://schemas.openxmlformats.org/officeDocument/2006/relationships/hyperlink" Target="https://www.health.gov.au/resources/apps-and-tools/national-notifiable-diseases-surveillance-system-nndss-data-visualisation-tool" TargetMode="External"/><Relationship Id="rId43" Type="http://schemas.openxmlformats.org/officeDocument/2006/relationships/hyperlink" Target="https://ojs.cdi.cdc.gov.au/index.php/cdi/catalog/category/Gonococcal_AGSP_annual_reports" TargetMode="External"/><Relationship Id="rId48" Type="http://schemas.openxmlformats.org/officeDocument/2006/relationships/hyperlink" Target="https://doi.org/10.1093/jac/dkad221" TargetMode="External"/><Relationship Id="rId56" Type="http://schemas.openxmlformats.org/officeDocument/2006/relationships/hyperlink" Target="https://doi.org/10.3201/eid3009.240557" TargetMode="External"/><Relationship Id="rId8" Type="http://schemas.openxmlformats.org/officeDocument/2006/relationships/endnotes" Target="endnotes.xml"/><Relationship Id="rId51" Type="http://schemas.openxmlformats.org/officeDocument/2006/relationships/hyperlink" Target="https://doi.org/10.1586/eri.09.63" TargetMode="Externa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mailto:monica.lahra@health.nsw.gov.au" TargetMode="External"/><Relationship Id="rId33" Type="http://schemas.openxmlformats.org/officeDocument/2006/relationships/hyperlink" Target="https://doi.org/10.33321/cdi.2021.45.12" TargetMode="External"/><Relationship Id="rId38" Type="http://schemas.openxmlformats.org/officeDocument/2006/relationships/hyperlink" Target="https://doi.org/10.1128/JCM.02024-10" TargetMode="External"/><Relationship Id="rId46" Type="http://schemas.openxmlformats.org/officeDocument/2006/relationships/hyperlink" Target="https://doi.org/10.1093/jac/dkab084" TargetMode="External"/><Relationship Id="rId59"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hyperlink" Target="https://apps.who.int/iris/handle/10665/66963" TargetMode="External"/><Relationship Id="rId54" Type="http://schemas.openxmlformats.org/officeDocument/2006/relationships/hyperlink" Target="https://doi.org/10.33321/cdi.2015.39.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header" Target="header3.xml"/><Relationship Id="rId28" Type="http://schemas.openxmlformats.org/officeDocument/2006/relationships/hyperlink" Target="https://doi.org/10.1016/S1473-3099(18)30340-2" TargetMode="External"/><Relationship Id="rId36" Type="http://schemas.openxmlformats.org/officeDocument/2006/relationships/hyperlink" Target="https://www.kirby.unsw.edu.au/sites/default/files/documents/Annual_Surveillance_Report_2024_STI_1.pdf" TargetMode="External"/><Relationship Id="rId49" Type="http://schemas.openxmlformats.org/officeDocument/2006/relationships/hyperlink" Target="https://doi.org/10.1099/mgen.0.000480" TargetMode="External"/><Relationship Id="rId57" Type="http://schemas.openxmlformats.org/officeDocument/2006/relationships/hyperlink" Target="https://doi.org/10.1016/S1473-3099(24)00486-9" TargetMode="External"/><Relationship Id="rId10" Type="http://schemas.openxmlformats.org/officeDocument/2006/relationships/hyperlink" Target="https://www.cdc.gov.au/topics/communicable-diseases/cdi" TargetMode="External"/><Relationship Id="rId31" Type="http://schemas.openxmlformats.org/officeDocument/2006/relationships/hyperlink" Target="https://doi.org/10.1093/jac/dkz182" TargetMode="External"/><Relationship Id="rId44" Type="http://schemas.openxmlformats.org/officeDocument/2006/relationships/hyperlink" Target="https://doi.org/10.2807/1560-7917.ES.2022.27.50.2200899" TargetMode="External"/><Relationship Id="rId52" Type="http://schemas.openxmlformats.org/officeDocument/2006/relationships/hyperlink" Target="https://doi.org/10.2807/1560-7917.ES.2022.27.24.220045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2</TotalTime>
  <Pages>26</Pages>
  <Words>7589</Words>
  <Characters>47671</Characters>
  <Application>Microsoft Office Word</Application>
  <DocSecurity>0</DocSecurity>
  <Lines>1986</Lines>
  <Paragraphs>1674</Paragraphs>
  <ScaleCrop>false</ScaleCrop>
  <HeadingPairs>
    <vt:vector size="2" baseType="variant">
      <vt:variant>
        <vt:lpstr>Title</vt:lpstr>
      </vt:variant>
      <vt:variant>
        <vt:i4>1</vt:i4>
      </vt:variant>
    </vt:vector>
  </HeadingPairs>
  <TitlesOfParts>
    <vt:vector size="1" baseType="lpstr">
      <vt:lpstr>Communicable Diseases Intelligence - Australian Gonococcal Surveillance Programme Annual Report, 2024</vt:lpstr>
    </vt:vector>
  </TitlesOfParts>
  <Company>interim Australian Centre for Disease Control within the Department of Health, Disability and Ageing</Company>
  <LinksUpToDate>false</LinksUpToDate>
  <CharactersWithSpaces>53586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Gonococcal Surveillance Programme Annual Report, 2024</dc:title>
  <dc:subject>The National Neisseria Network (NNN) was established in 1981 to provide laboratory-based surveillance for the pathogenic Neisseria in Australia. The Australian Gonococcal Surveillance Programme report is a collaborative product of the NNN. This report presents gonococcal antimicrobial resistance surveillance data from 2024.</dc:subject>
  <dc:creator>Monica M Lahra; Siobhan M Hurley; Sebastiaan J van Hal and Tiffany R Hogan; National Neisseria Network Australia</dc:creator>
  <cp:keywords>antimicrobial resistance; disease surveillance; gonococcal infection; Neisseria gonorrhoeae</cp:keywords>
  <dc:description>© 2025 Commonwealth of Australia as represented by the Department of Health, Disability and Ageing. This publication is licenced under a CC BY-NC-ND licence.</dc:description>
  <cp:revision>2</cp:revision>
  <cp:lastPrinted>2024-03-07T01:06:00Z</cp:lastPrinted>
  <dcterms:created xsi:type="dcterms:W3CDTF">2025-11-06T00:04:00Z</dcterms:created>
  <dcterms:modified xsi:type="dcterms:W3CDTF">2025-11-06T00:04:00Z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doi.org/10.33321/cdi.2025.49.056</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