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B16CD" w14:textId="6860FA8B"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703419B0" wp14:editId="19CA5CDE">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D51661">
          <w:t>2025</w:t>
        </w:r>
      </w:fldSimple>
      <w:r w:rsidR="00D22CC8" w:rsidRPr="00B85B74">
        <w:t xml:space="preserve"> • Volume </w:t>
      </w:r>
      <w:fldSimple w:instr=" DOCPROPERTY  Vol  \* MERGEFORMAT ">
        <w:r w:rsidR="00D51661">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177B9C">
          <w:t>18.11.2025</w:t>
        </w:r>
      </w:fldSimple>
      <w:r w:rsidR="00700338">
        <w:t xml:space="preserve"> </w:t>
      </w:r>
      <w:r w:rsidR="00700338" w:rsidRPr="00B85B74">
        <w:t xml:space="preserve">• </w:t>
      </w:r>
      <w:fldSimple w:instr=" DOCPROPERTY  DOI  \* MERGEFORMAT ">
        <w:r w:rsidR="00177B9C">
          <w:t>doi.org/10.33321/cdi.2025.49.053</w:t>
        </w:r>
      </w:fldSimple>
    </w:p>
    <w:p w14:paraId="7B865783" w14:textId="54BCB192" w:rsidR="006B16A5" w:rsidRPr="007C02E7" w:rsidRDefault="007C02E7" w:rsidP="007C02E7">
      <w:pPr>
        <w:pStyle w:val="Title"/>
      </w:pPr>
      <w:r w:rsidRPr="007C02E7">
        <w:t>Australian Group on Antimicrobial Resistance (AGAR) Australian Enterococcal Surveillance Outcome Program (AESOP) Bloodstream Infection Annual Report 2024</w:t>
      </w:r>
    </w:p>
    <w:p w14:paraId="6BD840C3" w14:textId="29F3D15C" w:rsidR="00013B65" w:rsidRDefault="007C02E7" w:rsidP="007C02E7">
      <w:pPr>
        <w:pStyle w:val="Subtitle"/>
      </w:pPr>
      <w:r>
        <w:t>Geoffrey W Coombs, Denise A Daley, Auriane Form, Xing Li, Christian Torres, Shakeel Mowlaboccus, on behalf of the Australian Group on Antimicrobial Resistance</w:t>
      </w:r>
      <w:r w:rsidR="00013B65">
        <w:br w:type="page"/>
      </w:r>
    </w:p>
    <w:p w14:paraId="623979A4"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D51661">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51FC6BB5" w14:textId="77777777" w:rsidR="00B52457" w:rsidRPr="0089025E" w:rsidRDefault="00B52457" w:rsidP="00087CC4">
      <w:pPr>
        <w:pStyle w:val="CDICopyright"/>
      </w:pPr>
      <w:r w:rsidRPr="0089025E">
        <w:t>ISSN: 2209-6051 Online</w:t>
      </w:r>
    </w:p>
    <w:p w14:paraId="5BBCE481" w14:textId="77777777" w:rsidR="00B52457" w:rsidRDefault="00B52457" w:rsidP="00087CC4">
      <w:pPr>
        <w:pStyle w:val="CDICopyright"/>
      </w:pPr>
      <w:r w:rsidRPr="0089025E">
        <w:t>This journal is indexed by Index Medicus and Medline.</w:t>
      </w:r>
    </w:p>
    <w:p w14:paraId="78971C53" w14:textId="77777777" w:rsidR="00B52457" w:rsidRPr="007F2B27" w:rsidRDefault="00B52457" w:rsidP="00CC3648">
      <w:pPr>
        <w:pStyle w:val="CDICopyrightHeading"/>
      </w:pPr>
      <w:r w:rsidRPr="007F2B27">
        <w:t>Creative Commons Licence</w:t>
      </w:r>
    </w:p>
    <w:p w14:paraId="582698D5"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5BC206CF" w14:textId="77777777" w:rsidR="00B52457" w:rsidRPr="007F2B27" w:rsidRDefault="00B52457" w:rsidP="00CC3648">
      <w:pPr>
        <w:pStyle w:val="CDICopyrightHeading"/>
      </w:pPr>
      <w:r w:rsidRPr="007F2B27">
        <w:t>Restrictions</w:t>
      </w:r>
    </w:p>
    <w:p w14:paraId="3D8C0E76"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4113A7D9"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2A1B07A6"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6A0140A5"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4D19F5DF" w14:textId="77777777" w:rsidR="00B52457" w:rsidRPr="00E9313B" w:rsidRDefault="00B52457" w:rsidP="00E9313B">
      <w:pPr>
        <w:pStyle w:val="CDICopyrightBullets"/>
      </w:pPr>
      <w:r w:rsidRPr="00E9313B">
        <w:t>any signatures; and</w:t>
      </w:r>
    </w:p>
    <w:p w14:paraId="77FA567B" w14:textId="77777777" w:rsidR="00B52457" w:rsidRPr="003C23C9" w:rsidRDefault="00B52457" w:rsidP="00E9313B">
      <w:pPr>
        <w:pStyle w:val="CDICopyrightBullets"/>
      </w:pPr>
      <w:r w:rsidRPr="00E9313B">
        <w:t>any</w:t>
      </w:r>
      <w:r w:rsidRPr="003C23C9">
        <w:t xml:space="preserve"> material belonging to third parties.</w:t>
      </w:r>
    </w:p>
    <w:p w14:paraId="59D4B128" w14:textId="77777777" w:rsidR="00B52457" w:rsidRPr="00CC3648" w:rsidRDefault="00B52457" w:rsidP="00CC3648">
      <w:pPr>
        <w:pStyle w:val="CDICopyrightHeading"/>
      </w:pPr>
      <w:r w:rsidRPr="00CC3648">
        <w:t>Disclaimer</w:t>
      </w:r>
    </w:p>
    <w:p w14:paraId="4F9D2AC4"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5B7E75DF" w14:textId="77777777" w:rsidR="00B52457" w:rsidRPr="007F2B27" w:rsidRDefault="00B52457" w:rsidP="00CC3648">
      <w:pPr>
        <w:pStyle w:val="CDICopyrightHeading"/>
      </w:pPr>
      <w:r w:rsidRPr="007F2B27">
        <w:t>Enquiries</w:t>
      </w:r>
    </w:p>
    <w:p w14:paraId="1D7CCF98"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5834BD0E" w14:textId="77777777" w:rsidR="00B52457" w:rsidRPr="00A65DFA" w:rsidRDefault="00B52457" w:rsidP="00B52457">
      <w:pPr>
        <w:pStyle w:val="CDIAbout"/>
      </w:pPr>
      <w:bookmarkStart w:id="1" w:name="_Toc190257376"/>
      <w:r>
        <w:t xml:space="preserve">About </w:t>
      </w:r>
      <w:bookmarkEnd w:id="1"/>
      <w:r w:rsidR="0022524E">
        <w:t>CDI</w:t>
      </w:r>
    </w:p>
    <w:p w14:paraId="7A459CD2"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5B9E2337"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5CB9E9CB"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634AF167"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4D1BE265"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41C91EB3"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5BAB82FB" w14:textId="77777777" w:rsidR="00B52457" w:rsidRPr="00B87589" w:rsidRDefault="00B52457" w:rsidP="00B87589">
      <w:pPr>
        <w:pStyle w:val="CDIAbouttext"/>
        <w:rPr>
          <w:b/>
          <w:bCs/>
        </w:rPr>
      </w:pPr>
      <w:r w:rsidRPr="00B87589">
        <w:rPr>
          <w:b/>
          <w:bCs/>
        </w:rPr>
        <w:t>Contact us</w:t>
      </w:r>
    </w:p>
    <w:p w14:paraId="5DCCBBBC" w14:textId="77777777" w:rsidR="00B52457" w:rsidRPr="00087CC4" w:rsidRDefault="00B52457" w:rsidP="00360B3A">
      <w:pPr>
        <w:pStyle w:val="CDIAbouttextLess"/>
      </w:pPr>
      <w:r w:rsidRPr="009572C6">
        <w:t>Communicable Diseases Intelligence</w:t>
      </w:r>
      <w:r w:rsidRPr="00087CC4">
        <w:t xml:space="preserve"> (CDI)</w:t>
      </w:r>
    </w:p>
    <w:p w14:paraId="124B125C" w14:textId="77777777" w:rsidR="00B52457" w:rsidRPr="00087CC4" w:rsidRDefault="009572C6" w:rsidP="00360B3A">
      <w:pPr>
        <w:pStyle w:val="CDIAbouttextLess"/>
      </w:pPr>
      <w:r>
        <w:t>interim Australian Centre for Disease Control, Department of Health, Disability and Ageing</w:t>
      </w:r>
    </w:p>
    <w:p w14:paraId="650C1EF3" w14:textId="77777777" w:rsidR="00B52457" w:rsidRPr="0089025E" w:rsidRDefault="00B52457" w:rsidP="00360B3A">
      <w:pPr>
        <w:pStyle w:val="CDIAbouttextLess"/>
      </w:pPr>
      <w:r w:rsidRPr="00087CC4">
        <w:t>GPO Box 9848, CANBERRA</w:t>
      </w:r>
      <w:r w:rsidRPr="0089025E">
        <w:t xml:space="preserve"> ACT 2601</w:t>
      </w:r>
    </w:p>
    <w:p w14:paraId="1D0C2DB7"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77428C5C"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4F0F9F2E"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13142432"/>
      <w:bookmarkStart w:id="7" w:name="_Toc195530496"/>
      <w:r>
        <w:lastRenderedPageBreak/>
        <w:t>Contents</w:t>
      </w:r>
      <w:bookmarkEnd w:id="2"/>
      <w:bookmarkEnd w:id="3"/>
      <w:bookmarkEnd w:id="4"/>
      <w:bookmarkEnd w:id="5"/>
      <w:bookmarkEnd w:id="6"/>
    </w:p>
    <w:p w14:paraId="18260B58" w14:textId="1802C5F6" w:rsidR="00177B9C" w:rsidRPr="00177B9C" w:rsidRDefault="005A4E9D">
      <w:pPr>
        <w:pStyle w:val="TOC1"/>
      </w:pPr>
      <w:r>
        <w:fldChar w:fldCharType="begin"/>
      </w:r>
      <w:r>
        <w:instrText xml:space="preserve"> TOC \o "1-1" \h \z \t "Heading 2,2,Heading 2 - no space before,2,Heading 2 - less space before,2,Heading 2 - new page,2" </w:instrText>
      </w:r>
      <w:r>
        <w:fldChar w:fldCharType="separate"/>
      </w:r>
      <w:hyperlink w:anchor="_Toc213142433" w:history="1">
        <w:r w:rsidR="00177B9C" w:rsidRPr="00F80E9B">
          <w:rPr>
            <w:rStyle w:val="Hyperlink"/>
            <w:noProof/>
          </w:rPr>
          <w:t>List of tables</w:t>
        </w:r>
        <w:r w:rsidR="00177B9C">
          <w:rPr>
            <w:noProof/>
            <w:webHidden/>
          </w:rPr>
          <w:tab/>
        </w:r>
        <w:r w:rsidR="00177B9C">
          <w:rPr>
            <w:noProof/>
            <w:webHidden/>
          </w:rPr>
          <w:fldChar w:fldCharType="begin"/>
        </w:r>
        <w:r w:rsidR="00177B9C">
          <w:rPr>
            <w:noProof/>
            <w:webHidden/>
          </w:rPr>
          <w:instrText xml:space="preserve"> PAGEREF _Toc213142433 \h </w:instrText>
        </w:r>
        <w:r w:rsidR="00177B9C">
          <w:rPr>
            <w:noProof/>
            <w:webHidden/>
          </w:rPr>
        </w:r>
        <w:r w:rsidR="00177B9C">
          <w:rPr>
            <w:noProof/>
            <w:webHidden/>
          </w:rPr>
          <w:fldChar w:fldCharType="separate"/>
        </w:r>
        <w:r w:rsidR="00177B9C">
          <w:rPr>
            <w:noProof/>
            <w:webHidden/>
          </w:rPr>
          <w:t>4</w:t>
        </w:r>
        <w:r w:rsidR="00177B9C">
          <w:rPr>
            <w:noProof/>
            <w:webHidden/>
          </w:rPr>
          <w:fldChar w:fldCharType="end"/>
        </w:r>
      </w:hyperlink>
    </w:p>
    <w:p w14:paraId="068DF5EE" w14:textId="320DABF6" w:rsidR="00177B9C" w:rsidRPr="00177B9C" w:rsidRDefault="00177B9C">
      <w:pPr>
        <w:pStyle w:val="TOC1"/>
      </w:pPr>
      <w:hyperlink w:anchor="_Toc213142434" w:history="1">
        <w:r w:rsidRPr="00F80E9B">
          <w:rPr>
            <w:rStyle w:val="Hyperlink"/>
            <w:noProof/>
          </w:rPr>
          <w:t>Abstract</w:t>
        </w:r>
        <w:r>
          <w:rPr>
            <w:noProof/>
            <w:webHidden/>
          </w:rPr>
          <w:tab/>
        </w:r>
        <w:r>
          <w:rPr>
            <w:noProof/>
            <w:webHidden/>
          </w:rPr>
          <w:fldChar w:fldCharType="begin"/>
        </w:r>
        <w:r>
          <w:rPr>
            <w:noProof/>
            <w:webHidden/>
          </w:rPr>
          <w:instrText xml:space="preserve"> PAGEREF _Toc213142434 \h </w:instrText>
        </w:r>
        <w:r>
          <w:rPr>
            <w:noProof/>
            <w:webHidden/>
          </w:rPr>
        </w:r>
        <w:r>
          <w:rPr>
            <w:noProof/>
            <w:webHidden/>
          </w:rPr>
          <w:fldChar w:fldCharType="separate"/>
        </w:r>
        <w:r>
          <w:rPr>
            <w:noProof/>
            <w:webHidden/>
          </w:rPr>
          <w:t>5</w:t>
        </w:r>
        <w:r>
          <w:rPr>
            <w:noProof/>
            <w:webHidden/>
          </w:rPr>
          <w:fldChar w:fldCharType="end"/>
        </w:r>
      </w:hyperlink>
    </w:p>
    <w:p w14:paraId="0F205F77" w14:textId="55A7882B" w:rsidR="00177B9C" w:rsidRPr="00177B9C" w:rsidRDefault="00177B9C">
      <w:pPr>
        <w:pStyle w:val="TOC1"/>
      </w:pPr>
      <w:hyperlink w:anchor="_Toc213142435" w:history="1">
        <w:r w:rsidRPr="00F80E9B">
          <w:rPr>
            <w:rStyle w:val="Hyperlink"/>
            <w:noProof/>
          </w:rPr>
          <w:t>Background</w:t>
        </w:r>
        <w:r>
          <w:rPr>
            <w:noProof/>
            <w:webHidden/>
          </w:rPr>
          <w:tab/>
        </w:r>
        <w:r>
          <w:rPr>
            <w:noProof/>
            <w:webHidden/>
          </w:rPr>
          <w:fldChar w:fldCharType="begin"/>
        </w:r>
        <w:r>
          <w:rPr>
            <w:noProof/>
            <w:webHidden/>
          </w:rPr>
          <w:instrText xml:space="preserve"> PAGEREF _Toc213142435 \h </w:instrText>
        </w:r>
        <w:r>
          <w:rPr>
            <w:noProof/>
            <w:webHidden/>
          </w:rPr>
        </w:r>
        <w:r>
          <w:rPr>
            <w:noProof/>
            <w:webHidden/>
          </w:rPr>
          <w:fldChar w:fldCharType="separate"/>
        </w:r>
        <w:r>
          <w:rPr>
            <w:noProof/>
            <w:webHidden/>
          </w:rPr>
          <w:t>6</w:t>
        </w:r>
        <w:r>
          <w:rPr>
            <w:noProof/>
            <w:webHidden/>
          </w:rPr>
          <w:fldChar w:fldCharType="end"/>
        </w:r>
      </w:hyperlink>
    </w:p>
    <w:p w14:paraId="67FB0DF4" w14:textId="363A4748" w:rsidR="00177B9C" w:rsidRPr="00177B9C" w:rsidRDefault="00177B9C">
      <w:pPr>
        <w:pStyle w:val="TOC1"/>
      </w:pPr>
      <w:hyperlink w:anchor="_Toc213142436" w:history="1">
        <w:r w:rsidRPr="00F80E9B">
          <w:rPr>
            <w:rStyle w:val="Hyperlink"/>
            <w:noProof/>
            <w:lang w:val="en-GB"/>
          </w:rPr>
          <w:t>Methodology</w:t>
        </w:r>
        <w:r>
          <w:rPr>
            <w:noProof/>
            <w:webHidden/>
          </w:rPr>
          <w:tab/>
        </w:r>
        <w:r>
          <w:rPr>
            <w:noProof/>
            <w:webHidden/>
          </w:rPr>
          <w:fldChar w:fldCharType="begin"/>
        </w:r>
        <w:r>
          <w:rPr>
            <w:noProof/>
            <w:webHidden/>
          </w:rPr>
          <w:instrText xml:space="preserve"> PAGEREF _Toc213142436 \h </w:instrText>
        </w:r>
        <w:r>
          <w:rPr>
            <w:noProof/>
            <w:webHidden/>
          </w:rPr>
        </w:r>
        <w:r>
          <w:rPr>
            <w:noProof/>
            <w:webHidden/>
          </w:rPr>
          <w:fldChar w:fldCharType="separate"/>
        </w:r>
        <w:r>
          <w:rPr>
            <w:noProof/>
            <w:webHidden/>
          </w:rPr>
          <w:t>7</w:t>
        </w:r>
        <w:r>
          <w:rPr>
            <w:noProof/>
            <w:webHidden/>
          </w:rPr>
          <w:fldChar w:fldCharType="end"/>
        </w:r>
      </w:hyperlink>
    </w:p>
    <w:p w14:paraId="25532C8C" w14:textId="06DA8D50" w:rsidR="00177B9C" w:rsidRPr="00177B9C" w:rsidRDefault="00177B9C">
      <w:pPr>
        <w:pStyle w:val="TOC2"/>
        <w:tabs>
          <w:tab w:val="right" w:leader="dot" w:pos="9629"/>
        </w:tabs>
      </w:pPr>
      <w:hyperlink w:anchor="_Toc213142437" w:history="1">
        <w:r w:rsidRPr="00F80E9B">
          <w:rPr>
            <w:rStyle w:val="Hyperlink"/>
            <w:noProof/>
            <w:lang w:val="en-GB"/>
          </w:rPr>
          <w:t>Participants</w:t>
        </w:r>
        <w:r>
          <w:rPr>
            <w:noProof/>
            <w:webHidden/>
          </w:rPr>
          <w:tab/>
        </w:r>
        <w:r>
          <w:rPr>
            <w:noProof/>
            <w:webHidden/>
          </w:rPr>
          <w:fldChar w:fldCharType="begin"/>
        </w:r>
        <w:r>
          <w:rPr>
            <w:noProof/>
            <w:webHidden/>
          </w:rPr>
          <w:instrText xml:space="preserve"> PAGEREF _Toc213142437 \h </w:instrText>
        </w:r>
        <w:r>
          <w:rPr>
            <w:noProof/>
            <w:webHidden/>
          </w:rPr>
        </w:r>
        <w:r>
          <w:rPr>
            <w:noProof/>
            <w:webHidden/>
          </w:rPr>
          <w:fldChar w:fldCharType="separate"/>
        </w:r>
        <w:r>
          <w:rPr>
            <w:noProof/>
            <w:webHidden/>
          </w:rPr>
          <w:t>7</w:t>
        </w:r>
        <w:r>
          <w:rPr>
            <w:noProof/>
            <w:webHidden/>
          </w:rPr>
          <w:fldChar w:fldCharType="end"/>
        </w:r>
      </w:hyperlink>
    </w:p>
    <w:p w14:paraId="02E0C7B6" w14:textId="0E8606CE" w:rsidR="00177B9C" w:rsidRPr="00177B9C" w:rsidRDefault="00177B9C">
      <w:pPr>
        <w:pStyle w:val="TOC2"/>
        <w:tabs>
          <w:tab w:val="right" w:leader="dot" w:pos="9629"/>
        </w:tabs>
      </w:pPr>
      <w:hyperlink w:anchor="_Toc213142438" w:history="1">
        <w:r w:rsidRPr="00F80E9B">
          <w:rPr>
            <w:rStyle w:val="Hyperlink"/>
            <w:noProof/>
            <w:lang w:val="en-GB"/>
          </w:rPr>
          <w:t>Collection period</w:t>
        </w:r>
        <w:r>
          <w:rPr>
            <w:noProof/>
            <w:webHidden/>
          </w:rPr>
          <w:tab/>
        </w:r>
        <w:r>
          <w:rPr>
            <w:noProof/>
            <w:webHidden/>
          </w:rPr>
          <w:fldChar w:fldCharType="begin"/>
        </w:r>
        <w:r>
          <w:rPr>
            <w:noProof/>
            <w:webHidden/>
          </w:rPr>
          <w:instrText xml:space="preserve"> PAGEREF _Toc213142438 \h </w:instrText>
        </w:r>
        <w:r>
          <w:rPr>
            <w:noProof/>
            <w:webHidden/>
          </w:rPr>
        </w:r>
        <w:r>
          <w:rPr>
            <w:noProof/>
            <w:webHidden/>
          </w:rPr>
          <w:fldChar w:fldCharType="separate"/>
        </w:r>
        <w:r>
          <w:rPr>
            <w:noProof/>
            <w:webHidden/>
          </w:rPr>
          <w:t>7</w:t>
        </w:r>
        <w:r>
          <w:rPr>
            <w:noProof/>
            <w:webHidden/>
          </w:rPr>
          <w:fldChar w:fldCharType="end"/>
        </w:r>
      </w:hyperlink>
    </w:p>
    <w:p w14:paraId="045A4439" w14:textId="45A34A56" w:rsidR="00177B9C" w:rsidRPr="00177B9C" w:rsidRDefault="00177B9C">
      <w:pPr>
        <w:pStyle w:val="TOC2"/>
        <w:tabs>
          <w:tab w:val="right" w:leader="dot" w:pos="9629"/>
        </w:tabs>
      </w:pPr>
      <w:hyperlink w:anchor="_Toc213142439" w:history="1">
        <w:r w:rsidRPr="00F80E9B">
          <w:rPr>
            <w:rStyle w:val="Hyperlink"/>
            <w:noProof/>
            <w:lang w:val="en-GB"/>
          </w:rPr>
          <w:t>Laboratory testing</w:t>
        </w:r>
        <w:r>
          <w:rPr>
            <w:noProof/>
            <w:webHidden/>
          </w:rPr>
          <w:tab/>
        </w:r>
        <w:r>
          <w:rPr>
            <w:noProof/>
            <w:webHidden/>
          </w:rPr>
          <w:fldChar w:fldCharType="begin"/>
        </w:r>
        <w:r>
          <w:rPr>
            <w:noProof/>
            <w:webHidden/>
          </w:rPr>
          <w:instrText xml:space="preserve"> PAGEREF _Toc213142439 \h </w:instrText>
        </w:r>
        <w:r>
          <w:rPr>
            <w:noProof/>
            <w:webHidden/>
          </w:rPr>
        </w:r>
        <w:r>
          <w:rPr>
            <w:noProof/>
            <w:webHidden/>
          </w:rPr>
          <w:fldChar w:fldCharType="separate"/>
        </w:r>
        <w:r>
          <w:rPr>
            <w:noProof/>
            <w:webHidden/>
          </w:rPr>
          <w:t>7</w:t>
        </w:r>
        <w:r>
          <w:rPr>
            <w:noProof/>
            <w:webHidden/>
          </w:rPr>
          <w:fldChar w:fldCharType="end"/>
        </w:r>
      </w:hyperlink>
    </w:p>
    <w:p w14:paraId="15F7ED8B" w14:textId="383D240F" w:rsidR="00177B9C" w:rsidRPr="00177B9C" w:rsidRDefault="00177B9C">
      <w:pPr>
        <w:pStyle w:val="TOC1"/>
      </w:pPr>
      <w:hyperlink w:anchor="_Toc213142440" w:history="1">
        <w:r w:rsidRPr="00F80E9B">
          <w:rPr>
            <w:rStyle w:val="Hyperlink"/>
            <w:noProof/>
          </w:rPr>
          <w:t>Results</w:t>
        </w:r>
        <w:r>
          <w:rPr>
            <w:noProof/>
            <w:webHidden/>
          </w:rPr>
          <w:tab/>
        </w:r>
        <w:r>
          <w:rPr>
            <w:noProof/>
            <w:webHidden/>
          </w:rPr>
          <w:fldChar w:fldCharType="begin"/>
        </w:r>
        <w:r>
          <w:rPr>
            <w:noProof/>
            <w:webHidden/>
          </w:rPr>
          <w:instrText xml:space="preserve"> PAGEREF _Toc213142440 \h </w:instrText>
        </w:r>
        <w:r>
          <w:rPr>
            <w:noProof/>
            <w:webHidden/>
          </w:rPr>
        </w:r>
        <w:r>
          <w:rPr>
            <w:noProof/>
            <w:webHidden/>
          </w:rPr>
          <w:fldChar w:fldCharType="separate"/>
        </w:r>
        <w:r>
          <w:rPr>
            <w:noProof/>
            <w:webHidden/>
          </w:rPr>
          <w:t>8</w:t>
        </w:r>
        <w:r>
          <w:rPr>
            <w:noProof/>
            <w:webHidden/>
          </w:rPr>
          <w:fldChar w:fldCharType="end"/>
        </w:r>
      </w:hyperlink>
    </w:p>
    <w:p w14:paraId="6360A5C2" w14:textId="5210A1E3" w:rsidR="00177B9C" w:rsidRPr="00177B9C" w:rsidRDefault="00177B9C">
      <w:pPr>
        <w:pStyle w:val="TOC2"/>
        <w:tabs>
          <w:tab w:val="right" w:leader="dot" w:pos="9629"/>
        </w:tabs>
      </w:pPr>
      <w:hyperlink w:anchor="_Toc213142441" w:history="1">
        <w:r w:rsidRPr="00F80E9B">
          <w:rPr>
            <w:rStyle w:val="Hyperlink"/>
            <w:i/>
            <w:iCs/>
            <w:noProof/>
            <w:lang w:val="en-GB"/>
          </w:rPr>
          <w:t>Enterococcus faecalis</w:t>
        </w:r>
        <w:r w:rsidRPr="00F80E9B">
          <w:rPr>
            <w:rStyle w:val="Hyperlink"/>
            <w:noProof/>
            <w:lang w:val="en-GB"/>
          </w:rPr>
          <w:t xml:space="preserve"> phenotypic susceptibility results</w:t>
        </w:r>
        <w:r>
          <w:rPr>
            <w:noProof/>
            <w:webHidden/>
          </w:rPr>
          <w:tab/>
        </w:r>
        <w:r>
          <w:rPr>
            <w:noProof/>
            <w:webHidden/>
          </w:rPr>
          <w:fldChar w:fldCharType="begin"/>
        </w:r>
        <w:r>
          <w:rPr>
            <w:noProof/>
            <w:webHidden/>
          </w:rPr>
          <w:instrText xml:space="preserve"> PAGEREF _Toc213142441 \h </w:instrText>
        </w:r>
        <w:r>
          <w:rPr>
            <w:noProof/>
            <w:webHidden/>
          </w:rPr>
        </w:r>
        <w:r>
          <w:rPr>
            <w:noProof/>
            <w:webHidden/>
          </w:rPr>
          <w:fldChar w:fldCharType="separate"/>
        </w:r>
        <w:r>
          <w:rPr>
            <w:noProof/>
            <w:webHidden/>
          </w:rPr>
          <w:t>8</w:t>
        </w:r>
        <w:r>
          <w:rPr>
            <w:noProof/>
            <w:webHidden/>
          </w:rPr>
          <w:fldChar w:fldCharType="end"/>
        </w:r>
      </w:hyperlink>
    </w:p>
    <w:p w14:paraId="0DC3DDE2" w14:textId="44189B5B" w:rsidR="00177B9C" w:rsidRPr="00177B9C" w:rsidRDefault="00177B9C">
      <w:pPr>
        <w:pStyle w:val="TOC2"/>
        <w:tabs>
          <w:tab w:val="right" w:leader="dot" w:pos="9629"/>
        </w:tabs>
      </w:pPr>
      <w:hyperlink w:anchor="_Toc213142442" w:history="1">
        <w:r w:rsidRPr="00F80E9B">
          <w:rPr>
            <w:rStyle w:val="Hyperlink"/>
            <w:i/>
            <w:iCs/>
            <w:noProof/>
            <w:lang w:val="en-GB"/>
          </w:rPr>
          <w:t>Enterococcus faecium</w:t>
        </w:r>
        <w:r w:rsidRPr="00F80E9B">
          <w:rPr>
            <w:rStyle w:val="Hyperlink"/>
            <w:noProof/>
            <w:lang w:val="en-GB"/>
          </w:rPr>
          <w:t xml:space="preserve"> phenotypic susceptibility results</w:t>
        </w:r>
        <w:r>
          <w:rPr>
            <w:noProof/>
            <w:webHidden/>
          </w:rPr>
          <w:tab/>
        </w:r>
        <w:r>
          <w:rPr>
            <w:noProof/>
            <w:webHidden/>
          </w:rPr>
          <w:fldChar w:fldCharType="begin"/>
        </w:r>
        <w:r>
          <w:rPr>
            <w:noProof/>
            <w:webHidden/>
          </w:rPr>
          <w:instrText xml:space="preserve"> PAGEREF _Toc213142442 \h </w:instrText>
        </w:r>
        <w:r>
          <w:rPr>
            <w:noProof/>
            <w:webHidden/>
          </w:rPr>
        </w:r>
        <w:r>
          <w:rPr>
            <w:noProof/>
            <w:webHidden/>
          </w:rPr>
          <w:fldChar w:fldCharType="separate"/>
        </w:r>
        <w:r>
          <w:rPr>
            <w:noProof/>
            <w:webHidden/>
          </w:rPr>
          <w:t>9</w:t>
        </w:r>
        <w:r>
          <w:rPr>
            <w:noProof/>
            <w:webHidden/>
          </w:rPr>
          <w:fldChar w:fldCharType="end"/>
        </w:r>
      </w:hyperlink>
    </w:p>
    <w:p w14:paraId="2E23CD2B" w14:textId="268FE3E7" w:rsidR="00177B9C" w:rsidRPr="00177B9C" w:rsidRDefault="00177B9C">
      <w:pPr>
        <w:pStyle w:val="TOC2"/>
        <w:tabs>
          <w:tab w:val="right" w:leader="dot" w:pos="9629"/>
        </w:tabs>
      </w:pPr>
      <w:hyperlink w:anchor="_Toc213142443" w:history="1">
        <w:r w:rsidRPr="00F80E9B">
          <w:rPr>
            <w:rStyle w:val="Hyperlink"/>
            <w:noProof/>
            <w:lang w:val="en-GB"/>
          </w:rPr>
          <w:t xml:space="preserve">Detection of </w:t>
        </w:r>
        <w:r w:rsidRPr="00F80E9B">
          <w:rPr>
            <w:rStyle w:val="Hyperlink"/>
            <w:i/>
            <w:iCs/>
            <w:noProof/>
            <w:lang w:val="en-GB"/>
          </w:rPr>
          <w:t>van</w:t>
        </w:r>
        <w:r w:rsidRPr="00F80E9B">
          <w:rPr>
            <w:rStyle w:val="Hyperlink"/>
            <w:noProof/>
            <w:lang w:val="en-GB"/>
          </w:rPr>
          <w:t xml:space="preserve"> genes in </w:t>
        </w:r>
        <w:r w:rsidRPr="00F80E9B">
          <w:rPr>
            <w:rStyle w:val="Hyperlink"/>
            <w:i/>
            <w:iCs/>
            <w:noProof/>
            <w:lang w:val="en-GB"/>
          </w:rPr>
          <w:t>E. faecalis</w:t>
        </w:r>
        <w:r w:rsidRPr="00F80E9B">
          <w:rPr>
            <w:rStyle w:val="Hyperlink"/>
            <w:noProof/>
            <w:lang w:val="en-GB"/>
          </w:rPr>
          <w:t xml:space="preserve"> and </w:t>
        </w:r>
        <w:r w:rsidRPr="00F80E9B">
          <w:rPr>
            <w:rStyle w:val="Hyperlink"/>
            <w:i/>
            <w:iCs/>
            <w:noProof/>
            <w:lang w:val="en-GB"/>
          </w:rPr>
          <w:t>E. faecium</w:t>
        </w:r>
        <w:r>
          <w:rPr>
            <w:noProof/>
            <w:webHidden/>
          </w:rPr>
          <w:tab/>
        </w:r>
        <w:r>
          <w:rPr>
            <w:noProof/>
            <w:webHidden/>
          </w:rPr>
          <w:fldChar w:fldCharType="begin"/>
        </w:r>
        <w:r>
          <w:rPr>
            <w:noProof/>
            <w:webHidden/>
          </w:rPr>
          <w:instrText xml:space="preserve"> PAGEREF _Toc213142443 \h </w:instrText>
        </w:r>
        <w:r>
          <w:rPr>
            <w:noProof/>
            <w:webHidden/>
          </w:rPr>
        </w:r>
        <w:r>
          <w:rPr>
            <w:noProof/>
            <w:webHidden/>
          </w:rPr>
          <w:fldChar w:fldCharType="separate"/>
        </w:r>
        <w:r>
          <w:rPr>
            <w:noProof/>
            <w:webHidden/>
          </w:rPr>
          <w:t>9</w:t>
        </w:r>
        <w:r>
          <w:rPr>
            <w:noProof/>
            <w:webHidden/>
          </w:rPr>
          <w:fldChar w:fldCharType="end"/>
        </w:r>
      </w:hyperlink>
    </w:p>
    <w:p w14:paraId="2E82A897" w14:textId="657FDBB3" w:rsidR="00177B9C" w:rsidRPr="00177B9C" w:rsidRDefault="00177B9C">
      <w:pPr>
        <w:pStyle w:val="TOC2"/>
        <w:tabs>
          <w:tab w:val="right" w:leader="dot" w:pos="9629"/>
        </w:tabs>
      </w:pPr>
      <w:hyperlink w:anchor="_Toc213142444" w:history="1">
        <w:r w:rsidRPr="00F80E9B">
          <w:rPr>
            <w:rStyle w:val="Hyperlink"/>
            <w:i/>
            <w:iCs/>
            <w:noProof/>
            <w:lang w:val="en-GB"/>
          </w:rPr>
          <w:t>E. faecium</w:t>
        </w:r>
        <w:r w:rsidRPr="00F80E9B">
          <w:rPr>
            <w:rStyle w:val="Hyperlink"/>
            <w:noProof/>
            <w:lang w:val="en-GB"/>
          </w:rPr>
          <w:t xml:space="preserve"> molecular epidemiology</w:t>
        </w:r>
        <w:r>
          <w:rPr>
            <w:noProof/>
            <w:webHidden/>
          </w:rPr>
          <w:tab/>
        </w:r>
        <w:r>
          <w:rPr>
            <w:noProof/>
            <w:webHidden/>
          </w:rPr>
          <w:fldChar w:fldCharType="begin"/>
        </w:r>
        <w:r>
          <w:rPr>
            <w:noProof/>
            <w:webHidden/>
          </w:rPr>
          <w:instrText xml:space="preserve"> PAGEREF _Toc213142444 \h </w:instrText>
        </w:r>
        <w:r>
          <w:rPr>
            <w:noProof/>
            <w:webHidden/>
          </w:rPr>
        </w:r>
        <w:r>
          <w:rPr>
            <w:noProof/>
            <w:webHidden/>
          </w:rPr>
          <w:fldChar w:fldCharType="separate"/>
        </w:r>
        <w:r>
          <w:rPr>
            <w:noProof/>
            <w:webHidden/>
          </w:rPr>
          <w:t>10</w:t>
        </w:r>
        <w:r>
          <w:rPr>
            <w:noProof/>
            <w:webHidden/>
          </w:rPr>
          <w:fldChar w:fldCharType="end"/>
        </w:r>
      </w:hyperlink>
    </w:p>
    <w:p w14:paraId="658A64A5" w14:textId="58CF72B2" w:rsidR="00177B9C" w:rsidRPr="00177B9C" w:rsidRDefault="00177B9C">
      <w:pPr>
        <w:pStyle w:val="TOC1"/>
      </w:pPr>
      <w:hyperlink w:anchor="_Toc213142445" w:history="1">
        <w:r w:rsidRPr="00F80E9B">
          <w:rPr>
            <w:rStyle w:val="Hyperlink"/>
            <w:noProof/>
          </w:rPr>
          <w:t>Discussion</w:t>
        </w:r>
        <w:r>
          <w:rPr>
            <w:noProof/>
            <w:webHidden/>
          </w:rPr>
          <w:tab/>
        </w:r>
        <w:r>
          <w:rPr>
            <w:noProof/>
            <w:webHidden/>
          </w:rPr>
          <w:fldChar w:fldCharType="begin"/>
        </w:r>
        <w:r>
          <w:rPr>
            <w:noProof/>
            <w:webHidden/>
          </w:rPr>
          <w:instrText xml:space="preserve"> PAGEREF _Toc213142445 \h </w:instrText>
        </w:r>
        <w:r>
          <w:rPr>
            <w:noProof/>
            <w:webHidden/>
          </w:rPr>
        </w:r>
        <w:r>
          <w:rPr>
            <w:noProof/>
            <w:webHidden/>
          </w:rPr>
          <w:fldChar w:fldCharType="separate"/>
        </w:r>
        <w:r>
          <w:rPr>
            <w:noProof/>
            <w:webHidden/>
          </w:rPr>
          <w:t>13</w:t>
        </w:r>
        <w:r>
          <w:rPr>
            <w:noProof/>
            <w:webHidden/>
          </w:rPr>
          <w:fldChar w:fldCharType="end"/>
        </w:r>
      </w:hyperlink>
    </w:p>
    <w:p w14:paraId="09440C33" w14:textId="496CB3E0" w:rsidR="00177B9C" w:rsidRPr="00177B9C" w:rsidRDefault="00177B9C">
      <w:pPr>
        <w:pStyle w:val="TOC1"/>
      </w:pPr>
      <w:hyperlink w:anchor="_Toc213142446" w:history="1">
        <w:r w:rsidRPr="00F80E9B">
          <w:rPr>
            <w:rStyle w:val="Hyperlink"/>
            <w:noProof/>
          </w:rPr>
          <w:t>Conclusions</w:t>
        </w:r>
        <w:r>
          <w:rPr>
            <w:noProof/>
            <w:webHidden/>
          </w:rPr>
          <w:tab/>
        </w:r>
        <w:r>
          <w:rPr>
            <w:noProof/>
            <w:webHidden/>
          </w:rPr>
          <w:fldChar w:fldCharType="begin"/>
        </w:r>
        <w:r>
          <w:rPr>
            <w:noProof/>
            <w:webHidden/>
          </w:rPr>
          <w:instrText xml:space="preserve"> PAGEREF _Toc213142446 \h </w:instrText>
        </w:r>
        <w:r>
          <w:rPr>
            <w:noProof/>
            <w:webHidden/>
          </w:rPr>
        </w:r>
        <w:r>
          <w:rPr>
            <w:noProof/>
            <w:webHidden/>
          </w:rPr>
          <w:fldChar w:fldCharType="separate"/>
        </w:r>
        <w:r>
          <w:rPr>
            <w:noProof/>
            <w:webHidden/>
          </w:rPr>
          <w:t>14</w:t>
        </w:r>
        <w:r>
          <w:rPr>
            <w:noProof/>
            <w:webHidden/>
          </w:rPr>
          <w:fldChar w:fldCharType="end"/>
        </w:r>
      </w:hyperlink>
    </w:p>
    <w:p w14:paraId="1294B67B" w14:textId="5378AC76" w:rsidR="00177B9C" w:rsidRPr="00177B9C" w:rsidRDefault="00177B9C">
      <w:pPr>
        <w:pStyle w:val="TOC1"/>
      </w:pPr>
      <w:hyperlink w:anchor="_Toc213142447" w:history="1">
        <w:r w:rsidRPr="00F80E9B">
          <w:rPr>
            <w:rStyle w:val="Hyperlink"/>
            <w:noProof/>
          </w:rPr>
          <w:t>Acknowledgments</w:t>
        </w:r>
        <w:r>
          <w:rPr>
            <w:noProof/>
            <w:webHidden/>
          </w:rPr>
          <w:tab/>
        </w:r>
        <w:r>
          <w:rPr>
            <w:noProof/>
            <w:webHidden/>
          </w:rPr>
          <w:fldChar w:fldCharType="begin"/>
        </w:r>
        <w:r>
          <w:rPr>
            <w:noProof/>
            <w:webHidden/>
          </w:rPr>
          <w:instrText xml:space="preserve"> PAGEREF _Toc213142447 \h </w:instrText>
        </w:r>
        <w:r>
          <w:rPr>
            <w:noProof/>
            <w:webHidden/>
          </w:rPr>
        </w:r>
        <w:r>
          <w:rPr>
            <w:noProof/>
            <w:webHidden/>
          </w:rPr>
          <w:fldChar w:fldCharType="separate"/>
        </w:r>
        <w:r>
          <w:rPr>
            <w:noProof/>
            <w:webHidden/>
          </w:rPr>
          <w:t>15</w:t>
        </w:r>
        <w:r>
          <w:rPr>
            <w:noProof/>
            <w:webHidden/>
          </w:rPr>
          <w:fldChar w:fldCharType="end"/>
        </w:r>
      </w:hyperlink>
    </w:p>
    <w:p w14:paraId="6E2937C4" w14:textId="7258635B" w:rsidR="00177B9C" w:rsidRPr="00177B9C" w:rsidRDefault="00177B9C">
      <w:pPr>
        <w:pStyle w:val="TOC1"/>
      </w:pPr>
      <w:hyperlink w:anchor="_Toc213142448" w:history="1">
        <w:r w:rsidRPr="00F80E9B">
          <w:rPr>
            <w:rStyle w:val="Hyperlink"/>
            <w:noProof/>
          </w:rPr>
          <w:t>Author details</w:t>
        </w:r>
        <w:r>
          <w:rPr>
            <w:noProof/>
            <w:webHidden/>
          </w:rPr>
          <w:tab/>
        </w:r>
        <w:r>
          <w:rPr>
            <w:noProof/>
            <w:webHidden/>
          </w:rPr>
          <w:fldChar w:fldCharType="begin"/>
        </w:r>
        <w:r>
          <w:rPr>
            <w:noProof/>
            <w:webHidden/>
          </w:rPr>
          <w:instrText xml:space="preserve"> PAGEREF _Toc213142448 \h </w:instrText>
        </w:r>
        <w:r>
          <w:rPr>
            <w:noProof/>
            <w:webHidden/>
          </w:rPr>
        </w:r>
        <w:r>
          <w:rPr>
            <w:noProof/>
            <w:webHidden/>
          </w:rPr>
          <w:fldChar w:fldCharType="separate"/>
        </w:r>
        <w:r>
          <w:rPr>
            <w:noProof/>
            <w:webHidden/>
          </w:rPr>
          <w:t>17</w:t>
        </w:r>
        <w:r>
          <w:rPr>
            <w:noProof/>
            <w:webHidden/>
          </w:rPr>
          <w:fldChar w:fldCharType="end"/>
        </w:r>
      </w:hyperlink>
    </w:p>
    <w:p w14:paraId="3E4D450D" w14:textId="493FBE74" w:rsidR="00177B9C" w:rsidRPr="00177B9C" w:rsidRDefault="00177B9C">
      <w:pPr>
        <w:pStyle w:val="TOC1"/>
      </w:pPr>
      <w:hyperlink w:anchor="_Toc213142449" w:history="1">
        <w:r w:rsidRPr="00F80E9B">
          <w:rPr>
            <w:rStyle w:val="Hyperlink"/>
            <w:noProof/>
          </w:rPr>
          <w:t>References</w:t>
        </w:r>
        <w:r>
          <w:rPr>
            <w:noProof/>
            <w:webHidden/>
          </w:rPr>
          <w:tab/>
        </w:r>
        <w:r>
          <w:rPr>
            <w:noProof/>
            <w:webHidden/>
          </w:rPr>
          <w:fldChar w:fldCharType="begin"/>
        </w:r>
        <w:r>
          <w:rPr>
            <w:noProof/>
            <w:webHidden/>
          </w:rPr>
          <w:instrText xml:space="preserve"> PAGEREF _Toc213142449 \h </w:instrText>
        </w:r>
        <w:r>
          <w:rPr>
            <w:noProof/>
            <w:webHidden/>
          </w:rPr>
        </w:r>
        <w:r>
          <w:rPr>
            <w:noProof/>
            <w:webHidden/>
          </w:rPr>
          <w:fldChar w:fldCharType="separate"/>
        </w:r>
        <w:r>
          <w:rPr>
            <w:noProof/>
            <w:webHidden/>
          </w:rPr>
          <w:t>18</w:t>
        </w:r>
        <w:r>
          <w:rPr>
            <w:noProof/>
            <w:webHidden/>
          </w:rPr>
          <w:fldChar w:fldCharType="end"/>
        </w:r>
      </w:hyperlink>
    </w:p>
    <w:p w14:paraId="110CDF93" w14:textId="355EDE76" w:rsidR="00F216F0" w:rsidRPr="00F216F0" w:rsidRDefault="005A4E9D" w:rsidP="00F216F0">
      <w:r>
        <w:rPr>
          <w:rFonts w:eastAsiaTheme="minorHAnsi" w:cstheme="minorHAnsi"/>
          <w:szCs w:val="24"/>
          <w:lang w:eastAsia="en-US"/>
        </w:rPr>
        <w:fldChar w:fldCharType="end"/>
      </w:r>
    </w:p>
    <w:p w14:paraId="79B2C8B8" w14:textId="77777777" w:rsidR="00144F10" w:rsidRDefault="00FE3ED6" w:rsidP="005C55A2">
      <w:pPr>
        <w:pStyle w:val="Heading2-newpage"/>
      </w:pPr>
      <w:bookmarkStart w:id="8" w:name="_Toc195609226"/>
      <w:bookmarkStart w:id="9" w:name="_Toc213142433"/>
      <w:r>
        <w:lastRenderedPageBreak/>
        <w:t xml:space="preserve">List of </w:t>
      </w:r>
      <w:r w:rsidR="00F216F0">
        <w:t>t</w:t>
      </w:r>
      <w:r w:rsidR="00144F10">
        <w:t>ables</w:t>
      </w:r>
      <w:bookmarkEnd w:id="7"/>
      <w:bookmarkEnd w:id="8"/>
      <w:bookmarkEnd w:id="9"/>
    </w:p>
    <w:p w14:paraId="4C1F250E" w14:textId="4B2CCC27" w:rsidR="00177B9C" w:rsidRPr="00177B9C" w:rsidRDefault="00A709F0">
      <w:pPr>
        <w:pStyle w:val="TableofFigures"/>
        <w:tabs>
          <w:tab w:val="right" w:leader="dot" w:pos="9629"/>
        </w:tabs>
      </w:pPr>
      <w:r>
        <w:fldChar w:fldCharType="begin"/>
      </w:r>
      <w:r>
        <w:instrText xml:space="preserve"> TOC \h \z \t "CDI Table - Title" \c </w:instrText>
      </w:r>
      <w:r>
        <w:fldChar w:fldCharType="separate"/>
      </w:r>
      <w:hyperlink w:anchor="_Toc213142450" w:history="1">
        <w:r w:rsidR="00177B9C" w:rsidRPr="002576AE">
          <w:rPr>
            <w:rStyle w:val="Hyperlink"/>
            <w:noProof/>
            <w:lang w:val="en-GB"/>
          </w:rPr>
          <w:t xml:space="preserve">Table 1: The number and proportion of </w:t>
        </w:r>
        <w:r w:rsidR="00177B9C" w:rsidRPr="002576AE">
          <w:rPr>
            <w:rStyle w:val="Hyperlink"/>
            <w:i/>
            <w:iCs/>
            <w:noProof/>
            <w:lang w:val="en-GB"/>
          </w:rPr>
          <w:t>E. faecalis</w:t>
        </w:r>
        <w:r w:rsidR="00177B9C" w:rsidRPr="002576AE">
          <w:rPr>
            <w:rStyle w:val="Hyperlink"/>
            <w:noProof/>
            <w:lang w:val="en-GB"/>
          </w:rPr>
          <w:t xml:space="preserve"> isolates resistant to ampicillin and the </w:t>
        </w:r>
        <w:r w:rsidR="00177B9C">
          <w:rPr>
            <w:rStyle w:val="Hyperlink"/>
            <w:noProof/>
            <w:lang w:val="en-GB"/>
          </w:rPr>
          <w:br/>
        </w:r>
        <w:r w:rsidR="00177B9C" w:rsidRPr="002576AE">
          <w:rPr>
            <w:rStyle w:val="Hyperlink"/>
            <w:noProof/>
            <w:lang w:val="en-GB"/>
          </w:rPr>
          <w:t>non-β-lactam antimicrobials, EUCAST breakpoints,</w:t>
        </w:r>
        <w:r w:rsidR="00177B9C" w:rsidRPr="002576AE">
          <w:rPr>
            <w:rStyle w:val="Hyperlink"/>
            <w:noProof/>
            <w:vertAlign w:val="superscript"/>
            <w:lang w:val="en-GB"/>
          </w:rPr>
          <w:t>a</w:t>
        </w:r>
        <w:r w:rsidR="00177B9C" w:rsidRPr="002576AE">
          <w:rPr>
            <w:rStyle w:val="Hyperlink"/>
            <w:noProof/>
            <w:lang w:val="en-GB"/>
          </w:rPr>
          <w:t xml:space="preserve"> AGAR, Australia, 2024</w:t>
        </w:r>
        <w:r w:rsidR="00177B9C">
          <w:rPr>
            <w:noProof/>
            <w:webHidden/>
          </w:rPr>
          <w:tab/>
        </w:r>
        <w:r w:rsidR="00177B9C">
          <w:rPr>
            <w:noProof/>
            <w:webHidden/>
          </w:rPr>
          <w:fldChar w:fldCharType="begin"/>
        </w:r>
        <w:r w:rsidR="00177B9C">
          <w:rPr>
            <w:noProof/>
            <w:webHidden/>
          </w:rPr>
          <w:instrText xml:space="preserve"> PAGEREF _Toc213142450 \h </w:instrText>
        </w:r>
        <w:r w:rsidR="00177B9C">
          <w:rPr>
            <w:noProof/>
            <w:webHidden/>
          </w:rPr>
        </w:r>
        <w:r w:rsidR="00177B9C">
          <w:rPr>
            <w:noProof/>
            <w:webHidden/>
          </w:rPr>
          <w:fldChar w:fldCharType="separate"/>
        </w:r>
        <w:r w:rsidR="00177B9C">
          <w:rPr>
            <w:noProof/>
            <w:webHidden/>
          </w:rPr>
          <w:t>8</w:t>
        </w:r>
        <w:r w:rsidR="00177B9C">
          <w:rPr>
            <w:noProof/>
            <w:webHidden/>
          </w:rPr>
          <w:fldChar w:fldCharType="end"/>
        </w:r>
      </w:hyperlink>
    </w:p>
    <w:p w14:paraId="61DD607A" w14:textId="05EEDEAD" w:rsidR="00177B9C" w:rsidRPr="00177B9C" w:rsidRDefault="00177B9C">
      <w:pPr>
        <w:pStyle w:val="TableofFigures"/>
        <w:tabs>
          <w:tab w:val="right" w:leader="dot" w:pos="9629"/>
        </w:tabs>
      </w:pPr>
      <w:hyperlink w:anchor="_Toc213142451" w:history="1">
        <w:r w:rsidRPr="002576AE">
          <w:rPr>
            <w:rStyle w:val="Hyperlink"/>
            <w:noProof/>
            <w:lang w:val="en-GB"/>
          </w:rPr>
          <w:t xml:space="preserve">Table 2: The number and proportion of </w:t>
        </w:r>
        <w:r w:rsidRPr="002576AE">
          <w:rPr>
            <w:rStyle w:val="Hyperlink"/>
            <w:i/>
            <w:iCs/>
            <w:noProof/>
            <w:lang w:val="en-GB"/>
          </w:rPr>
          <w:t>E. faecium</w:t>
        </w:r>
        <w:r w:rsidRPr="002576AE">
          <w:rPr>
            <w:rStyle w:val="Hyperlink"/>
            <w:noProof/>
            <w:lang w:val="en-GB"/>
          </w:rPr>
          <w:t xml:space="preserve"> isolates resistant to ampicillin and the </w:t>
        </w:r>
        <w:r>
          <w:rPr>
            <w:rStyle w:val="Hyperlink"/>
            <w:noProof/>
            <w:lang w:val="en-GB"/>
          </w:rPr>
          <w:br/>
        </w:r>
        <w:r w:rsidRPr="002576AE">
          <w:rPr>
            <w:rStyle w:val="Hyperlink"/>
            <w:noProof/>
            <w:lang w:val="en-GB"/>
          </w:rPr>
          <w:t>non-β-lactam antimicrobials, EUCAST breakpoints,</w:t>
        </w:r>
        <w:r w:rsidRPr="002576AE">
          <w:rPr>
            <w:rStyle w:val="Hyperlink"/>
            <w:noProof/>
            <w:vertAlign w:val="superscript"/>
            <w:lang w:val="en-GB"/>
          </w:rPr>
          <w:t>a</w:t>
        </w:r>
        <w:r w:rsidRPr="002576AE">
          <w:rPr>
            <w:rStyle w:val="Hyperlink"/>
            <w:noProof/>
            <w:lang w:val="en-GB"/>
          </w:rPr>
          <w:t xml:space="preserve"> AGAR, Australia, 2024</w:t>
        </w:r>
        <w:r>
          <w:rPr>
            <w:noProof/>
            <w:webHidden/>
          </w:rPr>
          <w:tab/>
        </w:r>
        <w:r>
          <w:rPr>
            <w:noProof/>
            <w:webHidden/>
          </w:rPr>
          <w:fldChar w:fldCharType="begin"/>
        </w:r>
        <w:r>
          <w:rPr>
            <w:noProof/>
            <w:webHidden/>
          </w:rPr>
          <w:instrText xml:space="preserve"> PAGEREF _Toc213142451 \h </w:instrText>
        </w:r>
        <w:r>
          <w:rPr>
            <w:noProof/>
            <w:webHidden/>
          </w:rPr>
        </w:r>
        <w:r>
          <w:rPr>
            <w:noProof/>
            <w:webHidden/>
          </w:rPr>
          <w:fldChar w:fldCharType="separate"/>
        </w:r>
        <w:r>
          <w:rPr>
            <w:noProof/>
            <w:webHidden/>
          </w:rPr>
          <w:t>9</w:t>
        </w:r>
        <w:r>
          <w:rPr>
            <w:noProof/>
            <w:webHidden/>
          </w:rPr>
          <w:fldChar w:fldCharType="end"/>
        </w:r>
      </w:hyperlink>
    </w:p>
    <w:p w14:paraId="04CB12B9" w14:textId="57FD73B4" w:rsidR="00177B9C" w:rsidRPr="00177B9C" w:rsidRDefault="00177B9C">
      <w:pPr>
        <w:pStyle w:val="TableofFigures"/>
        <w:tabs>
          <w:tab w:val="right" w:leader="dot" w:pos="9629"/>
        </w:tabs>
      </w:pPr>
      <w:hyperlink w:anchor="_Toc213142452" w:history="1">
        <w:r w:rsidRPr="002576AE">
          <w:rPr>
            <w:rStyle w:val="Hyperlink"/>
            <w:noProof/>
            <w:lang w:val="en-GB"/>
          </w:rPr>
          <w:t xml:space="preserve">Table 3: The number and proportion of major </w:t>
        </w:r>
        <w:r w:rsidRPr="002576AE">
          <w:rPr>
            <w:rStyle w:val="Hyperlink"/>
            <w:i/>
            <w:iCs/>
            <w:noProof/>
            <w:lang w:val="en-GB"/>
          </w:rPr>
          <w:t>Enterococcus faecium</w:t>
        </w:r>
        <w:r w:rsidRPr="002576AE">
          <w:rPr>
            <w:rStyle w:val="Hyperlink"/>
            <w:noProof/>
            <w:lang w:val="en-GB"/>
          </w:rPr>
          <w:t xml:space="preserve"> multilocus sequence types,</w:t>
        </w:r>
        <w:r>
          <w:rPr>
            <w:rStyle w:val="Hyperlink"/>
            <w:noProof/>
            <w:lang w:val="en-GB"/>
          </w:rPr>
          <w:t> </w:t>
        </w:r>
        <w:r w:rsidRPr="002576AE">
          <w:rPr>
            <w:rStyle w:val="Hyperlink"/>
            <w:noProof/>
            <w:lang w:val="en-GB"/>
          </w:rPr>
          <w:t>AGAR, Australia, 2024, by jurisdiction</w:t>
        </w:r>
        <w:r>
          <w:rPr>
            <w:noProof/>
            <w:webHidden/>
          </w:rPr>
          <w:tab/>
        </w:r>
        <w:r>
          <w:rPr>
            <w:noProof/>
            <w:webHidden/>
          </w:rPr>
          <w:fldChar w:fldCharType="begin"/>
        </w:r>
        <w:r>
          <w:rPr>
            <w:noProof/>
            <w:webHidden/>
          </w:rPr>
          <w:instrText xml:space="preserve"> PAGEREF _Toc213142452 \h </w:instrText>
        </w:r>
        <w:r>
          <w:rPr>
            <w:noProof/>
            <w:webHidden/>
          </w:rPr>
        </w:r>
        <w:r>
          <w:rPr>
            <w:noProof/>
            <w:webHidden/>
          </w:rPr>
          <w:fldChar w:fldCharType="separate"/>
        </w:r>
        <w:r>
          <w:rPr>
            <w:noProof/>
            <w:webHidden/>
          </w:rPr>
          <w:t>11</w:t>
        </w:r>
        <w:r>
          <w:rPr>
            <w:noProof/>
            <w:webHidden/>
          </w:rPr>
          <w:fldChar w:fldCharType="end"/>
        </w:r>
      </w:hyperlink>
    </w:p>
    <w:p w14:paraId="7D99F3FB" w14:textId="63FC0D23" w:rsidR="00177B9C" w:rsidRPr="00177B9C" w:rsidRDefault="00177B9C">
      <w:pPr>
        <w:pStyle w:val="TableofFigures"/>
        <w:tabs>
          <w:tab w:val="right" w:leader="dot" w:pos="9629"/>
        </w:tabs>
      </w:pPr>
      <w:hyperlink w:anchor="_Toc213142453" w:history="1">
        <w:r w:rsidRPr="002576AE">
          <w:rPr>
            <w:rStyle w:val="Hyperlink"/>
            <w:noProof/>
            <w:lang w:val="en-GB"/>
          </w:rPr>
          <w:t xml:space="preserve">Table 4: The number and proportion of major </w:t>
        </w:r>
        <w:r w:rsidRPr="002576AE">
          <w:rPr>
            <w:rStyle w:val="Hyperlink"/>
            <w:i/>
            <w:iCs/>
            <w:noProof/>
            <w:lang w:val="en-GB"/>
          </w:rPr>
          <w:t>Enterococcus faecium</w:t>
        </w:r>
        <w:r w:rsidRPr="002576AE">
          <w:rPr>
            <w:rStyle w:val="Hyperlink"/>
            <w:noProof/>
            <w:lang w:val="en-GB"/>
          </w:rPr>
          <w:t xml:space="preserve"> multilocus sequence types</w:t>
        </w:r>
        <w:r>
          <w:rPr>
            <w:rStyle w:val="Hyperlink"/>
            <w:noProof/>
            <w:lang w:val="en-GB"/>
          </w:rPr>
          <w:t> </w:t>
        </w:r>
        <w:r w:rsidRPr="002576AE">
          <w:rPr>
            <w:rStyle w:val="Hyperlink"/>
            <w:noProof/>
            <w:lang w:val="en-GB"/>
          </w:rPr>
          <w:t xml:space="preserve">harbouring </w:t>
        </w:r>
        <w:r w:rsidRPr="002576AE">
          <w:rPr>
            <w:rStyle w:val="Hyperlink"/>
            <w:i/>
            <w:iCs/>
            <w:noProof/>
            <w:lang w:val="en-GB"/>
          </w:rPr>
          <w:t>vanA</w:t>
        </w:r>
        <w:r w:rsidRPr="002576AE">
          <w:rPr>
            <w:rStyle w:val="Hyperlink"/>
            <w:noProof/>
            <w:lang w:val="en-GB"/>
          </w:rPr>
          <w:t>/</w:t>
        </w:r>
        <w:r w:rsidRPr="002576AE">
          <w:rPr>
            <w:rStyle w:val="Hyperlink"/>
            <w:i/>
            <w:iCs/>
            <w:noProof/>
            <w:lang w:val="en-GB"/>
          </w:rPr>
          <w:t>vanB</w:t>
        </w:r>
        <w:r w:rsidRPr="002576AE">
          <w:rPr>
            <w:rStyle w:val="Hyperlink"/>
            <w:noProof/>
            <w:lang w:val="en-GB"/>
          </w:rPr>
          <w:t xml:space="preserve"> gene, AGAR, Australia, 2024</w:t>
        </w:r>
        <w:r>
          <w:rPr>
            <w:noProof/>
            <w:webHidden/>
          </w:rPr>
          <w:tab/>
        </w:r>
        <w:r>
          <w:rPr>
            <w:noProof/>
            <w:webHidden/>
          </w:rPr>
          <w:fldChar w:fldCharType="begin"/>
        </w:r>
        <w:r>
          <w:rPr>
            <w:noProof/>
            <w:webHidden/>
          </w:rPr>
          <w:instrText xml:space="preserve"> PAGEREF _Toc213142453 \h </w:instrText>
        </w:r>
        <w:r>
          <w:rPr>
            <w:noProof/>
            <w:webHidden/>
          </w:rPr>
        </w:r>
        <w:r>
          <w:rPr>
            <w:noProof/>
            <w:webHidden/>
          </w:rPr>
          <w:fldChar w:fldCharType="separate"/>
        </w:r>
        <w:r>
          <w:rPr>
            <w:noProof/>
            <w:webHidden/>
          </w:rPr>
          <w:t>12</w:t>
        </w:r>
        <w:r>
          <w:rPr>
            <w:noProof/>
            <w:webHidden/>
          </w:rPr>
          <w:fldChar w:fldCharType="end"/>
        </w:r>
      </w:hyperlink>
    </w:p>
    <w:p w14:paraId="7A47C2C3" w14:textId="1631EDE8" w:rsidR="00425757" w:rsidRDefault="00A709F0" w:rsidP="00144F10">
      <w:r>
        <w:fldChar w:fldCharType="end"/>
      </w:r>
    </w:p>
    <w:p w14:paraId="74C368E6" w14:textId="77777777" w:rsidR="00F25C00" w:rsidRDefault="0098426C" w:rsidP="00A24E95">
      <w:pPr>
        <w:pStyle w:val="Heading1"/>
      </w:pPr>
      <w:bookmarkStart w:id="10" w:name="_Toc195530498"/>
      <w:bookmarkStart w:id="11" w:name="_Toc213142434"/>
      <w:r>
        <w:lastRenderedPageBreak/>
        <w:t>Abstract</w:t>
      </w:r>
      <w:bookmarkEnd w:id="10"/>
      <w:bookmarkEnd w:id="11"/>
    </w:p>
    <w:p w14:paraId="5456B479" w14:textId="318C5A1A" w:rsidR="007C02E7" w:rsidRPr="007C02E7" w:rsidRDefault="007C02E7" w:rsidP="007C02E7">
      <w:pPr>
        <w:rPr>
          <w:lang w:val="en-GB"/>
        </w:rPr>
      </w:pPr>
      <w:r w:rsidRPr="007C02E7">
        <w:rPr>
          <w:lang w:val="en-GB"/>
        </w:rPr>
        <w:t xml:space="preserve">From 1 January to 31 December 2024, fifty-five institutions across Australia participated in the Australian Enterococcal Surveillance Outcome Program (AESOP). The aim of AESOP 2024 was to determine the proportion of enterococcal bacteraemia isolates in Australia that were antimicrobial resistant, and to determine the molecular epidemiology of the reported </w:t>
      </w:r>
      <w:r w:rsidRPr="007C02E7">
        <w:rPr>
          <w:i/>
          <w:iCs/>
          <w:lang w:val="en-GB"/>
        </w:rPr>
        <w:t>Enterococcus faecium</w:t>
      </w:r>
      <w:r w:rsidRPr="007C02E7">
        <w:rPr>
          <w:lang w:val="en-GB"/>
        </w:rPr>
        <w:t xml:space="preserve"> isolates. Of the 1,461 unique episodes of enterococcal bacteraemia investigated, 92.5% were caused by either </w:t>
      </w:r>
      <w:r w:rsidRPr="007C02E7">
        <w:rPr>
          <w:i/>
          <w:iCs/>
          <w:lang w:val="en-GB"/>
        </w:rPr>
        <w:t>E. faecalis</w:t>
      </w:r>
      <w:r w:rsidRPr="007C02E7">
        <w:rPr>
          <w:lang w:val="en-GB"/>
        </w:rPr>
        <w:t xml:space="preserve"> (51.5%) or </w:t>
      </w:r>
      <w:r w:rsidRPr="007C02E7">
        <w:rPr>
          <w:i/>
          <w:iCs/>
          <w:lang w:val="en-GB"/>
        </w:rPr>
        <w:t>E. faecium</w:t>
      </w:r>
      <w:r w:rsidRPr="007C02E7">
        <w:rPr>
          <w:lang w:val="en-GB"/>
        </w:rPr>
        <w:t xml:space="preserve"> (41.0%). Ampicillin and vancomycin resistance were not detected in </w:t>
      </w:r>
      <w:r w:rsidRPr="007C02E7">
        <w:rPr>
          <w:i/>
          <w:iCs/>
          <w:lang w:val="en-GB"/>
        </w:rPr>
        <w:t>E. faecalis</w:t>
      </w:r>
      <w:r w:rsidRPr="007C02E7">
        <w:rPr>
          <w:lang w:val="en-GB"/>
        </w:rPr>
        <w:t xml:space="preserve"> but were detected in 96.8% and 44.5% of </w:t>
      </w:r>
      <w:r w:rsidRPr="007C02E7">
        <w:rPr>
          <w:i/>
          <w:iCs/>
          <w:lang w:val="en-GB"/>
        </w:rPr>
        <w:t>E. faecium</w:t>
      </w:r>
      <w:r w:rsidRPr="007C02E7">
        <w:rPr>
          <w:lang w:val="en-GB"/>
        </w:rPr>
        <w:t xml:space="preserve"> respectively. Five linezolid-resistant </w:t>
      </w:r>
      <w:r w:rsidRPr="007C02E7">
        <w:rPr>
          <w:i/>
          <w:iCs/>
          <w:lang w:val="en-GB"/>
        </w:rPr>
        <w:t>E. faecalis</w:t>
      </w:r>
      <w:r w:rsidRPr="007C02E7">
        <w:rPr>
          <w:lang w:val="en-GB"/>
        </w:rPr>
        <w:t xml:space="preserve"> isolates were identified, for which the linezolid minimum inhibitory concentrations (MICs) ranged from 6.0 mg/L to 8.0 mg/L. All five isolates harboured the linezolid resistance </w:t>
      </w:r>
      <w:r w:rsidRPr="007C02E7">
        <w:rPr>
          <w:i/>
          <w:iCs/>
          <w:lang w:val="en-GB"/>
        </w:rPr>
        <w:t>optrA</w:t>
      </w:r>
      <w:r w:rsidRPr="007C02E7">
        <w:rPr>
          <w:lang w:val="en-GB"/>
        </w:rPr>
        <w:t xml:space="preserve"> gene and were vancomycin susceptible. One linezolid-resistant </w:t>
      </w:r>
      <w:r w:rsidRPr="007C02E7">
        <w:rPr>
          <w:i/>
          <w:iCs/>
          <w:lang w:val="en-GB"/>
        </w:rPr>
        <w:t>E.</w:t>
      </w:r>
      <w:r>
        <w:rPr>
          <w:i/>
          <w:iCs/>
          <w:lang w:val="en-GB"/>
        </w:rPr>
        <w:t> </w:t>
      </w:r>
      <w:r w:rsidRPr="007C02E7">
        <w:rPr>
          <w:i/>
          <w:iCs/>
          <w:lang w:val="en-GB"/>
        </w:rPr>
        <w:t>faecium</w:t>
      </w:r>
      <w:r w:rsidRPr="007C02E7">
        <w:rPr>
          <w:lang w:val="en-GB"/>
        </w:rPr>
        <w:t xml:space="preserve"> was confirmed with an MIC of 6.0 mg/L. The isolate was vancomycin and teicoplanin resistant and harboured </w:t>
      </w:r>
      <w:r w:rsidRPr="007C02E7">
        <w:rPr>
          <w:i/>
          <w:iCs/>
          <w:lang w:val="en-GB"/>
        </w:rPr>
        <w:t>vanA</w:t>
      </w:r>
      <w:r w:rsidRPr="007C02E7">
        <w:rPr>
          <w:lang w:val="en-GB"/>
        </w:rPr>
        <w:t xml:space="preserve"> and </w:t>
      </w:r>
      <w:r w:rsidRPr="007C02E7">
        <w:rPr>
          <w:i/>
          <w:iCs/>
          <w:lang w:val="en-GB"/>
        </w:rPr>
        <w:t>optrA</w:t>
      </w:r>
      <w:r w:rsidRPr="007C02E7">
        <w:rPr>
          <w:lang w:val="en-GB"/>
        </w:rPr>
        <w:t xml:space="preserve"> genes.</w:t>
      </w:r>
    </w:p>
    <w:p w14:paraId="1D5664D2" w14:textId="1606C7E5" w:rsidR="007C02E7" w:rsidRPr="007C02E7" w:rsidRDefault="007C02E7" w:rsidP="007C02E7">
      <w:pPr>
        <w:pStyle w:val="Normal-morespaceafter"/>
        <w:rPr>
          <w:lang w:val="en-GB"/>
        </w:rPr>
      </w:pPr>
      <w:r w:rsidRPr="007C02E7">
        <w:rPr>
          <w:lang w:val="en-GB"/>
        </w:rPr>
        <w:t xml:space="preserve">Overall, 49.8% of </w:t>
      </w:r>
      <w:r w:rsidRPr="007C02E7">
        <w:rPr>
          <w:i/>
          <w:iCs/>
          <w:lang w:val="en-GB"/>
        </w:rPr>
        <w:t>E. faecium</w:t>
      </w:r>
      <w:r w:rsidRPr="007C02E7">
        <w:rPr>
          <w:lang w:val="en-GB"/>
        </w:rPr>
        <w:t xml:space="preserve"> isolates harboured the </w:t>
      </w:r>
      <w:r w:rsidRPr="007C02E7">
        <w:rPr>
          <w:i/>
          <w:iCs/>
          <w:lang w:val="en-GB"/>
        </w:rPr>
        <w:t>vanA</w:t>
      </w:r>
      <w:r w:rsidRPr="007C02E7">
        <w:rPr>
          <w:lang w:val="en-GB"/>
        </w:rPr>
        <w:t xml:space="preserve"> and/or the </w:t>
      </w:r>
      <w:r w:rsidRPr="007C02E7">
        <w:rPr>
          <w:i/>
          <w:iCs/>
          <w:lang w:val="en-GB"/>
        </w:rPr>
        <w:t>vanB</w:t>
      </w:r>
      <w:r w:rsidRPr="007C02E7">
        <w:rPr>
          <w:lang w:val="en-GB"/>
        </w:rPr>
        <w:t xml:space="preserve"> gene: within these isolates, 40.2% harboured </w:t>
      </w:r>
      <w:r w:rsidRPr="007C02E7">
        <w:rPr>
          <w:i/>
          <w:iCs/>
          <w:lang w:val="en-GB"/>
        </w:rPr>
        <w:t>vanA</w:t>
      </w:r>
      <w:r w:rsidRPr="007C02E7">
        <w:rPr>
          <w:lang w:val="en-GB"/>
        </w:rPr>
        <w:t xml:space="preserve">, 58.8% harboured </w:t>
      </w:r>
      <w:r w:rsidRPr="007C02E7">
        <w:rPr>
          <w:i/>
          <w:iCs/>
          <w:lang w:val="en-GB"/>
        </w:rPr>
        <w:t>vanB</w:t>
      </w:r>
      <w:r w:rsidRPr="007C02E7">
        <w:rPr>
          <w:lang w:val="en-GB"/>
        </w:rPr>
        <w:t xml:space="preserve">, and 1.0% harboured </w:t>
      </w:r>
      <w:r w:rsidRPr="007C02E7">
        <w:rPr>
          <w:i/>
          <w:iCs/>
          <w:lang w:val="en-GB"/>
        </w:rPr>
        <w:t>vanA</w:t>
      </w:r>
      <w:r w:rsidRPr="007C02E7">
        <w:rPr>
          <w:lang w:val="en-GB"/>
        </w:rPr>
        <w:t xml:space="preserve"> and </w:t>
      </w:r>
      <w:r w:rsidRPr="007C02E7">
        <w:rPr>
          <w:i/>
          <w:iCs/>
          <w:lang w:val="en-GB"/>
        </w:rPr>
        <w:t>vanB</w:t>
      </w:r>
      <w:r w:rsidRPr="007C02E7">
        <w:rPr>
          <w:lang w:val="en-GB"/>
        </w:rPr>
        <w:t xml:space="preserve">. The percentage of vancomycin-resistant </w:t>
      </w:r>
      <w:r w:rsidRPr="007C02E7">
        <w:rPr>
          <w:i/>
          <w:iCs/>
          <w:lang w:val="en-GB"/>
        </w:rPr>
        <w:t>E. faecium</w:t>
      </w:r>
      <w:r w:rsidRPr="007C02E7">
        <w:rPr>
          <w:lang w:val="en-GB"/>
        </w:rPr>
        <w:t xml:space="preserve"> bacteraemia isolates in Australia remains substantially higher than that recorded in most European countries. The </w:t>
      </w:r>
      <w:r w:rsidRPr="007C02E7">
        <w:rPr>
          <w:i/>
          <w:iCs/>
          <w:lang w:val="en-GB"/>
        </w:rPr>
        <w:t>E. faecium</w:t>
      </w:r>
      <w:r w:rsidRPr="007C02E7">
        <w:rPr>
          <w:lang w:val="en-GB"/>
        </w:rPr>
        <w:t xml:space="preserve"> isolates consisted of 56 multi-locus sequence types (STs); 85.7% of isolates were classified into eight STs, each containing ten or more isolates. The eight STs (ST17, ST78, ST80, ST117, ST555, ST796, ST1421 and ST1424) belonged to clonal complex (CC) 17, a global hospital-adapted polyclonal </w:t>
      </w:r>
      <w:r w:rsidRPr="007C02E7">
        <w:rPr>
          <w:i/>
          <w:iCs/>
          <w:lang w:val="en-GB"/>
        </w:rPr>
        <w:t>E.</w:t>
      </w:r>
      <w:r>
        <w:rPr>
          <w:i/>
          <w:iCs/>
          <w:lang w:val="en-GB"/>
        </w:rPr>
        <w:t> </w:t>
      </w:r>
      <w:r w:rsidRPr="007C02E7">
        <w:rPr>
          <w:i/>
          <w:iCs/>
          <w:lang w:val="en-GB"/>
        </w:rPr>
        <w:t>faecium</w:t>
      </w:r>
      <w:r w:rsidRPr="007C02E7">
        <w:rPr>
          <w:lang w:val="en-GB"/>
        </w:rPr>
        <w:t xml:space="preserve"> CC, and were found in most Australian jurisdictions. Overall, 54.6% of </w:t>
      </w:r>
      <w:r w:rsidRPr="007C02E7">
        <w:rPr>
          <w:i/>
          <w:iCs/>
          <w:lang w:val="en-GB"/>
        </w:rPr>
        <w:t>E. faecium</w:t>
      </w:r>
      <w:r w:rsidRPr="007C02E7">
        <w:rPr>
          <w:lang w:val="en-GB"/>
        </w:rPr>
        <w:t xml:space="preserve"> isolates belonging to the eight predominant STs harboured the </w:t>
      </w:r>
      <w:r w:rsidRPr="007C02E7">
        <w:rPr>
          <w:i/>
          <w:iCs/>
          <w:lang w:val="en-GB"/>
        </w:rPr>
        <w:t>vanA</w:t>
      </w:r>
      <w:r w:rsidRPr="007C02E7">
        <w:rPr>
          <w:lang w:val="en-GB"/>
        </w:rPr>
        <w:t xml:space="preserve"> or </w:t>
      </w:r>
      <w:r w:rsidRPr="007C02E7">
        <w:rPr>
          <w:i/>
          <w:iCs/>
          <w:lang w:val="en-GB"/>
        </w:rPr>
        <w:t>vanB</w:t>
      </w:r>
      <w:r w:rsidRPr="007C02E7">
        <w:rPr>
          <w:lang w:val="en-GB"/>
        </w:rPr>
        <w:t xml:space="preserve"> gene. AESOP 2024 has shown that enterococcal bacteraemia episodes in Australia continue to be frequently caused by polyclonal ampicillin-resistant high-level gentamicin-resistant </w:t>
      </w:r>
      <w:r w:rsidRPr="007C02E7">
        <w:rPr>
          <w:i/>
          <w:iCs/>
          <w:lang w:val="en-GB"/>
        </w:rPr>
        <w:t>vanA</w:t>
      </w:r>
      <w:r w:rsidRPr="007C02E7">
        <w:rPr>
          <w:lang w:val="en-GB"/>
        </w:rPr>
        <w:t xml:space="preserve">- or </w:t>
      </w:r>
      <w:r w:rsidRPr="007C02E7">
        <w:rPr>
          <w:i/>
          <w:iCs/>
          <w:lang w:val="en-GB"/>
        </w:rPr>
        <w:t>vanB</w:t>
      </w:r>
      <w:r w:rsidRPr="007C02E7">
        <w:rPr>
          <w:lang w:val="en-GB"/>
        </w:rPr>
        <w:t xml:space="preserve">-positive </w:t>
      </w:r>
      <w:r w:rsidRPr="007C02E7">
        <w:rPr>
          <w:i/>
          <w:iCs/>
          <w:lang w:val="en-GB"/>
        </w:rPr>
        <w:t>E. faecium</w:t>
      </w:r>
      <w:r w:rsidRPr="007C02E7">
        <w:rPr>
          <w:lang w:val="en-GB"/>
        </w:rPr>
        <w:t xml:space="preserve"> which have limited treatment options.</w:t>
      </w:r>
    </w:p>
    <w:p w14:paraId="4F00F596" w14:textId="5BD48ACA" w:rsidR="00B73144" w:rsidRDefault="00B73144" w:rsidP="00E61A68">
      <w:pPr>
        <w:pStyle w:val="CDIBoxText"/>
        <w:rPr>
          <w:lang w:val="en-GB"/>
        </w:rPr>
      </w:pPr>
      <w:r w:rsidRPr="00E61A68">
        <w:t>Keywords</w:t>
      </w:r>
      <w:r w:rsidR="00BF1476">
        <w:t xml:space="preserve">: </w:t>
      </w:r>
      <w:r w:rsidR="007C02E7" w:rsidRPr="007C02E7">
        <w:rPr>
          <w:lang w:val="en-GB"/>
        </w:rPr>
        <w:t xml:space="preserve">Australian Group on Antimicrobial Resistance (AGAR); antimicrobial resistance surveillance; </w:t>
      </w:r>
      <w:r w:rsidR="007C02E7" w:rsidRPr="007C02E7">
        <w:rPr>
          <w:i/>
          <w:iCs/>
          <w:lang w:val="en-GB"/>
        </w:rPr>
        <w:t>Enterococcus faecium</w:t>
      </w:r>
      <w:r w:rsidR="007C02E7" w:rsidRPr="007C02E7">
        <w:rPr>
          <w:lang w:val="en-GB"/>
        </w:rPr>
        <w:t xml:space="preserve">; </w:t>
      </w:r>
      <w:r w:rsidR="007C02E7" w:rsidRPr="007C02E7">
        <w:rPr>
          <w:i/>
          <w:iCs/>
          <w:lang w:val="en-GB"/>
        </w:rPr>
        <w:t>Enterococcus faecalis</w:t>
      </w:r>
      <w:r w:rsidR="007C02E7" w:rsidRPr="007C02E7">
        <w:rPr>
          <w:lang w:val="en-GB"/>
        </w:rPr>
        <w:t>; vancomycin resistant enterococci (VRE); bacteraemia</w:t>
      </w:r>
    </w:p>
    <w:p w14:paraId="72DA6E0E" w14:textId="6466A766" w:rsidR="0037146D" w:rsidRDefault="00245C64" w:rsidP="00B73144">
      <w:pPr>
        <w:pStyle w:val="Heading1"/>
      </w:pPr>
      <w:bookmarkStart w:id="12" w:name="_Toc213142435"/>
      <w:r>
        <w:lastRenderedPageBreak/>
        <w:t>Background</w:t>
      </w:r>
      <w:bookmarkEnd w:id="12"/>
    </w:p>
    <w:p w14:paraId="17B53AE7" w14:textId="0087B62C" w:rsidR="00245C64" w:rsidRPr="00245C64" w:rsidRDefault="00245C64" w:rsidP="00245C64">
      <w:pPr>
        <w:rPr>
          <w:lang w:val="en-GB"/>
        </w:rPr>
      </w:pPr>
      <w:r w:rsidRPr="00245C64">
        <w:rPr>
          <w:lang w:val="en-GB"/>
        </w:rPr>
        <w:t xml:space="preserve">Globally, </w:t>
      </w:r>
      <w:r w:rsidRPr="00245C64">
        <w:rPr>
          <w:i/>
          <w:iCs/>
          <w:lang w:val="en-GB"/>
        </w:rPr>
        <w:t>Enterococcus</w:t>
      </w:r>
      <w:r w:rsidRPr="00245C64">
        <w:rPr>
          <w:lang w:val="en-GB"/>
        </w:rPr>
        <w:t xml:space="preserve"> accounts for approximately 10% of all bacteraemia cases and is the fourth and fifth leading cause of sepsis in North America and Europe, respectively.</w:t>
      </w:r>
      <w:r w:rsidRPr="00245C64">
        <w:rPr>
          <w:vertAlign w:val="superscript"/>
          <w:lang w:val="en-GB"/>
        </w:rPr>
        <w:t>1</w:t>
      </w:r>
      <w:r w:rsidRPr="00245C64">
        <w:rPr>
          <w:lang w:val="en-GB"/>
        </w:rPr>
        <w:t xml:space="preserve"> In the 1970s, healthcare-associated enterococcal infections were primarily due to </w:t>
      </w:r>
      <w:r w:rsidRPr="00245C64">
        <w:rPr>
          <w:i/>
          <w:iCs/>
          <w:lang w:val="en-GB"/>
        </w:rPr>
        <w:t>Enterococcus faecalis</w:t>
      </w:r>
      <w:r w:rsidRPr="00245C64">
        <w:rPr>
          <w:lang w:val="en-GB"/>
        </w:rPr>
        <w:t xml:space="preserve">, but there has been a steadily increasing prevalence of </w:t>
      </w:r>
      <w:r w:rsidRPr="00245C64">
        <w:rPr>
          <w:i/>
          <w:iCs/>
          <w:lang w:val="en-GB"/>
        </w:rPr>
        <w:t>E. faecium</w:t>
      </w:r>
      <w:r w:rsidRPr="00245C64">
        <w:rPr>
          <w:lang w:val="en-GB"/>
        </w:rPr>
        <w:t xml:space="preserve"> nosocomial infections.</w:t>
      </w:r>
      <w:r w:rsidRPr="00245C64">
        <w:rPr>
          <w:vertAlign w:val="superscript"/>
          <w:lang w:val="en-GB"/>
        </w:rPr>
        <w:t>2,3</w:t>
      </w:r>
      <w:r w:rsidRPr="00245C64">
        <w:rPr>
          <w:lang w:val="en-GB"/>
        </w:rPr>
        <w:t xml:space="preserve"> Worldwide, the increase in nosocomial </w:t>
      </w:r>
      <w:r w:rsidRPr="00245C64">
        <w:rPr>
          <w:i/>
          <w:iCs/>
          <w:lang w:val="en-GB"/>
        </w:rPr>
        <w:t>E. faecium</w:t>
      </w:r>
      <w:r w:rsidRPr="00245C64">
        <w:rPr>
          <w:lang w:val="en-GB"/>
        </w:rPr>
        <w:t xml:space="preserve"> infections has primarily been due to the expansion of polyclonal hospital-adapted clonal complex 17 (CC17) strains. Whilst innately resistant to many antimicrobial classes, </w:t>
      </w:r>
      <w:r w:rsidRPr="00245C64">
        <w:rPr>
          <w:i/>
          <w:iCs/>
          <w:lang w:val="en-GB"/>
        </w:rPr>
        <w:t>E. faecium</w:t>
      </w:r>
      <w:r w:rsidRPr="00245C64">
        <w:rPr>
          <w:lang w:val="en-GB"/>
        </w:rPr>
        <w:t xml:space="preserve"> has demonstrated a remarkable capacity to evolve new antimicrobial resistances. In 2009, the Infectious Diseases Society of America highlighted </w:t>
      </w:r>
      <w:r w:rsidRPr="00245C64">
        <w:rPr>
          <w:i/>
          <w:iCs/>
          <w:lang w:val="en-GB"/>
        </w:rPr>
        <w:t>E.</w:t>
      </w:r>
      <w:r>
        <w:rPr>
          <w:i/>
          <w:iCs/>
          <w:lang w:val="en-GB"/>
        </w:rPr>
        <w:t> </w:t>
      </w:r>
      <w:r w:rsidRPr="00245C64">
        <w:rPr>
          <w:i/>
          <w:iCs/>
          <w:lang w:val="en-GB"/>
        </w:rPr>
        <w:t>faecium</w:t>
      </w:r>
      <w:r w:rsidRPr="00245C64">
        <w:rPr>
          <w:lang w:val="en-GB"/>
        </w:rPr>
        <w:t xml:space="preserve"> as one of the key problem bacteria or ESKAPE pathogens (</w:t>
      </w:r>
      <w:r w:rsidRPr="00245C64">
        <w:rPr>
          <w:i/>
          <w:iCs/>
          <w:lang w:val="en-GB"/>
        </w:rPr>
        <w:t>E. faecium</w:t>
      </w:r>
      <w:r w:rsidRPr="00245C64">
        <w:rPr>
          <w:lang w:val="en-GB"/>
        </w:rPr>
        <w:t xml:space="preserve">, </w:t>
      </w:r>
      <w:r w:rsidRPr="00245C64">
        <w:rPr>
          <w:i/>
          <w:iCs/>
          <w:lang w:val="en-GB"/>
        </w:rPr>
        <w:t>Staphylococcus aureus</w:t>
      </w:r>
      <w:r w:rsidRPr="00245C64">
        <w:rPr>
          <w:lang w:val="en-GB"/>
        </w:rPr>
        <w:t xml:space="preserve">, </w:t>
      </w:r>
      <w:r w:rsidRPr="00245C64">
        <w:rPr>
          <w:i/>
          <w:iCs/>
          <w:lang w:val="en-GB"/>
        </w:rPr>
        <w:t>Klebsiella pneumoniae</w:t>
      </w:r>
      <w:r w:rsidRPr="00245C64">
        <w:rPr>
          <w:lang w:val="en-GB"/>
        </w:rPr>
        <w:t xml:space="preserve">, </w:t>
      </w:r>
      <w:r w:rsidRPr="00245C64">
        <w:rPr>
          <w:i/>
          <w:iCs/>
          <w:lang w:val="en-GB"/>
        </w:rPr>
        <w:t>Acinetobacter baumannii</w:t>
      </w:r>
      <w:r w:rsidRPr="00245C64">
        <w:rPr>
          <w:lang w:val="en-GB"/>
        </w:rPr>
        <w:t xml:space="preserve">, </w:t>
      </w:r>
      <w:r w:rsidRPr="00245C64">
        <w:rPr>
          <w:i/>
          <w:iCs/>
          <w:lang w:val="en-GB"/>
        </w:rPr>
        <w:t>Pseudomonas aeruginosa</w:t>
      </w:r>
      <w:r w:rsidRPr="00245C64">
        <w:rPr>
          <w:lang w:val="en-GB"/>
        </w:rPr>
        <w:t xml:space="preserve">, and </w:t>
      </w:r>
      <w:r w:rsidRPr="00245C64">
        <w:rPr>
          <w:i/>
          <w:iCs/>
          <w:lang w:val="en-GB"/>
        </w:rPr>
        <w:t>Enterobacter</w:t>
      </w:r>
      <w:r w:rsidRPr="00245C64">
        <w:rPr>
          <w:lang w:val="en-GB"/>
        </w:rPr>
        <w:t xml:space="preserve"> species) requiring new therapies.</w:t>
      </w:r>
      <w:r w:rsidRPr="00245C64">
        <w:rPr>
          <w:vertAlign w:val="superscript"/>
          <w:lang w:val="en-GB"/>
        </w:rPr>
        <w:t>4</w:t>
      </w:r>
      <w:r w:rsidRPr="00245C64">
        <w:rPr>
          <w:lang w:val="en-GB"/>
        </w:rPr>
        <w:t xml:space="preserve"> In 2024, the World Health Organisation listed vancomycin-resistant </w:t>
      </w:r>
      <w:r w:rsidRPr="00245C64">
        <w:rPr>
          <w:i/>
          <w:iCs/>
          <w:lang w:val="en-GB"/>
        </w:rPr>
        <w:t>E. faecium</w:t>
      </w:r>
      <w:r w:rsidRPr="00245C64">
        <w:rPr>
          <w:lang w:val="en-GB"/>
        </w:rPr>
        <w:t xml:space="preserve"> in its bacterial priority list of pathogens.</w:t>
      </w:r>
      <w:r w:rsidRPr="00245C64">
        <w:rPr>
          <w:vertAlign w:val="superscript"/>
          <w:lang w:val="en-GB"/>
        </w:rPr>
        <w:t>5</w:t>
      </w:r>
    </w:p>
    <w:p w14:paraId="1EA16D5D" w14:textId="77777777" w:rsidR="00245C64" w:rsidRPr="00245C64" w:rsidRDefault="00245C64" w:rsidP="00245C64">
      <w:pPr>
        <w:rPr>
          <w:lang w:val="en-GB"/>
        </w:rPr>
      </w:pPr>
      <w:r w:rsidRPr="00245C64">
        <w:rPr>
          <w:lang w:val="en-GB"/>
        </w:rPr>
        <w:t xml:space="preserve">The Australian Group on Antimicrobial Resistance (AGAR) is a network of laboratories located across Australia that commenced surveillance of antimicrobial resistance in </w:t>
      </w:r>
      <w:r w:rsidRPr="00245C64">
        <w:rPr>
          <w:i/>
          <w:iCs/>
          <w:lang w:val="en-GB"/>
        </w:rPr>
        <w:t>Enterococcus</w:t>
      </w:r>
      <w:r w:rsidRPr="00245C64">
        <w:rPr>
          <w:lang w:val="en-GB"/>
        </w:rPr>
        <w:t xml:space="preserve"> species in 1995.</w:t>
      </w:r>
      <w:r w:rsidRPr="00245C64">
        <w:rPr>
          <w:vertAlign w:val="superscript"/>
          <w:lang w:val="en-GB"/>
        </w:rPr>
        <w:t>6</w:t>
      </w:r>
      <w:r w:rsidRPr="00245C64">
        <w:rPr>
          <w:lang w:val="en-GB"/>
        </w:rPr>
        <w:t xml:space="preserve"> In 2011, AGAR commenced the Australian Enterococcal Sepsis Outcome Program,</w:t>
      </w:r>
      <w:r w:rsidRPr="00245C64">
        <w:rPr>
          <w:vertAlign w:val="superscript"/>
          <w:lang w:val="en-GB"/>
        </w:rPr>
        <w:t>7</w:t>
      </w:r>
      <w:r w:rsidRPr="00245C64">
        <w:rPr>
          <w:lang w:val="en-GB"/>
        </w:rPr>
        <w:t xml:space="preserve"> now known as the Australian Enterococcal Surveillance Outcome Program (AESOP). The objective of AESOP 2024 was to determine the proportion of </w:t>
      </w:r>
      <w:r w:rsidRPr="00245C64">
        <w:rPr>
          <w:i/>
          <w:iCs/>
          <w:lang w:val="en-GB"/>
        </w:rPr>
        <w:t>E. faecalis</w:t>
      </w:r>
      <w:r w:rsidRPr="00245C64">
        <w:rPr>
          <w:lang w:val="en-GB"/>
        </w:rPr>
        <w:t xml:space="preserve"> and </w:t>
      </w:r>
      <w:r w:rsidRPr="00245C64">
        <w:rPr>
          <w:i/>
          <w:iCs/>
          <w:lang w:val="en-GB"/>
        </w:rPr>
        <w:t>E. faecium</w:t>
      </w:r>
      <w:r w:rsidRPr="00245C64">
        <w:rPr>
          <w:lang w:val="en-GB"/>
        </w:rPr>
        <w:t xml:space="preserve"> bacteraemia isolates demonstrating antimicrobial resistance, with particular emphasis on:</w:t>
      </w:r>
    </w:p>
    <w:p w14:paraId="31ED3A2A" w14:textId="77777777" w:rsidR="00245C64" w:rsidRPr="00245C64" w:rsidRDefault="00245C64" w:rsidP="00245C64">
      <w:pPr>
        <w:pStyle w:val="CDINumberedList1L1"/>
        <w:rPr>
          <w:lang w:val="en-GB"/>
        </w:rPr>
      </w:pPr>
      <w:r w:rsidRPr="00245C64">
        <w:rPr>
          <w:lang w:val="en-GB"/>
        </w:rPr>
        <w:t xml:space="preserve">resistance to </w:t>
      </w:r>
      <w:proofErr w:type="gramStart"/>
      <w:r w:rsidRPr="00245C64">
        <w:rPr>
          <w:lang w:val="en-GB"/>
        </w:rPr>
        <w:t>ampicillin;</w:t>
      </w:r>
      <w:proofErr w:type="gramEnd"/>
    </w:p>
    <w:p w14:paraId="74DD2BA1" w14:textId="77777777" w:rsidR="00245C64" w:rsidRPr="00245C64" w:rsidRDefault="00245C64" w:rsidP="00245C64">
      <w:pPr>
        <w:pStyle w:val="CDINumberedList1L1"/>
        <w:rPr>
          <w:lang w:val="en-GB"/>
        </w:rPr>
      </w:pPr>
      <w:r w:rsidRPr="00245C64">
        <w:rPr>
          <w:lang w:val="en-GB"/>
        </w:rPr>
        <w:t>resistance to glycopeptides; and</w:t>
      </w:r>
    </w:p>
    <w:p w14:paraId="40BD04E0" w14:textId="20262CEE" w:rsidR="00AC46DC" w:rsidRPr="00AC46DC" w:rsidRDefault="00245C64" w:rsidP="00353860">
      <w:pPr>
        <w:pStyle w:val="CDINumberedList1L1"/>
      </w:pPr>
      <w:r w:rsidRPr="00245C64">
        <w:rPr>
          <w:lang w:val="en-GB"/>
        </w:rPr>
        <w:t xml:space="preserve">the molecular epidemiology of </w:t>
      </w:r>
      <w:r w:rsidRPr="00245C64">
        <w:rPr>
          <w:i/>
          <w:iCs/>
          <w:lang w:val="en-GB"/>
        </w:rPr>
        <w:t>E. faecium</w:t>
      </w:r>
      <w:r w:rsidRPr="00245C64">
        <w:rPr>
          <w:lang w:val="en-GB"/>
        </w:rPr>
        <w:t>.</w:t>
      </w:r>
    </w:p>
    <w:p w14:paraId="2E70CD88" w14:textId="4817A1B5" w:rsidR="00A24E95" w:rsidRDefault="00B73144" w:rsidP="00B73144">
      <w:pPr>
        <w:pStyle w:val="Heading1"/>
        <w:rPr>
          <w:lang w:val="en-GB"/>
        </w:rPr>
      </w:pPr>
      <w:bookmarkStart w:id="13" w:name="_Toc195530502"/>
      <w:bookmarkStart w:id="14" w:name="_Toc213142436"/>
      <w:r>
        <w:rPr>
          <w:lang w:val="en-GB"/>
        </w:rPr>
        <w:lastRenderedPageBreak/>
        <w:t>Method</w:t>
      </w:r>
      <w:bookmarkEnd w:id="13"/>
      <w:r w:rsidR="00245C64">
        <w:rPr>
          <w:lang w:val="en-GB"/>
        </w:rPr>
        <w:t>ology</w:t>
      </w:r>
      <w:bookmarkEnd w:id="14"/>
    </w:p>
    <w:p w14:paraId="3889B12D" w14:textId="5C8B6457" w:rsidR="00BE73E6" w:rsidRDefault="00245C64" w:rsidP="00245C64">
      <w:pPr>
        <w:pStyle w:val="Heading2-lessspacebefore"/>
        <w:rPr>
          <w:lang w:val="en-GB"/>
        </w:rPr>
      </w:pPr>
      <w:bookmarkStart w:id="15" w:name="_Toc213142437"/>
      <w:r>
        <w:rPr>
          <w:lang w:val="en-GB"/>
        </w:rPr>
        <w:t>Participants</w:t>
      </w:r>
      <w:bookmarkEnd w:id="15"/>
    </w:p>
    <w:p w14:paraId="39E38769" w14:textId="77777777" w:rsidR="00245C64" w:rsidRPr="00245C64" w:rsidRDefault="00245C64" w:rsidP="00245C64">
      <w:pPr>
        <w:rPr>
          <w:lang w:val="en-GB"/>
        </w:rPr>
      </w:pPr>
      <w:r w:rsidRPr="00245C64">
        <w:rPr>
          <w:lang w:val="en-GB"/>
        </w:rPr>
        <w:t>Thirty-two laboratories servicing 55 institutions located in all Australian states and mainland territories.</w:t>
      </w:r>
    </w:p>
    <w:p w14:paraId="6F76B6C9" w14:textId="1AD63F0C" w:rsidR="00245C64" w:rsidRDefault="00245C64" w:rsidP="00245C64">
      <w:pPr>
        <w:pStyle w:val="Heading2"/>
        <w:rPr>
          <w:lang w:val="en-GB"/>
        </w:rPr>
      </w:pPr>
      <w:bookmarkStart w:id="16" w:name="_Toc213142438"/>
      <w:r>
        <w:rPr>
          <w:lang w:val="en-GB"/>
        </w:rPr>
        <w:t>Collection period</w:t>
      </w:r>
      <w:bookmarkEnd w:id="16"/>
    </w:p>
    <w:p w14:paraId="12757626" w14:textId="77777777" w:rsidR="00245C64" w:rsidRPr="00245C64" w:rsidRDefault="00245C64" w:rsidP="00245C64">
      <w:pPr>
        <w:rPr>
          <w:lang w:val="en-GB"/>
        </w:rPr>
      </w:pPr>
      <w:r w:rsidRPr="00245C64">
        <w:rPr>
          <w:lang w:val="en-GB"/>
        </w:rPr>
        <w:t>From 1 January to 31 December 2024, the 32 laboratories collected all enterococcal species isolated from blood cultures. Enterococci of the same species and antimicrobial susceptibility profiles isolated from a patient’s blood culture within 14 days of the first positive blood culture were excluded. A new enterococcal bacteraemia episode in the same patient was recorded if the episode occurred more than 14 days after the initial positive culture. Data were collected on age, sex, dates of admission and discharge (if admitted), and mortality at seven and 30 days from date of blood culture collection. To avoid interpretive bias, no attempt was made to assign attributable mortality. Each episode of bacteraemia was designated as ‘hospital-onset’ if the first positive blood culture(s) in an episode was collected &gt; 48 hours after admission.</w:t>
      </w:r>
    </w:p>
    <w:p w14:paraId="3E6F6F52" w14:textId="7A754BFC" w:rsidR="00245C64" w:rsidRDefault="00245C64" w:rsidP="00245C64">
      <w:pPr>
        <w:pStyle w:val="Heading2"/>
        <w:rPr>
          <w:lang w:val="en-GB"/>
        </w:rPr>
      </w:pPr>
      <w:bookmarkStart w:id="17" w:name="_Toc213142439"/>
      <w:r>
        <w:rPr>
          <w:lang w:val="en-GB"/>
        </w:rPr>
        <w:t>Laboratory testing</w:t>
      </w:r>
      <w:bookmarkEnd w:id="17"/>
    </w:p>
    <w:p w14:paraId="347D6A01" w14:textId="77777777" w:rsidR="00245C64" w:rsidRPr="00245C64" w:rsidRDefault="00245C64" w:rsidP="00245C64">
      <w:pPr>
        <w:rPr>
          <w:lang w:val="en-GB"/>
        </w:rPr>
      </w:pPr>
      <w:r w:rsidRPr="00245C64">
        <w:rPr>
          <w:lang w:val="en-GB"/>
        </w:rPr>
        <w:t>Enterococcal isolates were identified to the species level by the participating laboratories using matrix-assisted laser desorption ionisation (MALDI) – MALDI Biotyper (Bruker Daltonics, USA) or Vitek-MS (bioMérieux, France) – or by the Vitek</w:t>
      </w:r>
      <w:r w:rsidRPr="00245C64">
        <w:rPr>
          <w:vertAlign w:val="superscript"/>
          <w:lang w:val="en-GB"/>
        </w:rPr>
        <w:t>®</w:t>
      </w:r>
      <w:r w:rsidRPr="00245C64">
        <w:rPr>
          <w:lang w:val="en-GB"/>
        </w:rPr>
        <w:t xml:space="preserve"> 2 automated system (bioMérieux). Antimicrobial susceptibility testing was performed using the Vitek</w:t>
      </w:r>
      <w:r w:rsidRPr="00245C64">
        <w:rPr>
          <w:vertAlign w:val="superscript"/>
          <w:lang w:val="en-GB"/>
        </w:rPr>
        <w:t>®</w:t>
      </w:r>
      <w:r w:rsidRPr="00245C64">
        <w:rPr>
          <w:lang w:val="en-GB"/>
        </w:rPr>
        <w:t xml:space="preserve"> 2 (bioMérieux) or the BD Phoenix™ (Becton Dickinson, USA) automated microbiology systems, according to the manufacturer’s instructions. Minimum inhibitory concentration (MIC) data and isolates were referred to the AESOP reference laboratory at Murdoch University. The European Committee on Antimicrobial Susceptibility Testing (EUCAST) MIC breakpoints were utilised for interpretation.</w:t>
      </w:r>
      <w:r w:rsidRPr="00245C64">
        <w:rPr>
          <w:vertAlign w:val="superscript"/>
          <w:lang w:val="en-GB"/>
        </w:rPr>
        <w:t>8</w:t>
      </w:r>
      <w:r w:rsidRPr="00245C64">
        <w:rPr>
          <w:lang w:val="en-GB"/>
        </w:rPr>
        <w:t xml:space="preserve"> Linezolid-resistant isolates, and vancomycin-susceptible isolates which harboured the </w:t>
      </w:r>
      <w:r w:rsidRPr="00245C64">
        <w:rPr>
          <w:i/>
          <w:iCs/>
          <w:lang w:val="en-GB"/>
        </w:rPr>
        <w:t>vanA</w:t>
      </w:r>
      <w:r w:rsidRPr="00245C64">
        <w:rPr>
          <w:lang w:val="en-GB"/>
        </w:rPr>
        <w:t xml:space="preserve"> or </w:t>
      </w:r>
      <w:r w:rsidRPr="00245C64">
        <w:rPr>
          <w:i/>
          <w:iCs/>
          <w:lang w:val="en-GB"/>
        </w:rPr>
        <w:t>vanB</w:t>
      </w:r>
      <w:r w:rsidRPr="00245C64">
        <w:rPr>
          <w:lang w:val="en-GB"/>
        </w:rPr>
        <w:t xml:space="preserve"> gene, were retested by Etest</w:t>
      </w:r>
      <w:r w:rsidRPr="00245C64">
        <w:rPr>
          <w:vertAlign w:val="superscript"/>
          <w:lang w:val="en-GB"/>
        </w:rPr>
        <w:t>®</w:t>
      </w:r>
      <w:r w:rsidRPr="00245C64">
        <w:rPr>
          <w:lang w:val="en-GB"/>
        </w:rPr>
        <w:t xml:space="preserve"> (bioMérieux) using Mueller-Hinton agar and the method recommended by the manufacturer. The control strain used for the Etest</w:t>
      </w:r>
      <w:r w:rsidRPr="00245C64">
        <w:rPr>
          <w:vertAlign w:val="superscript"/>
          <w:lang w:val="en-GB"/>
        </w:rPr>
        <w:t>®</w:t>
      </w:r>
      <w:r w:rsidRPr="00245C64">
        <w:rPr>
          <w:lang w:val="en-GB"/>
        </w:rPr>
        <w:t xml:space="preserve"> was </w:t>
      </w:r>
      <w:r w:rsidRPr="00245C64">
        <w:rPr>
          <w:i/>
          <w:iCs/>
          <w:lang w:val="en-GB"/>
        </w:rPr>
        <w:t>E. faecalis</w:t>
      </w:r>
      <w:r w:rsidRPr="00245C64">
        <w:rPr>
          <w:lang w:val="en-GB"/>
        </w:rPr>
        <w:t xml:space="preserve"> ATCC</w:t>
      </w:r>
      <w:r w:rsidRPr="00245C64">
        <w:rPr>
          <w:vertAlign w:val="superscript"/>
          <w:lang w:val="en-GB"/>
        </w:rPr>
        <w:t>®</w:t>
      </w:r>
      <w:r w:rsidRPr="00245C64">
        <w:rPr>
          <w:lang w:val="en-GB"/>
        </w:rPr>
        <w:t xml:space="preserve"> 29212. For all </w:t>
      </w:r>
      <w:r w:rsidRPr="00245C64">
        <w:rPr>
          <w:i/>
          <w:iCs/>
          <w:lang w:val="en-GB"/>
        </w:rPr>
        <w:t>E. faecium</w:t>
      </w:r>
      <w:r w:rsidRPr="00245C64">
        <w:rPr>
          <w:lang w:val="en-GB"/>
        </w:rPr>
        <w:t xml:space="preserve"> isolates received, whole genome sequencing (WGS) was performed by the AESOP reference laboratory at Murdoch University on the Illumina </w:t>
      </w:r>
      <w:proofErr w:type="spellStart"/>
      <w:r w:rsidRPr="00245C64">
        <w:rPr>
          <w:lang w:val="en-GB"/>
        </w:rPr>
        <w:t>NovaSeq</w:t>
      </w:r>
      <w:proofErr w:type="spellEnd"/>
      <w:r w:rsidRPr="00245C64">
        <w:rPr>
          <w:lang w:val="en-GB"/>
        </w:rPr>
        <w:t xml:space="preserve">™ platform. The multilocus sequence type (ST) was determined using the </w:t>
      </w:r>
      <w:proofErr w:type="spellStart"/>
      <w:r w:rsidRPr="00245C64">
        <w:rPr>
          <w:lang w:val="en-GB"/>
        </w:rPr>
        <w:t>PubMLST</w:t>
      </w:r>
      <w:proofErr w:type="spellEnd"/>
      <w:r w:rsidRPr="00245C64">
        <w:rPr>
          <w:lang w:val="en-GB"/>
        </w:rPr>
        <w:t xml:space="preserve"> website; </w:t>
      </w:r>
      <w:r w:rsidRPr="00245C64">
        <w:rPr>
          <w:i/>
          <w:iCs/>
          <w:lang w:val="en-GB"/>
        </w:rPr>
        <w:t>van</w:t>
      </w:r>
      <w:r w:rsidRPr="00245C64">
        <w:rPr>
          <w:lang w:val="en-GB"/>
        </w:rPr>
        <w:t xml:space="preserve"> genes were identified using nucleotide sequences from the NCBI database and a BLAST interface. Genetic determinants for linezolid resistance were identified using the </w:t>
      </w:r>
      <w:proofErr w:type="spellStart"/>
      <w:r w:rsidRPr="00245C64">
        <w:rPr>
          <w:lang w:val="en-GB"/>
        </w:rPr>
        <w:t>LREfinder</w:t>
      </w:r>
      <w:proofErr w:type="spellEnd"/>
      <w:r w:rsidRPr="00245C64">
        <w:rPr>
          <w:lang w:val="en-GB"/>
        </w:rPr>
        <w:t xml:space="preserve"> tool.</w:t>
      </w:r>
      <w:r w:rsidRPr="00245C64">
        <w:rPr>
          <w:vertAlign w:val="superscript"/>
          <w:lang w:val="en-GB"/>
        </w:rPr>
        <w:t>9</w:t>
      </w:r>
    </w:p>
    <w:p w14:paraId="4A587397" w14:textId="77777777" w:rsidR="00245C64" w:rsidRPr="00245C64" w:rsidRDefault="00245C64" w:rsidP="00245C64">
      <w:pPr>
        <w:rPr>
          <w:lang w:val="en-GB"/>
        </w:rPr>
      </w:pPr>
      <w:r w:rsidRPr="00245C64">
        <w:rPr>
          <w:lang w:val="en-GB"/>
        </w:rPr>
        <w:t xml:space="preserve">Confidence intervals for proportions, Fisher’s exact test for categorical variables, and chi-square test for trend were calculated, if appropriate, using </w:t>
      </w:r>
      <w:proofErr w:type="spellStart"/>
      <w:r w:rsidRPr="00245C64">
        <w:rPr>
          <w:lang w:val="en-GB"/>
        </w:rPr>
        <w:t>MedCalc</w:t>
      </w:r>
      <w:proofErr w:type="spellEnd"/>
      <w:r w:rsidRPr="00245C64">
        <w:rPr>
          <w:lang w:val="en-GB"/>
        </w:rPr>
        <w:t xml:space="preserve"> for Windows, version 23.3.1 (</w:t>
      </w:r>
      <w:proofErr w:type="spellStart"/>
      <w:r w:rsidRPr="00245C64">
        <w:rPr>
          <w:lang w:val="en-GB"/>
        </w:rPr>
        <w:t>MedCalc</w:t>
      </w:r>
      <w:proofErr w:type="spellEnd"/>
      <w:r w:rsidRPr="00245C64">
        <w:rPr>
          <w:lang w:val="en-GB"/>
        </w:rPr>
        <w:t xml:space="preserve"> Software, Ostend Belgium).</w:t>
      </w:r>
    </w:p>
    <w:p w14:paraId="0D0AC9DB" w14:textId="479476FE" w:rsidR="00245C64" w:rsidRPr="00BE73E6" w:rsidRDefault="00245C64" w:rsidP="00BE73E6">
      <w:pPr>
        <w:rPr>
          <w:lang w:val="en-GB"/>
        </w:rPr>
      </w:pPr>
      <w:r w:rsidRPr="00245C64">
        <w:rPr>
          <w:lang w:val="en-GB"/>
        </w:rPr>
        <w:t>Approval to conduct the prospective data collection was given by the research ethics committee associated with each participating laboratory.</w:t>
      </w:r>
    </w:p>
    <w:p w14:paraId="155ECBDD" w14:textId="77777777" w:rsidR="008A0736" w:rsidRDefault="000073ED" w:rsidP="005A4E9D">
      <w:pPr>
        <w:pStyle w:val="Heading1"/>
      </w:pPr>
      <w:bookmarkStart w:id="18" w:name="_Toc195530503"/>
      <w:bookmarkStart w:id="19" w:name="_Toc213142440"/>
      <w:r>
        <w:lastRenderedPageBreak/>
        <w:t>Results</w:t>
      </w:r>
      <w:bookmarkEnd w:id="18"/>
      <w:bookmarkEnd w:id="19"/>
    </w:p>
    <w:p w14:paraId="005AA19A" w14:textId="3CA7CE36" w:rsidR="00245C64" w:rsidRPr="00245C64" w:rsidRDefault="00245C64" w:rsidP="00245C64">
      <w:pPr>
        <w:rPr>
          <w:lang w:val="en-GB"/>
        </w:rPr>
      </w:pPr>
      <w:r w:rsidRPr="00245C64">
        <w:rPr>
          <w:lang w:val="en-GB"/>
        </w:rPr>
        <w:t xml:space="preserve">From 1 January to 31 December 2024, there were 1,461 unique episodes of enterococcal bacteraemia identified. Although thirteen different enterococcal species were identified, 752 isolates (51.5%) were </w:t>
      </w:r>
      <w:r w:rsidRPr="00245C64">
        <w:rPr>
          <w:i/>
          <w:iCs/>
          <w:lang w:val="en-GB"/>
        </w:rPr>
        <w:t>E. faecalis</w:t>
      </w:r>
      <w:r w:rsidRPr="00245C64">
        <w:rPr>
          <w:lang w:val="en-GB"/>
        </w:rPr>
        <w:t xml:space="preserve"> and 599 isolates (41.0%) were </w:t>
      </w:r>
      <w:r w:rsidRPr="00245C64">
        <w:rPr>
          <w:i/>
          <w:iCs/>
          <w:lang w:val="en-GB"/>
        </w:rPr>
        <w:t>E. faecium</w:t>
      </w:r>
      <w:r w:rsidRPr="00245C64">
        <w:rPr>
          <w:lang w:val="en-GB"/>
        </w:rPr>
        <w:t xml:space="preserve">. One hundred and ten enterococci were identified as either </w:t>
      </w:r>
      <w:r w:rsidRPr="00245C64">
        <w:rPr>
          <w:i/>
          <w:iCs/>
          <w:lang w:val="en-GB"/>
        </w:rPr>
        <w:t>E. lactis</w:t>
      </w:r>
      <w:r w:rsidRPr="00245C64">
        <w:rPr>
          <w:lang w:val="en-GB"/>
        </w:rPr>
        <w:t xml:space="preserve"> (42 isolates); </w:t>
      </w:r>
      <w:r w:rsidRPr="00245C64">
        <w:rPr>
          <w:i/>
          <w:iCs/>
          <w:lang w:val="en-GB"/>
        </w:rPr>
        <w:t>E. casseliflavus</w:t>
      </w:r>
      <w:r w:rsidRPr="00245C64">
        <w:rPr>
          <w:lang w:val="en-GB"/>
        </w:rPr>
        <w:t xml:space="preserve"> (19 isolates); </w:t>
      </w:r>
      <w:r w:rsidRPr="00245C64">
        <w:rPr>
          <w:i/>
          <w:iCs/>
          <w:lang w:val="en-GB"/>
        </w:rPr>
        <w:t>E.</w:t>
      </w:r>
      <w:r>
        <w:rPr>
          <w:i/>
          <w:iCs/>
          <w:lang w:val="en-GB"/>
        </w:rPr>
        <w:t> </w:t>
      </w:r>
      <w:r w:rsidRPr="00245C64">
        <w:rPr>
          <w:i/>
          <w:iCs/>
          <w:lang w:val="en-GB"/>
        </w:rPr>
        <w:t>gallinarum</w:t>
      </w:r>
      <w:r w:rsidRPr="00245C64">
        <w:rPr>
          <w:lang w:val="en-GB"/>
        </w:rPr>
        <w:t xml:space="preserve"> (16 isolates); </w:t>
      </w:r>
      <w:r w:rsidRPr="00245C64">
        <w:rPr>
          <w:i/>
          <w:iCs/>
          <w:lang w:val="en-GB"/>
        </w:rPr>
        <w:t>E. avium</w:t>
      </w:r>
      <w:r w:rsidRPr="00245C64">
        <w:rPr>
          <w:lang w:val="en-GB"/>
        </w:rPr>
        <w:t xml:space="preserve"> (12 isolates); </w:t>
      </w:r>
      <w:r w:rsidRPr="00245C64">
        <w:rPr>
          <w:i/>
          <w:iCs/>
          <w:lang w:val="en-GB"/>
        </w:rPr>
        <w:t>E. raffinosus</w:t>
      </w:r>
      <w:r w:rsidRPr="00245C64">
        <w:rPr>
          <w:lang w:val="en-GB"/>
        </w:rPr>
        <w:t xml:space="preserve"> (9 isolates); </w:t>
      </w:r>
      <w:r w:rsidRPr="00245C64">
        <w:rPr>
          <w:i/>
          <w:iCs/>
          <w:lang w:val="en-GB"/>
        </w:rPr>
        <w:t>E. durans</w:t>
      </w:r>
      <w:r w:rsidRPr="00245C64">
        <w:rPr>
          <w:lang w:val="en-GB"/>
        </w:rPr>
        <w:t xml:space="preserve"> (5 isolates); </w:t>
      </w:r>
      <w:r w:rsidRPr="00245C64">
        <w:rPr>
          <w:i/>
          <w:iCs/>
          <w:lang w:val="en-GB"/>
        </w:rPr>
        <w:t>E. hirae</w:t>
      </w:r>
      <w:r w:rsidRPr="00245C64">
        <w:rPr>
          <w:lang w:val="en-GB"/>
        </w:rPr>
        <w:t xml:space="preserve"> (3 isolates); </w:t>
      </w:r>
      <w:r w:rsidRPr="00245C64">
        <w:rPr>
          <w:i/>
          <w:iCs/>
          <w:lang w:val="en-GB"/>
        </w:rPr>
        <w:t>E. malodoratus</w:t>
      </w:r>
      <w:r w:rsidRPr="00245C64">
        <w:rPr>
          <w:lang w:val="en-GB"/>
        </w:rPr>
        <w:t xml:space="preserve"> (1 isolate); </w:t>
      </w:r>
      <w:r w:rsidRPr="00245C64">
        <w:rPr>
          <w:i/>
          <w:iCs/>
          <w:lang w:val="en-GB"/>
        </w:rPr>
        <w:t>E. mundtii</w:t>
      </w:r>
      <w:r w:rsidRPr="00245C64">
        <w:rPr>
          <w:lang w:val="en-GB"/>
        </w:rPr>
        <w:t xml:space="preserve"> (1 isolate); </w:t>
      </w:r>
      <w:r w:rsidRPr="00245C64">
        <w:rPr>
          <w:i/>
          <w:iCs/>
          <w:lang w:val="en-GB"/>
        </w:rPr>
        <w:t>E. pallens</w:t>
      </w:r>
      <w:r w:rsidRPr="00245C64">
        <w:rPr>
          <w:lang w:val="en-GB"/>
        </w:rPr>
        <w:t xml:space="preserve"> (1 isolate); or </w:t>
      </w:r>
      <w:r w:rsidRPr="00245C64">
        <w:rPr>
          <w:i/>
          <w:iCs/>
          <w:lang w:val="en-GB"/>
        </w:rPr>
        <w:t>Enterococcus</w:t>
      </w:r>
      <w:r w:rsidRPr="00245C64">
        <w:rPr>
          <w:lang w:val="en-GB"/>
        </w:rPr>
        <w:t xml:space="preserve"> species (unidentified; 1 isolate).</w:t>
      </w:r>
    </w:p>
    <w:p w14:paraId="2FF64313" w14:textId="77777777" w:rsidR="00245C64" w:rsidRPr="00245C64" w:rsidRDefault="00245C64" w:rsidP="00245C64">
      <w:pPr>
        <w:rPr>
          <w:lang w:val="en-GB"/>
        </w:rPr>
      </w:pPr>
      <w:r w:rsidRPr="00245C64">
        <w:rPr>
          <w:lang w:val="en-GB"/>
        </w:rPr>
        <w:t>A significant difference was observed in patient sex (</w:t>
      </w:r>
      <w:r w:rsidRPr="00245C64">
        <w:rPr>
          <w:i/>
          <w:iCs/>
          <w:lang w:val="en-GB"/>
        </w:rPr>
        <w:t>p</w:t>
      </w:r>
      <w:r w:rsidRPr="00245C64">
        <w:rPr>
          <w:lang w:val="en-GB"/>
        </w:rPr>
        <w:t xml:space="preserve"> &lt; 0.01), with 958 patients (65.6%) being male (95% confidence interval [95% CI]: 61.5–69.9). The average age of patients was 64 years, ranging from 0 to 99 years, with a median age of 68 years. Overall, isolates were approximately evenly divided by place of onset: 753/1,461 (51.5%) were community-onset and 708/1,461 (48.5%) were hospital-onset. However, a significant difference (</w:t>
      </w:r>
      <w:r w:rsidRPr="00245C64">
        <w:rPr>
          <w:i/>
          <w:iCs/>
          <w:lang w:val="en-GB"/>
        </w:rPr>
        <w:t>p</w:t>
      </w:r>
      <w:r w:rsidRPr="00245C64">
        <w:rPr>
          <w:lang w:val="en-GB"/>
        </w:rPr>
        <w:t xml:space="preserve"> &lt; 0.01) was observed between </w:t>
      </w:r>
      <w:r w:rsidRPr="00245C64">
        <w:rPr>
          <w:i/>
          <w:iCs/>
          <w:lang w:val="en-GB"/>
        </w:rPr>
        <w:t>E. faecium</w:t>
      </w:r>
      <w:r w:rsidRPr="00245C64">
        <w:rPr>
          <w:lang w:val="en-GB"/>
        </w:rPr>
        <w:t xml:space="preserve"> and </w:t>
      </w:r>
      <w:r w:rsidRPr="00245C64">
        <w:rPr>
          <w:i/>
          <w:iCs/>
          <w:lang w:val="en-GB"/>
        </w:rPr>
        <w:t>E. faecalis</w:t>
      </w:r>
      <w:r w:rsidRPr="00245C64">
        <w:rPr>
          <w:lang w:val="en-GB"/>
        </w:rPr>
        <w:t xml:space="preserve"> in place of onset: only 25.2% of </w:t>
      </w:r>
      <w:r w:rsidRPr="00245C64">
        <w:rPr>
          <w:i/>
          <w:iCs/>
          <w:lang w:val="en-GB"/>
        </w:rPr>
        <w:t>E. faecium</w:t>
      </w:r>
      <w:r w:rsidRPr="00245C64">
        <w:rPr>
          <w:lang w:val="en-GB"/>
        </w:rPr>
        <w:t xml:space="preserve"> episodes (95% CI: 21.4–30.0) were community-onset, compared to 70.6% of </w:t>
      </w:r>
      <w:r w:rsidRPr="00245C64">
        <w:rPr>
          <w:i/>
          <w:iCs/>
          <w:lang w:val="en-GB"/>
        </w:rPr>
        <w:t>E. faecalis</w:t>
      </w:r>
      <w:r w:rsidRPr="00245C64">
        <w:rPr>
          <w:lang w:val="en-GB"/>
        </w:rPr>
        <w:t xml:space="preserve"> episodes (95% CI: 64.7–76.9). All-cause mortality at 30 days, where outcome was known, was 23.6% (95% CI: 20.9–26.5). There was a significant difference in mortality between </w:t>
      </w:r>
      <w:r w:rsidRPr="00245C64">
        <w:rPr>
          <w:i/>
          <w:iCs/>
          <w:lang w:val="en-GB"/>
        </w:rPr>
        <w:t>E. faecalis</w:t>
      </w:r>
      <w:r w:rsidRPr="00245C64">
        <w:rPr>
          <w:lang w:val="en-GB"/>
        </w:rPr>
        <w:t xml:space="preserve"> and </w:t>
      </w:r>
      <w:r w:rsidRPr="00245C64">
        <w:rPr>
          <w:i/>
          <w:iCs/>
          <w:lang w:val="en-GB"/>
        </w:rPr>
        <w:t>E. faecium</w:t>
      </w:r>
      <w:r w:rsidRPr="00245C64">
        <w:rPr>
          <w:lang w:val="en-GB"/>
        </w:rPr>
        <w:t xml:space="preserve"> episodes (15.5% vs 34.0% respectively; </w:t>
      </w:r>
      <w:r w:rsidRPr="00245C64">
        <w:rPr>
          <w:i/>
          <w:iCs/>
          <w:lang w:val="en-GB"/>
        </w:rPr>
        <w:t>p</w:t>
      </w:r>
      <w:r w:rsidRPr="00245C64">
        <w:rPr>
          <w:lang w:val="en-GB"/>
        </w:rPr>
        <w:t xml:space="preserve"> &lt; 0.01). However, there was no significant difference in mortality between vancomycin-susceptible and vancomycin-resistant </w:t>
      </w:r>
      <w:r w:rsidRPr="00245C64">
        <w:rPr>
          <w:i/>
          <w:iCs/>
          <w:lang w:val="en-GB"/>
        </w:rPr>
        <w:t>E. faecium</w:t>
      </w:r>
      <w:r w:rsidRPr="00245C64">
        <w:rPr>
          <w:lang w:val="en-GB"/>
        </w:rPr>
        <w:t xml:space="preserve"> episodes (33.3% vs 34.2% respectively; </w:t>
      </w:r>
      <w:r w:rsidRPr="00245C64">
        <w:rPr>
          <w:i/>
          <w:iCs/>
          <w:lang w:val="en-GB"/>
        </w:rPr>
        <w:t>p</w:t>
      </w:r>
      <w:r w:rsidRPr="00245C64">
        <w:rPr>
          <w:lang w:val="en-GB"/>
        </w:rPr>
        <w:t xml:space="preserve"> = 0.85).</w:t>
      </w:r>
    </w:p>
    <w:p w14:paraId="1577F73D" w14:textId="77777777" w:rsidR="00245C64" w:rsidRPr="00245C64" w:rsidRDefault="00245C64" w:rsidP="00245C64">
      <w:pPr>
        <w:pStyle w:val="Heading2"/>
        <w:rPr>
          <w:lang w:val="en-GB"/>
        </w:rPr>
      </w:pPr>
      <w:bookmarkStart w:id="20" w:name="_Toc213142441"/>
      <w:r w:rsidRPr="00245C64">
        <w:rPr>
          <w:i/>
          <w:iCs/>
          <w:lang w:val="en-GB"/>
        </w:rPr>
        <w:t>Enterococcus faecalis</w:t>
      </w:r>
      <w:r w:rsidRPr="00245C64">
        <w:rPr>
          <w:lang w:val="en-GB"/>
        </w:rPr>
        <w:t xml:space="preserve"> phenotypic susceptibility results</w:t>
      </w:r>
      <w:bookmarkEnd w:id="20"/>
    </w:p>
    <w:p w14:paraId="36549E07" w14:textId="77777777" w:rsidR="00245C64" w:rsidRPr="00245C64" w:rsidRDefault="00245C64" w:rsidP="00245C64">
      <w:pPr>
        <w:rPr>
          <w:lang w:val="en-GB"/>
        </w:rPr>
      </w:pPr>
      <w:r w:rsidRPr="00245C64">
        <w:rPr>
          <w:lang w:val="en-GB"/>
        </w:rPr>
        <w:t xml:space="preserve">Acquired resistance was rare amongst the </w:t>
      </w:r>
      <w:r w:rsidRPr="00245C64">
        <w:rPr>
          <w:i/>
          <w:iCs/>
          <w:lang w:val="en-GB"/>
        </w:rPr>
        <w:t>E. faecalis</w:t>
      </w:r>
      <w:r w:rsidRPr="00245C64">
        <w:rPr>
          <w:lang w:val="en-GB"/>
        </w:rPr>
        <w:t xml:space="preserve"> isolates (Table 1). Seven </w:t>
      </w:r>
      <w:r w:rsidRPr="00245C64">
        <w:rPr>
          <w:i/>
          <w:iCs/>
          <w:lang w:val="en-GB"/>
        </w:rPr>
        <w:t>E. faecalis</w:t>
      </w:r>
      <w:r w:rsidRPr="00245C64">
        <w:rPr>
          <w:lang w:val="en-GB"/>
        </w:rPr>
        <w:t xml:space="preserve"> isolates (0.9%) were initially reported as linezolid resistant (EUCAST breakpoint &gt; 4 mg/L). However, by Etest</w:t>
      </w:r>
      <w:r w:rsidRPr="00245C64">
        <w:rPr>
          <w:vertAlign w:val="superscript"/>
          <w:lang w:val="en-GB"/>
        </w:rPr>
        <w:t>®</w:t>
      </w:r>
      <w:r w:rsidRPr="00245C64">
        <w:rPr>
          <w:lang w:val="en-GB"/>
        </w:rPr>
        <w:t xml:space="preserve">, two of the seven referred isolates had linezolid MICs of 1.0 and 2.0 mg/L and were therefore considered linezolid susceptible. The remaining five isolates had linezolid MICs of 6.0 and 8.0 mg/L and were classified as linezolid resistant by EUCAST criteria. All five linezolid-resistant </w:t>
      </w:r>
      <w:r w:rsidRPr="00245C64">
        <w:rPr>
          <w:i/>
          <w:iCs/>
          <w:lang w:val="en-GB"/>
        </w:rPr>
        <w:t>E. faecalis</w:t>
      </w:r>
      <w:r w:rsidRPr="00245C64">
        <w:rPr>
          <w:lang w:val="en-GB"/>
        </w:rPr>
        <w:t xml:space="preserve"> isolates were vancomycin susceptible and harboured the transferable linezolid resistance </w:t>
      </w:r>
      <w:r w:rsidRPr="00245C64">
        <w:rPr>
          <w:i/>
          <w:iCs/>
          <w:lang w:val="en-GB"/>
        </w:rPr>
        <w:t>optrA</w:t>
      </w:r>
      <w:r w:rsidRPr="00245C64">
        <w:rPr>
          <w:lang w:val="en-GB"/>
        </w:rPr>
        <w:t xml:space="preserve"> gene. High-level gentamicin resistance was reported in 13.1% of </w:t>
      </w:r>
      <w:r w:rsidRPr="00245C64">
        <w:rPr>
          <w:i/>
          <w:iCs/>
          <w:lang w:val="en-GB"/>
        </w:rPr>
        <w:t>E. faecalis</w:t>
      </w:r>
      <w:r w:rsidRPr="00245C64">
        <w:rPr>
          <w:lang w:val="en-GB"/>
        </w:rPr>
        <w:t xml:space="preserve"> isolates. </w:t>
      </w:r>
    </w:p>
    <w:p w14:paraId="673F353A" w14:textId="0C9EBE05" w:rsidR="00245C64" w:rsidRPr="00245C64" w:rsidRDefault="00245C64" w:rsidP="00245C64">
      <w:pPr>
        <w:pStyle w:val="CDITable-Title"/>
        <w:rPr>
          <w:lang w:val="en-GB"/>
        </w:rPr>
      </w:pPr>
      <w:bookmarkStart w:id="21" w:name="_Toc213142450"/>
      <w:r w:rsidRPr="00245C64">
        <w:rPr>
          <w:lang w:val="en-GB"/>
        </w:rPr>
        <w:t xml:space="preserve">Table 1: The number and proportion of </w:t>
      </w:r>
      <w:r w:rsidRPr="00245C64">
        <w:rPr>
          <w:i/>
          <w:iCs/>
          <w:lang w:val="en-GB"/>
        </w:rPr>
        <w:t>E. faecalis</w:t>
      </w:r>
      <w:r w:rsidRPr="00245C64">
        <w:rPr>
          <w:lang w:val="en-GB"/>
        </w:rPr>
        <w:t xml:space="preserve"> isolates resistant to ampicillin and the non-β-lactam antimicrobials, EUCAST </w:t>
      </w:r>
      <w:proofErr w:type="spellStart"/>
      <w:proofErr w:type="gramStart"/>
      <w:r w:rsidRPr="00245C64">
        <w:rPr>
          <w:lang w:val="en-GB"/>
        </w:rPr>
        <w:t>breakpoints,</w:t>
      </w:r>
      <w:r w:rsidRPr="00245C64">
        <w:rPr>
          <w:vertAlign w:val="superscript"/>
          <w:lang w:val="en-GB"/>
        </w:rPr>
        <w:t>a</w:t>
      </w:r>
      <w:proofErr w:type="spellEnd"/>
      <w:proofErr w:type="gramEnd"/>
      <w:r w:rsidRPr="00245C64">
        <w:rPr>
          <w:lang w:val="en-GB"/>
        </w:rPr>
        <w:t xml:space="preserve"> AGAR, Australia, 2024</w:t>
      </w:r>
      <w:bookmarkEnd w:id="21"/>
    </w:p>
    <w:tbl>
      <w:tblPr>
        <w:tblW w:w="0" w:type="auto"/>
        <w:tblLayout w:type="fixed"/>
        <w:tblCellMar>
          <w:left w:w="0" w:type="dxa"/>
          <w:right w:w="0" w:type="dxa"/>
        </w:tblCellMar>
        <w:tblLook w:val="0000" w:firstRow="0" w:lastRow="0" w:firstColumn="0" w:lastColumn="0" w:noHBand="0" w:noVBand="0"/>
        <w:tblCaption w:val="Table 1: The number and proportion of E. faecalis isolates resistant to ampicillin and the non-β-lactam antimicrobials, EUCAST breakpoints,a AGAR, Australia, 2024"/>
        <w:tblDescription w:val="The number and proportion of Enterococcus faecalis non-susceptible to ampicillin, linezolid, high-level gentamicin, teicoplanin and vancomycin, using EUCAST defined breakpoints."/>
      </w:tblPr>
      <w:tblGrid>
        <w:gridCol w:w="2409"/>
        <w:gridCol w:w="2410"/>
        <w:gridCol w:w="2409"/>
        <w:gridCol w:w="2410"/>
      </w:tblGrid>
      <w:tr w:rsidR="00245C64" w:rsidRPr="00245C64" w14:paraId="1B6E4162" w14:textId="77777777" w:rsidTr="00245C64">
        <w:trPr>
          <w:trHeight w:val="60"/>
          <w:tblHeader/>
        </w:trPr>
        <w:tc>
          <w:tcPr>
            <w:tcW w:w="2409" w:type="dxa"/>
            <w:shd w:val="clear" w:color="auto" w:fill="1E4496" w:themeFill="text2"/>
            <w:tcMar>
              <w:top w:w="96" w:type="dxa"/>
              <w:left w:w="113" w:type="dxa"/>
              <w:bottom w:w="96" w:type="dxa"/>
              <w:right w:w="113" w:type="dxa"/>
            </w:tcMar>
            <w:vAlign w:val="bottom"/>
          </w:tcPr>
          <w:p w14:paraId="41FE4E19" w14:textId="77777777" w:rsidR="00245C64" w:rsidRPr="00245C64" w:rsidRDefault="00245C64" w:rsidP="00245C64">
            <w:pPr>
              <w:pStyle w:val="CDITable-HeaderRowLeft"/>
            </w:pPr>
            <w:r w:rsidRPr="00245C64">
              <w:t>Antimicrobial</w:t>
            </w:r>
          </w:p>
        </w:tc>
        <w:tc>
          <w:tcPr>
            <w:tcW w:w="2410" w:type="dxa"/>
            <w:shd w:val="clear" w:color="auto" w:fill="1E4496" w:themeFill="text2"/>
            <w:tcMar>
              <w:top w:w="96" w:type="dxa"/>
              <w:left w:w="113" w:type="dxa"/>
              <w:bottom w:w="96" w:type="dxa"/>
              <w:right w:w="113" w:type="dxa"/>
            </w:tcMar>
            <w:vAlign w:val="bottom"/>
          </w:tcPr>
          <w:p w14:paraId="5406F8F6" w14:textId="77777777" w:rsidR="00245C64" w:rsidRPr="00245C64" w:rsidRDefault="00245C64" w:rsidP="00245C64">
            <w:pPr>
              <w:pStyle w:val="CDITable-HeaderRowCentre"/>
            </w:pPr>
            <w:r w:rsidRPr="00245C64">
              <w:t>Isolates (n)</w:t>
            </w:r>
          </w:p>
        </w:tc>
        <w:tc>
          <w:tcPr>
            <w:tcW w:w="2409" w:type="dxa"/>
            <w:shd w:val="clear" w:color="auto" w:fill="1E4496" w:themeFill="text2"/>
            <w:tcMar>
              <w:top w:w="96" w:type="dxa"/>
              <w:left w:w="113" w:type="dxa"/>
              <w:bottom w:w="96" w:type="dxa"/>
              <w:right w:w="113" w:type="dxa"/>
            </w:tcMar>
            <w:vAlign w:val="bottom"/>
          </w:tcPr>
          <w:p w14:paraId="2A89D414" w14:textId="77777777" w:rsidR="00245C64" w:rsidRPr="00245C64" w:rsidRDefault="00245C64" w:rsidP="00245C64">
            <w:pPr>
              <w:pStyle w:val="CDITable-HeaderRowCentre"/>
            </w:pPr>
            <w:r w:rsidRPr="00245C64">
              <w:t>Susceptible % (</w:t>
            </w:r>
            <w:r w:rsidRPr="001248D9">
              <w:rPr>
                <w:i/>
                <w:iCs/>
              </w:rPr>
              <w:t>n</w:t>
            </w:r>
            <w:r w:rsidRPr="00245C64">
              <w:t>)</w:t>
            </w:r>
          </w:p>
        </w:tc>
        <w:tc>
          <w:tcPr>
            <w:tcW w:w="2410" w:type="dxa"/>
            <w:shd w:val="clear" w:color="auto" w:fill="1E4496" w:themeFill="text2"/>
            <w:tcMar>
              <w:top w:w="96" w:type="dxa"/>
              <w:left w:w="113" w:type="dxa"/>
              <w:bottom w:w="96" w:type="dxa"/>
              <w:right w:w="113" w:type="dxa"/>
            </w:tcMar>
            <w:vAlign w:val="bottom"/>
          </w:tcPr>
          <w:p w14:paraId="0499CD86" w14:textId="77777777" w:rsidR="00245C64" w:rsidRPr="00245C64" w:rsidRDefault="00245C64" w:rsidP="00245C64">
            <w:pPr>
              <w:pStyle w:val="CDITable-HeaderRowCentre"/>
            </w:pPr>
            <w:r w:rsidRPr="00245C64">
              <w:t>Resistant % (</w:t>
            </w:r>
            <w:r w:rsidRPr="001248D9">
              <w:rPr>
                <w:i/>
                <w:iCs/>
              </w:rPr>
              <w:t>n</w:t>
            </w:r>
            <w:r w:rsidRPr="00245C64">
              <w:t>)</w:t>
            </w:r>
          </w:p>
        </w:tc>
      </w:tr>
      <w:tr w:rsidR="00245C64" w:rsidRPr="00245C64" w14:paraId="04AD4FA1" w14:textId="77777777" w:rsidTr="00245C64">
        <w:trPr>
          <w:trHeight w:val="60"/>
        </w:trPr>
        <w:tc>
          <w:tcPr>
            <w:tcW w:w="2409" w:type="dxa"/>
            <w:tcBorders>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FCF0CD0" w14:textId="77777777" w:rsidR="00245C64" w:rsidRPr="00245C64" w:rsidRDefault="00245C64" w:rsidP="00245C64">
            <w:pPr>
              <w:pStyle w:val="CDITable-RowLeft"/>
            </w:pPr>
            <w:r w:rsidRPr="00245C64">
              <w:t>Ampicillin</w:t>
            </w:r>
          </w:p>
        </w:tc>
        <w:tc>
          <w:tcPr>
            <w:tcW w:w="2410" w:type="dxa"/>
            <w:tcBorders>
              <w:bottom w:val="single" w:sz="6" w:space="0" w:color="1E4496" w:themeColor="text2"/>
            </w:tcBorders>
            <w:tcMar>
              <w:top w:w="96" w:type="dxa"/>
              <w:left w:w="113" w:type="dxa"/>
              <w:bottom w:w="96" w:type="dxa"/>
              <w:right w:w="113" w:type="dxa"/>
            </w:tcMar>
            <w:vAlign w:val="center"/>
          </w:tcPr>
          <w:p w14:paraId="752B7AF3" w14:textId="77777777" w:rsidR="00245C64" w:rsidRPr="00245C64" w:rsidRDefault="00245C64" w:rsidP="00245C64">
            <w:pPr>
              <w:pStyle w:val="CDITable-RowCentre"/>
            </w:pPr>
            <w:r w:rsidRPr="00245C64">
              <w:t>748</w:t>
            </w:r>
          </w:p>
        </w:tc>
        <w:tc>
          <w:tcPr>
            <w:tcW w:w="2409" w:type="dxa"/>
            <w:tcBorders>
              <w:bottom w:val="single" w:sz="6" w:space="0" w:color="1E4496" w:themeColor="text2"/>
            </w:tcBorders>
            <w:tcMar>
              <w:top w:w="96" w:type="dxa"/>
              <w:left w:w="113" w:type="dxa"/>
              <w:bottom w:w="96" w:type="dxa"/>
              <w:right w:w="113" w:type="dxa"/>
            </w:tcMar>
            <w:vAlign w:val="center"/>
          </w:tcPr>
          <w:p w14:paraId="2018B1FE" w14:textId="77777777" w:rsidR="00245C64" w:rsidRPr="00245C64" w:rsidRDefault="00245C64" w:rsidP="00245C64">
            <w:pPr>
              <w:pStyle w:val="CDITable-RowCentre"/>
            </w:pPr>
            <w:r w:rsidRPr="00245C64">
              <w:t>100.0 (748)</w:t>
            </w:r>
          </w:p>
        </w:tc>
        <w:tc>
          <w:tcPr>
            <w:tcW w:w="2410" w:type="dxa"/>
            <w:tcBorders>
              <w:bottom w:val="single" w:sz="6" w:space="0" w:color="1E4496" w:themeColor="text2"/>
            </w:tcBorders>
            <w:tcMar>
              <w:top w:w="96" w:type="dxa"/>
              <w:left w:w="113" w:type="dxa"/>
              <w:bottom w:w="96" w:type="dxa"/>
              <w:right w:w="113" w:type="dxa"/>
            </w:tcMar>
            <w:vAlign w:val="center"/>
          </w:tcPr>
          <w:p w14:paraId="6E711E89" w14:textId="77777777" w:rsidR="00245C64" w:rsidRPr="00245C64" w:rsidRDefault="00245C64" w:rsidP="00245C64">
            <w:pPr>
              <w:pStyle w:val="CDITable-RowCentre"/>
            </w:pPr>
            <w:r w:rsidRPr="00245C64">
              <w:t>0.0 (0)</w:t>
            </w:r>
          </w:p>
        </w:tc>
      </w:tr>
      <w:tr w:rsidR="00245C64" w:rsidRPr="00245C64" w14:paraId="0A65819F" w14:textId="77777777" w:rsidTr="00245C64">
        <w:trPr>
          <w:trHeight w:val="60"/>
        </w:trPr>
        <w:tc>
          <w:tcPr>
            <w:tcW w:w="2409"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07D48FA9" w14:textId="77777777" w:rsidR="00245C64" w:rsidRPr="00245C64" w:rsidRDefault="00245C64" w:rsidP="00245C64">
            <w:pPr>
              <w:pStyle w:val="CDITable-RowLeft"/>
            </w:pPr>
            <w:r w:rsidRPr="00245C64">
              <w:t>Linezolid</w:t>
            </w:r>
          </w:p>
        </w:tc>
        <w:tc>
          <w:tcPr>
            <w:tcW w:w="24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097F468" w14:textId="77777777" w:rsidR="00245C64" w:rsidRPr="00245C64" w:rsidRDefault="00245C64" w:rsidP="00245C64">
            <w:pPr>
              <w:pStyle w:val="CDITable-RowCentre"/>
            </w:pPr>
            <w:r w:rsidRPr="00245C64">
              <w:t>747</w:t>
            </w:r>
          </w:p>
        </w:tc>
        <w:tc>
          <w:tcPr>
            <w:tcW w:w="240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87DB1F" w14:textId="77777777" w:rsidR="00245C64" w:rsidRPr="00245C64" w:rsidRDefault="00245C64" w:rsidP="00245C64">
            <w:pPr>
              <w:pStyle w:val="CDITable-RowCentre"/>
            </w:pPr>
            <w:r w:rsidRPr="00245C64">
              <w:t>99.3 (742)</w:t>
            </w:r>
          </w:p>
        </w:tc>
        <w:tc>
          <w:tcPr>
            <w:tcW w:w="24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EE2DF2" w14:textId="77777777" w:rsidR="00245C64" w:rsidRPr="00245C64" w:rsidRDefault="00245C64" w:rsidP="00245C64">
            <w:pPr>
              <w:pStyle w:val="CDITable-RowCentre"/>
            </w:pPr>
            <w:r w:rsidRPr="00245C64">
              <w:t>0.7 (5)</w:t>
            </w:r>
          </w:p>
        </w:tc>
      </w:tr>
      <w:tr w:rsidR="00245C64" w:rsidRPr="00245C64" w14:paraId="17275AE6" w14:textId="77777777" w:rsidTr="00245C64">
        <w:trPr>
          <w:trHeight w:val="60"/>
        </w:trPr>
        <w:tc>
          <w:tcPr>
            <w:tcW w:w="2409"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732A6908" w14:textId="77777777" w:rsidR="00245C64" w:rsidRPr="00245C64" w:rsidRDefault="00245C64" w:rsidP="00245C64">
            <w:pPr>
              <w:pStyle w:val="CDITable-RowLeft"/>
            </w:pPr>
            <w:r w:rsidRPr="00245C64">
              <w:t>High-level gentamicin</w:t>
            </w:r>
          </w:p>
        </w:tc>
        <w:tc>
          <w:tcPr>
            <w:tcW w:w="24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0C418E" w14:textId="77777777" w:rsidR="00245C64" w:rsidRPr="00245C64" w:rsidRDefault="00245C64" w:rsidP="00245C64">
            <w:pPr>
              <w:pStyle w:val="CDITable-RowCentre"/>
            </w:pPr>
            <w:r w:rsidRPr="00245C64">
              <w:t>672</w:t>
            </w:r>
          </w:p>
        </w:tc>
        <w:tc>
          <w:tcPr>
            <w:tcW w:w="240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A3BC2EC" w14:textId="77777777" w:rsidR="00245C64" w:rsidRPr="00245C64" w:rsidRDefault="00245C64" w:rsidP="00245C64">
            <w:pPr>
              <w:pStyle w:val="CDITable-RowCentre"/>
            </w:pPr>
            <w:r w:rsidRPr="00245C64">
              <w:t>86.9 (584)</w:t>
            </w:r>
          </w:p>
        </w:tc>
        <w:tc>
          <w:tcPr>
            <w:tcW w:w="24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B1A584" w14:textId="77777777" w:rsidR="00245C64" w:rsidRPr="00245C64" w:rsidRDefault="00245C64" w:rsidP="00245C64">
            <w:pPr>
              <w:pStyle w:val="CDITable-RowCentre"/>
            </w:pPr>
            <w:r w:rsidRPr="00245C64">
              <w:t>13.1 (88)</w:t>
            </w:r>
          </w:p>
        </w:tc>
      </w:tr>
      <w:tr w:rsidR="00245C64" w:rsidRPr="00245C64" w14:paraId="284B24FC" w14:textId="77777777" w:rsidTr="00245C64">
        <w:trPr>
          <w:trHeight w:val="60"/>
        </w:trPr>
        <w:tc>
          <w:tcPr>
            <w:tcW w:w="2409"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5BD6E7E5" w14:textId="77777777" w:rsidR="00245C64" w:rsidRPr="00245C64" w:rsidRDefault="00245C64" w:rsidP="00245C64">
            <w:pPr>
              <w:pStyle w:val="CDITable-RowLeft"/>
            </w:pPr>
            <w:r w:rsidRPr="00245C64">
              <w:t>Teicoplanin</w:t>
            </w:r>
          </w:p>
        </w:tc>
        <w:tc>
          <w:tcPr>
            <w:tcW w:w="24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8B31D4" w14:textId="77777777" w:rsidR="00245C64" w:rsidRPr="00245C64" w:rsidRDefault="00245C64" w:rsidP="00245C64">
            <w:pPr>
              <w:pStyle w:val="CDITable-RowCentre"/>
            </w:pPr>
            <w:r w:rsidRPr="00245C64">
              <w:t>748</w:t>
            </w:r>
          </w:p>
        </w:tc>
        <w:tc>
          <w:tcPr>
            <w:tcW w:w="240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03729A" w14:textId="77777777" w:rsidR="00245C64" w:rsidRPr="00245C64" w:rsidRDefault="00245C64" w:rsidP="00245C64">
            <w:pPr>
              <w:pStyle w:val="CDITable-RowCentre"/>
            </w:pPr>
            <w:r w:rsidRPr="00245C64">
              <w:t>100.0 (748)</w:t>
            </w:r>
          </w:p>
        </w:tc>
        <w:tc>
          <w:tcPr>
            <w:tcW w:w="24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8503698" w14:textId="77777777" w:rsidR="00245C64" w:rsidRPr="00245C64" w:rsidRDefault="00245C64" w:rsidP="00245C64">
            <w:pPr>
              <w:pStyle w:val="CDITable-RowCentre"/>
            </w:pPr>
            <w:r w:rsidRPr="00245C64">
              <w:t>0.0 (0)</w:t>
            </w:r>
          </w:p>
        </w:tc>
      </w:tr>
      <w:tr w:rsidR="00245C64" w:rsidRPr="00245C64" w14:paraId="2D836674" w14:textId="77777777" w:rsidTr="00245C64">
        <w:trPr>
          <w:trHeight w:val="60"/>
        </w:trPr>
        <w:tc>
          <w:tcPr>
            <w:tcW w:w="2409" w:type="dxa"/>
            <w:tcBorders>
              <w:top w:val="single" w:sz="6" w:space="0" w:color="1E4496" w:themeColor="text2"/>
              <w:bottom w:val="single" w:sz="6" w:space="0" w:color="1E4496" w:themeColor="text2"/>
            </w:tcBorders>
            <w:shd w:val="clear" w:color="auto" w:fill="DCF4FC" w:themeFill="background2" w:themeFillTint="33"/>
            <w:tcMar>
              <w:top w:w="96" w:type="dxa"/>
              <w:left w:w="113" w:type="dxa"/>
              <w:bottom w:w="96" w:type="dxa"/>
              <w:right w:w="113" w:type="dxa"/>
            </w:tcMar>
            <w:vAlign w:val="center"/>
          </w:tcPr>
          <w:p w14:paraId="65D6A120" w14:textId="77777777" w:rsidR="00245C64" w:rsidRPr="00245C64" w:rsidRDefault="00245C64" w:rsidP="00245C64">
            <w:pPr>
              <w:pStyle w:val="CDITable-RowLeft"/>
            </w:pPr>
            <w:r w:rsidRPr="00245C64">
              <w:t>Vancomycin</w:t>
            </w:r>
          </w:p>
        </w:tc>
        <w:tc>
          <w:tcPr>
            <w:tcW w:w="24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F030B3" w14:textId="77777777" w:rsidR="00245C64" w:rsidRPr="00245C64" w:rsidRDefault="00245C64" w:rsidP="00245C64">
            <w:pPr>
              <w:pStyle w:val="CDITable-RowCentre"/>
            </w:pPr>
            <w:r w:rsidRPr="00245C64">
              <w:t>748</w:t>
            </w:r>
          </w:p>
        </w:tc>
        <w:tc>
          <w:tcPr>
            <w:tcW w:w="240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A892855" w14:textId="77777777" w:rsidR="00245C64" w:rsidRPr="00245C64" w:rsidRDefault="00245C64" w:rsidP="00245C64">
            <w:pPr>
              <w:pStyle w:val="CDITable-RowCentre"/>
            </w:pPr>
            <w:r w:rsidRPr="00245C64">
              <w:t>100.0 (748)</w:t>
            </w:r>
          </w:p>
        </w:tc>
        <w:tc>
          <w:tcPr>
            <w:tcW w:w="241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ADD0E89" w14:textId="77777777" w:rsidR="00245C64" w:rsidRPr="00245C64" w:rsidRDefault="00245C64" w:rsidP="00245C64">
            <w:pPr>
              <w:pStyle w:val="CDITable-RowCentre"/>
            </w:pPr>
            <w:r w:rsidRPr="00245C64">
              <w:t>0.0 (0)</w:t>
            </w:r>
          </w:p>
        </w:tc>
      </w:tr>
    </w:tbl>
    <w:p w14:paraId="29B79DE1" w14:textId="142020E5" w:rsidR="00245C64" w:rsidRDefault="00245C64" w:rsidP="00245C64">
      <w:pPr>
        <w:pStyle w:val="CDITable-FirstFootnote"/>
      </w:pPr>
      <w:r w:rsidRPr="00245C64">
        <w:t>a</w:t>
      </w:r>
      <w:r w:rsidRPr="00245C64">
        <w:tab/>
        <w:t>EUCAST: European Committee on Antimicrobial Susceptibility Testing.</w:t>
      </w:r>
    </w:p>
    <w:p w14:paraId="0C00C561" w14:textId="77777777" w:rsidR="001248D9" w:rsidRPr="001248D9" w:rsidRDefault="001248D9" w:rsidP="001248D9">
      <w:pPr>
        <w:pStyle w:val="Heading2"/>
        <w:rPr>
          <w:lang w:val="en-GB"/>
        </w:rPr>
      </w:pPr>
      <w:bookmarkStart w:id="22" w:name="_Toc213142442"/>
      <w:r w:rsidRPr="001248D9">
        <w:rPr>
          <w:i/>
          <w:iCs/>
          <w:lang w:val="en-GB"/>
        </w:rPr>
        <w:lastRenderedPageBreak/>
        <w:t>Enterococcus faecium</w:t>
      </w:r>
      <w:r w:rsidRPr="001248D9">
        <w:rPr>
          <w:lang w:val="en-GB"/>
        </w:rPr>
        <w:t xml:space="preserve"> phenotypic susceptibility results</w:t>
      </w:r>
      <w:bookmarkEnd w:id="22"/>
    </w:p>
    <w:p w14:paraId="14A0C553" w14:textId="227B9053" w:rsidR="001248D9" w:rsidRPr="001248D9" w:rsidRDefault="001248D9" w:rsidP="001248D9">
      <w:pPr>
        <w:rPr>
          <w:lang w:val="en-GB"/>
        </w:rPr>
      </w:pPr>
      <w:proofErr w:type="gramStart"/>
      <w:r w:rsidRPr="001248D9">
        <w:rPr>
          <w:lang w:val="en-GB"/>
        </w:rPr>
        <w:t>The majority of</w:t>
      </w:r>
      <w:proofErr w:type="gramEnd"/>
      <w:r w:rsidRPr="001248D9">
        <w:rPr>
          <w:lang w:val="en-GB"/>
        </w:rPr>
        <w:t xml:space="preserve"> the </w:t>
      </w:r>
      <w:r w:rsidRPr="001248D9">
        <w:rPr>
          <w:i/>
          <w:iCs/>
          <w:lang w:val="en-GB"/>
        </w:rPr>
        <w:t>E. faecium</w:t>
      </w:r>
      <w:r w:rsidRPr="001248D9">
        <w:rPr>
          <w:lang w:val="en-GB"/>
        </w:rPr>
        <w:t xml:space="preserve"> isolates were ampicillin resistant (Table 2). High-level gentamicin resistance was reported in 36.3% of isolates. Using the EUCAST interpretive breakpoints, 264 </w:t>
      </w:r>
      <w:r w:rsidRPr="001248D9">
        <w:rPr>
          <w:i/>
          <w:iCs/>
          <w:lang w:val="en-GB"/>
        </w:rPr>
        <w:t>E.</w:t>
      </w:r>
      <w:r>
        <w:rPr>
          <w:i/>
          <w:iCs/>
          <w:lang w:val="en-GB"/>
        </w:rPr>
        <w:t> </w:t>
      </w:r>
      <w:r w:rsidRPr="001248D9">
        <w:rPr>
          <w:i/>
          <w:iCs/>
          <w:lang w:val="en-GB"/>
        </w:rPr>
        <w:t>faecium</w:t>
      </w:r>
      <w:r w:rsidRPr="001248D9">
        <w:rPr>
          <w:lang w:val="en-GB"/>
        </w:rPr>
        <w:t xml:space="preserve"> isolates (44.5%) were phenotypically vancomycin resistant. Ninety-nine isolates (16.8%) were teicoplanin resistant. One isolate was reported as linezolid resistant by the Vitek</w:t>
      </w:r>
      <w:r w:rsidRPr="001248D9">
        <w:rPr>
          <w:vertAlign w:val="superscript"/>
          <w:lang w:val="en-GB"/>
        </w:rPr>
        <w:t>®</w:t>
      </w:r>
      <w:r w:rsidRPr="001248D9">
        <w:rPr>
          <w:lang w:val="en-GB"/>
        </w:rPr>
        <w:t xml:space="preserve"> 2 (≥ 8 mg/L) and confirmed by Etest</w:t>
      </w:r>
      <w:r w:rsidRPr="001248D9">
        <w:rPr>
          <w:vertAlign w:val="superscript"/>
          <w:lang w:val="en-GB"/>
        </w:rPr>
        <w:t>®</w:t>
      </w:r>
      <w:r w:rsidRPr="001248D9">
        <w:rPr>
          <w:lang w:val="en-GB"/>
        </w:rPr>
        <w:t xml:space="preserve"> (6.0 mg/L). The linezolid-resistant </w:t>
      </w:r>
      <w:r w:rsidRPr="001248D9">
        <w:rPr>
          <w:i/>
          <w:iCs/>
          <w:lang w:val="en-GB"/>
        </w:rPr>
        <w:t>E. faecium</w:t>
      </w:r>
      <w:r w:rsidRPr="001248D9">
        <w:rPr>
          <w:lang w:val="en-GB"/>
        </w:rPr>
        <w:t xml:space="preserve"> isolate was also vancomycin and teicoplanin resistant and harboured the </w:t>
      </w:r>
      <w:r w:rsidRPr="001248D9">
        <w:rPr>
          <w:i/>
          <w:iCs/>
          <w:lang w:val="en-GB"/>
        </w:rPr>
        <w:t>optrA</w:t>
      </w:r>
      <w:r w:rsidRPr="001248D9">
        <w:rPr>
          <w:lang w:val="en-GB"/>
        </w:rPr>
        <w:t xml:space="preserve"> and </w:t>
      </w:r>
      <w:r w:rsidRPr="001248D9">
        <w:rPr>
          <w:i/>
          <w:iCs/>
          <w:lang w:val="en-GB"/>
        </w:rPr>
        <w:t>vanA</w:t>
      </w:r>
      <w:r w:rsidRPr="001248D9">
        <w:rPr>
          <w:lang w:val="en-GB"/>
        </w:rPr>
        <w:t xml:space="preserve"> genes.</w:t>
      </w:r>
    </w:p>
    <w:p w14:paraId="76BEC5A2" w14:textId="77D0D887" w:rsidR="001248D9" w:rsidRPr="001248D9" w:rsidRDefault="001248D9" w:rsidP="001248D9">
      <w:pPr>
        <w:pStyle w:val="CDITable-Title"/>
        <w:rPr>
          <w:lang w:val="en-GB"/>
        </w:rPr>
      </w:pPr>
      <w:bookmarkStart w:id="23" w:name="_Toc213142451"/>
      <w:r w:rsidRPr="001248D9">
        <w:rPr>
          <w:lang w:val="en-GB"/>
        </w:rPr>
        <w:t xml:space="preserve">Table 2: The number and proportion of </w:t>
      </w:r>
      <w:r w:rsidRPr="001248D9">
        <w:rPr>
          <w:i/>
          <w:iCs/>
          <w:lang w:val="en-GB"/>
        </w:rPr>
        <w:t>E. faecium</w:t>
      </w:r>
      <w:r w:rsidRPr="001248D9">
        <w:rPr>
          <w:lang w:val="en-GB"/>
        </w:rPr>
        <w:t xml:space="preserve"> isolates resistant to ampicillin and the</w:t>
      </w:r>
      <w:r>
        <w:rPr>
          <w:lang w:val="en-GB"/>
        </w:rPr>
        <w:t xml:space="preserve"> </w:t>
      </w:r>
      <w:r w:rsidRPr="001248D9">
        <w:rPr>
          <w:lang w:val="en-GB"/>
        </w:rPr>
        <w:t xml:space="preserve">non-β-lactam antimicrobials, EUCAST </w:t>
      </w:r>
      <w:proofErr w:type="spellStart"/>
      <w:proofErr w:type="gramStart"/>
      <w:r w:rsidRPr="001248D9">
        <w:rPr>
          <w:lang w:val="en-GB"/>
        </w:rPr>
        <w:t>breakpoints,</w:t>
      </w:r>
      <w:r w:rsidRPr="001248D9">
        <w:rPr>
          <w:vertAlign w:val="superscript"/>
          <w:lang w:val="en-GB"/>
        </w:rPr>
        <w:t>a</w:t>
      </w:r>
      <w:proofErr w:type="spellEnd"/>
      <w:proofErr w:type="gramEnd"/>
      <w:r w:rsidRPr="001248D9">
        <w:rPr>
          <w:lang w:val="en-GB"/>
        </w:rPr>
        <w:t xml:space="preserve"> AGAR, Australia, 2024</w:t>
      </w:r>
      <w:bookmarkEnd w:id="23"/>
    </w:p>
    <w:tbl>
      <w:tblPr>
        <w:tblW w:w="0" w:type="auto"/>
        <w:tblLayout w:type="fixed"/>
        <w:tblCellMar>
          <w:left w:w="0" w:type="dxa"/>
          <w:right w:w="0" w:type="dxa"/>
        </w:tblCellMar>
        <w:tblLook w:val="0000" w:firstRow="0" w:lastRow="0" w:firstColumn="0" w:lastColumn="0" w:noHBand="0" w:noVBand="0"/>
        <w:tblCaption w:val="Table 2: The number and proportion of E. faecium isolates resistant to ampicillin and the non-β-lactam antimicrobials, EUCAST breakpoints,a AGAR, Australia, 2024"/>
        <w:tblDescription w:val="The number and proportion of Enterococcus faecium non-susceptible to ampicillin, linezolid, high-level gentamicin, teicoplanin and vancomycin, using EUCAST defined breakpoints."/>
      </w:tblPr>
      <w:tblGrid>
        <w:gridCol w:w="2409"/>
        <w:gridCol w:w="2410"/>
        <w:gridCol w:w="2409"/>
        <w:gridCol w:w="2410"/>
      </w:tblGrid>
      <w:tr w:rsidR="001248D9" w:rsidRPr="001248D9" w14:paraId="561853EC" w14:textId="77777777" w:rsidTr="001248D9">
        <w:trPr>
          <w:trHeight w:val="60"/>
          <w:tblHeader/>
        </w:trPr>
        <w:tc>
          <w:tcPr>
            <w:tcW w:w="2409" w:type="dxa"/>
            <w:shd w:val="clear" w:color="auto" w:fill="1E4496" w:themeFill="text2"/>
            <w:tcMar>
              <w:top w:w="113" w:type="dxa"/>
              <w:left w:w="113" w:type="dxa"/>
              <w:bottom w:w="113" w:type="dxa"/>
              <w:right w:w="113" w:type="dxa"/>
            </w:tcMar>
            <w:vAlign w:val="bottom"/>
          </w:tcPr>
          <w:p w14:paraId="62CB2857" w14:textId="77777777" w:rsidR="001248D9" w:rsidRPr="001248D9" w:rsidRDefault="001248D9" w:rsidP="001248D9">
            <w:pPr>
              <w:pStyle w:val="CDITable-HeaderRowLeft"/>
            </w:pPr>
            <w:r w:rsidRPr="001248D9">
              <w:t>Antimicrobial</w:t>
            </w:r>
          </w:p>
        </w:tc>
        <w:tc>
          <w:tcPr>
            <w:tcW w:w="2410" w:type="dxa"/>
            <w:shd w:val="clear" w:color="auto" w:fill="1E4496" w:themeFill="text2"/>
            <w:tcMar>
              <w:top w:w="113" w:type="dxa"/>
              <w:left w:w="113" w:type="dxa"/>
              <w:bottom w:w="113" w:type="dxa"/>
              <w:right w:w="113" w:type="dxa"/>
            </w:tcMar>
            <w:vAlign w:val="bottom"/>
          </w:tcPr>
          <w:p w14:paraId="26D78E96" w14:textId="77777777" w:rsidR="001248D9" w:rsidRPr="001248D9" w:rsidRDefault="001248D9" w:rsidP="001248D9">
            <w:pPr>
              <w:pStyle w:val="CDITable-HeaderRowCentre"/>
            </w:pPr>
            <w:r w:rsidRPr="001248D9">
              <w:t>Isolates (</w:t>
            </w:r>
            <w:r w:rsidRPr="001248D9">
              <w:rPr>
                <w:i/>
                <w:iCs/>
              </w:rPr>
              <w:t>n</w:t>
            </w:r>
            <w:r w:rsidRPr="001248D9">
              <w:t>)</w:t>
            </w:r>
          </w:p>
        </w:tc>
        <w:tc>
          <w:tcPr>
            <w:tcW w:w="2409" w:type="dxa"/>
            <w:shd w:val="clear" w:color="auto" w:fill="1E4496" w:themeFill="text2"/>
            <w:tcMar>
              <w:top w:w="113" w:type="dxa"/>
              <w:left w:w="113" w:type="dxa"/>
              <w:bottom w:w="113" w:type="dxa"/>
              <w:right w:w="113" w:type="dxa"/>
            </w:tcMar>
            <w:vAlign w:val="bottom"/>
          </w:tcPr>
          <w:p w14:paraId="3685E96F" w14:textId="77777777" w:rsidR="001248D9" w:rsidRPr="001248D9" w:rsidRDefault="001248D9" w:rsidP="001248D9">
            <w:pPr>
              <w:pStyle w:val="CDITable-HeaderRowCentre"/>
            </w:pPr>
            <w:r w:rsidRPr="001248D9">
              <w:t>Susceptible % (</w:t>
            </w:r>
            <w:r w:rsidRPr="001248D9">
              <w:rPr>
                <w:i/>
                <w:iCs/>
              </w:rPr>
              <w:t>n</w:t>
            </w:r>
            <w:r w:rsidRPr="001248D9">
              <w:t>)</w:t>
            </w:r>
          </w:p>
        </w:tc>
        <w:tc>
          <w:tcPr>
            <w:tcW w:w="2410" w:type="dxa"/>
            <w:shd w:val="clear" w:color="auto" w:fill="1E4496" w:themeFill="text2"/>
            <w:tcMar>
              <w:top w:w="113" w:type="dxa"/>
              <w:left w:w="113" w:type="dxa"/>
              <w:bottom w:w="113" w:type="dxa"/>
              <w:right w:w="113" w:type="dxa"/>
            </w:tcMar>
            <w:vAlign w:val="bottom"/>
          </w:tcPr>
          <w:p w14:paraId="4A59121A" w14:textId="77777777" w:rsidR="001248D9" w:rsidRPr="001248D9" w:rsidRDefault="001248D9" w:rsidP="001248D9">
            <w:pPr>
              <w:pStyle w:val="CDITable-HeaderRowCentre"/>
            </w:pPr>
            <w:r w:rsidRPr="001248D9">
              <w:t>Resistant % (</w:t>
            </w:r>
            <w:r w:rsidRPr="001248D9">
              <w:rPr>
                <w:i/>
                <w:iCs/>
              </w:rPr>
              <w:t>n</w:t>
            </w:r>
            <w:r w:rsidRPr="001248D9">
              <w:t>)</w:t>
            </w:r>
          </w:p>
        </w:tc>
      </w:tr>
      <w:tr w:rsidR="001248D9" w:rsidRPr="001248D9" w14:paraId="5746F031" w14:textId="77777777" w:rsidTr="001248D9">
        <w:trPr>
          <w:trHeight w:val="60"/>
        </w:trPr>
        <w:tc>
          <w:tcPr>
            <w:tcW w:w="2409"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E5874D3" w14:textId="77777777" w:rsidR="001248D9" w:rsidRPr="001248D9" w:rsidRDefault="001248D9" w:rsidP="001248D9">
            <w:pPr>
              <w:pStyle w:val="CDITable-RowLeft"/>
            </w:pPr>
            <w:r w:rsidRPr="001248D9">
              <w:t>Ampicillin</w:t>
            </w:r>
          </w:p>
        </w:tc>
        <w:tc>
          <w:tcPr>
            <w:tcW w:w="2410" w:type="dxa"/>
            <w:tcBorders>
              <w:bottom w:val="single" w:sz="6" w:space="0" w:color="1E4496" w:themeColor="text2"/>
            </w:tcBorders>
            <w:tcMar>
              <w:top w:w="113" w:type="dxa"/>
              <w:left w:w="113" w:type="dxa"/>
              <w:bottom w:w="113" w:type="dxa"/>
              <w:right w:w="113" w:type="dxa"/>
            </w:tcMar>
            <w:vAlign w:val="center"/>
          </w:tcPr>
          <w:p w14:paraId="2286B8AB" w14:textId="77777777" w:rsidR="001248D9" w:rsidRPr="001248D9" w:rsidRDefault="001248D9" w:rsidP="001248D9">
            <w:pPr>
              <w:pStyle w:val="CDITable-RowCentre"/>
            </w:pPr>
            <w:r w:rsidRPr="001248D9">
              <w:t>591</w:t>
            </w:r>
          </w:p>
        </w:tc>
        <w:tc>
          <w:tcPr>
            <w:tcW w:w="2409" w:type="dxa"/>
            <w:tcBorders>
              <w:bottom w:val="single" w:sz="6" w:space="0" w:color="1E4496" w:themeColor="text2"/>
            </w:tcBorders>
            <w:tcMar>
              <w:top w:w="113" w:type="dxa"/>
              <w:left w:w="113" w:type="dxa"/>
              <w:bottom w:w="113" w:type="dxa"/>
              <w:right w:w="113" w:type="dxa"/>
            </w:tcMar>
            <w:vAlign w:val="center"/>
          </w:tcPr>
          <w:p w14:paraId="25672EE5" w14:textId="77777777" w:rsidR="001248D9" w:rsidRPr="001248D9" w:rsidRDefault="001248D9" w:rsidP="001248D9">
            <w:pPr>
              <w:pStyle w:val="CDITable-RowCentre"/>
            </w:pPr>
            <w:r w:rsidRPr="001248D9">
              <w:t>3.2 (19)</w:t>
            </w:r>
          </w:p>
        </w:tc>
        <w:tc>
          <w:tcPr>
            <w:tcW w:w="2410" w:type="dxa"/>
            <w:tcBorders>
              <w:bottom w:val="single" w:sz="6" w:space="0" w:color="1E4496" w:themeColor="text2"/>
            </w:tcBorders>
            <w:tcMar>
              <w:top w:w="113" w:type="dxa"/>
              <w:left w:w="113" w:type="dxa"/>
              <w:bottom w:w="113" w:type="dxa"/>
              <w:right w:w="113" w:type="dxa"/>
            </w:tcMar>
            <w:vAlign w:val="center"/>
          </w:tcPr>
          <w:p w14:paraId="027ED891" w14:textId="77777777" w:rsidR="001248D9" w:rsidRPr="001248D9" w:rsidRDefault="001248D9" w:rsidP="001248D9">
            <w:pPr>
              <w:pStyle w:val="CDITable-RowCentre"/>
            </w:pPr>
            <w:r w:rsidRPr="001248D9">
              <w:t>96.8 (572)</w:t>
            </w:r>
          </w:p>
        </w:tc>
      </w:tr>
      <w:tr w:rsidR="001248D9" w:rsidRPr="001248D9" w14:paraId="6A90DED2" w14:textId="77777777" w:rsidTr="001248D9">
        <w:trPr>
          <w:trHeight w:val="60"/>
        </w:trPr>
        <w:tc>
          <w:tcPr>
            <w:tcW w:w="2409"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7796683" w14:textId="77777777" w:rsidR="001248D9" w:rsidRPr="001248D9" w:rsidRDefault="001248D9" w:rsidP="001248D9">
            <w:pPr>
              <w:pStyle w:val="CDITable-RowLeft"/>
            </w:pPr>
            <w:r w:rsidRPr="001248D9">
              <w:t>Linezolid</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5E90D8" w14:textId="77777777" w:rsidR="001248D9" w:rsidRPr="001248D9" w:rsidRDefault="001248D9" w:rsidP="001248D9">
            <w:pPr>
              <w:pStyle w:val="CDITable-RowCentre"/>
            </w:pPr>
            <w:r w:rsidRPr="001248D9">
              <w:t>593</w:t>
            </w:r>
          </w:p>
        </w:tc>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E7A5D5" w14:textId="77777777" w:rsidR="001248D9" w:rsidRPr="001248D9" w:rsidRDefault="001248D9" w:rsidP="001248D9">
            <w:pPr>
              <w:pStyle w:val="CDITable-RowCentre"/>
            </w:pPr>
            <w:r w:rsidRPr="001248D9">
              <w:t>99.8 (592)</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D19D6B" w14:textId="77777777" w:rsidR="001248D9" w:rsidRPr="001248D9" w:rsidRDefault="001248D9" w:rsidP="001248D9">
            <w:pPr>
              <w:pStyle w:val="CDITable-RowCentre"/>
            </w:pPr>
            <w:r w:rsidRPr="001248D9">
              <w:t>0.2 (1)</w:t>
            </w:r>
          </w:p>
        </w:tc>
      </w:tr>
      <w:tr w:rsidR="001248D9" w:rsidRPr="001248D9" w14:paraId="399EE097" w14:textId="77777777" w:rsidTr="001248D9">
        <w:trPr>
          <w:trHeight w:val="60"/>
        </w:trPr>
        <w:tc>
          <w:tcPr>
            <w:tcW w:w="2409"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2C10D08" w14:textId="77777777" w:rsidR="001248D9" w:rsidRPr="001248D9" w:rsidRDefault="001248D9" w:rsidP="001248D9">
            <w:pPr>
              <w:pStyle w:val="CDITable-RowLeft"/>
            </w:pPr>
            <w:r w:rsidRPr="001248D9">
              <w:t>High-level gentamicin</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1DD794" w14:textId="77777777" w:rsidR="001248D9" w:rsidRPr="001248D9" w:rsidRDefault="001248D9" w:rsidP="001248D9">
            <w:pPr>
              <w:pStyle w:val="CDITable-RowCentre"/>
            </w:pPr>
            <w:r w:rsidRPr="001248D9">
              <w:t>545</w:t>
            </w:r>
          </w:p>
        </w:tc>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E42348" w14:textId="77777777" w:rsidR="001248D9" w:rsidRPr="001248D9" w:rsidRDefault="001248D9" w:rsidP="001248D9">
            <w:pPr>
              <w:pStyle w:val="CDITable-RowCentre"/>
            </w:pPr>
            <w:r w:rsidRPr="001248D9">
              <w:t>63.7 (347)</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2A44D1" w14:textId="77777777" w:rsidR="001248D9" w:rsidRPr="001248D9" w:rsidRDefault="001248D9" w:rsidP="001248D9">
            <w:pPr>
              <w:pStyle w:val="CDITable-RowCentre"/>
            </w:pPr>
            <w:r w:rsidRPr="001248D9">
              <w:t>36.3 (198)</w:t>
            </w:r>
          </w:p>
        </w:tc>
      </w:tr>
      <w:tr w:rsidR="001248D9" w:rsidRPr="001248D9" w14:paraId="5961ED6D" w14:textId="77777777" w:rsidTr="001248D9">
        <w:trPr>
          <w:trHeight w:val="60"/>
        </w:trPr>
        <w:tc>
          <w:tcPr>
            <w:tcW w:w="2409"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F1AD274" w14:textId="77777777" w:rsidR="001248D9" w:rsidRPr="001248D9" w:rsidRDefault="001248D9" w:rsidP="001248D9">
            <w:pPr>
              <w:pStyle w:val="CDITable-RowLeft"/>
            </w:pPr>
            <w:r w:rsidRPr="001248D9">
              <w:t>Teicoplanin</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087E8F" w14:textId="77777777" w:rsidR="001248D9" w:rsidRPr="001248D9" w:rsidRDefault="001248D9" w:rsidP="001248D9">
            <w:pPr>
              <w:pStyle w:val="CDITable-RowCentre"/>
            </w:pPr>
            <w:r w:rsidRPr="001248D9">
              <w:t>590</w:t>
            </w:r>
          </w:p>
        </w:tc>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EC2CA8" w14:textId="77777777" w:rsidR="001248D9" w:rsidRPr="001248D9" w:rsidRDefault="001248D9" w:rsidP="001248D9">
            <w:pPr>
              <w:pStyle w:val="CDITable-RowCentre"/>
            </w:pPr>
            <w:r w:rsidRPr="001248D9">
              <w:t>83.2 (491)</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7A1AC6" w14:textId="77777777" w:rsidR="001248D9" w:rsidRPr="001248D9" w:rsidRDefault="001248D9" w:rsidP="001248D9">
            <w:pPr>
              <w:pStyle w:val="CDITable-RowCentre"/>
            </w:pPr>
            <w:r w:rsidRPr="001248D9">
              <w:t>16.8 (99)</w:t>
            </w:r>
          </w:p>
        </w:tc>
      </w:tr>
      <w:tr w:rsidR="001248D9" w:rsidRPr="001248D9" w14:paraId="74C8F14B" w14:textId="77777777" w:rsidTr="001248D9">
        <w:trPr>
          <w:trHeight w:val="60"/>
        </w:trPr>
        <w:tc>
          <w:tcPr>
            <w:tcW w:w="2409"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CDE6416" w14:textId="77777777" w:rsidR="001248D9" w:rsidRPr="001248D9" w:rsidRDefault="001248D9" w:rsidP="001248D9">
            <w:pPr>
              <w:pStyle w:val="CDITable-RowLeft"/>
            </w:pPr>
            <w:r w:rsidRPr="001248D9">
              <w:t>Vancomycin</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B272A4" w14:textId="77777777" w:rsidR="001248D9" w:rsidRPr="001248D9" w:rsidRDefault="001248D9" w:rsidP="001248D9">
            <w:pPr>
              <w:pStyle w:val="CDITable-RowCentre"/>
            </w:pPr>
            <w:r w:rsidRPr="001248D9">
              <w:t>593</w:t>
            </w:r>
          </w:p>
        </w:tc>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E4BE77" w14:textId="77777777" w:rsidR="001248D9" w:rsidRPr="001248D9" w:rsidRDefault="001248D9" w:rsidP="001248D9">
            <w:pPr>
              <w:pStyle w:val="CDITable-RowCentre"/>
            </w:pPr>
            <w:r w:rsidRPr="001248D9">
              <w:t>55.5 (329)</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6BC09C" w14:textId="77777777" w:rsidR="001248D9" w:rsidRPr="001248D9" w:rsidRDefault="001248D9" w:rsidP="001248D9">
            <w:pPr>
              <w:pStyle w:val="CDITable-RowCentre"/>
            </w:pPr>
            <w:r w:rsidRPr="001248D9">
              <w:t>44.5 (264)</w:t>
            </w:r>
          </w:p>
        </w:tc>
      </w:tr>
    </w:tbl>
    <w:p w14:paraId="51ACBAD5" w14:textId="7E2B12F9" w:rsidR="00245C64" w:rsidRDefault="001248D9" w:rsidP="001248D9">
      <w:pPr>
        <w:pStyle w:val="CDITable-FirstFootnote"/>
      </w:pPr>
      <w:r w:rsidRPr="001248D9">
        <w:t>a</w:t>
      </w:r>
      <w:r w:rsidRPr="001248D9">
        <w:tab/>
        <w:t>EUCAST: European Committee on Antimicrobial Susceptibility Testing.</w:t>
      </w:r>
    </w:p>
    <w:p w14:paraId="5B5DC66B" w14:textId="77777777" w:rsidR="001248D9" w:rsidRPr="001248D9" w:rsidRDefault="001248D9" w:rsidP="001248D9">
      <w:pPr>
        <w:pStyle w:val="Heading2"/>
        <w:rPr>
          <w:lang w:val="en-GB"/>
        </w:rPr>
      </w:pPr>
      <w:bookmarkStart w:id="24" w:name="_Toc213142443"/>
      <w:r w:rsidRPr="001248D9">
        <w:rPr>
          <w:lang w:val="en-GB"/>
        </w:rPr>
        <w:t xml:space="preserve">Detection of </w:t>
      </w:r>
      <w:r w:rsidRPr="001248D9">
        <w:rPr>
          <w:i/>
          <w:iCs/>
          <w:lang w:val="en-GB"/>
        </w:rPr>
        <w:t>van</w:t>
      </w:r>
      <w:r w:rsidRPr="001248D9">
        <w:rPr>
          <w:lang w:val="en-GB"/>
        </w:rPr>
        <w:t xml:space="preserve"> genes in </w:t>
      </w:r>
      <w:r w:rsidRPr="001248D9">
        <w:rPr>
          <w:i/>
          <w:iCs/>
          <w:lang w:val="en-GB"/>
        </w:rPr>
        <w:t>E. faecalis</w:t>
      </w:r>
      <w:r w:rsidRPr="001248D9">
        <w:rPr>
          <w:lang w:val="en-GB"/>
        </w:rPr>
        <w:t xml:space="preserve"> and </w:t>
      </w:r>
      <w:r w:rsidRPr="001248D9">
        <w:rPr>
          <w:i/>
          <w:iCs/>
          <w:lang w:val="en-GB"/>
        </w:rPr>
        <w:t>E. faecium</w:t>
      </w:r>
      <w:bookmarkEnd w:id="24"/>
    </w:p>
    <w:p w14:paraId="3791EB29" w14:textId="77777777" w:rsidR="001248D9" w:rsidRPr="001248D9" w:rsidRDefault="001248D9" w:rsidP="001248D9">
      <w:pPr>
        <w:rPr>
          <w:lang w:val="en-GB"/>
        </w:rPr>
      </w:pPr>
      <w:r w:rsidRPr="001248D9">
        <w:rPr>
          <w:lang w:val="en-GB"/>
        </w:rPr>
        <w:t xml:space="preserve">For 349 of the 752 </w:t>
      </w:r>
      <w:r w:rsidRPr="001248D9">
        <w:rPr>
          <w:i/>
          <w:iCs/>
          <w:lang w:val="en-GB"/>
        </w:rPr>
        <w:t>E. faecalis</w:t>
      </w:r>
      <w:r w:rsidRPr="001248D9">
        <w:rPr>
          <w:lang w:val="en-GB"/>
        </w:rPr>
        <w:t xml:space="preserve"> isolates (46.4%), </w:t>
      </w:r>
      <w:r w:rsidRPr="001248D9">
        <w:rPr>
          <w:i/>
          <w:iCs/>
          <w:lang w:val="en-GB"/>
        </w:rPr>
        <w:t>vanA</w:t>
      </w:r>
      <w:r w:rsidRPr="001248D9">
        <w:rPr>
          <w:lang w:val="en-GB"/>
        </w:rPr>
        <w:t>/</w:t>
      </w:r>
      <w:r w:rsidRPr="001248D9">
        <w:rPr>
          <w:i/>
          <w:iCs/>
          <w:lang w:val="en-GB"/>
        </w:rPr>
        <w:t>vanB</w:t>
      </w:r>
      <w:r w:rsidRPr="001248D9">
        <w:rPr>
          <w:lang w:val="en-GB"/>
        </w:rPr>
        <w:t xml:space="preserve"> polymerase chain reaction (PCR) testing was performed by the referring laboratories. Neither </w:t>
      </w:r>
      <w:r w:rsidRPr="001248D9">
        <w:rPr>
          <w:i/>
          <w:iCs/>
          <w:lang w:val="en-GB"/>
        </w:rPr>
        <w:t>vanA</w:t>
      </w:r>
      <w:r w:rsidRPr="001248D9">
        <w:rPr>
          <w:lang w:val="en-GB"/>
        </w:rPr>
        <w:t xml:space="preserve"> nor </w:t>
      </w:r>
      <w:r w:rsidRPr="001248D9">
        <w:rPr>
          <w:i/>
          <w:iCs/>
          <w:lang w:val="en-GB"/>
        </w:rPr>
        <w:t>vanB</w:t>
      </w:r>
      <w:r w:rsidRPr="001248D9">
        <w:rPr>
          <w:lang w:val="en-GB"/>
        </w:rPr>
        <w:t xml:space="preserve"> was detected in </w:t>
      </w:r>
      <w:r w:rsidRPr="001248D9">
        <w:rPr>
          <w:i/>
          <w:iCs/>
          <w:lang w:val="en-GB"/>
        </w:rPr>
        <w:t>E. faecalis</w:t>
      </w:r>
      <w:r w:rsidRPr="001248D9">
        <w:rPr>
          <w:lang w:val="en-GB"/>
        </w:rPr>
        <w:t>.</w:t>
      </w:r>
    </w:p>
    <w:p w14:paraId="73F75A22" w14:textId="77777777" w:rsidR="001248D9" w:rsidRPr="001248D9" w:rsidRDefault="001248D9" w:rsidP="001248D9">
      <w:pPr>
        <w:rPr>
          <w:lang w:val="en-GB"/>
        </w:rPr>
      </w:pPr>
      <w:r w:rsidRPr="001248D9">
        <w:rPr>
          <w:lang w:val="en-GB"/>
        </w:rPr>
        <w:t xml:space="preserve">The presence of the </w:t>
      </w:r>
      <w:r w:rsidRPr="001248D9">
        <w:rPr>
          <w:i/>
          <w:iCs/>
          <w:lang w:val="en-GB"/>
        </w:rPr>
        <w:t>vanA</w:t>
      </w:r>
      <w:r w:rsidRPr="001248D9">
        <w:rPr>
          <w:lang w:val="en-GB"/>
        </w:rPr>
        <w:t xml:space="preserve"> or </w:t>
      </w:r>
      <w:r w:rsidRPr="001248D9">
        <w:rPr>
          <w:i/>
          <w:iCs/>
          <w:lang w:val="en-GB"/>
        </w:rPr>
        <w:t>vanB</w:t>
      </w:r>
      <w:r w:rsidRPr="001248D9">
        <w:rPr>
          <w:lang w:val="en-GB"/>
        </w:rPr>
        <w:t xml:space="preserve"> gene was determined by PCR and/or WGS on 580 of the 599 </w:t>
      </w:r>
      <w:r w:rsidRPr="001248D9">
        <w:rPr>
          <w:i/>
          <w:iCs/>
          <w:lang w:val="en-GB"/>
        </w:rPr>
        <w:t>E. faecium</w:t>
      </w:r>
      <w:r w:rsidRPr="001248D9">
        <w:rPr>
          <w:lang w:val="en-GB"/>
        </w:rPr>
        <w:t xml:space="preserve"> isolates (96.8%). Overall, 289 of the 580 isolates (49.8%) harboured a </w:t>
      </w:r>
      <w:r w:rsidRPr="001248D9">
        <w:rPr>
          <w:i/>
          <w:iCs/>
          <w:lang w:val="en-GB"/>
        </w:rPr>
        <w:t>vanA</w:t>
      </w:r>
      <w:r w:rsidRPr="001248D9">
        <w:rPr>
          <w:lang w:val="en-GB"/>
        </w:rPr>
        <w:t xml:space="preserve"> and/or </w:t>
      </w:r>
      <w:r w:rsidRPr="001248D9">
        <w:rPr>
          <w:i/>
          <w:iCs/>
          <w:lang w:val="en-GB"/>
        </w:rPr>
        <w:t>vanB</w:t>
      </w:r>
      <w:r w:rsidRPr="001248D9">
        <w:rPr>
          <w:lang w:val="en-GB"/>
        </w:rPr>
        <w:t xml:space="preserve"> gene. Of the vancomycin-resistant </w:t>
      </w:r>
      <w:r w:rsidRPr="001248D9">
        <w:rPr>
          <w:i/>
          <w:iCs/>
          <w:lang w:val="en-GB"/>
        </w:rPr>
        <w:t>E. faecium</w:t>
      </w:r>
      <w:r w:rsidRPr="001248D9">
        <w:rPr>
          <w:lang w:val="en-GB"/>
        </w:rPr>
        <w:t xml:space="preserve"> isolates (Vitek</w:t>
      </w:r>
      <w:r w:rsidRPr="001248D9">
        <w:rPr>
          <w:vertAlign w:val="superscript"/>
          <w:lang w:val="en-GB"/>
        </w:rPr>
        <w:t>®</w:t>
      </w:r>
      <w:r w:rsidRPr="001248D9">
        <w:rPr>
          <w:lang w:val="en-GB"/>
        </w:rPr>
        <w:t xml:space="preserve"> 2: vancomycin MIC &gt; 4 mg/L), 105 harboured </w:t>
      </w:r>
      <w:r w:rsidRPr="001248D9">
        <w:rPr>
          <w:i/>
          <w:iCs/>
          <w:lang w:val="en-GB"/>
        </w:rPr>
        <w:t>vanA</w:t>
      </w:r>
      <w:r w:rsidRPr="001248D9">
        <w:rPr>
          <w:lang w:val="en-GB"/>
        </w:rPr>
        <w:t xml:space="preserve"> and 150 harboured </w:t>
      </w:r>
      <w:r w:rsidRPr="001248D9">
        <w:rPr>
          <w:i/>
          <w:iCs/>
          <w:lang w:val="en-GB"/>
        </w:rPr>
        <w:t>vanB</w:t>
      </w:r>
      <w:r w:rsidRPr="001248D9">
        <w:rPr>
          <w:lang w:val="en-GB"/>
        </w:rPr>
        <w:t xml:space="preserve">. Two vancomycin-resistant isolates harboured both </w:t>
      </w:r>
      <w:r w:rsidRPr="001248D9">
        <w:rPr>
          <w:i/>
          <w:iCs/>
          <w:lang w:val="en-GB"/>
        </w:rPr>
        <w:t>vanA</w:t>
      </w:r>
      <w:r w:rsidRPr="001248D9">
        <w:rPr>
          <w:lang w:val="en-GB"/>
        </w:rPr>
        <w:t xml:space="preserve"> and </w:t>
      </w:r>
      <w:r w:rsidRPr="001248D9">
        <w:rPr>
          <w:i/>
          <w:iCs/>
          <w:lang w:val="en-GB"/>
        </w:rPr>
        <w:t>vanB</w:t>
      </w:r>
      <w:r w:rsidRPr="001248D9">
        <w:rPr>
          <w:lang w:val="en-GB"/>
        </w:rPr>
        <w:t xml:space="preserve">. The </w:t>
      </w:r>
      <w:r w:rsidRPr="001248D9">
        <w:rPr>
          <w:i/>
          <w:iCs/>
          <w:lang w:val="en-GB"/>
        </w:rPr>
        <w:t>vanA</w:t>
      </w:r>
      <w:r w:rsidRPr="001248D9">
        <w:rPr>
          <w:lang w:val="en-GB"/>
        </w:rPr>
        <w:t xml:space="preserve"> or </w:t>
      </w:r>
      <w:r w:rsidRPr="001248D9">
        <w:rPr>
          <w:i/>
          <w:iCs/>
          <w:lang w:val="en-GB"/>
        </w:rPr>
        <w:t>vanB</w:t>
      </w:r>
      <w:r w:rsidRPr="001248D9">
        <w:rPr>
          <w:lang w:val="en-GB"/>
        </w:rPr>
        <w:t xml:space="preserve"> gene was detected in twenty-seven vancomycin-susceptible </w:t>
      </w:r>
      <w:r w:rsidRPr="001248D9">
        <w:rPr>
          <w:i/>
          <w:iCs/>
          <w:lang w:val="en-GB"/>
        </w:rPr>
        <w:t>E. faecium</w:t>
      </w:r>
      <w:r w:rsidRPr="001248D9">
        <w:rPr>
          <w:lang w:val="en-GB"/>
        </w:rPr>
        <w:t xml:space="preserve"> isolates. Nine isolates, with vancomycin MICs ranging from ≤ 0.5 to 4.0 mg/L and teicoplanin MICs ranging from ≤ 0.5 to 2.0 mg/L, harboured </w:t>
      </w:r>
      <w:r w:rsidRPr="001248D9">
        <w:rPr>
          <w:i/>
          <w:iCs/>
          <w:lang w:val="en-GB"/>
        </w:rPr>
        <w:t>vanA</w:t>
      </w:r>
      <w:r w:rsidRPr="001248D9">
        <w:rPr>
          <w:lang w:val="en-GB"/>
        </w:rPr>
        <w:t xml:space="preserve">. Seventeen </w:t>
      </w:r>
      <w:r w:rsidRPr="001248D9">
        <w:rPr>
          <w:i/>
          <w:iCs/>
          <w:lang w:val="en-GB"/>
        </w:rPr>
        <w:t>vanB</w:t>
      </w:r>
      <w:r w:rsidRPr="001248D9">
        <w:rPr>
          <w:lang w:val="en-GB"/>
        </w:rPr>
        <w:t xml:space="preserve">-positive isolates had vancomycin MICs ranging from ≤ 0.5 mg/L to 2.0 mg/L. One isolate with a vancomycin MIC of 2.0 mg/L and teicoplanin MIC of 1.5 mg/L harboured both </w:t>
      </w:r>
      <w:r w:rsidRPr="001248D9">
        <w:rPr>
          <w:i/>
          <w:iCs/>
          <w:lang w:val="en-GB"/>
        </w:rPr>
        <w:t>vanA</w:t>
      </w:r>
      <w:r w:rsidRPr="001248D9">
        <w:rPr>
          <w:lang w:val="en-GB"/>
        </w:rPr>
        <w:t xml:space="preserve"> and </w:t>
      </w:r>
      <w:r w:rsidRPr="001248D9">
        <w:rPr>
          <w:i/>
          <w:iCs/>
          <w:lang w:val="en-GB"/>
        </w:rPr>
        <w:t>vanB</w:t>
      </w:r>
      <w:r w:rsidRPr="001248D9">
        <w:rPr>
          <w:lang w:val="en-GB"/>
        </w:rPr>
        <w:t xml:space="preserve">. Vancomycin MICs were not available for five </w:t>
      </w:r>
      <w:r w:rsidRPr="001248D9">
        <w:rPr>
          <w:i/>
          <w:iCs/>
          <w:lang w:val="en-GB"/>
        </w:rPr>
        <w:t>vanA</w:t>
      </w:r>
      <w:r w:rsidRPr="001248D9">
        <w:rPr>
          <w:lang w:val="en-GB"/>
        </w:rPr>
        <w:t>/</w:t>
      </w:r>
      <w:r w:rsidRPr="001248D9">
        <w:rPr>
          <w:i/>
          <w:iCs/>
          <w:lang w:val="en-GB"/>
        </w:rPr>
        <w:t>B</w:t>
      </w:r>
      <w:r w:rsidRPr="001248D9">
        <w:rPr>
          <w:lang w:val="en-GB"/>
        </w:rPr>
        <w:t xml:space="preserve">-harbouring </w:t>
      </w:r>
      <w:r w:rsidRPr="001248D9">
        <w:rPr>
          <w:i/>
          <w:iCs/>
          <w:lang w:val="en-GB"/>
        </w:rPr>
        <w:t>E. faecium</w:t>
      </w:r>
      <w:r w:rsidRPr="001248D9">
        <w:rPr>
          <w:lang w:val="en-GB"/>
        </w:rPr>
        <w:t xml:space="preserve"> isolates (two </w:t>
      </w:r>
      <w:r w:rsidRPr="001248D9">
        <w:rPr>
          <w:i/>
          <w:iCs/>
          <w:lang w:val="en-GB"/>
        </w:rPr>
        <w:t>vanA</w:t>
      </w:r>
      <w:r w:rsidRPr="001248D9">
        <w:rPr>
          <w:lang w:val="en-GB"/>
        </w:rPr>
        <w:t xml:space="preserve"> and three </w:t>
      </w:r>
      <w:r w:rsidRPr="001248D9">
        <w:rPr>
          <w:i/>
          <w:iCs/>
          <w:lang w:val="en-GB"/>
        </w:rPr>
        <w:t>vanB</w:t>
      </w:r>
      <w:r w:rsidRPr="001248D9">
        <w:rPr>
          <w:lang w:val="en-GB"/>
        </w:rPr>
        <w:t>).</w:t>
      </w:r>
    </w:p>
    <w:p w14:paraId="7349CD2C" w14:textId="77777777" w:rsidR="001248D9" w:rsidRPr="001248D9" w:rsidRDefault="001248D9" w:rsidP="001248D9">
      <w:pPr>
        <w:pStyle w:val="Heading2-newpage"/>
        <w:rPr>
          <w:lang w:val="en-GB"/>
        </w:rPr>
      </w:pPr>
      <w:bookmarkStart w:id="25" w:name="_Toc213142444"/>
      <w:r w:rsidRPr="001248D9">
        <w:rPr>
          <w:i/>
          <w:iCs/>
          <w:lang w:val="en-GB"/>
        </w:rPr>
        <w:lastRenderedPageBreak/>
        <w:t>E. faecium</w:t>
      </w:r>
      <w:r w:rsidRPr="001248D9">
        <w:rPr>
          <w:lang w:val="en-GB"/>
        </w:rPr>
        <w:t xml:space="preserve"> molecular epidemiology</w:t>
      </w:r>
      <w:bookmarkEnd w:id="25"/>
    </w:p>
    <w:p w14:paraId="715116E1" w14:textId="77777777" w:rsidR="001248D9" w:rsidRPr="001248D9" w:rsidRDefault="001248D9" w:rsidP="001248D9">
      <w:pPr>
        <w:rPr>
          <w:lang w:val="en-GB"/>
        </w:rPr>
      </w:pPr>
      <w:r w:rsidRPr="001248D9">
        <w:rPr>
          <w:lang w:val="en-GB"/>
        </w:rPr>
        <w:t xml:space="preserve">Of the 599 episodes, 530 </w:t>
      </w:r>
      <w:r w:rsidRPr="001248D9">
        <w:rPr>
          <w:i/>
          <w:iCs/>
          <w:lang w:val="en-GB"/>
        </w:rPr>
        <w:t>E. faecium</w:t>
      </w:r>
      <w:r w:rsidRPr="001248D9">
        <w:rPr>
          <w:lang w:val="en-GB"/>
        </w:rPr>
        <w:t xml:space="preserve"> isolates (88.5%) were available for WGS. The 530 isolates were classified into 56 STs, including eight STs with ten or more isolates (Table 3). Of the 48 STs with fewer than ten isolates each, 35 were each represented by only one isolate. Overall, 454 of the 530 isolates (85.7%) were grouped into the eight major STs (greater than ten isolates). Using </w:t>
      </w:r>
      <w:proofErr w:type="spellStart"/>
      <w:r w:rsidRPr="001248D9">
        <w:rPr>
          <w:lang w:val="en-GB"/>
        </w:rPr>
        <w:t>eBURST</w:t>
      </w:r>
      <w:proofErr w:type="spellEnd"/>
      <w:r w:rsidRPr="001248D9">
        <w:rPr>
          <w:lang w:val="en-GB"/>
        </w:rPr>
        <w:t>, all major STs were grouped into CC17.</w:t>
      </w:r>
    </w:p>
    <w:p w14:paraId="50E08B8E" w14:textId="77777777" w:rsidR="001248D9" w:rsidRDefault="001248D9" w:rsidP="001248D9">
      <w:pPr>
        <w:rPr>
          <w:lang w:val="en-GB"/>
        </w:rPr>
        <w:sectPr w:rsidR="001248D9" w:rsidSect="001E3ECB">
          <w:headerReference w:type="even" r:id="rId18"/>
          <w:headerReference w:type="default" r:id="rId19"/>
          <w:footerReference w:type="even" r:id="rId20"/>
          <w:footerReference w:type="default" r:id="rId21"/>
          <w:headerReference w:type="first" r:id="rId22"/>
          <w:footerReference w:type="first" r:id="rId23"/>
          <w:footnotePr>
            <w:numFmt w:val="lowerRoman"/>
          </w:footnotePr>
          <w:pgSz w:w="11907" w:h="16840" w:code="9"/>
          <w:pgMar w:top="1134" w:right="1134" w:bottom="1134" w:left="1134" w:header="709" w:footer="567" w:gutter="0"/>
          <w:cols w:space="708"/>
          <w:docGrid w:linePitch="360"/>
        </w:sectPr>
      </w:pPr>
      <w:r w:rsidRPr="001248D9">
        <w:rPr>
          <w:lang w:val="en-GB"/>
        </w:rPr>
        <w:t>Geographical distribution of the STs varied (Table 3). Amongst the eight major STs, ST78 (106 isolates) was identified in all regions except Queensland; ST1424 (94 isolates), ST17 (91 isolates) and ST80 (63 isolates) were identified in all regions except the Northern Territory; ST1421 (45 isolates) was identified in all regions except Western Australia, Tasmania and the Australian Capital Territory; ST117 (26 isolates) was identified in all regions except South Australia, the Northern Territory and the Australian Capital Territory; ST796 (17 isolates) was identified only in Western Australia; and ST555 (12 isolates) was identified only in Victoria, South Australia and Western Australia.</w:t>
      </w:r>
    </w:p>
    <w:p w14:paraId="3A619ACF" w14:textId="77777777" w:rsidR="00350C6C" w:rsidRPr="00350C6C" w:rsidRDefault="00350C6C" w:rsidP="00350C6C">
      <w:pPr>
        <w:pStyle w:val="CDITable-Title"/>
        <w:spacing w:before="0"/>
        <w:rPr>
          <w:lang w:val="en-GB"/>
        </w:rPr>
      </w:pPr>
      <w:bookmarkStart w:id="26" w:name="_Toc213142452"/>
      <w:r w:rsidRPr="00350C6C">
        <w:rPr>
          <w:lang w:val="en-GB"/>
        </w:rPr>
        <w:lastRenderedPageBreak/>
        <w:t xml:space="preserve">Table 3: The number and proportion of major </w:t>
      </w:r>
      <w:r w:rsidRPr="00350C6C">
        <w:rPr>
          <w:i/>
          <w:iCs/>
          <w:lang w:val="en-GB"/>
        </w:rPr>
        <w:t>Enterococcus faecium</w:t>
      </w:r>
      <w:r w:rsidRPr="00350C6C">
        <w:rPr>
          <w:lang w:val="en-GB"/>
        </w:rPr>
        <w:t xml:space="preserve"> multilocus sequence types, AGAR, Australia, 2024, by jurisdiction</w:t>
      </w:r>
      <w:bookmarkEnd w:id="26"/>
    </w:p>
    <w:tbl>
      <w:tblPr>
        <w:tblW w:w="0" w:type="auto"/>
        <w:tblLayout w:type="fixed"/>
        <w:tblCellMar>
          <w:left w:w="0" w:type="dxa"/>
          <w:right w:w="0" w:type="dxa"/>
        </w:tblCellMar>
        <w:tblLook w:val="0000" w:firstRow="0" w:lastRow="0" w:firstColumn="0" w:lastColumn="0" w:noHBand="0" w:noVBand="0"/>
        <w:tblCaption w:val="Table 3: The number and proportion of major Enterococcus faecium multilocus sequence types, AGAR, Australia, 2024, by jurisdiction"/>
        <w:tblDescription w:val="The number and proportion of the major Enterococcus faecium multilocus sequence types (ten or more isolates) in Australia by state and mainland territories."/>
      </w:tblPr>
      <w:tblGrid>
        <w:gridCol w:w="1871"/>
        <w:gridCol w:w="1386"/>
        <w:gridCol w:w="1386"/>
        <w:gridCol w:w="1385"/>
        <w:gridCol w:w="1386"/>
        <w:gridCol w:w="1386"/>
        <w:gridCol w:w="1386"/>
        <w:gridCol w:w="1386"/>
        <w:gridCol w:w="1385"/>
        <w:gridCol w:w="1386"/>
      </w:tblGrid>
      <w:tr w:rsidR="00350C6C" w:rsidRPr="00350C6C" w14:paraId="07B18DB0" w14:textId="77777777" w:rsidTr="00350C6C">
        <w:trPr>
          <w:trHeight w:val="60"/>
          <w:tblHeader/>
        </w:trPr>
        <w:tc>
          <w:tcPr>
            <w:tcW w:w="1871" w:type="dxa"/>
            <w:vMerge w:val="restart"/>
            <w:shd w:val="clear" w:color="auto" w:fill="1E4496" w:themeFill="text2"/>
            <w:tcMar>
              <w:top w:w="113" w:type="dxa"/>
              <w:left w:w="113" w:type="dxa"/>
              <w:bottom w:w="113" w:type="dxa"/>
              <w:right w:w="113" w:type="dxa"/>
            </w:tcMar>
            <w:vAlign w:val="bottom"/>
          </w:tcPr>
          <w:p w14:paraId="3481132D" w14:textId="77777777" w:rsidR="00350C6C" w:rsidRPr="00350C6C" w:rsidRDefault="00350C6C" w:rsidP="00350C6C">
            <w:pPr>
              <w:pStyle w:val="CDITable-HeaderRowLeft"/>
            </w:pPr>
            <w:proofErr w:type="spellStart"/>
            <w:r w:rsidRPr="00350C6C">
              <w:t>MLST</w:t>
            </w:r>
            <w:r w:rsidRPr="00350C6C">
              <w:rPr>
                <w:vertAlign w:val="superscript"/>
              </w:rPr>
              <w:t>a</w:t>
            </w:r>
            <w:proofErr w:type="spellEnd"/>
          </w:p>
        </w:tc>
        <w:tc>
          <w:tcPr>
            <w:tcW w:w="12472" w:type="dxa"/>
            <w:gridSpan w:val="9"/>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56C96842" w14:textId="77777777" w:rsidR="00350C6C" w:rsidRPr="00350C6C" w:rsidRDefault="00350C6C" w:rsidP="00350C6C">
            <w:pPr>
              <w:pStyle w:val="CDITable-HeaderRowCentre"/>
            </w:pPr>
            <w:r w:rsidRPr="00350C6C">
              <w:t>Percentage % (</w:t>
            </w:r>
            <w:r w:rsidRPr="00350C6C">
              <w:rPr>
                <w:i/>
                <w:iCs/>
              </w:rPr>
              <w:t>n</w:t>
            </w:r>
            <w:r w:rsidRPr="00350C6C">
              <w:t>)</w:t>
            </w:r>
            <w:r w:rsidRPr="00350C6C">
              <w:rPr>
                <w:vertAlign w:val="superscript"/>
              </w:rPr>
              <w:t>b</w:t>
            </w:r>
          </w:p>
        </w:tc>
      </w:tr>
      <w:tr w:rsidR="00350C6C" w:rsidRPr="00350C6C" w14:paraId="18E737E0" w14:textId="77777777" w:rsidTr="00350C6C">
        <w:trPr>
          <w:trHeight w:val="60"/>
          <w:tblHeader/>
        </w:trPr>
        <w:tc>
          <w:tcPr>
            <w:tcW w:w="1871" w:type="dxa"/>
            <w:vMerge/>
            <w:shd w:val="clear" w:color="auto" w:fill="1E4496" w:themeFill="text2"/>
          </w:tcPr>
          <w:p w14:paraId="41954705" w14:textId="77777777" w:rsidR="00350C6C" w:rsidRPr="00350C6C" w:rsidRDefault="00350C6C" w:rsidP="00350C6C"/>
        </w:tc>
        <w:tc>
          <w:tcPr>
            <w:tcW w:w="138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6D2597E" w14:textId="77777777" w:rsidR="00350C6C" w:rsidRPr="00350C6C" w:rsidRDefault="00350C6C" w:rsidP="00350C6C">
            <w:pPr>
              <w:pStyle w:val="CDITable-HeaderRowCentre"/>
            </w:pPr>
            <w:r w:rsidRPr="00350C6C">
              <w:t>ACT</w:t>
            </w:r>
          </w:p>
        </w:tc>
        <w:tc>
          <w:tcPr>
            <w:tcW w:w="138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EC005FA" w14:textId="77777777" w:rsidR="00350C6C" w:rsidRPr="00350C6C" w:rsidRDefault="00350C6C" w:rsidP="00350C6C">
            <w:pPr>
              <w:pStyle w:val="CDITable-HeaderRowCentre"/>
            </w:pPr>
            <w:r w:rsidRPr="00350C6C">
              <w:t>NSW</w:t>
            </w:r>
          </w:p>
        </w:tc>
        <w:tc>
          <w:tcPr>
            <w:tcW w:w="1385"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7B1FB12" w14:textId="77777777" w:rsidR="00350C6C" w:rsidRPr="00350C6C" w:rsidRDefault="00350C6C" w:rsidP="00350C6C">
            <w:pPr>
              <w:pStyle w:val="CDITable-HeaderRowCentre"/>
            </w:pPr>
            <w:proofErr w:type="spellStart"/>
            <w:r w:rsidRPr="00350C6C">
              <w:t>NT</w:t>
            </w:r>
            <w:r w:rsidRPr="00350C6C">
              <w:rPr>
                <w:vertAlign w:val="superscript"/>
              </w:rPr>
              <w:t>c</w:t>
            </w:r>
            <w:proofErr w:type="spellEnd"/>
          </w:p>
        </w:tc>
        <w:tc>
          <w:tcPr>
            <w:tcW w:w="138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1F9C4AC" w14:textId="77777777" w:rsidR="00350C6C" w:rsidRPr="00350C6C" w:rsidRDefault="00350C6C" w:rsidP="00350C6C">
            <w:pPr>
              <w:pStyle w:val="CDITable-HeaderRowCentre"/>
            </w:pPr>
            <w:r w:rsidRPr="00350C6C">
              <w:t>Qld</w:t>
            </w:r>
          </w:p>
        </w:tc>
        <w:tc>
          <w:tcPr>
            <w:tcW w:w="138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5FAB9E0" w14:textId="77777777" w:rsidR="00350C6C" w:rsidRPr="00350C6C" w:rsidRDefault="00350C6C" w:rsidP="00350C6C">
            <w:pPr>
              <w:pStyle w:val="CDITable-HeaderRowCentre"/>
            </w:pPr>
            <w:r w:rsidRPr="00350C6C">
              <w:t>SA</w:t>
            </w:r>
          </w:p>
        </w:tc>
        <w:tc>
          <w:tcPr>
            <w:tcW w:w="138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EB99379" w14:textId="77777777" w:rsidR="00350C6C" w:rsidRPr="00350C6C" w:rsidRDefault="00350C6C" w:rsidP="00350C6C">
            <w:pPr>
              <w:pStyle w:val="CDITable-HeaderRowCentre"/>
            </w:pPr>
            <w:r w:rsidRPr="00350C6C">
              <w:t>Tas.</w:t>
            </w:r>
          </w:p>
        </w:tc>
        <w:tc>
          <w:tcPr>
            <w:tcW w:w="138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05B85A3" w14:textId="77777777" w:rsidR="00350C6C" w:rsidRPr="00350C6C" w:rsidRDefault="00350C6C" w:rsidP="00350C6C">
            <w:pPr>
              <w:pStyle w:val="CDITable-HeaderRowCentre"/>
            </w:pPr>
            <w:r w:rsidRPr="00350C6C">
              <w:t>Vic.</w:t>
            </w:r>
          </w:p>
        </w:tc>
        <w:tc>
          <w:tcPr>
            <w:tcW w:w="1385"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222A1A5" w14:textId="77777777" w:rsidR="00350C6C" w:rsidRPr="00350C6C" w:rsidRDefault="00350C6C" w:rsidP="00350C6C">
            <w:pPr>
              <w:pStyle w:val="CDITable-HeaderRowCentre"/>
            </w:pPr>
            <w:r w:rsidRPr="00350C6C">
              <w:t>WA</w:t>
            </w:r>
          </w:p>
        </w:tc>
        <w:tc>
          <w:tcPr>
            <w:tcW w:w="138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5A01233" w14:textId="77777777" w:rsidR="00350C6C" w:rsidRPr="00350C6C" w:rsidRDefault="00350C6C" w:rsidP="00350C6C">
            <w:pPr>
              <w:pStyle w:val="CDITable-HeaderRowCentre"/>
            </w:pPr>
            <w:r w:rsidRPr="00350C6C">
              <w:t>Australia</w:t>
            </w:r>
          </w:p>
        </w:tc>
      </w:tr>
      <w:tr w:rsidR="00350C6C" w:rsidRPr="00350C6C" w14:paraId="37443F0A" w14:textId="77777777" w:rsidTr="00350C6C">
        <w:trPr>
          <w:trHeight w:val="60"/>
        </w:trPr>
        <w:tc>
          <w:tcPr>
            <w:tcW w:w="1871" w:type="dxa"/>
            <w:tcBorders>
              <w:bottom w:val="single" w:sz="6" w:space="0" w:color="1E4496" w:themeColor="text2"/>
            </w:tcBorders>
            <w:tcMar>
              <w:top w:w="113" w:type="dxa"/>
              <w:left w:w="113" w:type="dxa"/>
              <w:bottom w:w="113" w:type="dxa"/>
              <w:right w:w="113" w:type="dxa"/>
            </w:tcMar>
            <w:vAlign w:val="center"/>
          </w:tcPr>
          <w:p w14:paraId="79573DE6" w14:textId="77777777" w:rsidR="00350C6C" w:rsidRPr="00350C6C" w:rsidRDefault="00350C6C" w:rsidP="00350C6C">
            <w:pPr>
              <w:pStyle w:val="CDITable-RowLeft"/>
            </w:pPr>
            <w:r w:rsidRPr="00350C6C">
              <w:t>ST78</w:t>
            </w:r>
          </w:p>
        </w:tc>
        <w:tc>
          <w:tcPr>
            <w:tcW w:w="1386" w:type="dxa"/>
            <w:tcBorders>
              <w:bottom w:val="single" w:sz="6" w:space="0" w:color="1E4496" w:themeColor="text2"/>
            </w:tcBorders>
            <w:tcMar>
              <w:top w:w="113" w:type="dxa"/>
              <w:left w:w="113" w:type="dxa"/>
              <w:bottom w:w="113" w:type="dxa"/>
              <w:right w:w="113" w:type="dxa"/>
            </w:tcMar>
            <w:vAlign w:val="center"/>
          </w:tcPr>
          <w:p w14:paraId="22EEA33B" w14:textId="77777777" w:rsidR="00350C6C" w:rsidRPr="00350C6C" w:rsidRDefault="00350C6C" w:rsidP="00350C6C">
            <w:pPr>
              <w:pStyle w:val="CDITable-RowCentre"/>
            </w:pPr>
            <w:r w:rsidRPr="00350C6C">
              <w:t>31.3 (5)</w:t>
            </w:r>
          </w:p>
        </w:tc>
        <w:tc>
          <w:tcPr>
            <w:tcW w:w="1386" w:type="dxa"/>
            <w:tcBorders>
              <w:bottom w:val="single" w:sz="6" w:space="0" w:color="1E4496" w:themeColor="text2"/>
            </w:tcBorders>
            <w:tcMar>
              <w:top w:w="113" w:type="dxa"/>
              <w:left w:w="113" w:type="dxa"/>
              <w:bottom w:w="113" w:type="dxa"/>
              <w:right w:w="113" w:type="dxa"/>
            </w:tcMar>
            <w:vAlign w:val="center"/>
          </w:tcPr>
          <w:p w14:paraId="37F8DFE2" w14:textId="77777777" w:rsidR="00350C6C" w:rsidRPr="00350C6C" w:rsidRDefault="00350C6C" w:rsidP="00350C6C">
            <w:pPr>
              <w:pStyle w:val="CDITable-RowCentre"/>
            </w:pPr>
            <w:r w:rsidRPr="00350C6C">
              <w:t>23.2 (36)</w:t>
            </w:r>
          </w:p>
        </w:tc>
        <w:tc>
          <w:tcPr>
            <w:tcW w:w="1385" w:type="dxa"/>
            <w:tcBorders>
              <w:bottom w:val="single" w:sz="6" w:space="0" w:color="1E4496" w:themeColor="text2"/>
            </w:tcBorders>
            <w:tcMar>
              <w:top w:w="113" w:type="dxa"/>
              <w:left w:w="113" w:type="dxa"/>
              <w:bottom w:w="113" w:type="dxa"/>
              <w:right w:w="113" w:type="dxa"/>
            </w:tcMar>
            <w:vAlign w:val="center"/>
          </w:tcPr>
          <w:p w14:paraId="61B1A596" w14:textId="77777777" w:rsidR="00350C6C" w:rsidRPr="00350C6C" w:rsidRDefault="00350C6C" w:rsidP="00350C6C">
            <w:pPr>
              <w:pStyle w:val="CDITable-RowCentre"/>
            </w:pPr>
            <w:r w:rsidRPr="00350C6C">
              <w:t>— (4)</w:t>
            </w:r>
          </w:p>
        </w:tc>
        <w:tc>
          <w:tcPr>
            <w:tcW w:w="1386" w:type="dxa"/>
            <w:tcBorders>
              <w:bottom w:val="single" w:sz="6" w:space="0" w:color="1E4496" w:themeColor="text2"/>
            </w:tcBorders>
            <w:tcMar>
              <w:top w:w="113" w:type="dxa"/>
              <w:left w:w="113" w:type="dxa"/>
              <w:bottom w:w="113" w:type="dxa"/>
              <w:right w:w="113" w:type="dxa"/>
            </w:tcMar>
            <w:vAlign w:val="center"/>
          </w:tcPr>
          <w:p w14:paraId="772A4614" w14:textId="77777777" w:rsidR="00350C6C" w:rsidRPr="00350C6C" w:rsidRDefault="00350C6C" w:rsidP="00350C6C">
            <w:pPr>
              <w:pStyle w:val="CDITable-RowCentre"/>
            </w:pPr>
            <w:r w:rsidRPr="00350C6C">
              <w:t>0.0 (0)</w:t>
            </w:r>
          </w:p>
        </w:tc>
        <w:tc>
          <w:tcPr>
            <w:tcW w:w="1386" w:type="dxa"/>
            <w:tcBorders>
              <w:bottom w:val="single" w:sz="6" w:space="0" w:color="1E4496" w:themeColor="text2"/>
            </w:tcBorders>
            <w:tcMar>
              <w:top w:w="113" w:type="dxa"/>
              <w:left w:w="113" w:type="dxa"/>
              <w:bottom w:w="113" w:type="dxa"/>
              <w:right w:w="113" w:type="dxa"/>
            </w:tcMar>
            <w:vAlign w:val="center"/>
          </w:tcPr>
          <w:p w14:paraId="2BCF5E42" w14:textId="77777777" w:rsidR="00350C6C" w:rsidRPr="00350C6C" w:rsidRDefault="00350C6C" w:rsidP="00350C6C">
            <w:pPr>
              <w:pStyle w:val="CDITable-RowCentre"/>
            </w:pPr>
            <w:r w:rsidRPr="00350C6C">
              <w:t>34.0 (16)</w:t>
            </w:r>
          </w:p>
        </w:tc>
        <w:tc>
          <w:tcPr>
            <w:tcW w:w="1386" w:type="dxa"/>
            <w:tcBorders>
              <w:bottom w:val="single" w:sz="6" w:space="0" w:color="1E4496" w:themeColor="text2"/>
            </w:tcBorders>
            <w:tcMar>
              <w:top w:w="113" w:type="dxa"/>
              <w:left w:w="113" w:type="dxa"/>
              <w:bottom w:w="113" w:type="dxa"/>
              <w:right w:w="113" w:type="dxa"/>
            </w:tcMar>
            <w:vAlign w:val="center"/>
          </w:tcPr>
          <w:p w14:paraId="4D5FE085" w14:textId="77777777" w:rsidR="00350C6C" w:rsidRPr="00350C6C" w:rsidRDefault="00350C6C" w:rsidP="00350C6C">
            <w:pPr>
              <w:pStyle w:val="CDITable-RowCentre"/>
            </w:pPr>
            <w:r w:rsidRPr="00350C6C">
              <w:t>13.3 (4)</w:t>
            </w:r>
          </w:p>
        </w:tc>
        <w:tc>
          <w:tcPr>
            <w:tcW w:w="1386" w:type="dxa"/>
            <w:tcBorders>
              <w:bottom w:val="single" w:sz="6" w:space="0" w:color="1E4496" w:themeColor="text2"/>
            </w:tcBorders>
            <w:tcMar>
              <w:top w:w="113" w:type="dxa"/>
              <w:left w:w="113" w:type="dxa"/>
              <w:bottom w:w="113" w:type="dxa"/>
              <w:right w:w="113" w:type="dxa"/>
            </w:tcMar>
            <w:vAlign w:val="center"/>
          </w:tcPr>
          <w:p w14:paraId="72352049" w14:textId="77777777" w:rsidR="00350C6C" w:rsidRPr="00350C6C" w:rsidRDefault="00350C6C" w:rsidP="00350C6C">
            <w:pPr>
              <w:pStyle w:val="CDITable-RowCentre"/>
            </w:pPr>
            <w:r w:rsidRPr="00350C6C">
              <w:t>24.4 (33)</w:t>
            </w:r>
          </w:p>
        </w:tc>
        <w:tc>
          <w:tcPr>
            <w:tcW w:w="1385" w:type="dxa"/>
            <w:tcBorders>
              <w:bottom w:val="single" w:sz="6" w:space="0" w:color="1E4496" w:themeColor="text2"/>
            </w:tcBorders>
            <w:tcMar>
              <w:top w:w="113" w:type="dxa"/>
              <w:left w:w="113" w:type="dxa"/>
              <w:bottom w:w="113" w:type="dxa"/>
              <w:right w:w="113" w:type="dxa"/>
            </w:tcMar>
            <w:vAlign w:val="center"/>
          </w:tcPr>
          <w:p w14:paraId="7B2485C7" w14:textId="77777777" w:rsidR="00350C6C" w:rsidRPr="00350C6C" w:rsidRDefault="00350C6C" w:rsidP="00350C6C">
            <w:pPr>
              <w:pStyle w:val="CDITable-RowCentre"/>
            </w:pPr>
            <w:r w:rsidRPr="00350C6C">
              <w:t>11.8 (8)</w:t>
            </w:r>
          </w:p>
        </w:tc>
        <w:tc>
          <w:tcPr>
            <w:tcW w:w="1386" w:type="dxa"/>
            <w:tcBorders>
              <w:bottom w:val="single" w:sz="6" w:space="0" w:color="1E4496" w:themeColor="text2"/>
            </w:tcBorders>
            <w:tcMar>
              <w:top w:w="113" w:type="dxa"/>
              <w:left w:w="113" w:type="dxa"/>
              <w:bottom w:w="113" w:type="dxa"/>
              <w:right w:w="113" w:type="dxa"/>
            </w:tcMar>
            <w:vAlign w:val="center"/>
          </w:tcPr>
          <w:p w14:paraId="432D2DD6" w14:textId="77777777" w:rsidR="00350C6C" w:rsidRPr="00350C6C" w:rsidRDefault="00350C6C" w:rsidP="00350C6C">
            <w:pPr>
              <w:pStyle w:val="CDITable-RowCentre"/>
            </w:pPr>
            <w:r w:rsidRPr="00350C6C">
              <w:t>20.0 (106)</w:t>
            </w:r>
          </w:p>
        </w:tc>
      </w:tr>
      <w:tr w:rsidR="00350C6C" w:rsidRPr="00350C6C" w14:paraId="7EB47A68" w14:textId="77777777" w:rsidTr="00350C6C">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33235F" w14:textId="77777777" w:rsidR="00350C6C" w:rsidRPr="00350C6C" w:rsidRDefault="00350C6C" w:rsidP="00350C6C">
            <w:pPr>
              <w:pStyle w:val="CDITable-RowLeft"/>
            </w:pPr>
            <w:r w:rsidRPr="00350C6C">
              <w:t>ST1424</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E0CAF4" w14:textId="77777777" w:rsidR="00350C6C" w:rsidRPr="00350C6C" w:rsidRDefault="00350C6C" w:rsidP="00350C6C">
            <w:pPr>
              <w:pStyle w:val="CDITable-RowCentre"/>
            </w:pPr>
            <w:r w:rsidRPr="00350C6C">
              <w:t>25.0 (4)</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D6CB81" w14:textId="77777777" w:rsidR="00350C6C" w:rsidRPr="00350C6C" w:rsidRDefault="00350C6C" w:rsidP="00350C6C">
            <w:pPr>
              <w:pStyle w:val="CDITable-RowCentre"/>
            </w:pPr>
            <w:r w:rsidRPr="00350C6C">
              <w:t>20.0 (31)</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49FE0A" w14:textId="77777777" w:rsidR="00350C6C" w:rsidRPr="00350C6C" w:rsidRDefault="00350C6C" w:rsidP="00350C6C">
            <w:pPr>
              <w:pStyle w:val="CDITable-RowCentre"/>
            </w:pPr>
            <w:r w:rsidRPr="00350C6C">
              <w:t>—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A387DF" w14:textId="77777777" w:rsidR="00350C6C" w:rsidRPr="00350C6C" w:rsidRDefault="00350C6C" w:rsidP="00350C6C">
            <w:pPr>
              <w:pStyle w:val="CDITable-RowCentre"/>
            </w:pPr>
            <w:r w:rsidRPr="00350C6C">
              <w:t>40.0 (28)</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A03F5E" w14:textId="77777777" w:rsidR="00350C6C" w:rsidRPr="00350C6C" w:rsidRDefault="00350C6C" w:rsidP="00350C6C">
            <w:pPr>
              <w:pStyle w:val="CDITable-RowCentre"/>
            </w:pPr>
            <w:r w:rsidRPr="00350C6C">
              <w:t>4.3 (2)</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ABCC51" w14:textId="77777777" w:rsidR="00350C6C" w:rsidRPr="00350C6C" w:rsidRDefault="00350C6C" w:rsidP="00350C6C">
            <w:pPr>
              <w:pStyle w:val="CDITable-RowCentre"/>
            </w:pPr>
            <w:r w:rsidRPr="00350C6C">
              <w:t>50.0 (15)</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CA3118" w14:textId="77777777" w:rsidR="00350C6C" w:rsidRPr="00350C6C" w:rsidRDefault="00350C6C" w:rsidP="00350C6C">
            <w:pPr>
              <w:pStyle w:val="CDITable-RowCentre"/>
            </w:pPr>
            <w:r w:rsidRPr="00350C6C">
              <w:t>9.6 (13)</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CA2E3F" w14:textId="77777777" w:rsidR="00350C6C" w:rsidRPr="00350C6C" w:rsidRDefault="00350C6C" w:rsidP="00350C6C">
            <w:pPr>
              <w:pStyle w:val="CDITable-RowCentre"/>
            </w:pPr>
            <w:r w:rsidRPr="00350C6C">
              <w:t>1.5 (1)</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5D207F" w14:textId="77777777" w:rsidR="00350C6C" w:rsidRPr="00350C6C" w:rsidRDefault="00350C6C" w:rsidP="00350C6C">
            <w:pPr>
              <w:pStyle w:val="CDITable-RowCentre"/>
            </w:pPr>
            <w:r w:rsidRPr="00350C6C">
              <w:t>17.7 (94)</w:t>
            </w:r>
          </w:p>
        </w:tc>
      </w:tr>
      <w:tr w:rsidR="00350C6C" w:rsidRPr="00350C6C" w14:paraId="536A6C01" w14:textId="77777777" w:rsidTr="00350C6C">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C8D28D" w14:textId="77777777" w:rsidR="00350C6C" w:rsidRPr="00350C6C" w:rsidRDefault="00350C6C" w:rsidP="00350C6C">
            <w:pPr>
              <w:pStyle w:val="CDITable-RowLeft"/>
            </w:pPr>
            <w:r w:rsidRPr="00350C6C">
              <w:t>ST17</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426547" w14:textId="77777777" w:rsidR="00350C6C" w:rsidRPr="00350C6C" w:rsidRDefault="00350C6C" w:rsidP="00350C6C">
            <w:pPr>
              <w:pStyle w:val="CDITable-RowCentre"/>
            </w:pPr>
            <w:r w:rsidRPr="00350C6C">
              <w:t>6.3 (1)</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3450F3" w14:textId="77777777" w:rsidR="00350C6C" w:rsidRPr="00350C6C" w:rsidRDefault="00350C6C" w:rsidP="00350C6C">
            <w:pPr>
              <w:pStyle w:val="CDITable-RowCentre"/>
            </w:pPr>
            <w:r w:rsidRPr="00350C6C">
              <w:t>11.6 (18)</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12535E" w14:textId="77777777" w:rsidR="00350C6C" w:rsidRPr="00350C6C" w:rsidRDefault="00350C6C" w:rsidP="00350C6C">
            <w:pPr>
              <w:pStyle w:val="CDITable-RowCentre"/>
            </w:pPr>
            <w:r w:rsidRPr="00350C6C">
              <w:t>—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1515DC" w14:textId="77777777" w:rsidR="00350C6C" w:rsidRPr="00350C6C" w:rsidRDefault="00350C6C" w:rsidP="00350C6C">
            <w:pPr>
              <w:pStyle w:val="CDITable-RowCentre"/>
            </w:pPr>
            <w:r w:rsidRPr="00350C6C">
              <w:t>14.3 (10)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F49B85" w14:textId="77777777" w:rsidR="00350C6C" w:rsidRPr="00350C6C" w:rsidRDefault="00350C6C" w:rsidP="00350C6C">
            <w:pPr>
              <w:pStyle w:val="CDITable-RowCentre"/>
            </w:pPr>
            <w:r w:rsidRPr="00350C6C">
              <w:t>19.1 (9)</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FF2E3C" w14:textId="77777777" w:rsidR="00350C6C" w:rsidRPr="00350C6C" w:rsidRDefault="00350C6C" w:rsidP="00350C6C">
            <w:pPr>
              <w:pStyle w:val="CDITable-RowCentre"/>
            </w:pPr>
            <w:r w:rsidRPr="00350C6C">
              <w:t>20.0 (6)</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9D8360" w14:textId="77777777" w:rsidR="00350C6C" w:rsidRPr="00350C6C" w:rsidRDefault="00350C6C" w:rsidP="00350C6C">
            <w:pPr>
              <w:pStyle w:val="CDITable-RowCentre"/>
            </w:pPr>
            <w:r w:rsidRPr="00350C6C">
              <w:t>9.6 (13)</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C5A99B" w14:textId="77777777" w:rsidR="00350C6C" w:rsidRPr="00350C6C" w:rsidRDefault="00350C6C" w:rsidP="00350C6C">
            <w:pPr>
              <w:pStyle w:val="CDITable-RowCentre"/>
            </w:pPr>
            <w:r w:rsidRPr="00350C6C">
              <w:t>50.0 (34)</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086DD5" w14:textId="77777777" w:rsidR="00350C6C" w:rsidRPr="00350C6C" w:rsidRDefault="00350C6C" w:rsidP="00350C6C">
            <w:pPr>
              <w:pStyle w:val="CDITable-RowCentre"/>
            </w:pPr>
            <w:r w:rsidRPr="00350C6C">
              <w:t>17.2 (91)</w:t>
            </w:r>
          </w:p>
        </w:tc>
      </w:tr>
      <w:tr w:rsidR="00350C6C" w:rsidRPr="00350C6C" w14:paraId="3107DA0F" w14:textId="77777777" w:rsidTr="00350C6C">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BE444C" w14:textId="77777777" w:rsidR="00350C6C" w:rsidRPr="00350C6C" w:rsidRDefault="00350C6C" w:rsidP="00350C6C">
            <w:pPr>
              <w:pStyle w:val="CDITable-RowLeft"/>
            </w:pPr>
            <w:r w:rsidRPr="00350C6C">
              <w:t>ST80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4EDA99" w14:textId="77777777" w:rsidR="00350C6C" w:rsidRPr="00350C6C" w:rsidRDefault="00350C6C" w:rsidP="00350C6C">
            <w:pPr>
              <w:pStyle w:val="CDITable-RowCentre"/>
            </w:pPr>
            <w:r w:rsidRPr="00350C6C">
              <w:t>31.3 (5)</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24E1E5" w14:textId="77777777" w:rsidR="00350C6C" w:rsidRPr="00350C6C" w:rsidRDefault="00350C6C" w:rsidP="00350C6C">
            <w:pPr>
              <w:pStyle w:val="CDITable-RowCentre"/>
            </w:pPr>
            <w:r w:rsidRPr="00350C6C">
              <w:t>4.5 (7)</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FADE84" w14:textId="77777777" w:rsidR="00350C6C" w:rsidRPr="00350C6C" w:rsidRDefault="00350C6C" w:rsidP="00350C6C">
            <w:pPr>
              <w:pStyle w:val="CDITable-RowCentre"/>
            </w:pPr>
            <w:r w:rsidRPr="00350C6C">
              <w:t>—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375402" w14:textId="77777777" w:rsidR="00350C6C" w:rsidRPr="00350C6C" w:rsidRDefault="00350C6C" w:rsidP="00350C6C">
            <w:pPr>
              <w:pStyle w:val="CDITable-RowCentre"/>
            </w:pPr>
            <w:r w:rsidRPr="00350C6C">
              <w:t>21.4 (15)</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9E937E" w14:textId="77777777" w:rsidR="00350C6C" w:rsidRPr="00350C6C" w:rsidRDefault="00350C6C" w:rsidP="00350C6C">
            <w:pPr>
              <w:pStyle w:val="CDITable-RowCentre"/>
            </w:pPr>
            <w:r w:rsidRPr="00350C6C">
              <w:t>12.8 (6)</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8CF62E" w14:textId="77777777" w:rsidR="00350C6C" w:rsidRPr="00350C6C" w:rsidRDefault="00350C6C" w:rsidP="00350C6C">
            <w:pPr>
              <w:pStyle w:val="CDITable-RowCentre"/>
            </w:pPr>
            <w:r w:rsidRPr="00350C6C">
              <w:t>3.3 (1)</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CD1F66" w14:textId="77777777" w:rsidR="00350C6C" w:rsidRPr="00350C6C" w:rsidRDefault="00350C6C" w:rsidP="00350C6C">
            <w:pPr>
              <w:pStyle w:val="CDITable-RowCentre"/>
            </w:pPr>
            <w:r w:rsidRPr="00350C6C">
              <w:t>14.8 (20)</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3A59FC" w14:textId="77777777" w:rsidR="00350C6C" w:rsidRPr="00350C6C" w:rsidRDefault="00350C6C" w:rsidP="00350C6C">
            <w:pPr>
              <w:pStyle w:val="CDITable-RowCentre"/>
            </w:pPr>
            <w:r w:rsidRPr="00350C6C">
              <w:t>13.2 (9)</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9AC86D" w14:textId="77777777" w:rsidR="00350C6C" w:rsidRPr="00350C6C" w:rsidRDefault="00350C6C" w:rsidP="00350C6C">
            <w:pPr>
              <w:pStyle w:val="CDITable-RowCentre"/>
            </w:pPr>
            <w:r w:rsidRPr="00350C6C">
              <w:t>11.9 (63)</w:t>
            </w:r>
          </w:p>
        </w:tc>
      </w:tr>
      <w:tr w:rsidR="00350C6C" w:rsidRPr="00350C6C" w14:paraId="4B4E24A4" w14:textId="77777777" w:rsidTr="00350C6C">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4550D6" w14:textId="77777777" w:rsidR="00350C6C" w:rsidRPr="00350C6C" w:rsidRDefault="00350C6C" w:rsidP="00350C6C">
            <w:pPr>
              <w:pStyle w:val="CDITable-RowLeft"/>
            </w:pPr>
            <w:r w:rsidRPr="00350C6C">
              <w:t>ST1421</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3ADDFD" w14:textId="77777777" w:rsidR="00350C6C" w:rsidRPr="00350C6C" w:rsidRDefault="00350C6C" w:rsidP="00350C6C">
            <w:pPr>
              <w:pStyle w:val="CDITable-RowCentre"/>
            </w:pPr>
            <w:r w:rsidRPr="00350C6C">
              <w:t>0.0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62E7E3" w14:textId="77777777" w:rsidR="00350C6C" w:rsidRPr="00350C6C" w:rsidRDefault="00350C6C" w:rsidP="00350C6C">
            <w:pPr>
              <w:pStyle w:val="CDITable-RowCentre"/>
            </w:pPr>
            <w:r w:rsidRPr="00350C6C">
              <w:t>21.3 (33)</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66B30C" w14:textId="77777777" w:rsidR="00350C6C" w:rsidRPr="00350C6C" w:rsidRDefault="00350C6C" w:rsidP="00350C6C">
            <w:pPr>
              <w:pStyle w:val="CDITable-RowCentre"/>
            </w:pPr>
            <w:r w:rsidRPr="00350C6C">
              <w:t>— (3)</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EFCD6B" w14:textId="77777777" w:rsidR="00350C6C" w:rsidRPr="00350C6C" w:rsidRDefault="00350C6C" w:rsidP="00350C6C">
            <w:pPr>
              <w:pStyle w:val="CDITable-RowCentre"/>
            </w:pPr>
            <w:r w:rsidRPr="00350C6C">
              <w:t>5.7 (4)</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A85797" w14:textId="77777777" w:rsidR="00350C6C" w:rsidRPr="00350C6C" w:rsidRDefault="00350C6C" w:rsidP="00350C6C">
            <w:pPr>
              <w:pStyle w:val="CDITable-RowCentre"/>
            </w:pPr>
            <w:r w:rsidRPr="00350C6C">
              <w:t>2.1 (1)</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350DE7" w14:textId="77777777" w:rsidR="00350C6C" w:rsidRPr="00350C6C" w:rsidRDefault="00350C6C" w:rsidP="00350C6C">
            <w:pPr>
              <w:pStyle w:val="CDITable-RowCentre"/>
            </w:pPr>
            <w:r w:rsidRPr="00350C6C">
              <w:t>0.0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632CCA" w14:textId="77777777" w:rsidR="00350C6C" w:rsidRPr="00350C6C" w:rsidRDefault="00350C6C" w:rsidP="00350C6C">
            <w:pPr>
              <w:pStyle w:val="CDITable-RowCentre"/>
            </w:pPr>
            <w:r w:rsidRPr="00350C6C">
              <w:t>3.0 (4)</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B9FB00" w14:textId="77777777" w:rsidR="00350C6C" w:rsidRPr="00350C6C" w:rsidRDefault="00350C6C" w:rsidP="00350C6C">
            <w:pPr>
              <w:pStyle w:val="CDITable-RowCentre"/>
            </w:pPr>
            <w:r w:rsidRPr="00350C6C">
              <w:t>0.0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DF22FD" w14:textId="77777777" w:rsidR="00350C6C" w:rsidRPr="00350C6C" w:rsidRDefault="00350C6C" w:rsidP="00350C6C">
            <w:pPr>
              <w:pStyle w:val="CDITable-RowCentre"/>
            </w:pPr>
            <w:r w:rsidRPr="00350C6C">
              <w:t>8.5 (45)</w:t>
            </w:r>
          </w:p>
        </w:tc>
      </w:tr>
      <w:tr w:rsidR="00350C6C" w:rsidRPr="00350C6C" w14:paraId="4E20DF92" w14:textId="77777777" w:rsidTr="00350C6C">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E09487" w14:textId="77777777" w:rsidR="00350C6C" w:rsidRPr="00350C6C" w:rsidRDefault="00350C6C" w:rsidP="00350C6C">
            <w:pPr>
              <w:pStyle w:val="CDITable-RowLeft"/>
            </w:pPr>
            <w:r w:rsidRPr="00350C6C">
              <w:t>ST117</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AEB691" w14:textId="77777777" w:rsidR="00350C6C" w:rsidRPr="00350C6C" w:rsidRDefault="00350C6C" w:rsidP="00350C6C">
            <w:pPr>
              <w:pStyle w:val="CDITable-RowCentre"/>
            </w:pPr>
            <w:r w:rsidRPr="00350C6C">
              <w:t>0.0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9EA302" w14:textId="77777777" w:rsidR="00350C6C" w:rsidRPr="00350C6C" w:rsidRDefault="00350C6C" w:rsidP="00350C6C">
            <w:pPr>
              <w:pStyle w:val="CDITable-RowCentre"/>
            </w:pPr>
            <w:r w:rsidRPr="00350C6C">
              <w:t>7.1 (11)</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E03E66" w14:textId="77777777" w:rsidR="00350C6C" w:rsidRPr="00350C6C" w:rsidRDefault="00350C6C" w:rsidP="00350C6C">
            <w:pPr>
              <w:pStyle w:val="CDITable-RowCentre"/>
            </w:pPr>
            <w:r w:rsidRPr="00350C6C">
              <w:t>—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C68B25" w14:textId="77777777" w:rsidR="00350C6C" w:rsidRPr="00350C6C" w:rsidRDefault="00350C6C" w:rsidP="00350C6C">
            <w:pPr>
              <w:pStyle w:val="CDITable-RowCentre"/>
            </w:pPr>
            <w:r w:rsidRPr="00350C6C">
              <w:t>1.4 (1)</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D4FE36" w14:textId="77777777" w:rsidR="00350C6C" w:rsidRPr="00350C6C" w:rsidRDefault="00350C6C" w:rsidP="00350C6C">
            <w:pPr>
              <w:pStyle w:val="CDITable-RowCentre"/>
            </w:pPr>
            <w:r w:rsidRPr="00350C6C">
              <w:t>0.0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291A16" w14:textId="77777777" w:rsidR="00350C6C" w:rsidRPr="00350C6C" w:rsidRDefault="00350C6C" w:rsidP="00350C6C">
            <w:pPr>
              <w:pStyle w:val="CDITable-RowCentre"/>
            </w:pPr>
            <w:r w:rsidRPr="00350C6C">
              <w:t>3.3 (1)</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DA87E0" w14:textId="77777777" w:rsidR="00350C6C" w:rsidRPr="00350C6C" w:rsidRDefault="00350C6C" w:rsidP="00350C6C">
            <w:pPr>
              <w:pStyle w:val="CDITable-RowCentre"/>
            </w:pPr>
            <w:r w:rsidRPr="00350C6C">
              <w:t>8.9 (12)</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9B5399" w14:textId="77777777" w:rsidR="00350C6C" w:rsidRPr="00350C6C" w:rsidRDefault="00350C6C" w:rsidP="00350C6C">
            <w:pPr>
              <w:pStyle w:val="CDITable-RowCentre"/>
            </w:pPr>
            <w:r w:rsidRPr="00350C6C">
              <w:t>1.5 (1)</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E2E966" w14:textId="77777777" w:rsidR="00350C6C" w:rsidRPr="00350C6C" w:rsidRDefault="00350C6C" w:rsidP="00350C6C">
            <w:pPr>
              <w:pStyle w:val="CDITable-RowCentre"/>
            </w:pPr>
            <w:r w:rsidRPr="00350C6C">
              <w:t>4.9 (26)</w:t>
            </w:r>
          </w:p>
        </w:tc>
      </w:tr>
      <w:tr w:rsidR="00350C6C" w:rsidRPr="00350C6C" w14:paraId="0948C6B5" w14:textId="77777777" w:rsidTr="00350C6C">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2DC4FF" w14:textId="77777777" w:rsidR="00350C6C" w:rsidRPr="00350C6C" w:rsidRDefault="00350C6C" w:rsidP="00350C6C">
            <w:pPr>
              <w:pStyle w:val="CDITable-RowLeft"/>
            </w:pPr>
            <w:r w:rsidRPr="00350C6C">
              <w:t>ST796</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EB4620" w14:textId="77777777" w:rsidR="00350C6C" w:rsidRPr="00350C6C" w:rsidRDefault="00350C6C" w:rsidP="00350C6C">
            <w:pPr>
              <w:pStyle w:val="CDITable-RowCentre"/>
            </w:pPr>
            <w:r w:rsidRPr="00350C6C">
              <w:t>0.0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EE0B27" w14:textId="77777777" w:rsidR="00350C6C" w:rsidRPr="00350C6C" w:rsidRDefault="00350C6C" w:rsidP="00350C6C">
            <w:pPr>
              <w:pStyle w:val="CDITable-RowCentre"/>
            </w:pPr>
            <w:r w:rsidRPr="00350C6C">
              <w:t>0.0 (0)</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2E7C42" w14:textId="77777777" w:rsidR="00350C6C" w:rsidRPr="00350C6C" w:rsidRDefault="00350C6C" w:rsidP="00350C6C">
            <w:pPr>
              <w:pStyle w:val="CDITable-RowCentre"/>
            </w:pPr>
            <w:r w:rsidRPr="00350C6C">
              <w:t>—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61C672" w14:textId="77777777" w:rsidR="00350C6C" w:rsidRPr="00350C6C" w:rsidRDefault="00350C6C" w:rsidP="00350C6C">
            <w:pPr>
              <w:pStyle w:val="CDITable-RowCentre"/>
            </w:pPr>
            <w:r w:rsidRPr="00350C6C">
              <w:t>0.0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06CE6B" w14:textId="77777777" w:rsidR="00350C6C" w:rsidRPr="00350C6C" w:rsidRDefault="00350C6C" w:rsidP="00350C6C">
            <w:pPr>
              <w:pStyle w:val="CDITable-RowCentre"/>
            </w:pPr>
            <w:r w:rsidRPr="00350C6C">
              <w:t>0.0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29B1E5" w14:textId="77777777" w:rsidR="00350C6C" w:rsidRPr="00350C6C" w:rsidRDefault="00350C6C" w:rsidP="00350C6C">
            <w:pPr>
              <w:pStyle w:val="CDITable-RowCentre"/>
            </w:pPr>
            <w:r w:rsidRPr="00350C6C">
              <w:t>0.0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9A5B90" w14:textId="77777777" w:rsidR="00350C6C" w:rsidRPr="00350C6C" w:rsidRDefault="00350C6C" w:rsidP="00350C6C">
            <w:pPr>
              <w:pStyle w:val="CDITable-RowCentre"/>
            </w:pPr>
            <w:r w:rsidRPr="00350C6C">
              <w:t>12.6 (17)</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B74DBA" w14:textId="77777777" w:rsidR="00350C6C" w:rsidRPr="00350C6C" w:rsidRDefault="00350C6C" w:rsidP="00350C6C">
            <w:pPr>
              <w:pStyle w:val="CDITable-RowCentre"/>
            </w:pPr>
            <w:r w:rsidRPr="00350C6C">
              <w:t>0.0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2D84B4" w14:textId="77777777" w:rsidR="00350C6C" w:rsidRPr="00350C6C" w:rsidRDefault="00350C6C" w:rsidP="00350C6C">
            <w:pPr>
              <w:pStyle w:val="CDITable-RowCentre"/>
            </w:pPr>
            <w:r w:rsidRPr="00350C6C">
              <w:t>3.2 (17)</w:t>
            </w:r>
          </w:p>
        </w:tc>
      </w:tr>
      <w:tr w:rsidR="00350C6C" w:rsidRPr="00350C6C" w14:paraId="304F3687" w14:textId="77777777" w:rsidTr="00350C6C">
        <w:trPr>
          <w:trHeight w:val="60"/>
        </w:trPr>
        <w:tc>
          <w:tcPr>
            <w:tcW w:w="187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FBD503" w14:textId="77777777" w:rsidR="00350C6C" w:rsidRPr="00350C6C" w:rsidRDefault="00350C6C" w:rsidP="00350C6C">
            <w:pPr>
              <w:pStyle w:val="CDITable-RowLeft"/>
            </w:pPr>
            <w:r w:rsidRPr="00350C6C">
              <w:t>ST555</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27A3F7" w14:textId="77777777" w:rsidR="00350C6C" w:rsidRPr="00350C6C" w:rsidRDefault="00350C6C" w:rsidP="00350C6C">
            <w:pPr>
              <w:pStyle w:val="CDITable-RowCentre"/>
            </w:pPr>
            <w:r w:rsidRPr="00350C6C">
              <w:t>0.0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CA0655" w14:textId="77777777" w:rsidR="00350C6C" w:rsidRPr="00350C6C" w:rsidRDefault="00350C6C" w:rsidP="00350C6C">
            <w:pPr>
              <w:pStyle w:val="CDITable-RowCentre"/>
            </w:pPr>
            <w:r w:rsidRPr="00350C6C">
              <w:t>0.0 (0)</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61CF48" w14:textId="77777777" w:rsidR="00350C6C" w:rsidRPr="00350C6C" w:rsidRDefault="00350C6C" w:rsidP="00350C6C">
            <w:pPr>
              <w:pStyle w:val="CDITable-RowCentre"/>
            </w:pPr>
            <w:r w:rsidRPr="00350C6C">
              <w:t>—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59E648" w14:textId="77777777" w:rsidR="00350C6C" w:rsidRPr="00350C6C" w:rsidRDefault="00350C6C" w:rsidP="00350C6C">
            <w:pPr>
              <w:pStyle w:val="CDITable-RowCentre"/>
            </w:pPr>
            <w:r w:rsidRPr="00350C6C">
              <w:t>0.0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E42BED" w14:textId="77777777" w:rsidR="00350C6C" w:rsidRPr="00350C6C" w:rsidRDefault="00350C6C" w:rsidP="00350C6C">
            <w:pPr>
              <w:pStyle w:val="CDITable-RowCentre"/>
            </w:pPr>
            <w:r w:rsidRPr="00350C6C">
              <w:t>14.9 (7)</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75FFC9" w14:textId="77777777" w:rsidR="00350C6C" w:rsidRPr="00350C6C" w:rsidRDefault="00350C6C" w:rsidP="00350C6C">
            <w:pPr>
              <w:pStyle w:val="CDITable-RowCentre"/>
            </w:pPr>
            <w:r w:rsidRPr="00350C6C">
              <w:t>0.0 (0)</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E28FF1" w14:textId="77777777" w:rsidR="00350C6C" w:rsidRPr="00350C6C" w:rsidRDefault="00350C6C" w:rsidP="00350C6C">
            <w:pPr>
              <w:pStyle w:val="CDITable-RowCentre"/>
            </w:pPr>
            <w:r w:rsidRPr="00350C6C">
              <w:t>3.0 (4)</w:t>
            </w:r>
          </w:p>
        </w:tc>
        <w:tc>
          <w:tcPr>
            <w:tcW w:w="13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B90D29" w14:textId="77777777" w:rsidR="00350C6C" w:rsidRPr="00350C6C" w:rsidRDefault="00350C6C" w:rsidP="00350C6C">
            <w:pPr>
              <w:pStyle w:val="CDITable-RowCentre"/>
            </w:pPr>
            <w:r w:rsidRPr="00350C6C">
              <w:t>1.5 (1)</w:t>
            </w:r>
          </w:p>
        </w:tc>
        <w:tc>
          <w:tcPr>
            <w:tcW w:w="138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3A9412" w14:textId="77777777" w:rsidR="00350C6C" w:rsidRPr="00350C6C" w:rsidRDefault="00350C6C" w:rsidP="00350C6C">
            <w:pPr>
              <w:pStyle w:val="CDITable-RowCentre"/>
            </w:pPr>
            <w:r w:rsidRPr="00350C6C">
              <w:t>2.3 (12)</w:t>
            </w:r>
          </w:p>
        </w:tc>
      </w:tr>
      <w:tr w:rsidR="00350C6C" w:rsidRPr="00350C6C" w14:paraId="4BBBBDEA" w14:textId="77777777" w:rsidTr="00350C6C">
        <w:trPr>
          <w:trHeight w:val="60"/>
        </w:trPr>
        <w:tc>
          <w:tcPr>
            <w:tcW w:w="1871" w:type="dxa"/>
            <w:tcBorders>
              <w:top w:val="single" w:sz="6" w:space="0" w:color="1E4496" w:themeColor="text2"/>
            </w:tcBorders>
            <w:tcMar>
              <w:top w:w="113" w:type="dxa"/>
              <w:left w:w="113" w:type="dxa"/>
              <w:bottom w:w="113" w:type="dxa"/>
              <w:right w:w="113" w:type="dxa"/>
            </w:tcMar>
            <w:vAlign w:val="center"/>
          </w:tcPr>
          <w:p w14:paraId="69EBB786" w14:textId="77777777" w:rsidR="00350C6C" w:rsidRPr="00350C6C" w:rsidRDefault="00350C6C" w:rsidP="00350C6C">
            <w:pPr>
              <w:pStyle w:val="CDITable-RowLeft"/>
            </w:pPr>
            <w:r w:rsidRPr="00350C6C">
              <w:t>Other types (n = 48)</w:t>
            </w:r>
          </w:p>
        </w:tc>
        <w:tc>
          <w:tcPr>
            <w:tcW w:w="1386" w:type="dxa"/>
            <w:tcBorders>
              <w:top w:val="single" w:sz="6" w:space="0" w:color="1E4496" w:themeColor="text2"/>
            </w:tcBorders>
            <w:tcMar>
              <w:top w:w="113" w:type="dxa"/>
              <w:left w:w="113" w:type="dxa"/>
              <w:bottom w:w="113" w:type="dxa"/>
              <w:right w:w="113" w:type="dxa"/>
            </w:tcMar>
            <w:vAlign w:val="center"/>
          </w:tcPr>
          <w:p w14:paraId="12EC91C2" w14:textId="77777777" w:rsidR="00350C6C" w:rsidRPr="00350C6C" w:rsidRDefault="00350C6C" w:rsidP="00350C6C">
            <w:pPr>
              <w:pStyle w:val="CDITable-RowCentre"/>
            </w:pPr>
            <w:r w:rsidRPr="00350C6C">
              <w:t>6.3 (1)</w:t>
            </w:r>
          </w:p>
        </w:tc>
        <w:tc>
          <w:tcPr>
            <w:tcW w:w="1386" w:type="dxa"/>
            <w:tcBorders>
              <w:top w:val="single" w:sz="6" w:space="0" w:color="1E4496" w:themeColor="text2"/>
            </w:tcBorders>
            <w:tcMar>
              <w:top w:w="113" w:type="dxa"/>
              <w:left w:w="113" w:type="dxa"/>
              <w:bottom w:w="113" w:type="dxa"/>
              <w:right w:w="113" w:type="dxa"/>
            </w:tcMar>
            <w:vAlign w:val="center"/>
          </w:tcPr>
          <w:p w14:paraId="18A07F8B" w14:textId="77777777" w:rsidR="00350C6C" w:rsidRPr="00350C6C" w:rsidRDefault="00350C6C" w:rsidP="00350C6C">
            <w:pPr>
              <w:pStyle w:val="CDITable-RowCentre"/>
            </w:pPr>
            <w:r w:rsidRPr="00350C6C">
              <w:t>10.3 (16)</w:t>
            </w:r>
          </w:p>
        </w:tc>
        <w:tc>
          <w:tcPr>
            <w:tcW w:w="1385" w:type="dxa"/>
            <w:tcBorders>
              <w:top w:val="single" w:sz="6" w:space="0" w:color="1E4496" w:themeColor="text2"/>
            </w:tcBorders>
            <w:tcMar>
              <w:top w:w="113" w:type="dxa"/>
              <w:left w:w="113" w:type="dxa"/>
              <w:bottom w:w="113" w:type="dxa"/>
              <w:right w:w="113" w:type="dxa"/>
            </w:tcMar>
            <w:vAlign w:val="center"/>
          </w:tcPr>
          <w:p w14:paraId="6049B696" w14:textId="77777777" w:rsidR="00350C6C" w:rsidRPr="00350C6C" w:rsidRDefault="00350C6C" w:rsidP="00350C6C">
            <w:pPr>
              <w:pStyle w:val="CDITable-RowCentre"/>
            </w:pPr>
            <w:r w:rsidRPr="00350C6C">
              <w:t>— (2)</w:t>
            </w:r>
          </w:p>
        </w:tc>
        <w:tc>
          <w:tcPr>
            <w:tcW w:w="1386" w:type="dxa"/>
            <w:tcBorders>
              <w:top w:val="single" w:sz="6" w:space="0" w:color="1E4496" w:themeColor="text2"/>
            </w:tcBorders>
            <w:tcMar>
              <w:top w:w="113" w:type="dxa"/>
              <w:left w:w="113" w:type="dxa"/>
              <w:bottom w:w="113" w:type="dxa"/>
              <w:right w:w="113" w:type="dxa"/>
            </w:tcMar>
            <w:vAlign w:val="center"/>
          </w:tcPr>
          <w:p w14:paraId="06EE7016" w14:textId="77777777" w:rsidR="00350C6C" w:rsidRPr="00350C6C" w:rsidRDefault="00350C6C" w:rsidP="00350C6C">
            <w:pPr>
              <w:pStyle w:val="CDITable-RowCentre"/>
            </w:pPr>
            <w:r w:rsidRPr="00350C6C">
              <w:t>14.3 (10)</w:t>
            </w:r>
          </w:p>
        </w:tc>
        <w:tc>
          <w:tcPr>
            <w:tcW w:w="1386" w:type="dxa"/>
            <w:tcBorders>
              <w:top w:val="single" w:sz="6" w:space="0" w:color="1E4496" w:themeColor="text2"/>
            </w:tcBorders>
            <w:tcMar>
              <w:top w:w="113" w:type="dxa"/>
              <w:left w:w="113" w:type="dxa"/>
              <w:bottom w:w="113" w:type="dxa"/>
              <w:right w:w="113" w:type="dxa"/>
            </w:tcMar>
            <w:vAlign w:val="center"/>
          </w:tcPr>
          <w:p w14:paraId="044EBC6F" w14:textId="77777777" w:rsidR="00350C6C" w:rsidRPr="00350C6C" w:rsidRDefault="00350C6C" w:rsidP="00350C6C">
            <w:pPr>
              <w:pStyle w:val="CDITable-RowCentre"/>
            </w:pPr>
            <w:r w:rsidRPr="00350C6C">
              <w:t>8.5 (4)</w:t>
            </w:r>
          </w:p>
        </w:tc>
        <w:tc>
          <w:tcPr>
            <w:tcW w:w="1386" w:type="dxa"/>
            <w:tcBorders>
              <w:top w:val="single" w:sz="6" w:space="0" w:color="1E4496" w:themeColor="text2"/>
            </w:tcBorders>
            <w:tcMar>
              <w:top w:w="113" w:type="dxa"/>
              <w:left w:w="113" w:type="dxa"/>
              <w:bottom w:w="113" w:type="dxa"/>
              <w:right w:w="113" w:type="dxa"/>
            </w:tcMar>
            <w:vAlign w:val="center"/>
          </w:tcPr>
          <w:p w14:paraId="5B9FA9E4" w14:textId="77777777" w:rsidR="00350C6C" w:rsidRPr="00350C6C" w:rsidRDefault="00350C6C" w:rsidP="00350C6C">
            <w:pPr>
              <w:pStyle w:val="CDITable-RowCentre"/>
            </w:pPr>
            <w:r w:rsidRPr="00350C6C">
              <w:t>10.0 (3)</w:t>
            </w:r>
          </w:p>
        </w:tc>
        <w:tc>
          <w:tcPr>
            <w:tcW w:w="1386" w:type="dxa"/>
            <w:tcBorders>
              <w:top w:val="single" w:sz="6" w:space="0" w:color="1E4496" w:themeColor="text2"/>
            </w:tcBorders>
            <w:tcMar>
              <w:top w:w="113" w:type="dxa"/>
              <w:left w:w="113" w:type="dxa"/>
              <w:bottom w:w="113" w:type="dxa"/>
              <w:right w:w="113" w:type="dxa"/>
            </w:tcMar>
            <w:vAlign w:val="center"/>
          </w:tcPr>
          <w:p w14:paraId="1745792E" w14:textId="77777777" w:rsidR="00350C6C" w:rsidRPr="00350C6C" w:rsidRDefault="00350C6C" w:rsidP="00350C6C">
            <w:pPr>
              <w:pStyle w:val="CDITable-RowCentre"/>
            </w:pPr>
            <w:r w:rsidRPr="00350C6C">
              <w:t>11.9 (16)</w:t>
            </w:r>
          </w:p>
        </w:tc>
        <w:tc>
          <w:tcPr>
            <w:tcW w:w="1385" w:type="dxa"/>
            <w:tcBorders>
              <w:top w:val="single" w:sz="6" w:space="0" w:color="1E4496" w:themeColor="text2"/>
            </w:tcBorders>
            <w:tcMar>
              <w:top w:w="113" w:type="dxa"/>
              <w:left w:w="113" w:type="dxa"/>
              <w:bottom w:w="113" w:type="dxa"/>
              <w:right w:w="113" w:type="dxa"/>
            </w:tcMar>
            <w:vAlign w:val="center"/>
          </w:tcPr>
          <w:p w14:paraId="5F469C05" w14:textId="77777777" w:rsidR="00350C6C" w:rsidRPr="00350C6C" w:rsidRDefault="00350C6C" w:rsidP="00350C6C">
            <w:pPr>
              <w:pStyle w:val="CDITable-RowCentre"/>
            </w:pPr>
            <w:r w:rsidRPr="00350C6C">
              <w:t>17.6 (12)</w:t>
            </w:r>
          </w:p>
        </w:tc>
        <w:tc>
          <w:tcPr>
            <w:tcW w:w="1386" w:type="dxa"/>
            <w:tcBorders>
              <w:top w:val="single" w:sz="6" w:space="0" w:color="1E4496" w:themeColor="text2"/>
            </w:tcBorders>
            <w:tcMar>
              <w:top w:w="113" w:type="dxa"/>
              <w:left w:w="113" w:type="dxa"/>
              <w:bottom w:w="113" w:type="dxa"/>
              <w:right w:w="113" w:type="dxa"/>
            </w:tcMar>
            <w:vAlign w:val="center"/>
          </w:tcPr>
          <w:p w14:paraId="32DC6281" w14:textId="77777777" w:rsidR="00350C6C" w:rsidRPr="00350C6C" w:rsidRDefault="00350C6C" w:rsidP="00350C6C">
            <w:pPr>
              <w:pStyle w:val="CDITable-RowCentre"/>
            </w:pPr>
            <w:r w:rsidRPr="00350C6C">
              <w:t>12.1 (64)</w:t>
            </w:r>
          </w:p>
        </w:tc>
      </w:tr>
      <w:tr w:rsidR="00350C6C" w:rsidRPr="00350C6C" w14:paraId="45DC197A" w14:textId="77777777" w:rsidTr="00350C6C">
        <w:trPr>
          <w:trHeight w:val="60"/>
        </w:trPr>
        <w:tc>
          <w:tcPr>
            <w:tcW w:w="1871" w:type="dxa"/>
            <w:shd w:val="clear" w:color="auto" w:fill="53C9F1" w:themeFill="background2"/>
            <w:tcMar>
              <w:top w:w="113" w:type="dxa"/>
              <w:left w:w="113" w:type="dxa"/>
              <w:bottom w:w="113" w:type="dxa"/>
              <w:right w:w="113" w:type="dxa"/>
            </w:tcMar>
            <w:vAlign w:val="center"/>
          </w:tcPr>
          <w:p w14:paraId="7C7185AF" w14:textId="77777777" w:rsidR="00350C6C" w:rsidRPr="00350C6C" w:rsidRDefault="00350C6C" w:rsidP="00350C6C">
            <w:pPr>
              <w:pStyle w:val="CDITable-TotalRowLeft"/>
            </w:pPr>
            <w:r w:rsidRPr="00350C6C">
              <w:t>Total</w:t>
            </w:r>
          </w:p>
        </w:tc>
        <w:tc>
          <w:tcPr>
            <w:tcW w:w="1386" w:type="dxa"/>
            <w:shd w:val="clear" w:color="auto" w:fill="53C9F1" w:themeFill="background2"/>
            <w:tcMar>
              <w:top w:w="113" w:type="dxa"/>
              <w:left w:w="113" w:type="dxa"/>
              <w:bottom w:w="113" w:type="dxa"/>
              <w:right w:w="113" w:type="dxa"/>
            </w:tcMar>
            <w:vAlign w:val="center"/>
          </w:tcPr>
          <w:p w14:paraId="2A2275F3" w14:textId="77777777" w:rsidR="00350C6C" w:rsidRPr="00350C6C" w:rsidRDefault="00350C6C" w:rsidP="00350C6C">
            <w:pPr>
              <w:pStyle w:val="CDITable-TotalRowCentre"/>
            </w:pPr>
            <w:r w:rsidRPr="00350C6C">
              <w:t>16</w:t>
            </w:r>
          </w:p>
        </w:tc>
        <w:tc>
          <w:tcPr>
            <w:tcW w:w="1386" w:type="dxa"/>
            <w:shd w:val="clear" w:color="auto" w:fill="53C9F1" w:themeFill="background2"/>
            <w:tcMar>
              <w:top w:w="113" w:type="dxa"/>
              <w:left w:w="113" w:type="dxa"/>
              <w:bottom w:w="113" w:type="dxa"/>
              <w:right w:w="113" w:type="dxa"/>
            </w:tcMar>
            <w:vAlign w:val="center"/>
          </w:tcPr>
          <w:p w14:paraId="0713A9FF" w14:textId="77777777" w:rsidR="00350C6C" w:rsidRPr="00350C6C" w:rsidRDefault="00350C6C" w:rsidP="00350C6C">
            <w:pPr>
              <w:pStyle w:val="CDITable-TotalRowCentre"/>
            </w:pPr>
            <w:r w:rsidRPr="00350C6C">
              <w:t>155</w:t>
            </w:r>
          </w:p>
        </w:tc>
        <w:tc>
          <w:tcPr>
            <w:tcW w:w="1385" w:type="dxa"/>
            <w:shd w:val="clear" w:color="auto" w:fill="53C9F1" w:themeFill="background2"/>
            <w:tcMar>
              <w:top w:w="113" w:type="dxa"/>
              <w:left w:w="113" w:type="dxa"/>
              <w:bottom w:w="113" w:type="dxa"/>
              <w:right w:w="113" w:type="dxa"/>
            </w:tcMar>
            <w:vAlign w:val="center"/>
          </w:tcPr>
          <w:p w14:paraId="186D5064" w14:textId="77777777" w:rsidR="00350C6C" w:rsidRPr="00350C6C" w:rsidRDefault="00350C6C" w:rsidP="00350C6C">
            <w:pPr>
              <w:pStyle w:val="CDITable-TotalRowCentre"/>
            </w:pPr>
            <w:r w:rsidRPr="00350C6C">
              <w:t>9</w:t>
            </w:r>
          </w:p>
        </w:tc>
        <w:tc>
          <w:tcPr>
            <w:tcW w:w="1386" w:type="dxa"/>
            <w:shd w:val="clear" w:color="auto" w:fill="53C9F1" w:themeFill="background2"/>
            <w:tcMar>
              <w:top w:w="113" w:type="dxa"/>
              <w:left w:w="113" w:type="dxa"/>
              <w:bottom w:w="113" w:type="dxa"/>
              <w:right w:w="113" w:type="dxa"/>
            </w:tcMar>
            <w:vAlign w:val="center"/>
          </w:tcPr>
          <w:p w14:paraId="34B1BB02" w14:textId="77777777" w:rsidR="00350C6C" w:rsidRPr="00350C6C" w:rsidRDefault="00350C6C" w:rsidP="00350C6C">
            <w:pPr>
              <w:pStyle w:val="CDITable-TotalRowCentre"/>
            </w:pPr>
            <w:r w:rsidRPr="00350C6C">
              <w:t>70</w:t>
            </w:r>
          </w:p>
        </w:tc>
        <w:tc>
          <w:tcPr>
            <w:tcW w:w="1386" w:type="dxa"/>
            <w:shd w:val="clear" w:color="auto" w:fill="53C9F1" w:themeFill="background2"/>
            <w:tcMar>
              <w:top w:w="113" w:type="dxa"/>
              <w:left w:w="113" w:type="dxa"/>
              <w:bottom w:w="113" w:type="dxa"/>
              <w:right w:w="113" w:type="dxa"/>
            </w:tcMar>
            <w:vAlign w:val="center"/>
          </w:tcPr>
          <w:p w14:paraId="21601BC9" w14:textId="77777777" w:rsidR="00350C6C" w:rsidRPr="00350C6C" w:rsidRDefault="00350C6C" w:rsidP="00350C6C">
            <w:pPr>
              <w:pStyle w:val="CDITable-TotalRowCentre"/>
            </w:pPr>
            <w:r w:rsidRPr="00350C6C">
              <w:t>47</w:t>
            </w:r>
          </w:p>
        </w:tc>
        <w:tc>
          <w:tcPr>
            <w:tcW w:w="1386" w:type="dxa"/>
            <w:shd w:val="clear" w:color="auto" w:fill="53C9F1" w:themeFill="background2"/>
            <w:tcMar>
              <w:top w:w="113" w:type="dxa"/>
              <w:left w:w="113" w:type="dxa"/>
              <w:bottom w:w="113" w:type="dxa"/>
              <w:right w:w="113" w:type="dxa"/>
            </w:tcMar>
            <w:vAlign w:val="center"/>
          </w:tcPr>
          <w:p w14:paraId="7F16C29C" w14:textId="77777777" w:rsidR="00350C6C" w:rsidRPr="00350C6C" w:rsidRDefault="00350C6C" w:rsidP="00350C6C">
            <w:pPr>
              <w:pStyle w:val="CDITable-TotalRowCentre"/>
            </w:pPr>
            <w:r w:rsidRPr="00350C6C">
              <w:t>30</w:t>
            </w:r>
          </w:p>
        </w:tc>
        <w:tc>
          <w:tcPr>
            <w:tcW w:w="1386" w:type="dxa"/>
            <w:shd w:val="clear" w:color="auto" w:fill="53C9F1" w:themeFill="background2"/>
            <w:tcMar>
              <w:top w:w="113" w:type="dxa"/>
              <w:left w:w="113" w:type="dxa"/>
              <w:bottom w:w="113" w:type="dxa"/>
              <w:right w:w="113" w:type="dxa"/>
            </w:tcMar>
            <w:vAlign w:val="center"/>
          </w:tcPr>
          <w:p w14:paraId="2734DDA6" w14:textId="77777777" w:rsidR="00350C6C" w:rsidRPr="00350C6C" w:rsidRDefault="00350C6C" w:rsidP="00350C6C">
            <w:pPr>
              <w:pStyle w:val="CDITable-TotalRowCentre"/>
            </w:pPr>
            <w:r w:rsidRPr="00350C6C">
              <w:t>135</w:t>
            </w:r>
          </w:p>
        </w:tc>
        <w:tc>
          <w:tcPr>
            <w:tcW w:w="1385" w:type="dxa"/>
            <w:shd w:val="clear" w:color="auto" w:fill="53C9F1" w:themeFill="background2"/>
            <w:tcMar>
              <w:top w:w="113" w:type="dxa"/>
              <w:left w:w="113" w:type="dxa"/>
              <w:bottom w:w="113" w:type="dxa"/>
              <w:right w:w="113" w:type="dxa"/>
            </w:tcMar>
            <w:vAlign w:val="center"/>
          </w:tcPr>
          <w:p w14:paraId="3227F043" w14:textId="77777777" w:rsidR="00350C6C" w:rsidRPr="00350C6C" w:rsidRDefault="00350C6C" w:rsidP="00350C6C">
            <w:pPr>
              <w:pStyle w:val="CDITable-TotalRowCentre"/>
            </w:pPr>
            <w:r w:rsidRPr="00350C6C">
              <w:t>68</w:t>
            </w:r>
          </w:p>
        </w:tc>
        <w:tc>
          <w:tcPr>
            <w:tcW w:w="1386" w:type="dxa"/>
            <w:shd w:val="clear" w:color="auto" w:fill="53C9F1" w:themeFill="background2"/>
            <w:tcMar>
              <w:top w:w="113" w:type="dxa"/>
              <w:left w:w="113" w:type="dxa"/>
              <w:bottom w:w="113" w:type="dxa"/>
              <w:right w:w="113" w:type="dxa"/>
            </w:tcMar>
            <w:vAlign w:val="center"/>
          </w:tcPr>
          <w:p w14:paraId="413914B4" w14:textId="77777777" w:rsidR="00350C6C" w:rsidRPr="00350C6C" w:rsidRDefault="00350C6C" w:rsidP="00350C6C">
            <w:pPr>
              <w:pStyle w:val="CDITable-TotalRowCentre"/>
            </w:pPr>
            <w:r w:rsidRPr="00350C6C">
              <w:t>530</w:t>
            </w:r>
          </w:p>
        </w:tc>
      </w:tr>
    </w:tbl>
    <w:p w14:paraId="38CE452D" w14:textId="77777777" w:rsidR="00350C6C" w:rsidRPr="00350C6C" w:rsidRDefault="00350C6C" w:rsidP="00350C6C">
      <w:pPr>
        <w:pStyle w:val="CDITable-FirstFootnote"/>
        <w:rPr>
          <w:lang w:val="en-GB"/>
        </w:rPr>
      </w:pPr>
      <w:r w:rsidRPr="00350C6C">
        <w:rPr>
          <w:lang w:val="en-GB"/>
        </w:rPr>
        <w:t>a</w:t>
      </w:r>
      <w:r w:rsidRPr="00350C6C">
        <w:rPr>
          <w:lang w:val="en-GB"/>
        </w:rPr>
        <w:tab/>
        <w:t>MLST: multilocus sequence type.</w:t>
      </w:r>
    </w:p>
    <w:p w14:paraId="5C40A404" w14:textId="77777777" w:rsidR="00350C6C" w:rsidRPr="00350C6C" w:rsidRDefault="00350C6C" w:rsidP="00350C6C">
      <w:pPr>
        <w:pStyle w:val="CDITable-Footnote"/>
        <w:rPr>
          <w:lang w:val="en-GB"/>
        </w:rPr>
      </w:pPr>
      <w:r w:rsidRPr="00350C6C">
        <w:rPr>
          <w:lang w:val="en-GB"/>
        </w:rPr>
        <w:t>b</w:t>
      </w:r>
      <w:r w:rsidRPr="00350C6C">
        <w:rPr>
          <w:lang w:val="en-GB"/>
        </w:rPr>
        <w:tab/>
        <w:t xml:space="preserve">ACT: Australian Capital Territory; NSW: New South Wales; NT: Northern Territory; Qld: Queensland; SA: South Australia; Tas: Tasmania; Vic: Victoria; WA: Western Australia. </w:t>
      </w:r>
    </w:p>
    <w:p w14:paraId="595A5801" w14:textId="7226D566" w:rsidR="001248D9" w:rsidRDefault="00350C6C" w:rsidP="00350C6C">
      <w:pPr>
        <w:pStyle w:val="CDITable-Footnote"/>
      </w:pPr>
      <w:r w:rsidRPr="00350C6C">
        <w:rPr>
          <w:lang w:val="en-GB"/>
        </w:rPr>
        <w:t>c</w:t>
      </w:r>
      <w:r w:rsidRPr="00350C6C">
        <w:rPr>
          <w:lang w:val="en-GB"/>
        </w:rPr>
        <w:tab/>
        <w:t xml:space="preserve">Proportion by jurisdiction not calculated for jurisdictions with fewer than ten sequenced isolates in total. </w:t>
      </w:r>
    </w:p>
    <w:p w14:paraId="7BE26E0A" w14:textId="77777777" w:rsidR="00350C6C" w:rsidRDefault="00350C6C" w:rsidP="00AC46DC">
      <w:pPr>
        <w:sectPr w:rsidR="00350C6C" w:rsidSect="001248D9">
          <w:footnotePr>
            <w:numFmt w:val="lowerRoman"/>
          </w:footnotePr>
          <w:pgSz w:w="16840" w:h="11907" w:orient="landscape" w:code="9"/>
          <w:pgMar w:top="1134" w:right="1134" w:bottom="1134" w:left="1134" w:header="709" w:footer="567" w:gutter="0"/>
          <w:cols w:space="708"/>
          <w:docGrid w:linePitch="360"/>
        </w:sectPr>
      </w:pPr>
    </w:p>
    <w:p w14:paraId="5C5FCE79" w14:textId="77777777" w:rsidR="001248D9" w:rsidRPr="001248D9" w:rsidRDefault="001248D9" w:rsidP="001248D9">
      <w:pPr>
        <w:pStyle w:val="Normal-nospace"/>
        <w:rPr>
          <w:lang w:val="en-GB"/>
        </w:rPr>
      </w:pPr>
      <w:r w:rsidRPr="001248D9">
        <w:rPr>
          <w:lang w:val="en-GB"/>
        </w:rPr>
        <w:lastRenderedPageBreak/>
        <w:t xml:space="preserve">The </w:t>
      </w:r>
      <w:r w:rsidRPr="001248D9">
        <w:rPr>
          <w:i/>
          <w:iCs/>
          <w:lang w:val="en-GB"/>
        </w:rPr>
        <w:t>vanA</w:t>
      </w:r>
      <w:r w:rsidRPr="001248D9">
        <w:rPr>
          <w:lang w:val="en-GB"/>
        </w:rPr>
        <w:t xml:space="preserve"> gene was detected in five of the major STs: 97 isolates from ST17, ST80, ST117, ST1421 and ST1424 (Table 4). With the exception of ST1421, the </w:t>
      </w:r>
      <w:r w:rsidRPr="001248D9">
        <w:rPr>
          <w:i/>
          <w:iCs/>
          <w:lang w:val="en-GB"/>
        </w:rPr>
        <w:t>vanB</w:t>
      </w:r>
      <w:r w:rsidRPr="001248D9">
        <w:rPr>
          <w:lang w:val="en-GB"/>
        </w:rPr>
        <w:t xml:space="preserve"> gene was detected in all major STs (149 isolates). Co-carriage of </w:t>
      </w:r>
      <w:r w:rsidRPr="001248D9">
        <w:rPr>
          <w:i/>
          <w:iCs/>
          <w:lang w:val="en-GB"/>
        </w:rPr>
        <w:t>vanA</w:t>
      </w:r>
      <w:r w:rsidRPr="001248D9">
        <w:rPr>
          <w:lang w:val="en-GB"/>
        </w:rPr>
        <w:t xml:space="preserve"> and </w:t>
      </w:r>
      <w:r w:rsidRPr="001248D9">
        <w:rPr>
          <w:i/>
          <w:iCs/>
          <w:lang w:val="en-GB"/>
        </w:rPr>
        <w:t>vanB</w:t>
      </w:r>
      <w:r w:rsidRPr="001248D9">
        <w:rPr>
          <w:lang w:val="en-GB"/>
        </w:rPr>
        <w:t xml:space="preserve"> was detected in two ST1424 isolates. Five minor STs (ST817, ST2771, ST1478, ST375 and ST2849) harboured at least one </w:t>
      </w:r>
      <w:r w:rsidRPr="001248D9">
        <w:rPr>
          <w:i/>
          <w:iCs/>
          <w:lang w:val="en-GB"/>
        </w:rPr>
        <w:t>vanA</w:t>
      </w:r>
      <w:r w:rsidRPr="001248D9">
        <w:rPr>
          <w:lang w:val="en-GB"/>
        </w:rPr>
        <w:t xml:space="preserve">-positive isolate; and seven minor STs (ST18, ST2842, ST2844, ST797, ST341 ST2846 and ST2850) harboured at least one </w:t>
      </w:r>
      <w:r w:rsidRPr="001248D9">
        <w:rPr>
          <w:i/>
          <w:iCs/>
          <w:lang w:val="en-GB"/>
        </w:rPr>
        <w:t>vanB</w:t>
      </w:r>
      <w:r w:rsidRPr="001248D9">
        <w:rPr>
          <w:lang w:val="en-GB"/>
        </w:rPr>
        <w:t xml:space="preserve">-positive isolate. One minor ST (ST203) harboured an isolate with both </w:t>
      </w:r>
      <w:r w:rsidRPr="001248D9">
        <w:rPr>
          <w:i/>
          <w:iCs/>
          <w:lang w:val="en-GB"/>
        </w:rPr>
        <w:t>vanA</w:t>
      </w:r>
      <w:r w:rsidRPr="001248D9">
        <w:rPr>
          <w:lang w:val="en-GB"/>
        </w:rPr>
        <w:t xml:space="preserve"> and </w:t>
      </w:r>
      <w:r w:rsidRPr="001248D9">
        <w:rPr>
          <w:i/>
          <w:iCs/>
          <w:lang w:val="en-GB"/>
        </w:rPr>
        <w:t>vanB</w:t>
      </w:r>
      <w:r w:rsidRPr="001248D9">
        <w:rPr>
          <w:lang w:val="en-GB"/>
        </w:rPr>
        <w:t>.</w:t>
      </w:r>
    </w:p>
    <w:p w14:paraId="6280E281" w14:textId="77777777" w:rsidR="001248D9" w:rsidRPr="001248D9" w:rsidRDefault="001248D9" w:rsidP="001248D9">
      <w:pPr>
        <w:pStyle w:val="CDITable-Title"/>
        <w:rPr>
          <w:lang w:val="en-GB"/>
        </w:rPr>
      </w:pPr>
      <w:bookmarkStart w:id="27" w:name="_Toc213142453"/>
      <w:r w:rsidRPr="001248D9">
        <w:rPr>
          <w:lang w:val="en-GB"/>
        </w:rPr>
        <w:t xml:space="preserve">Table 4: The number and proportion of major </w:t>
      </w:r>
      <w:r w:rsidRPr="001248D9">
        <w:rPr>
          <w:i/>
          <w:iCs/>
          <w:lang w:val="en-GB"/>
        </w:rPr>
        <w:t>Enterococcus faecium</w:t>
      </w:r>
      <w:r w:rsidRPr="001248D9">
        <w:rPr>
          <w:lang w:val="en-GB"/>
        </w:rPr>
        <w:t xml:space="preserve"> multilocus sequence types harbouring </w:t>
      </w:r>
      <w:r w:rsidRPr="001248D9">
        <w:rPr>
          <w:i/>
          <w:iCs/>
          <w:lang w:val="en-GB"/>
        </w:rPr>
        <w:t>vanA</w:t>
      </w:r>
      <w:r w:rsidRPr="001248D9">
        <w:rPr>
          <w:lang w:val="en-GB"/>
        </w:rPr>
        <w:t>/</w:t>
      </w:r>
      <w:r w:rsidRPr="001248D9">
        <w:rPr>
          <w:i/>
          <w:iCs/>
          <w:lang w:val="en-GB"/>
        </w:rPr>
        <w:t>vanB</w:t>
      </w:r>
      <w:r w:rsidRPr="001248D9">
        <w:rPr>
          <w:lang w:val="en-GB"/>
        </w:rPr>
        <w:t xml:space="preserve"> gene, AGAR, Australia, 2024</w:t>
      </w:r>
      <w:bookmarkEnd w:id="27"/>
    </w:p>
    <w:tbl>
      <w:tblPr>
        <w:tblW w:w="0" w:type="auto"/>
        <w:tblLayout w:type="fixed"/>
        <w:tblCellMar>
          <w:left w:w="0" w:type="dxa"/>
          <w:right w:w="0" w:type="dxa"/>
        </w:tblCellMar>
        <w:tblLook w:val="0000" w:firstRow="0" w:lastRow="0" w:firstColumn="0" w:lastColumn="0" w:noHBand="0" w:noVBand="0"/>
        <w:tblCaption w:val="Table 4: The number and proportion of major Enterococcus faecium multilocus sequence types harbouring vanA/vanB gene, AGAR, Australia, 2024"/>
        <w:tblDescription w:val="The number and proportion of the major Enterococcus faecium multilocus sequence types (ten or more isolates) harbouring vanA and/or vanB genes."/>
      </w:tblPr>
      <w:tblGrid>
        <w:gridCol w:w="1606"/>
        <w:gridCol w:w="1607"/>
        <w:gridCol w:w="1606"/>
        <w:gridCol w:w="1606"/>
        <w:gridCol w:w="1606"/>
        <w:gridCol w:w="1607"/>
      </w:tblGrid>
      <w:tr w:rsidR="001248D9" w:rsidRPr="001248D9" w14:paraId="0959A11C" w14:textId="77777777" w:rsidTr="00350C6C">
        <w:trPr>
          <w:trHeight w:val="60"/>
          <w:tblHeader/>
        </w:trPr>
        <w:tc>
          <w:tcPr>
            <w:tcW w:w="1606" w:type="dxa"/>
            <w:vMerge w:val="restart"/>
            <w:shd w:val="clear" w:color="auto" w:fill="1E4496" w:themeFill="text2"/>
            <w:tcMar>
              <w:top w:w="113" w:type="dxa"/>
              <w:left w:w="113" w:type="dxa"/>
              <w:bottom w:w="113" w:type="dxa"/>
              <w:right w:w="113" w:type="dxa"/>
            </w:tcMar>
            <w:vAlign w:val="bottom"/>
          </w:tcPr>
          <w:p w14:paraId="18603021" w14:textId="77777777" w:rsidR="001248D9" w:rsidRPr="00B0666C" w:rsidRDefault="001248D9" w:rsidP="00B0666C">
            <w:pPr>
              <w:pStyle w:val="CDITable-HeaderRowLeft"/>
            </w:pPr>
            <w:proofErr w:type="spellStart"/>
            <w:r w:rsidRPr="00B0666C">
              <w:t>MLST</w:t>
            </w:r>
            <w:r w:rsidRPr="00B0666C">
              <w:rPr>
                <w:vertAlign w:val="superscript"/>
              </w:rPr>
              <w:t>b</w:t>
            </w:r>
            <w:proofErr w:type="spellEnd"/>
          </w:p>
        </w:tc>
        <w:tc>
          <w:tcPr>
            <w:tcW w:w="8032" w:type="dxa"/>
            <w:gridSpan w:val="5"/>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D232BF1" w14:textId="77777777" w:rsidR="001248D9" w:rsidRPr="001248D9" w:rsidRDefault="001248D9" w:rsidP="001248D9">
            <w:pPr>
              <w:pStyle w:val="CDITable-HeaderRowCentre"/>
            </w:pPr>
            <w:proofErr w:type="spellStart"/>
            <w:r w:rsidRPr="001248D9">
              <w:t>Percentage</w:t>
            </w:r>
            <w:r w:rsidRPr="00350C6C">
              <w:rPr>
                <w:vertAlign w:val="superscript"/>
              </w:rPr>
              <w:t>a</w:t>
            </w:r>
            <w:proofErr w:type="spellEnd"/>
            <w:r w:rsidRPr="001248D9">
              <w:t xml:space="preserve"> (</w:t>
            </w:r>
            <w:r w:rsidRPr="001248D9">
              <w:rPr>
                <w:i/>
                <w:iCs/>
              </w:rPr>
              <w:t>n</w:t>
            </w:r>
            <w:r w:rsidRPr="001248D9">
              <w:t>)</w:t>
            </w:r>
          </w:p>
        </w:tc>
      </w:tr>
      <w:tr w:rsidR="001248D9" w:rsidRPr="001248D9" w14:paraId="4400CB65" w14:textId="77777777" w:rsidTr="00350C6C">
        <w:trPr>
          <w:trHeight w:val="60"/>
          <w:tblHeader/>
        </w:trPr>
        <w:tc>
          <w:tcPr>
            <w:tcW w:w="1606" w:type="dxa"/>
            <w:vMerge/>
            <w:shd w:val="clear" w:color="auto" w:fill="1E4496" w:themeFill="text2"/>
          </w:tcPr>
          <w:p w14:paraId="4E865981" w14:textId="77777777" w:rsidR="001248D9" w:rsidRPr="001248D9" w:rsidRDefault="001248D9" w:rsidP="001248D9"/>
        </w:tc>
        <w:tc>
          <w:tcPr>
            <w:tcW w:w="160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3249BC2" w14:textId="77777777" w:rsidR="001248D9" w:rsidRPr="00350C6C" w:rsidRDefault="001248D9" w:rsidP="001248D9">
            <w:pPr>
              <w:pStyle w:val="CDITable-HeaderRowCentre"/>
              <w:rPr>
                <w:i/>
                <w:iCs/>
              </w:rPr>
            </w:pPr>
            <w:r w:rsidRPr="00350C6C">
              <w:rPr>
                <w:i/>
                <w:iCs/>
              </w:rPr>
              <w:t>vanA</w:t>
            </w:r>
          </w:p>
        </w:tc>
        <w:tc>
          <w:tcPr>
            <w:tcW w:w="160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E78188C" w14:textId="77777777" w:rsidR="001248D9" w:rsidRPr="00350C6C" w:rsidRDefault="001248D9" w:rsidP="001248D9">
            <w:pPr>
              <w:pStyle w:val="CDITable-HeaderRowCentre"/>
              <w:rPr>
                <w:i/>
                <w:iCs/>
              </w:rPr>
            </w:pPr>
            <w:r w:rsidRPr="00350C6C">
              <w:rPr>
                <w:i/>
                <w:iCs/>
              </w:rPr>
              <w:t>vanB</w:t>
            </w:r>
          </w:p>
        </w:tc>
        <w:tc>
          <w:tcPr>
            <w:tcW w:w="160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052A01A" w14:textId="77777777" w:rsidR="001248D9" w:rsidRPr="001248D9" w:rsidRDefault="001248D9" w:rsidP="001248D9">
            <w:pPr>
              <w:pStyle w:val="CDITable-HeaderRowCentre"/>
            </w:pPr>
            <w:r w:rsidRPr="00350C6C">
              <w:rPr>
                <w:i/>
                <w:iCs/>
              </w:rPr>
              <w:t>vanA</w:t>
            </w:r>
            <w:r w:rsidRPr="001248D9">
              <w:t xml:space="preserve"> and </w:t>
            </w:r>
            <w:r w:rsidRPr="00350C6C">
              <w:rPr>
                <w:i/>
                <w:iCs/>
              </w:rPr>
              <w:t>vanB</w:t>
            </w:r>
          </w:p>
        </w:tc>
        <w:tc>
          <w:tcPr>
            <w:tcW w:w="1606"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CD4FF5A" w14:textId="77777777" w:rsidR="001248D9" w:rsidRPr="001248D9" w:rsidRDefault="001248D9" w:rsidP="001248D9">
            <w:pPr>
              <w:pStyle w:val="CDITable-HeaderRowCentre"/>
            </w:pPr>
            <w:r w:rsidRPr="00350C6C">
              <w:rPr>
                <w:i/>
                <w:iCs/>
              </w:rPr>
              <w:t>vanA</w:t>
            </w:r>
            <w:r w:rsidRPr="001248D9">
              <w:t xml:space="preserve"> or </w:t>
            </w:r>
            <w:r w:rsidRPr="00350C6C">
              <w:rPr>
                <w:i/>
                <w:iCs/>
              </w:rPr>
              <w:t>vanB</w:t>
            </w:r>
            <w:r w:rsidRPr="001248D9">
              <w:t xml:space="preserve"> not detected</w:t>
            </w:r>
          </w:p>
        </w:tc>
        <w:tc>
          <w:tcPr>
            <w:tcW w:w="160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2550DD6" w14:textId="77777777" w:rsidR="001248D9" w:rsidRPr="001248D9" w:rsidRDefault="001248D9" w:rsidP="001248D9">
            <w:pPr>
              <w:pStyle w:val="CDITable-HeaderRowCentre"/>
            </w:pPr>
            <w:r w:rsidRPr="001248D9">
              <w:t xml:space="preserve">Total, </w:t>
            </w:r>
            <w:r w:rsidRPr="00350C6C">
              <w:rPr>
                <w:i/>
                <w:iCs/>
              </w:rPr>
              <w:t>n</w:t>
            </w:r>
          </w:p>
        </w:tc>
      </w:tr>
      <w:tr w:rsidR="001248D9" w:rsidRPr="001248D9" w14:paraId="25144EF4" w14:textId="77777777" w:rsidTr="00350C6C">
        <w:trPr>
          <w:trHeight w:val="60"/>
        </w:trPr>
        <w:tc>
          <w:tcPr>
            <w:tcW w:w="1606" w:type="dxa"/>
            <w:tcBorders>
              <w:bottom w:val="single" w:sz="6" w:space="0" w:color="1E4496" w:themeColor="text2"/>
            </w:tcBorders>
            <w:tcMar>
              <w:top w:w="113" w:type="dxa"/>
              <w:left w:w="113" w:type="dxa"/>
              <w:bottom w:w="113" w:type="dxa"/>
              <w:right w:w="113" w:type="dxa"/>
            </w:tcMar>
            <w:vAlign w:val="center"/>
          </w:tcPr>
          <w:p w14:paraId="6D87B6E2" w14:textId="77777777" w:rsidR="001248D9" w:rsidRPr="001248D9" w:rsidRDefault="001248D9" w:rsidP="001248D9">
            <w:pPr>
              <w:pStyle w:val="CDITable-RowLeft"/>
            </w:pPr>
            <w:r w:rsidRPr="001248D9">
              <w:t>ST78</w:t>
            </w:r>
          </w:p>
        </w:tc>
        <w:tc>
          <w:tcPr>
            <w:tcW w:w="1607" w:type="dxa"/>
            <w:tcBorders>
              <w:bottom w:val="single" w:sz="6" w:space="0" w:color="1E4496" w:themeColor="text2"/>
            </w:tcBorders>
            <w:tcMar>
              <w:top w:w="113" w:type="dxa"/>
              <w:left w:w="113" w:type="dxa"/>
              <w:bottom w:w="113" w:type="dxa"/>
              <w:right w:w="113" w:type="dxa"/>
            </w:tcMar>
            <w:vAlign w:val="center"/>
          </w:tcPr>
          <w:p w14:paraId="0A7FEA1A" w14:textId="77777777" w:rsidR="001248D9" w:rsidRPr="001248D9" w:rsidRDefault="001248D9" w:rsidP="00350C6C">
            <w:pPr>
              <w:pStyle w:val="CDITable-RowCentre"/>
            </w:pPr>
            <w:r w:rsidRPr="001248D9">
              <w:t>0.0 (0)</w:t>
            </w:r>
          </w:p>
        </w:tc>
        <w:tc>
          <w:tcPr>
            <w:tcW w:w="1606" w:type="dxa"/>
            <w:tcBorders>
              <w:bottom w:val="single" w:sz="6" w:space="0" w:color="1E4496" w:themeColor="text2"/>
            </w:tcBorders>
            <w:tcMar>
              <w:top w:w="113" w:type="dxa"/>
              <w:left w:w="113" w:type="dxa"/>
              <w:bottom w:w="113" w:type="dxa"/>
              <w:right w:w="113" w:type="dxa"/>
            </w:tcMar>
            <w:vAlign w:val="center"/>
          </w:tcPr>
          <w:p w14:paraId="68448D6F" w14:textId="77777777" w:rsidR="001248D9" w:rsidRPr="001248D9" w:rsidRDefault="001248D9" w:rsidP="00350C6C">
            <w:pPr>
              <w:pStyle w:val="CDITable-RowCentre"/>
            </w:pPr>
            <w:r w:rsidRPr="001248D9">
              <w:t>100.0 (106)</w:t>
            </w:r>
          </w:p>
        </w:tc>
        <w:tc>
          <w:tcPr>
            <w:tcW w:w="1606" w:type="dxa"/>
            <w:tcBorders>
              <w:bottom w:val="single" w:sz="6" w:space="0" w:color="1E4496" w:themeColor="text2"/>
            </w:tcBorders>
            <w:tcMar>
              <w:top w:w="113" w:type="dxa"/>
              <w:left w:w="113" w:type="dxa"/>
              <w:bottom w:w="113" w:type="dxa"/>
              <w:right w:w="113" w:type="dxa"/>
            </w:tcMar>
            <w:vAlign w:val="center"/>
          </w:tcPr>
          <w:p w14:paraId="28F2B8B0" w14:textId="77777777" w:rsidR="001248D9" w:rsidRPr="001248D9" w:rsidRDefault="001248D9" w:rsidP="00350C6C">
            <w:pPr>
              <w:pStyle w:val="CDITable-RowCentre"/>
            </w:pPr>
            <w:r w:rsidRPr="001248D9">
              <w:t>0.0 (0)</w:t>
            </w:r>
          </w:p>
        </w:tc>
        <w:tc>
          <w:tcPr>
            <w:tcW w:w="1606" w:type="dxa"/>
            <w:tcBorders>
              <w:bottom w:val="single" w:sz="6" w:space="0" w:color="1E4496" w:themeColor="text2"/>
            </w:tcBorders>
            <w:tcMar>
              <w:top w:w="113" w:type="dxa"/>
              <w:left w:w="113" w:type="dxa"/>
              <w:bottom w:w="113" w:type="dxa"/>
              <w:right w:w="113" w:type="dxa"/>
            </w:tcMar>
            <w:vAlign w:val="center"/>
          </w:tcPr>
          <w:p w14:paraId="02A3F7DB" w14:textId="77777777" w:rsidR="001248D9" w:rsidRPr="001248D9" w:rsidRDefault="001248D9" w:rsidP="00350C6C">
            <w:pPr>
              <w:pStyle w:val="CDITable-RowCentre"/>
            </w:pPr>
            <w:r w:rsidRPr="001248D9">
              <w:t>0.0 (0)</w:t>
            </w:r>
          </w:p>
        </w:tc>
        <w:tc>
          <w:tcPr>
            <w:tcW w:w="1607" w:type="dxa"/>
            <w:tcBorders>
              <w:bottom w:val="single" w:sz="6" w:space="0" w:color="1E4496" w:themeColor="text2"/>
            </w:tcBorders>
            <w:tcMar>
              <w:top w:w="113" w:type="dxa"/>
              <w:left w:w="113" w:type="dxa"/>
              <w:bottom w:w="113" w:type="dxa"/>
              <w:right w:w="113" w:type="dxa"/>
            </w:tcMar>
            <w:vAlign w:val="center"/>
          </w:tcPr>
          <w:p w14:paraId="67683DB6" w14:textId="77777777" w:rsidR="001248D9" w:rsidRPr="001248D9" w:rsidRDefault="001248D9" w:rsidP="00350C6C">
            <w:pPr>
              <w:pStyle w:val="CDITable-RowCentre"/>
            </w:pPr>
            <w:r w:rsidRPr="001248D9">
              <w:t>106</w:t>
            </w:r>
          </w:p>
        </w:tc>
      </w:tr>
      <w:tr w:rsidR="001248D9" w:rsidRPr="001248D9" w14:paraId="6D663DC5" w14:textId="77777777" w:rsidTr="00350C6C">
        <w:trPr>
          <w:trHeight w:val="60"/>
        </w:trPr>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25BD56" w14:textId="77777777" w:rsidR="001248D9" w:rsidRPr="001248D9" w:rsidRDefault="001248D9" w:rsidP="001248D9">
            <w:pPr>
              <w:pStyle w:val="CDITable-RowLeft"/>
            </w:pPr>
            <w:r w:rsidRPr="001248D9">
              <w:t>ST1424</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DD45CA" w14:textId="77777777" w:rsidR="001248D9" w:rsidRPr="001248D9" w:rsidRDefault="001248D9" w:rsidP="00350C6C">
            <w:pPr>
              <w:pStyle w:val="CDITable-RowCentre"/>
            </w:pPr>
            <w:r w:rsidRPr="001248D9">
              <w:t>53.2 (50)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CB1D0A" w14:textId="77777777" w:rsidR="001248D9" w:rsidRPr="001248D9" w:rsidRDefault="001248D9" w:rsidP="00350C6C">
            <w:pPr>
              <w:pStyle w:val="CDITable-RowCentre"/>
            </w:pPr>
            <w:r w:rsidRPr="001248D9">
              <w:t>2.1 (2)</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25ED7D" w14:textId="77777777" w:rsidR="001248D9" w:rsidRPr="001248D9" w:rsidRDefault="001248D9" w:rsidP="00350C6C">
            <w:pPr>
              <w:pStyle w:val="CDITable-RowCentre"/>
            </w:pPr>
            <w:r w:rsidRPr="001248D9">
              <w:t>2.1 (2)</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149A9D" w14:textId="77777777" w:rsidR="001248D9" w:rsidRPr="001248D9" w:rsidRDefault="001248D9" w:rsidP="00350C6C">
            <w:pPr>
              <w:pStyle w:val="CDITable-RowCentre"/>
            </w:pPr>
            <w:r w:rsidRPr="001248D9">
              <w:t>42.6 (40)</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7C80CE" w14:textId="77777777" w:rsidR="001248D9" w:rsidRPr="001248D9" w:rsidRDefault="001248D9" w:rsidP="00350C6C">
            <w:pPr>
              <w:pStyle w:val="CDITable-RowCentre"/>
            </w:pPr>
            <w:r w:rsidRPr="001248D9">
              <w:t>94</w:t>
            </w:r>
          </w:p>
        </w:tc>
      </w:tr>
      <w:tr w:rsidR="001248D9" w:rsidRPr="001248D9" w14:paraId="6B46AB41" w14:textId="77777777" w:rsidTr="00350C6C">
        <w:trPr>
          <w:trHeight w:val="60"/>
        </w:trPr>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5C8DBB" w14:textId="77777777" w:rsidR="001248D9" w:rsidRPr="001248D9" w:rsidRDefault="001248D9" w:rsidP="001248D9">
            <w:pPr>
              <w:pStyle w:val="CDITable-RowLeft"/>
            </w:pPr>
            <w:r w:rsidRPr="001248D9">
              <w:t>ST17</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B5E66C" w14:textId="77777777" w:rsidR="001248D9" w:rsidRPr="001248D9" w:rsidRDefault="001248D9" w:rsidP="00350C6C">
            <w:pPr>
              <w:pStyle w:val="CDITable-RowCentre"/>
            </w:pPr>
            <w:r w:rsidRPr="001248D9">
              <w:t>2.2 (2)</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558C83" w14:textId="77777777" w:rsidR="001248D9" w:rsidRPr="001248D9" w:rsidRDefault="001248D9" w:rsidP="00350C6C">
            <w:pPr>
              <w:pStyle w:val="CDITable-RowCentre"/>
            </w:pPr>
            <w:r w:rsidRPr="001248D9">
              <w:t>6.6 (6)</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FC37CF" w14:textId="77777777" w:rsidR="001248D9" w:rsidRPr="001248D9" w:rsidRDefault="001248D9" w:rsidP="00350C6C">
            <w:pPr>
              <w:pStyle w:val="CDITable-RowCentre"/>
            </w:pPr>
            <w:r w:rsidRPr="001248D9">
              <w:t>0.0 (0)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F5DF35" w14:textId="77777777" w:rsidR="001248D9" w:rsidRPr="001248D9" w:rsidRDefault="001248D9" w:rsidP="00350C6C">
            <w:pPr>
              <w:pStyle w:val="CDITable-RowCentre"/>
            </w:pPr>
            <w:r w:rsidRPr="001248D9">
              <w:t>91.2 (83)</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80DA61" w14:textId="77777777" w:rsidR="001248D9" w:rsidRPr="001248D9" w:rsidRDefault="001248D9" w:rsidP="00350C6C">
            <w:pPr>
              <w:pStyle w:val="CDITable-RowCentre"/>
            </w:pPr>
            <w:r w:rsidRPr="001248D9">
              <w:t>91</w:t>
            </w:r>
          </w:p>
        </w:tc>
      </w:tr>
      <w:tr w:rsidR="001248D9" w:rsidRPr="001248D9" w14:paraId="3A568859" w14:textId="77777777" w:rsidTr="00350C6C">
        <w:trPr>
          <w:trHeight w:val="60"/>
        </w:trPr>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24CBBC" w14:textId="77777777" w:rsidR="001248D9" w:rsidRPr="001248D9" w:rsidRDefault="001248D9" w:rsidP="001248D9">
            <w:pPr>
              <w:pStyle w:val="CDITable-RowLeft"/>
            </w:pPr>
            <w:r w:rsidRPr="001248D9">
              <w:t>ST80</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A8AD29" w14:textId="77777777" w:rsidR="001248D9" w:rsidRPr="001248D9" w:rsidRDefault="001248D9" w:rsidP="00350C6C">
            <w:pPr>
              <w:pStyle w:val="CDITable-RowCentre"/>
            </w:pPr>
            <w:r w:rsidRPr="001248D9">
              <w:t>4.8 (3)</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07CAC6" w14:textId="77777777" w:rsidR="001248D9" w:rsidRPr="001248D9" w:rsidRDefault="001248D9" w:rsidP="00350C6C">
            <w:pPr>
              <w:pStyle w:val="CDITable-RowCentre"/>
            </w:pPr>
            <w:r w:rsidRPr="001248D9">
              <w:t>9.5 (6)</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FACF58" w14:textId="77777777" w:rsidR="001248D9" w:rsidRPr="001248D9" w:rsidRDefault="001248D9" w:rsidP="00350C6C">
            <w:pPr>
              <w:pStyle w:val="CDITable-RowCentre"/>
            </w:pPr>
            <w:r w:rsidRPr="001248D9">
              <w:t>0.0 (0)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F12C66" w14:textId="77777777" w:rsidR="001248D9" w:rsidRPr="001248D9" w:rsidRDefault="001248D9" w:rsidP="00350C6C">
            <w:pPr>
              <w:pStyle w:val="CDITable-RowCentre"/>
            </w:pPr>
            <w:r w:rsidRPr="001248D9">
              <w:t>85.7 (54)</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411F33" w14:textId="77777777" w:rsidR="001248D9" w:rsidRPr="001248D9" w:rsidRDefault="001248D9" w:rsidP="00350C6C">
            <w:pPr>
              <w:pStyle w:val="CDITable-RowCentre"/>
            </w:pPr>
            <w:r w:rsidRPr="001248D9">
              <w:t>63</w:t>
            </w:r>
          </w:p>
        </w:tc>
      </w:tr>
      <w:tr w:rsidR="001248D9" w:rsidRPr="001248D9" w14:paraId="493EFE52" w14:textId="77777777" w:rsidTr="00350C6C">
        <w:trPr>
          <w:trHeight w:val="60"/>
        </w:trPr>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B9873E" w14:textId="77777777" w:rsidR="001248D9" w:rsidRPr="001248D9" w:rsidRDefault="001248D9" w:rsidP="001248D9">
            <w:pPr>
              <w:pStyle w:val="CDITable-RowLeft"/>
            </w:pPr>
            <w:r w:rsidRPr="001248D9">
              <w:t>ST1421</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860A58" w14:textId="77777777" w:rsidR="001248D9" w:rsidRPr="001248D9" w:rsidRDefault="001248D9" w:rsidP="00350C6C">
            <w:pPr>
              <w:pStyle w:val="CDITable-RowCentre"/>
            </w:pPr>
            <w:r w:rsidRPr="001248D9">
              <w:t>88.9 (40)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47D458" w14:textId="77777777" w:rsidR="001248D9" w:rsidRPr="001248D9" w:rsidRDefault="001248D9" w:rsidP="00350C6C">
            <w:pPr>
              <w:pStyle w:val="CDITable-RowCentre"/>
            </w:pPr>
            <w:r w:rsidRPr="001248D9">
              <w:t>0.0 (0)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AA0FE9" w14:textId="77777777" w:rsidR="001248D9" w:rsidRPr="001248D9" w:rsidRDefault="001248D9" w:rsidP="00350C6C">
            <w:pPr>
              <w:pStyle w:val="CDITable-RowCentre"/>
            </w:pPr>
            <w:r w:rsidRPr="001248D9">
              <w:t>0.0 (0)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310C41" w14:textId="77777777" w:rsidR="001248D9" w:rsidRPr="001248D9" w:rsidRDefault="001248D9" w:rsidP="00350C6C">
            <w:pPr>
              <w:pStyle w:val="CDITable-RowCentre"/>
            </w:pPr>
            <w:r w:rsidRPr="001248D9">
              <w:t>11.1 (5)</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AFCC57" w14:textId="77777777" w:rsidR="001248D9" w:rsidRPr="001248D9" w:rsidRDefault="001248D9" w:rsidP="00350C6C">
            <w:pPr>
              <w:pStyle w:val="CDITable-RowCentre"/>
            </w:pPr>
            <w:r w:rsidRPr="001248D9">
              <w:t>45</w:t>
            </w:r>
          </w:p>
        </w:tc>
      </w:tr>
      <w:tr w:rsidR="001248D9" w:rsidRPr="001248D9" w14:paraId="62042DE9" w14:textId="77777777" w:rsidTr="00350C6C">
        <w:trPr>
          <w:trHeight w:val="60"/>
        </w:trPr>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AF6C07" w14:textId="77777777" w:rsidR="001248D9" w:rsidRPr="001248D9" w:rsidRDefault="001248D9" w:rsidP="001248D9">
            <w:pPr>
              <w:pStyle w:val="CDITable-RowLeft"/>
            </w:pPr>
            <w:r w:rsidRPr="001248D9">
              <w:t>ST117</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D01306" w14:textId="77777777" w:rsidR="001248D9" w:rsidRPr="001248D9" w:rsidRDefault="001248D9" w:rsidP="00350C6C">
            <w:pPr>
              <w:pStyle w:val="CDITable-RowCentre"/>
            </w:pPr>
            <w:r w:rsidRPr="001248D9">
              <w:t>7.7 (2)</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7695C9" w14:textId="77777777" w:rsidR="001248D9" w:rsidRPr="001248D9" w:rsidRDefault="001248D9" w:rsidP="00350C6C">
            <w:pPr>
              <w:pStyle w:val="CDITable-RowCentre"/>
            </w:pPr>
            <w:r w:rsidRPr="001248D9">
              <w:t>3.8 (1)</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5D1A3C" w14:textId="77777777" w:rsidR="001248D9" w:rsidRPr="001248D9" w:rsidRDefault="001248D9" w:rsidP="00350C6C">
            <w:pPr>
              <w:pStyle w:val="CDITable-RowCentre"/>
            </w:pPr>
            <w:r w:rsidRPr="001248D9">
              <w:t>0.0 (0)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C43DF2" w14:textId="77777777" w:rsidR="001248D9" w:rsidRPr="001248D9" w:rsidRDefault="001248D9" w:rsidP="00350C6C">
            <w:pPr>
              <w:pStyle w:val="CDITable-RowCentre"/>
            </w:pPr>
            <w:r w:rsidRPr="001248D9">
              <w:t>88.5 (23)</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89580F" w14:textId="77777777" w:rsidR="001248D9" w:rsidRPr="001248D9" w:rsidRDefault="001248D9" w:rsidP="00350C6C">
            <w:pPr>
              <w:pStyle w:val="CDITable-RowCentre"/>
            </w:pPr>
            <w:r w:rsidRPr="001248D9">
              <w:t>26</w:t>
            </w:r>
          </w:p>
        </w:tc>
      </w:tr>
      <w:tr w:rsidR="001248D9" w:rsidRPr="001248D9" w14:paraId="25FF771B" w14:textId="77777777" w:rsidTr="00350C6C">
        <w:trPr>
          <w:trHeight w:val="60"/>
        </w:trPr>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622427" w14:textId="77777777" w:rsidR="001248D9" w:rsidRPr="001248D9" w:rsidRDefault="001248D9" w:rsidP="001248D9">
            <w:pPr>
              <w:pStyle w:val="CDITable-RowLeft"/>
            </w:pPr>
            <w:r w:rsidRPr="001248D9">
              <w:t>ST796</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11C436" w14:textId="77777777" w:rsidR="001248D9" w:rsidRPr="001248D9" w:rsidRDefault="001248D9" w:rsidP="00350C6C">
            <w:pPr>
              <w:pStyle w:val="CDITable-RowCentre"/>
            </w:pPr>
            <w:r w:rsidRPr="001248D9">
              <w:t>0.0 (0)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A10F81" w14:textId="77777777" w:rsidR="001248D9" w:rsidRPr="001248D9" w:rsidRDefault="001248D9" w:rsidP="00350C6C">
            <w:pPr>
              <w:pStyle w:val="CDITable-RowCentre"/>
            </w:pPr>
            <w:r w:rsidRPr="001248D9">
              <w:t>100.0 (17)</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DC9111" w14:textId="77777777" w:rsidR="001248D9" w:rsidRPr="001248D9" w:rsidRDefault="001248D9" w:rsidP="00350C6C">
            <w:pPr>
              <w:pStyle w:val="CDITable-RowCentre"/>
            </w:pPr>
            <w:r w:rsidRPr="001248D9">
              <w:t>0.0 (0)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B624C6" w14:textId="77777777" w:rsidR="001248D9" w:rsidRPr="001248D9" w:rsidRDefault="001248D9" w:rsidP="00350C6C">
            <w:pPr>
              <w:pStyle w:val="CDITable-RowCentre"/>
            </w:pPr>
            <w:r w:rsidRPr="001248D9">
              <w:t>0.0 (0)</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AD937A" w14:textId="77777777" w:rsidR="001248D9" w:rsidRPr="001248D9" w:rsidRDefault="001248D9" w:rsidP="00350C6C">
            <w:pPr>
              <w:pStyle w:val="CDITable-RowCentre"/>
            </w:pPr>
            <w:r w:rsidRPr="001248D9">
              <w:t>17</w:t>
            </w:r>
          </w:p>
        </w:tc>
      </w:tr>
      <w:tr w:rsidR="001248D9" w:rsidRPr="001248D9" w14:paraId="4EF84A4D" w14:textId="77777777" w:rsidTr="00350C6C">
        <w:trPr>
          <w:trHeight w:val="60"/>
        </w:trPr>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88FABC" w14:textId="77777777" w:rsidR="001248D9" w:rsidRPr="001248D9" w:rsidRDefault="001248D9" w:rsidP="001248D9">
            <w:pPr>
              <w:pStyle w:val="CDITable-RowLeft"/>
            </w:pPr>
            <w:r w:rsidRPr="001248D9">
              <w:t>ST555</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07D36B" w14:textId="77777777" w:rsidR="001248D9" w:rsidRPr="001248D9" w:rsidRDefault="001248D9" w:rsidP="00350C6C">
            <w:pPr>
              <w:pStyle w:val="CDITable-RowCentre"/>
            </w:pPr>
            <w:r w:rsidRPr="001248D9">
              <w:t>0.0 (0)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46708A" w14:textId="77777777" w:rsidR="001248D9" w:rsidRPr="001248D9" w:rsidRDefault="001248D9" w:rsidP="00350C6C">
            <w:pPr>
              <w:pStyle w:val="CDITable-RowCentre"/>
            </w:pPr>
            <w:r w:rsidRPr="001248D9">
              <w:t>91.7 (11)</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58083E" w14:textId="77777777" w:rsidR="001248D9" w:rsidRPr="001248D9" w:rsidRDefault="001248D9" w:rsidP="00350C6C">
            <w:pPr>
              <w:pStyle w:val="CDITable-RowCentre"/>
            </w:pPr>
            <w:r w:rsidRPr="001248D9">
              <w:t>0.0 (0)</w:t>
            </w:r>
          </w:p>
        </w:tc>
        <w:tc>
          <w:tcPr>
            <w:tcW w:w="1606"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410F83" w14:textId="77777777" w:rsidR="001248D9" w:rsidRPr="001248D9" w:rsidRDefault="001248D9" w:rsidP="00350C6C">
            <w:pPr>
              <w:pStyle w:val="CDITable-RowCentre"/>
            </w:pPr>
            <w:r w:rsidRPr="001248D9">
              <w:t>8.3 (1)</w:t>
            </w:r>
          </w:p>
        </w:tc>
        <w:tc>
          <w:tcPr>
            <w:tcW w:w="160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FCD807" w14:textId="77777777" w:rsidR="001248D9" w:rsidRPr="001248D9" w:rsidRDefault="001248D9" w:rsidP="00350C6C">
            <w:pPr>
              <w:pStyle w:val="CDITable-RowCentre"/>
            </w:pPr>
            <w:r w:rsidRPr="001248D9">
              <w:t>12</w:t>
            </w:r>
          </w:p>
        </w:tc>
      </w:tr>
      <w:tr w:rsidR="001248D9" w:rsidRPr="001248D9" w14:paraId="4807220E" w14:textId="77777777" w:rsidTr="00350C6C">
        <w:trPr>
          <w:trHeight w:val="60"/>
        </w:trPr>
        <w:tc>
          <w:tcPr>
            <w:tcW w:w="1606" w:type="dxa"/>
            <w:tcBorders>
              <w:top w:val="single" w:sz="6" w:space="0" w:color="1E4496" w:themeColor="text2"/>
            </w:tcBorders>
            <w:tcMar>
              <w:top w:w="113" w:type="dxa"/>
              <w:left w:w="113" w:type="dxa"/>
              <w:bottom w:w="113" w:type="dxa"/>
              <w:right w:w="113" w:type="dxa"/>
            </w:tcMar>
            <w:vAlign w:val="center"/>
          </w:tcPr>
          <w:p w14:paraId="264749EF" w14:textId="77777777" w:rsidR="001248D9" w:rsidRPr="001248D9" w:rsidRDefault="001248D9" w:rsidP="001248D9">
            <w:pPr>
              <w:pStyle w:val="CDITable-RowLeft"/>
            </w:pPr>
            <w:r w:rsidRPr="001248D9">
              <w:t>Other types</w:t>
            </w:r>
          </w:p>
        </w:tc>
        <w:tc>
          <w:tcPr>
            <w:tcW w:w="1607" w:type="dxa"/>
            <w:tcBorders>
              <w:top w:val="single" w:sz="6" w:space="0" w:color="1E4496" w:themeColor="text2"/>
            </w:tcBorders>
            <w:tcMar>
              <w:top w:w="113" w:type="dxa"/>
              <w:left w:w="113" w:type="dxa"/>
              <w:bottom w:w="113" w:type="dxa"/>
              <w:right w:w="113" w:type="dxa"/>
            </w:tcMar>
            <w:vAlign w:val="center"/>
          </w:tcPr>
          <w:p w14:paraId="17EC2720" w14:textId="77777777" w:rsidR="001248D9" w:rsidRPr="001248D9" w:rsidRDefault="001248D9" w:rsidP="00350C6C">
            <w:pPr>
              <w:pStyle w:val="CDITable-RowCentre"/>
            </w:pPr>
            <w:r w:rsidRPr="001248D9">
              <w:t>10.5 (8)</w:t>
            </w:r>
          </w:p>
        </w:tc>
        <w:tc>
          <w:tcPr>
            <w:tcW w:w="1606" w:type="dxa"/>
            <w:tcBorders>
              <w:top w:val="single" w:sz="6" w:space="0" w:color="1E4496" w:themeColor="text2"/>
            </w:tcBorders>
            <w:tcMar>
              <w:top w:w="113" w:type="dxa"/>
              <w:left w:w="113" w:type="dxa"/>
              <w:bottom w:w="113" w:type="dxa"/>
              <w:right w:w="113" w:type="dxa"/>
            </w:tcMar>
            <w:vAlign w:val="center"/>
          </w:tcPr>
          <w:p w14:paraId="59A5AD2C" w14:textId="77777777" w:rsidR="001248D9" w:rsidRPr="001248D9" w:rsidRDefault="001248D9" w:rsidP="00350C6C">
            <w:pPr>
              <w:pStyle w:val="CDITable-RowCentre"/>
            </w:pPr>
            <w:r w:rsidRPr="001248D9">
              <w:t>9.2 (7)</w:t>
            </w:r>
          </w:p>
        </w:tc>
        <w:tc>
          <w:tcPr>
            <w:tcW w:w="1606" w:type="dxa"/>
            <w:tcBorders>
              <w:top w:val="single" w:sz="6" w:space="0" w:color="1E4496" w:themeColor="text2"/>
            </w:tcBorders>
            <w:tcMar>
              <w:top w:w="113" w:type="dxa"/>
              <w:left w:w="113" w:type="dxa"/>
              <w:bottom w:w="113" w:type="dxa"/>
              <w:right w:w="113" w:type="dxa"/>
            </w:tcMar>
            <w:vAlign w:val="center"/>
          </w:tcPr>
          <w:p w14:paraId="43F153D1" w14:textId="77777777" w:rsidR="001248D9" w:rsidRPr="001248D9" w:rsidRDefault="001248D9" w:rsidP="00350C6C">
            <w:pPr>
              <w:pStyle w:val="CDITable-RowCentre"/>
            </w:pPr>
            <w:r w:rsidRPr="001248D9">
              <w:t>1.3 (1)</w:t>
            </w:r>
          </w:p>
        </w:tc>
        <w:tc>
          <w:tcPr>
            <w:tcW w:w="1606" w:type="dxa"/>
            <w:tcBorders>
              <w:top w:val="single" w:sz="6" w:space="0" w:color="1E4496" w:themeColor="text2"/>
            </w:tcBorders>
            <w:tcMar>
              <w:top w:w="113" w:type="dxa"/>
              <w:left w:w="113" w:type="dxa"/>
              <w:bottom w:w="113" w:type="dxa"/>
              <w:right w:w="113" w:type="dxa"/>
            </w:tcMar>
            <w:vAlign w:val="center"/>
          </w:tcPr>
          <w:p w14:paraId="1C2942CF" w14:textId="77777777" w:rsidR="001248D9" w:rsidRPr="001248D9" w:rsidRDefault="001248D9" w:rsidP="00350C6C">
            <w:pPr>
              <w:pStyle w:val="CDITable-RowCentre"/>
            </w:pPr>
            <w:r w:rsidRPr="001248D9">
              <w:t>78.9 (60)</w:t>
            </w:r>
          </w:p>
        </w:tc>
        <w:tc>
          <w:tcPr>
            <w:tcW w:w="1607" w:type="dxa"/>
            <w:tcBorders>
              <w:top w:val="single" w:sz="6" w:space="0" w:color="1E4496" w:themeColor="text2"/>
            </w:tcBorders>
            <w:tcMar>
              <w:top w:w="113" w:type="dxa"/>
              <w:left w:w="113" w:type="dxa"/>
              <w:bottom w:w="113" w:type="dxa"/>
              <w:right w:w="113" w:type="dxa"/>
            </w:tcMar>
            <w:vAlign w:val="center"/>
          </w:tcPr>
          <w:p w14:paraId="75F4B66B" w14:textId="77777777" w:rsidR="001248D9" w:rsidRPr="001248D9" w:rsidRDefault="001248D9" w:rsidP="00350C6C">
            <w:pPr>
              <w:pStyle w:val="CDITable-RowCentre"/>
            </w:pPr>
            <w:r w:rsidRPr="001248D9">
              <w:t>76</w:t>
            </w:r>
          </w:p>
        </w:tc>
      </w:tr>
      <w:tr w:rsidR="001248D9" w:rsidRPr="001248D9" w14:paraId="66FAFD1D" w14:textId="77777777" w:rsidTr="00350C6C">
        <w:trPr>
          <w:trHeight w:val="60"/>
        </w:trPr>
        <w:tc>
          <w:tcPr>
            <w:tcW w:w="1606" w:type="dxa"/>
            <w:shd w:val="clear" w:color="auto" w:fill="53C9F1" w:themeFill="background2"/>
            <w:tcMar>
              <w:top w:w="113" w:type="dxa"/>
              <w:left w:w="113" w:type="dxa"/>
              <w:bottom w:w="113" w:type="dxa"/>
              <w:right w:w="113" w:type="dxa"/>
            </w:tcMar>
            <w:vAlign w:val="center"/>
          </w:tcPr>
          <w:p w14:paraId="54B23E3D" w14:textId="77777777" w:rsidR="001248D9" w:rsidRPr="001248D9" w:rsidRDefault="001248D9" w:rsidP="001248D9">
            <w:pPr>
              <w:pStyle w:val="CDITable-TotalRowLeft"/>
            </w:pPr>
            <w:r w:rsidRPr="001248D9">
              <w:t>Total</w:t>
            </w:r>
          </w:p>
        </w:tc>
        <w:tc>
          <w:tcPr>
            <w:tcW w:w="1607" w:type="dxa"/>
            <w:shd w:val="clear" w:color="auto" w:fill="53C9F1" w:themeFill="background2"/>
            <w:tcMar>
              <w:top w:w="113" w:type="dxa"/>
              <w:left w:w="113" w:type="dxa"/>
              <w:bottom w:w="113" w:type="dxa"/>
              <w:right w:w="113" w:type="dxa"/>
            </w:tcMar>
            <w:vAlign w:val="center"/>
          </w:tcPr>
          <w:p w14:paraId="550A8B1E" w14:textId="77777777" w:rsidR="001248D9" w:rsidRPr="001248D9" w:rsidRDefault="001248D9" w:rsidP="001248D9">
            <w:pPr>
              <w:pStyle w:val="CDITable-TotalRowCentre"/>
            </w:pPr>
            <w:r w:rsidRPr="001248D9">
              <w:t>19.8 (105)</w:t>
            </w:r>
          </w:p>
        </w:tc>
        <w:tc>
          <w:tcPr>
            <w:tcW w:w="1606" w:type="dxa"/>
            <w:shd w:val="clear" w:color="auto" w:fill="53C9F1" w:themeFill="background2"/>
            <w:tcMar>
              <w:top w:w="113" w:type="dxa"/>
              <w:left w:w="113" w:type="dxa"/>
              <w:bottom w:w="113" w:type="dxa"/>
              <w:right w:w="113" w:type="dxa"/>
            </w:tcMar>
            <w:vAlign w:val="center"/>
          </w:tcPr>
          <w:p w14:paraId="1087D964" w14:textId="77777777" w:rsidR="001248D9" w:rsidRPr="001248D9" w:rsidRDefault="001248D9" w:rsidP="001248D9">
            <w:pPr>
              <w:pStyle w:val="CDITable-TotalRowCentre"/>
            </w:pPr>
            <w:r w:rsidRPr="001248D9">
              <w:t>29.4 (156)</w:t>
            </w:r>
          </w:p>
        </w:tc>
        <w:tc>
          <w:tcPr>
            <w:tcW w:w="1606" w:type="dxa"/>
            <w:shd w:val="clear" w:color="auto" w:fill="53C9F1" w:themeFill="background2"/>
            <w:tcMar>
              <w:top w:w="113" w:type="dxa"/>
              <w:left w:w="113" w:type="dxa"/>
              <w:bottom w:w="113" w:type="dxa"/>
              <w:right w:w="113" w:type="dxa"/>
            </w:tcMar>
            <w:vAlign w:val="center"/>
          </w:tcPr>
          <w:p w14:paraId="46AB7C7D" w14:textId="77777777" w:rsidR="001248D9" w:rsidRPr="001248D9" w:rsidRDefault="001248D9" w:rsidP="001248D9">
            <w:pPr>
              <w:pStyle w:val="CDITable-TotalRowCentre"/>
            </w:pPr>
            <w:r w:rsidRPr="001248D9">
              <w:t>0.6 (3)</w:t>
            </w:r>
          </w:p>
        </w:tc>
        <w:tc>
          <w:tcPr>
            <w:tcW w:w="1606" w:type="dxa"/>
            <w:shd w:val="clear" w:color="auto" w:fill="53C9F1" w:themeFill="background2"/>
            <w:tcMar>
              <w:top w:w="113" w:type="dxa"/>
              <w:left w:w="113" w:type="dxa"/>
              <w:bottom w:w="113" w:type="dxa"/>
              <w:right w:w="113" w:type="dxa"/>
            </w:tcMar>
            <w:vAlign w:val="center"/>
          </w:tcPr>
          <w:p w14:paraId="3BD392DD" w14:textId="77777777" w:rsidR="001248D9" w:rsidRPr="001248D9" w:rsidRDefault="001248D9" w:rsidP="001248D9">
            <w:pPr>
              <w:pStyle w:val="CDITable-TotalRowCentre"/>
            </w:pPr>
            <w:r w:rsidRPr="001248D9">
              <w:t>50.2 (266)</w:t>
            </w:r>
          </w:p>
        </w:tc>
        <w:tc>
          <w:tcPr>
            <w:tcW w:w="1607" w:type="dxa"/>
            <w:shd w:val="clear" w:color="auto" w:fill="53C9F1" w:themeFill="background2"/>
            <w:tcMar>
              <w:top w:w="113" w:type="dxa"/>
              <w:left w:w="113" w:type="dxa"/>
              <w:bottom w:w="113" w:type="dxa"/>
              <w:right w:w="113" w:type="dxa"/>
            </w:tcMar>
            <w:vAlign w:val="center"/>
          </w:tcPr>
          <w:p w14:paraId="3EB5FEC1" w14:textId="77777777" w:rsidR="001248D9" w:rsidRPr="001248D9" w:rsidRDefault="001248D9" w:rsidP="001248D9">
            <w:pPr>
              <w:pStyle w:val="CDITable-TotalRowCentre"/>
            </w:pPr>
            <w:r w:rsidRPr="001248D9">
              <w:t>530</w:t>
            </w:r>
          </w:p>
        </w:tc>
      </w:tr>
    </w:tbl>
    <w:p w14:paraId="4F8FBA86" w14:textId="77777777" w:rsidR="001248D9" w:rsidRPr="001248D9" w:rsidRDefault="001248D9" w:rsidP="001248D9">
      <w:pPr>
        <w:pStyle w:val="CDITable-FirstFootnote"/>
        <w:rPr>
          <w:lang w:val="en-GB"/>
        </w:rPr>
      </w:pPr>
      <w:r w:rsidRPr="001248D9">
        <w:rPr>
          <w:lang w:val="en-GB"/>
        </w:rPr>
        <w:t>a</w:t>
      </w:r>
      <w:r w:rsidRPr="001248D9">
        <w:rPr>
          <w:lang w:val="en-GB"/>
        </w:rPr>
        <w:tab/>
        <w:t xml:space="preserve">Percentage of total with </w:t>
      </w:r>
      <w:r w:rsidRPr="001248D9">
        <w:rPr>
          <w:i/>
          <w:iCs/>
          <w:lang w:val="en-GB"/>
        </w:rPr>
        <w:t>van</w:t>
      </w:r>
      <w:r w:rsidRPr="001248D9">
        <w:rPr>
          <w:lang w:val="en-GB"/>
        </w:rPr>
        <w:t xml:space="preserve"> genes, for a given MLST category.</w:t>
      </w:r>
    </w:p>
    <w:p w14:paraId="439391F3" w14:textId="1404EFD6" w:rsidR="001248D9" w:rsidRDefault="001248D9" w:rsidP="001248D9">
      <w:pPr>
        <w:pStyle w:val="CDITable-Footnote"/>
      </w:pPr>
      <w:r w:rsidRPr="001248D9">
        <w:rPr>
          <w:lang w:val="en-GB"/>
        </w:rPr>
        <w:t>b</w:t>
      </w:r>
      <w:r w:rsidRPr="001248D9">
        <w:rPr>
          <w:lang w:val="en-GB"/>
        </w:rPr>
        <w:tab/>
        <w:t>MLST: multilocus sequence type.</w:t>
      </w:r>
    </w:p>
    <w:p w14:paraId="6E250C19" w14:textId="77777777" w:rsidR="006E0B0E" w:rsidRDefault="008017B6" w:rsidP="008017B6">
      <w:pPr>
        <w:pStyle w:val="Heading1"/>
      </w:pPr>
      <w:bookmarkStart w:id="28" w:name="_Toc213142445"/>
      <w:bookmarkStart w:id="29" w:name="_Toc195519590"/>
      <w:bookmarkStart w:id="30" w:name="_Toc195522359"/>
      <w:r>
        <w:lastRenderedPageBreak/>
        <w:t>Discussion</w:t>
      </w:r>
      <w:bookmarkEnd w:id="28"/>
    </w:p>
    <w:p w14:paraId="41FE990A" w14:textId="77777777" w:rsidR="00B96376" w:rsidRPr="00B96376" w:rsidRDefault="00B96376" w:rsidP="00B96376">
      <w:pPr>
        <w:rPr>
          <w:lang w:val="en-GB"/>
        </w:rPr>
      </w:pPr>
      <w:r w:rsidRPr="00B96376">
        <w:rPr>
          <w:lang w:val="en-GB"/>
        </w:rPr>
        <w:t xml:space="preserve">Enterococci are intrinsically resistant to a broad range of antimicrobials including the cephalosporins and sulfonamides. Because of their ability to acquire additional antimicrobial resistance (AMR) through the transfer of plasmids and transposons and to disseminate easily in the hospital environment, enterococci have become difficult to treat and provide major infection control challenges. </w:t>
      </w:r>
    </w:p>
    <w:p w14:paraId="5F41DC1D" w14:textId="77777777" w:rsidR="00B96376" w:rsidRPr="00B96376" w:rsidRDefault="00B96376" w:rsidP="00B96376">
      <w:pPr>
        <w:rPr>
          <w:lang w:val="en-GB"/>
        </w:rPr>
      </w:pPr>
      <w:r w:rsidRPr="00B96376">
        <w:rPr>
          <w:lang w:val="en-GB"/>
        </w:rPr>
        <w:t xml:space="preserve">In AESOP 2024, a total of 41.0% of enterococcal bacteraemias were due to </w:t>
      </w:r>
      <w:r w:rsidRPr="00B96376">
        <w:rPr>
          <w:i/>
          <w:iCs/>
          <w:lang w:val="en-GB"/>
        </w:rPr>
        <w:t>E. faecium</w:t>
      </w:r>
      <w:r w:rsidRPr="00B96376">
        <w:rPr>
          <w:lang w:val="en-GB"/>
        </w:rPr>
        <w:t>, of which 44.5% (95% CI: 39.3–50.2) were phenotypically vancomycin resistant by Vitek</w:t>
      </w:r>
      <w:r w:rsidRPr="00B96376">
        <w:rPr>
          <w:vertAlign w:val="superscript"/>
          <w:lang w:val="en-GB"/>
        </w:rPr>
        <w:t>®</w:t>
      </w:r>
      <w:r w:rsidRPr="00B96376">
        <w:rPr>
          <w:lang w:val="en-GB"/>
        </w:rPr>
        <w:t xml:space="preserve"> 2 or BD Phoenix™. However, 49.8% of all </w:t>
      </w:r>
      <w:r w:rsidRPr="00B96376">
        <w:rPr>
          <w:i/>
          <w:iCs/>
          <w:lang w:val="en-GB"/>
        </w:rPr>
        <w:t>E. faecium</w:t>
      </w:r>
      <w:r w:rsidRPr="00B96376">
        <w:rPr>
          <w:lang w:val="en-GB"/>
        </w:rPr>
        <w:t xml:space="preserve"> isolates tested (289/580) harboured a </w:t>
      </w:r>
      <w:r w:rsidRPr="00B96376">
        <w:rPr>
          <w:i/>
          <w:iCs/>
          <w:lang w:val="en-GB"/>
        </w:rPr>
        <w:t>vanA</w:t>
      </w:r>
      <w:r w:rsidRPr="00B96376">
        <w:rPr>
          <w:lang w:val="en-GB"/>
        </w:rPr>
        <w:t xml:space="preserve"> and/or </w:t>
      </w:r>
      <w:r w:rsidRPr="00B96376">
        <w:rPr>
          <w:i/>
          <w:iCs/>
          <w:lang w:val="en-GB"/>
        </w:rPr>
        <w:t>vanB</w:t>
      </w:r>
      <w:r w:rsidRPr="00B96376">
        <w:rPr>
          <w:lang w:val="en-GB"/>
        </w:rPr>
        <w:t xml:space="preserve"> gene, of which 40.1% were </w:t>
      </w:r>
      <w:r w:rsidRPr="00B96376">
        <w:rPr>
          <w:i/>
          <w:iCs/>
          <w:lang w:val="en-GB"/>
        </w:rPr>
        <w:t>vanA</w:t>
      </w:r>
      <w:r w:rsidRPr="00B96376">
        <w:rPr>
          <w:lang w:val="en-GB"/>
        </w:rPr>
        <w:t xml:space="preserve">-positive. Overall, 119 </w:t>
      </w:r>
      <w:r w:rsidRPr="00B96376">
        <w:rPr>
          <w:i/>
          <w:iCs/>
          <w:lang w:val="en-GB"/>
        </w:rPr>
        <w:t>E. faecium</w:t>
      </w:r>
      <w:r w:rsidRPr="00B96376">
        <w:rPr>
          <w:lang w:val="en-GB"/>
        </w:rPr>
        <w:t xml:space="preserve"> isolates (20.5%) harboured the </w:t>
      </w:r>
      <w:r w:rsidRPr="00B96376">
        <w:rPr>
          <w:i/>
          <w:iCs/>
          <w:lang w:val="en-GB"/>
        </w:rPr>
        <w:t>vanA</w:t>
      </w:r>
      <w:r w:rsidRPr="00B96376">
        <w:rPr>
          <w:lang w:val="en-GB"/>
        </w:rPr>
        <w:t xml:space="preserve"> gene. Over the last five years (2020–2024), there has been a significant increasing trend in </w:t>
      </w:r>
      <w:r w:rsidRPr="00B96376">
        <w:rPr>
          <w:i/>
          <w:iCs/>
          <w:lang w:val="en-GB"/>
        </w:rPr>
        <w:t>vanA</w:t>
      </w:r>
      <w:r w:rsidRPr="00B96376">
        <w:rPr>
          <w:lang w:val="en-GB"/>
        </w:rPr>
        <w:t xml:space="preserve">-positive </w:t>
      </w:r>
      <w:r w:rsidRPr="00B96376">
        <w:rPr>
          <w:i/>
          <w:iCs/>
          <w:lang w:val="en-GB"/>
        </w:rPr>
        <w:t>E. faecium</w:t>
      </w:r>
      <w:r w:rsidRPr="00B96376">
        <w:rPr>
          <w:lang w:val="en-GB"/>
        </w:rPr>
        <w:t xml:space="preserve"> in Australia (χ</w:t>
      </w:r>
      <w:r w:rsidRPr="00B96376">
        <w:rPr>
          <w:vertAlign w:val="superscript"/>
          <w:lang w:val="en-GB"/>
        </w:rPr>
        <w:t>2</w:t>
      </w:r>
      <w:r w:rsidRPr="00B96376">
        <w:rPr>
          <w:lang w:val="en-GB"/>
        </w:rPr>
        <w:t xml:space="preserve"> for linear trend = 7.23; </w:t>
      </w:r>
      <w:r w:rsidRPr="00B96376">
        <w:rPr>
          <w:i/>
          <w:iCs/>
          <w:lang w:val="en-GB"/>
        </w:rPr>
        <w:t>p</w:t>
      </w:r>
      <w:r w:rsidRPr="00B96376">
        <w:rPr>
          <w:lang w:val="en-GB"/>
        </w:rPr>
        <w:t xml:space="preserve"> &lt; 0.01).</w:t>
      </w:r>
      <w:r w:rsidRPr="00B96376">
        <w:rPr>
          <w:vertAlign w:val="superscript"/>
          <w:lang w:val="en-GB"/>
        </w:rPr>
        <w:t>10–13</w:t>
      </w:r>
      <w:r w:rsidRPr="00B96376">
        <w:rPr>
          <w:lang w:val="en-GB"/>
        </w:rPr>
        <w:t xml:space="preserve"> This trend is primarily due to an increase in the number of ST1424 and ST1421 isolates. The majority of </w:t>
      </w:r>
      <w:r w:rsidRPr="00B96376">
        <w:rPr>
          <w:i/>
          <w:iCs/>
          <w:lang w:val="en-GB"/>
        </w:rPr>
        <w:t>E. faecium</w:t>
      </w:r>
      <w:r w:rsidRPr="00B96376">
        <w:rPr>
          <w:lang w:val="en-GB"/>
        </w:rPr>
        <w:t xml:space="preserve"> isolates were resistant to multiple antimicrobials. </w:t>
      </w:r>
    </w:p>
    <w:p w14:paraId="7CA6294F" w14:textId="77777777" w:rsidR="00B96376" w:rsidRPr="00B96376" w:rsidRDefault="00B96376" w:rsidP="00B96376">
      <w:pPr>
        <w:rPr>
          <w:lang w:val="en-GB"/>
        </w:rPr>
      </w:pPr>
      <w:r w:rsidRPr="00B96376">
        <w:rPr>
          <w:lang w:val="en-GB"/>
        </w:rPr>
        <w:t xml:space="preserve">As the AGAR programs are </w:t>
      </w:r>
      <w:proofErr w:type="gramStart"/>
      <w:r w:rsidRPr="00B96376">
        <w:rPr>
          <w:lang w:val="en-GB"/>
        </w:rPr>
        <w:t>similar to</w:t>
      </w:r>
      <w:proofErr w:type="gramEnd"/>
      <w:r w:rsidRPr="00B96376">
        <w:rPr>
          <w:lang w:val="en-GB"/>
        </w:rPr>
        <w:t xml:space="preserve"> the AMR surveillance programs conducted in Europe, comparison of Australian AMR data with other European countries is possible.</w:t>
      </w:r>
    </w:p>
    <w:p w14:paraId="0D8BC7AB" w14:textId="77777777" w:rsidR="00B96376" w:rsidRPr="00B96376" w:rsidRDefault="00B96376" w:rsidP="00B96376">
      <w:pPr>
        <w:rPr>
          <w:lang w:val="en-GB"/>
        </w:rPr>
      </w:pPr>
      <w:r w:rsidRPr="00B96376">
        <w:rPr>
          <w:lang w:val="en-GB"/>
        </w:rPr>
        <w:t xml:space="preserve">In the 2023 European AMR Surveillance Network (EARS-Net) program, the national percentages of vancomycin-resistant </w:t>
      </w:r>
      <w:r w:rsidRPr="00B96376">
        <w:rPr>
          <w:i/>
          <w:iCs/>
          <w:lang w:val="en-GB"/>
        </w:rPr>
        <w:t>E. faecium</w:t>
      </w:r>
      <w:r w:rsidRPr="00B96376">
        <w:rPr>
          <w:lang w:val="en-GB"/>
        </w:rPr>
        <w:t xml:space="preserve"> ranged from 0.0% in Iceland to 60.9% in Lithuania.</w:t>
      </w:r>
      <w:r w:rsidRPr="00B96376">
        <w:rPr>
          <w:vertAlign w:val="superscript"/>
          <w:lang w:val="en-GB"/>
        </w:rPr>
        <w:t>14,15</w:t>
      </w:r>
      <w:r w:rsidRPr="00B96376">
        <w:rPr>
          <w:lang w:val="en-GB"/>
        </w:rPr>
        <w:t xml:space="preserve"> The AESOP 2024 survey confirms that the incidence of vancomycin-resistant </w:t>
      </w:r>
      <w:r w:rsidRPr="00B96376">
        <w:rPr>
          <w:i/>
          <w:iCs/>
          <w:lang w:val="en-GB"/>
        </w:rPr>
        <w:t>E. faecium</w:t>
      </w:r>
      <w:r w:rsidRPr="00B96376">
        <w:rPr>
          <w:lang w:val="en-GB"/>
        </w:rPr>
        <w:t xml:space="preserve"> bacteraemia in Australia continues to be significantly higher than that recorded in most European countries.</w:t>
      </w:r>
    </w:p>
    <w:p w14:paraId="4677AA49" w14:textId="6E67D38E" w:rsidR="00B96376" w:rsidRPr="00B96376" w:rsidRDefault="00B96376" w:rsidP="00B96376">
      <w:pPr>
        <w:rPr>
          <w:lang w:val="en-GB"/>
        </w:rPr>
      </w:pPr>
      <w:r w:rsidRPr="00B96376">
        <w:rPr>
          <w:lang w:val="en-GB"/>
        </w:rPr>
        <w:t xml:space="preserve">Seventeen (10.0%) of the 170 </w:t>
      </w:r>
      <w:r w:rsidRPr="00B96376">
        <w:rPr>
          <w:i/>
          <w:iCs/>
          <w:lang w:val="en-GB"/>
        </w:rPr>
        <w:t>vanB</w:t>
      </w:r>
      <w:r w:rsidRPr="00B96376">
        <w:rPr>
          <w:lang w:val="en-GB"/>
        </w:rPr>
        <w:t xml:space="preserve">-positive </w:t>
      </w:r>
      <w:r w:rsidRPr="00B96376">
        <w:rPr>
          <w:i/>
          <w:iCs/>
          <w:lang w:val="en-GB"/>
        </w:rPr>
        <w:t>E. faecium</w:t>
      </w:r>
      <w:r w:rsidRPr="00B96376">
        <w:rPr>
          <w:lang w:val="en-GB"/>
        </w:rPr>
        <w:t xml:space="preserve">, and nine (7.8%) of the 116 </w:t>
      </w:r>
      <w:r w:rsidRPr="00B96376">
        <w:rPr>
          <w:i/>
          <w:iCs/>
          <w:lang w:val="en-GB"/>
        </w:rPr>
        <w:t>vanA</w:t>
      </w:r>
      <w:r w:rsidRPr="00B96376">
        <w:rPr>
          <w:lang w:val="en-GB"/>
        </w:rPr>
        <w:t xml:space="preserve">-positive </w:t>
      </w:r>
      <w:r w:rsidRPr="00B96376">
        <w:rPr>
          <w:i/>
          <w:iCs/>
          <w:lang w:val="en-GB"/>
        </w:rPr>
        <w:t>E. faecium</w:t>
      </w:r>
      <w:r w:rsidRPr="00B96376">
        <w:rPr>
          <w:lang w:val="en-GB"/>
        </w:rPr>
        <w:t xml:space="preserve"> isolates had a vancomycin MIC at or below the EUCAST susceptible breakpoint (≤</w:t>
      </w:r>
      <w:r>
        <w:rPr>
          <w:lang w:val="en-GB"/>
        </w:rPr>
        <w:t> </w:t>
      </w:r>
      <w:r w:rsidRPr="00B96376">
        <w:rPr>
          <w:lang w:val="en-GB"/>
        </w:rPr>
        <w:t>4</w:t>
      </w:r>
      <w:r>
        <w:rPr>
          <w:lang w:val="en-GB"/>
        </w:rPr>
        <w:t> </w:t>
      </w:r>
      <w:r w:rsidRPr="00B96376">
        <w:rPr>
          <w:lang w:val="en-GB"/>
        </w:rPr>
        <w:t>mg/L) and therefore would not have been identified using routine phenotypic antimicrobial susceptibility methods.</w:t>
      </w:r>
    </w:p>
    <w:p w14:paraId="77CC9113" w14:textId="77777777" w:rsidR="00B96376" w:rsidRPr="00B96376" w:rsidRDefault="00B96376" w:rsidP="00B96376">
      <w:pPr>
        <w:rPr>
          <w:lang w:val="en-GB"/>
        </w:rPr>
      </w:pPr>
      <w:r w:rsidRPr="00B96376">
        <w:rPr>
          <w:lang w:val="en-GB"/>
        </w:rPr>
        <w:t xml:space="preserve">WGS demonstrates that </w:t>
      </w:r>
      <w:r w:rsidRPr="00B96376">
        <w:rPr>
          <w:i/>
          <w:iCs/>
          <w:lang w:val="en-GB"/>
        </w:rPr>
        <w:t>E. faecium</w:t>
      </w:r>
      <w:r w:rsidRPr="00B96376">
        <w:rPr>
          <w:lang w:val="en-GB"/>
        </w:rPr>
        <w:t xml:space="preserve"> in Australia is polyclonal, consistent with the known plasticity of the enterococcal genome. The eight major </w:t>
      </w:r>
      <w:r w:rsidRPr="00B96376">
        <w:rPr>
          <w:i/>
          <w:iCs/>
          <w:lang w:val="en-GB"/>
        </w:rPr>
        <w:t>E. faecium</w:t>
      </w:r>
      <w:r w:rsidRPr="00B96376">
        <w:rPr>
          <w:lang w:val="en-GB"/>
        </w:rPr>
        <w:t xml:space="preserve"> STs identified form part of CC17, a global hospital-derived lineage that has successfully adapted to hospital environments. CC17 is characteristically ampicillin and quinolone resistant and subsequent acquisition of </w:t>
      </w:r>
      <w:r w:rsidRPr="00B96376">
        <w:rPr>
          <w:i/>
          <w:iCs/>
          <w:lang w:val="en-GB"/>
        </w:rPr>
        <w:t>vanA</w:t>
      </w:r>
      <w:r w:rsidRPr="00B96376">
        <w:rPr>
          <w:lang w:val="en-GB"/>
        </w:rPr>
        <w:t xml:space="preserve">- or </w:t>
      </w:r>
      <w:r w:rsidRPr="00B96376">
        <w:rPr>
          <w:i/>
          <w:iCs/>
          <w:lang w:val="en-GB"/>
        </w:rPr>
        <w:t>vanB</w:t>
      </w:r>
      <w:r w:rsidRPr="00B96376">
        <w:rPr>
          <w:lang w:val="en-GB"/>
        </w:rPr>
        <w:t>-containing transposons by horizontal transfer has resulted in multi-resistant CC17 enterococci with pandemic potential.</w:t>
      </w:r>
    </w:p>
    <w:p w14:paraId="1E4E0CE7" w14:textId="202BED84" w:rsidR="0001020A" w:rsidRDefault="00B96376" w:rsidP="00830AEA">
      <w:r w:rsidRPr="00B96376">
        <w:rPr>
          <w:lang w:val="en-GB"/>
        </w:rPr>
        <w:t xml:space="preserve">In AESOP 2024, eight </w:t>
      </w:r>
      <w:r w:rsidRPr="00B96376">
        <w:rPr>
          <w:i/>
          <w:iCs/>
          <w:lang w:val="en-GB"/>
        </w:rPr>
        <w:t>E. faecium</w:t>
      </w:r>
      <w:r w:rsidRPr="00B96376">
        <w:rPr>
          <w:lang w:val="en-GB"/>
        </w:rPr>
        <w:t xml:space="preserve"> STs predominated: ST78 (100% harboured </w:t>
      </w:r>
      <w:r w:rsidRPr="00B96376">
        <w:rPr>
          <w:i/>
          <w:iCs/>
          <w:lang w:val="en-GB"/>
        </w:rPr>
        <w:t>vanB</w:t>
      </w:r>
      <w:r w:rsidRPr="00B96376">
        <w:rPr>
          <w:lang w:val="en-GB"/>
        </w:rPr>
        <w:t xml:space="preserve">); ST1424 (53.2% </w:t>
      </w:r>
      <w:r w:rsidRPr="00B96376">
        <w:rPr>
          <w:i/>
          <w:iCs/>
          <w:lang w:val="en-GB"/>
        </w:rPr>
        <w:t>vanA</w:t>
      </w:r>
      <w:r w:rsidRPr="00B96376">
        <w:rPr>
          <w:lang w:val="en-GB"/>
        </w:rPr>
        <w:t xml:space="preserve">, 2.1% </w:t>
      </w:r>
      <w:r w:rsidRPr="00B96376">
        <w:rPr>
          <w:i/>
          <w:iCs/>
          <w:lang w:val="en-GB"/>
        </w:rPr>
        <w:t>vanB</w:t>
      </w:r>
      <w:r w:rsidRPr="00B96376">
        <w:rPr>
          <w:lang w:val="en-GB"/>
        </w:rPr>
        <w:t xml:space="preserve">); ST17 (2.2% </w:t>
      </w:r>
      <w:r w:rsidRPr="00B96376">
        <w:rPr>
          <w:i/>
          <w:iCs/>
          <w:lang w:val="en-GB"/>
        </w:rPr>
        <w:t>vanA</w:t>
      </w:r>
      <w:r w:rsidRPr="00B96376">
        <w:rPr>
          <w:lang w:val="en-GB"/>
        </w:rPr>
        <w:t xml:space="preserve">, 6.6% </w:t>
      </w:r>
      <w:r w:rsidRPr="00B96376">
        <w:rPr>
          <w:i/>
          <w:iCs/>
          <w:lang w:val="en-GB"/>
        </w:rPr>
        <w:t>vanB</w:t>
      </w:r>
      <w:r w:rsidRPr="00B96376">
        <w:rPr>
          <w:lang w:val="en-GB"/>
        </w:rPr>
        <w:t xml:space="preserve">); ST80 (4.8% </w:t>
      </w:r>
      <w:r w:rsidRPr="00B96376">
        <w:rPr>
          <w:i/>
          <w:iCs/>
          <w:lang w:val="en-GB"/>
        </w:rPr>
        <w:t>vanA</w:t>
      </w:r>
      <w:r w:rsidRPr="00B96376">
        <w:rPr>
          <w:lang w:val="en-GB"/>
        </w:rPr>
        <w:t xml:space="preserve">, 9.5% </w:t>
      </w:r>
      <w:r w:rsidRPr="00B96376">
        <w:rPr>
          <w:i/>
          <w:iCs/>
          <w:lang w:val="en-GB"/>
        </w:rPr>
        <w:t>vanB</w:t>
      </w:r>
      <w:r w:rsidRPr="00B96376">
        <w:rPr>
          <w:lang w:val="en-GB"/>
        </w:rPr>
        <w:t xml:space="preserve">), ST1421 (88.9% </w:t>
      </w:r>
      <w:r w:rsidRPr="00B96376">
        <w:rPr>
          <w:i/>
          <w:iCs/>
          <w:lang w:val="en-GB"/>
        </w:rPr>
        <w:t>vanA</w:t>
      </w:r>
      <w:r w:rsidRPr="00B96376">
        <w:rPr>
          <w:lang w:val="en-GB"/>
        </w:rPr>
        <w:t xml:space="preserve">) ST117 (7.7% </w:t>
      </w:r>
      <w:r w:rsidRPr="00B96376">
        <w:rPr>
          <w:i/>
          <w:iCs/>
          <w:lang w:val="en-GB"/>
        </w:rPr>
        <w:t>vanA</w:t>
      </w:r>
      <w:r w:rsidRPr="00B96376">
        <w:rPr>
          <w:lang w:val="en-GB"/>
        </w:rPr>
        <w:t xml:space="preserve">, 3.8% </w:t>
      </w:r>
      <w:r w:rsidRPr="00B96376">
        <w:rPr>
          <w:i/>
          <w:iCs/>
          <w:lang w:val="en-GB"/>
        </w:rPr>
        <w:t>vanB</w:t>
      </w:r>
      <w:r w:rsidRPr="00B96376">
        <w:rPr>
          <w:lang w:val="en-GB"/>
        </w:rPr>
        <w:t xml:space="preserve">), ST796 (100% </w:t>
      </w:r>
      <w:r w:rsidRPr="00B96376">
        <w:rPr>
          <w:i/>
          <w:iCs/>
          <w:lang w:val="en-GB"/>
        </w:rPr>
        <w:t>vanB</w:t>
      </w:r>
      <w:r w:rsidRPr="00B96376">
        <w:rPr>
          <w:lang w:val="en-GB"/>
        </w:rPr>
        <w:t xml:space="preserve">); and ST555 (91.7% </w:t>
      </w:r>
      <w:r w:rsidRPr="00B96376">
        <w:rPr>
          <w:i/>
          <w:iCs/>
          <w:lang w:val="en-GB"/>
        </w:rPr>
        <w:t>vanB</w:t>
      </w:r>
      <w:r w:rsidRPr="00B96376">
        <w:rPr>
          <w:lang w:val="en-GB"/>
        </w:rPr>
        <w:t xml:space="preserve">). </w:t>
      </w:r>
    </w:p>
    <w:p w14:paraId="3351AA19" w14:textId="5043AF67" w:rsidR="00FE2847" w:rsidRDefault="008017B6" w:rsidP="008017B6">
      <w:pPr>
        <w:pStyle w:val="Heading1"/>
      </w:pPr>
      <w:bookmarkStart w:id="31" w:name="_Toc213142446"/>
      <w:bookmarkEnd w:id="29"/>
      <w:bookmarkEnd w:id="30"/>
      <w:r>
        <w:lastRenderedPageBreak/>
        <w:t>Conclusion</w:t>
      </w:r>
      <w:r w:rsidR="00B96376">
        <w:t>s</w:t>
      </w:r>
      <w:bookmarkEnd w:id="31"/>
    </w:p>
    <w:p w14:paraId="556FDABE" w14:textId="1008F6E5" w:rsidR="00B96376" w:rsidRPr="00B96376" w:rsidRDefault="00B96376" w:rsidP="00B96376">
      <w:pPr>
        <w:rPr>
          <w:lang w:val="en-GB"/>
        </w:rPr>
      </w:pPr>
      <w:r w:rsidRPr="00B96376">
        <w:rPr>
          <w:lang w:val="en-GB"/>
        </w:rPr>
        <w:t xml:space="preserve">The AESOP 2024 study has shown that, although predominately caused by </w:t>
      </w:r>
      <w:r w:rsidRPr="00B96376">
        <w:rPr>
          <w:i/>
          <w:iCs/>
          <w:lang w:val="en-GB"/>
        </w:rPr>
        <w:t>E. faecalis</w:t>
      </w:r>
      <w:r w:rsidRPr="00B96376">
        <w:rPr>
          <w:lang w:val="en-GB"/>
        </w:rPr>
        <w:t xml:space="preserve">, enterococcal bacteraemia in Australia is frequently caused by ampicillin-resistant, high-level gentamicin-resistant and vancomycin-resistant </w:t>
      </w:r>
      <w:r w:rsidRPr="00B96376">
        <w:rPr>
          <w:i/>
          <w:iCs/>
          <w:lang w:val="en-GB"/>
        </w:rPr>
        <w:t>E. faecium</w:t>
      </w:r>
      <w:r w:rsidRPr="00B96376">
        <w:rPr>
          <w:lang w:val="en-GB"/>
        </w:rPr>
        <w:t xml:space="preserve">. Furthermore, the percentage of </w:t>
      </w:r>
      <w:r w:rsidRPr="00B96376">
        <w:rPr>
          <w:i/>
          <w:iCs/>
          <w:lang w:val="en-GB"/>
        </w:rPr>
        <w:t>E.</w:t>
      </w:r>
      <w:r>
        <w:rPr>
          <w:i/>
          <w:iCs/>
          <w:lang w:val="en-GB"/>
        </w:rPr>
        <w:t> </w:t>
      </w:r>
      <w:r w:rsidRPr="00B96376">
        <w:rPr>
          <w:i/>
          <w:iCs/>
          <w:lang w:val="en-GB"/>
        </w:rPr>
        <w:t>faecium</w:t>
      </w:r>
      <w:r w:rsidRPr="00B96376">
        <w:rPr>
          <w:lang w:val="en-GB"/>
        </w:rPr>
        <w:t xml:space="preserve"> bacteraemia isolates resistant to vancomycin in Australia (44.5%) remains significantly higher than that seen in most European countries. In addition to being a significant cause of healthcare-associated bacteraemia, the emergence of multiple multi-resistant hospital-adapted </w:t>
      </w:r>
      <w:r w:rsidRPr="00B96376">
        <w:rPr>
          <w:i/>
          <w:iCs/>
          <w:lang w:val="en-GB"/>
        </w:rPr>
        <w:t>E.</w:t>
      </w:r>
      <w:r>
        <w:rPr>
          <w:i/>
          <w:iCs/>
          <w:lang w:val="en-GB"/>
        </w:rPr>
        <w:t> </w:t>
      </w:r>
      <w:r w:rsidRPr="00B96376">
        <w:rPr>
          <w:i/>
          <w:iCs/>
          <w:lang w:val="en-GB"/>
        </w:rPr>
        <w:t>faecium</w:t>
      </w:r>
      <w:r w:rsidRPr="00B96376">
        <w:rPr>
          <w:lang w:val="en-GB"/>
        </w:rPr>
        <w:t xml:space="preserve"> strains has become a major infection control issue in Australian hospitals. </w:t>
      </w:r>
    </w:p>
    <w:p w14:paraId="5EF7530D" w14:textId="2555E376" w:rsidR="008017B6" w:rsidRPr="008017B6" w:rsidRDefault="00B96376" w:rsidP="008017B6">
      <w:r w:rsidRPr="00B96376">
        <w:rPr>
          <w:lang w:val="en-GB"/>
        </w:rPr>
        <w:t>Ongoing studies on the enterococcal genome will contribute to our understanding of the rapid and ongoing evolution of enterococci in the hospital environment and will assist in preventing their nosocomial transmission.</w:t>
      </w:r>
    </w:p>
    <w:p w14:paraId="513A0EFC" w14:textId="77777777" w:rsidR="00F216F0" w:rsidRDefault="00F216F0" w:rsidP="00F216F0">
      <w:pPr>
        <w:pStyle w:val="Heading1"/>
      </w:pPr>
      <w:bookmarkStart w:id="32" w:name="_Toc195530510"/>
      <w:bookmarkStart w:id="33" w:name="_Toc213142447"/>
      <w:bookmarkStart w:id="34" w:name="_Toc195530508"/>
      <w:r>
        <w:lastRenderedPageBreak/>
        <w:t>Acknowledgments</w:t>
      </w:r>
      <w:bookmarkEnd w:id="32"/>
      <w:bookmarkEnd w:id="33"/>
    </w:p>
    <w:p w14:paraId="3179CD2D" w14:textId="77777777" w:rsidR="00B96376" w:rsidRPr="00B96376" w:rsidRDefault="00B96376" w:rsidP="00B96376">
      <w:pPr>
        <w:rPr>
          <w:lang w:val="en-GB"/>
        </w:rPr>
      </w:pPr>
      <w:bookmarkStart w:id="35" w:name="_Hlk213152373"/>
      <w:r w:rsidRPr="00B96376">
        <w:rPr>
          <w:lang w:val="en-GB"/>
        </w:rPr>
        <w:t>This study was funded by the Australian Government, Department of Health, Disability and Ageing.</w:t>
      </w:r>
    </w:p>
    <w:p w14:paraId="28C114A3" w14:textId="77777777" w:rsidR="00B96376" w:rsidRPr="00B96376" w:rsidRDefault="00B96376" w:rsidP="00B96376">
      <w:pPr>
        <w:rPr>
          <w:lang w:val="en-GB"/>
        </w:rPr>
      </w:pPr>
      <w:r w:rsidRPr="00B96376">
        <w:rPr>
          <w:lang w:val="en-GB"/>
        </w:rPr>
        <w:t>Members of the AGAR in 2024 were:</w:t>
      </w:r>
    </w:p>
    <w:p w14:paraId="12416A2A" w14:textId="77777777" w:rsidR="00B96376" w:rsidRPr="00B96376" w:rsidRDefault="00B96376" w:rsidP="00B96376">
      <w:pPr>
        <w:spacing w:before="240"/>
        <w:rPr>
          <w:b/>
          <w:bCs/>
          <w:lang w:val="en-GB"/>
        </w:rPr>
      </w:pPr>
      <w:r w:rsidRPr="00B96376">
        <w:rPr>
          <w:b/>
          <w:bCs/>
          <w:lang w:val="en-GB"/>
        </w:rPr>
        <w:t>Australian Capital Territory</w:t>
      </w:r>
    </w:p>
    <w:p w14:paraId="72928287" w14:textId="77777777" w:rsidR="00B96376" w:rsidRPr="00B96376" w:rsidRDefault="00B96376" w:rsidP="00B96376">
      <w:pPr>
        <w:rPr>
          <w:lang w:val="en-GB"/>
        </w:rPr>
      </w:pPr>
      <w:r w:rsidRPr="00B96376">
        <w:rPr>
          <w:lang w:val="en-GB"/>
        </w:rPr>
        <w:t>The Canberra Hospital, Peter Collignon and Susan Bradbury</w:t>
      </w:r>
    </w:p>
    <w:p w14:paraId="79A67ADD" w14:textId="77777777" w:rsidR="00B96376" w:rsidRPr="00B96376" w:rsidRDefault="00B96376" w:rsidP="00B96376">
      <w:pPr>
        <w:spacing w:before="240"/>
        <w:rPr>
          <w:b/>
          <w:bCs/>
          <w:lang w:val="en-GB"/>
        </w:rPr>
      </w:pPr>
      <w:r w:rsidRPr="00B96376">
        <w:rPr>
          <w:b/>
          <w:bCs/>
          <w:lang w:val="en-GB"/>
        </w:rPr>
        <w:t xml:space="preserve">New South Wales </w:t>
      </w:r>
    </w:p>
    <w:p w14:paraId="02C45A03" w14:textId="77777777" w:rsidR="00B96376" w:rsidRPr="00B96376" w:rsidRDefault="00B96376" w:rsidP="00B96376">
      <w:pPr>
        <w:rPr>
          <w:lang w:val="en-GB"/>
        </w:rPr>
      </w:pPr>
      <w:r w:rsidRPr="00B96376">
        <w:rPr>
          <w:lang w:val="en-GB"/>
        </w:rPr>
        <w:t xml:space="preserve">Children’s Hospital Westmead, Annaleise Howard-Jones and Zorana McDavitt </w:t>
      </w:r>
    </w:p>
    <w:p w14:paraId="41BDE3F4" w14:textId="77777777" w:rsidR="00B96376" w:rsidRPr="00B96376" w:rsidRDefault="00B96376" w:rsidP="00B96376">
      <w:pPr>
        <w:pStyle w:val="Normal-lessspace"/>
      </w:pPr>
      <w:r w:rsidRPr="00B96376">
        <w:t>Concord Hospital, Thomas Gottlieb and John Huynh</w:t>
      </w:r>
    </w:p>
    <w:p w14:paraId="2CDEF0B2" w14:textId="77777777" w:rsidR="00B96376" w:rsidRPr="00B96376" w:rsidRDefault="00B96376" w:rsidP="00B96376">
      <w:pPr>
        <w:pStyle w:val="Normal-lessspace"/>
      </w:pPr>
      <w:r w:rsidRPr="00B96376">
        <w:t xml:space="preserve">Gosford Hospital, Gabrielle O’Kane and Nola </w:t>
      </w:r>
      <w:proofErr w:type="spellStart"/>
      <w:r w:rsidRPr="00B96376">
        <w:t>Hitchick</w:t>
      </w:r>
      <w:proofErr w:type="spellEnd"/>
    </w:p>
    <w:p w14:paraId="7FC49A1A" w14:textId="77777777" w:rsidR="00B96376" w:rsidRPr="00B96376" w:rsidRDefault="00B96376" w:rsidP="00B96376">
      <w:pPr>
        <w:pStyle w:val="Normal-lessspace"/>
      </w:pPr>
      <w:r w:rsidRPr="00B96376">
        <w:t>Liverpool Hospital, Michael Maley and Helen Ziochos</w:t>
      </w:r>
    </w:p>
    <w:p w14:paraId="3458D58D" w14:textId="77777777" w:rsidR="00B96376" w:rsidRPr="00B96376" w:rsidRDefault="00B96376" w:rsidP="00B96376">
      <w:pPr>
        <w:pStyle w:val="Normal-lessspace"/>
      </w:pPr>
      <w:r w:rsidRPr="00B96376">
        <w:t>Nepean Hospital, James Branley and Linda Douglass</w:t>
      </w:r>
    </w:p>
    <w:p w14:paraId="4F0550AC" w14:textId="77777777" w:rsidR="00B96376" w:rsidRPr="00B96376" w:rsidRDefault="00B96376" w:rsidP="00B96376">
      <w:pPr>
        <w:pStyle w:val="Normal-lessspace"/>
      </w:pPr>
      <w:r w:rsidRPr="00B96376">
        <w:t>Prince of Wales and Sydney Children’s Hospital, Monica Lahra and Peter Huntington</w:t>
      </w:r>
    </w:p>
    <w:p w14:paraId="19F4B725" w14:textId="77777777" w:rsidR="00B96376" w:rsidRPr="00B96376" w:rsidRDefault="00B96376" w:rsidP="00B96376">
      <w:pPr>
        <w:pStyle w:val="Normal-lessspace"/>
      </w:pPr>
      <w:r w:rsidRPr="00B96376">
        <w:t>Royal North Shore Hospital, Angela Wong</w:t>
      </w:r>
    </w:p>
    <w:p w14:paraId="5C22C60E" w14:textId="77777777" w:rsidR="00B96376" w:rsidRPr="00B96376" w:rsidRDefault="00B96376" w:rsidP="00B96376">
      <w:pPr>
        <w:pStyle w:val="Normal-lessspace"/>
      </w:pPr>
      <w:r w:rsidRPr="00B96376">
        <w:t>St Vincent’s Hospital, David Lorenz</w:t>
      </w:r>
    </w:p>
    <w:p w14:paraId="3D14E918" w14:textId="77777777" w:rsidR="00B96376" w:rsidRPr="00B96376" w:rsidRDefault="00B96376" w:rsidP="00B96376">
      <w:pPr>
        <w:pStyle w:val="Normal-lessspace"/>
      </w:pPr>
      <w:r w:rsidRPr="00B96376">
        <w:t>Westmead Hospital, Jon Iredell and Jignasa Purani</w:t>
      </w:r>
    </w:p>
    <w:p w14:paraId="663F07AC" w14:textId="77777777" w:rsidR="00B96376" w:rsidRPr="00B96376" w:rsidRDefault="00B96376" w:rsidP="00B96376">
      <w:pPr>
        <w:pStyle w:val="Normal-lessspace"/>
      </w:pPr>
      <w:r w:rsidRPr="00B96376">
        <w:t>Wollongong Hospital, Peter Newton and Melissa Hoddle</w:t>
      </w:r>
    </w:p>
    <w:p w14:paraId="1B16360A" w14:textId="77777777" w:rsidR="00B96376" w:rsidRPr="00B96376" w:rsidRDefault="00B96376" w:rsidP="00B96376">
      <w:pPr>
        <w:spacing w:before="240"/>
        <w:rPr>
          <w:b/>
          <w:bCs/>
          <w:lang w:val="en-GB"/>
        </w:rPr>
      </w:pPr>
      <w:r w:rsidRPr="00B96376">
        <w:rPr>
          <w:b/>
          <w:bCs/>
          <w:lang w:val="en-GB"/>
        </w:rPr>
        <w:t>Northern Territory</w:t>
      </w:r>
    </w:p>
    <w:p w14:paraId="3E23EE55" w14:textId="77777777" w:rsidR="00B96376" w:rsidRPr="00B96376" w:rsidRDefault="00B96376" w:rsidP="00B96376">
      <w:pPr>
        <w:rPr>
          <w:lang w:val="en-GB"/>
        </w:rPr>
      </w:pPr>
      <w:r w:rsidRPr="00B96376">
        <w:rPr>
          <w:lang w:val="en-GB"/>
        </w:rPr>
        <w:t>Alice Springs Hospital, James McLeod</w:t>
      </w:r>
    </w:p>
    <w:p w14:paraId="037AFE69" w14:textId="77777777" w:rsidR="00B96376" w:rsidRPr="00B96376" w:rsidRDefault="00B96376" w:rsidP="00B96376">
      <w:pPr>
        <w:pStyle w:val="Normal-lessspace"/>
      </w:pPr>
      <w:r w:rsidRPr="00B96376">
        <w:t>Royal Darwin Hospital, Rob Baird and Jann Hennessy</w:t>
      </w:r>
    </w:p>
    <w:p w14:paraId="207EB938" w14:textId="6A31620E" w:rsidR="00B96376" w:rsidRPr="00B96376" w:rsidRDefault="00B96376" w:rsidP="00B96376">
      <w:pPr>
        <w:spacing w:before="240"/>
        <w:rPr>
          <w:b/>
          <w:bCs/>
          <w:lang w:val="en-GB"/>
        </w:rPr>
      </w:pPr>
      <w:r w:rsidRPr="00B96376">
        <w:rPr>
          <w:b/>
          <w:bCs/>
          <w:lang w:val="en-GB"/>
        </w:rPr>
        <w:t>Queensland</w:t>
      </w:r>
    </w:p>
    <w:p w14:paraId="3894603A" w14:textId="77777777" w:rsidR="00B96376" w:rsidRPr="00B96376" w:rsidRDefault="00B96376" w:rsidP="00B96376">
      <w:pPr>
        <w:rPr>
          <w:lang w:val="en-GB"/>
        </w:rPr>
      </w:pPr>
      <w:r w:rsidRPr="00B96376">
        <w:rPr>
          <w:lang w:val="en-GB"/>
        </w:rPr>
        <w:t>Cairns Base Hospital, Enzo Binotto and Annika Klein</w:t>
      </w:r>
    </w:p>
    <w:p w14:paraId="2F3C6478" w14:textId="77777777" w:rsidR="00B96376" w:rsidRPr="00B96376" w:rsidRDefault="00B96376" w:rsidP="00B96376">
      <w:pPr>
        <w:pStyle w:val="Normal-lessspace"/>
      </w:pPr>
      <w:r w:rsidRPr="00B96376">
        <w:t xml:space="preserve">Gold Coast Hospital, Petra Derrington and Cheryl Curtis </w:t>
      </w:r>
    </w:p>
    <w:p w14:paraId="3AE70970" w14:textId="77777777" w:rsidR="00B96376" w:rsidRPr="00B96376" w:rsidRDefault="00B96376" w:rsidP="00B96376">
      <w:pPr>
        <w:pStyle w:val="Normal-lessspace"/>
      </w:pPr>
      <w:proofErr w:type="spellStart"/>
      <w:r w:rsidRPr="00B96376">
        <w:t>Greenslopes</w:t>
      </w:r>
      <w:proofErr w:type="spellEnd"/>
      <w:r w:rsidRPr="00B96376">
        <w:t xml:space="preserve"> Hospital and Mater Hospital Townsville, Jennifer Robson and Marianne Allen</w:t>
      </w:r>
    </w:p>
    <w:p w14:paraId="4C61F038" w14:textId="77777777" w:rsidR="00B96376" w:rsidRPr="00B96376" w:rsidRDefault="00B96376" w:rsidP="00B96376">
      <w:pPr>
        <w:pStyle w:val="Normal-lessspace"/>
      </w:pPr>
      <w:r w:rsidRPr="00B96376">
        <w:t>Prince Charles Hospital, Robert Horvath</w:t>
      </w:r>
    </w:p>
    <w:p w14:paraId="644968B6" w14:textId="77777777" w:rsidR="00B96376" w:rsidRPr="00B96376" w:rsidRDefault="00B96376" w:rsidP="00B96376">
      <w:pPr>
        <w:pStyle w:val="Normal-lessspace"/>
      </w:pPr>
      <w:r w:rsidRPr="00B96376">
        <w:t xml:space="preserve">Princess Alexandra Hospital, Naomi </w:t>
      </w:r>
      <w:proofErr w:type="spellStart"/>
      <w:r w:rsidRPr="00B96376">
        <w:t>Runnegar</w:t>
      </w:r>
      <w:proofErr w:type="spellEnd"/>
      <w:r w:rsidRPr="00B96376">
        <w:t xml:space="preserve"> and Anna Jones</w:t>
      </w:r>
    </w:p>
    <w:p w14:paraId="6F42FC2F" w14:textId="77777777" w:rsidR="00B96376" w:rsidRPr="00B96376" w:rsidRDefault="00B96376" w:rsidP="00B96376">
      <w:pPr>
        <w:pStyle w:val="Normal-lessspace"/>
      </w:pPr>
      <w:r w:rsidRPr="00B96376">
        <w:t>Queensland Children’s Hospital, Clare Nourse and Jessie Bostock</w:t>
      </w:r>
    </w:p>
    <w:p w14:paraId="77D190C1" w14:textId="77777777" w:rsidR="00B96376" w:rsidRPr="00B96376" w:rsidRDefault="00B96376" w:rsidP="00B96376">
      <w:pPr>
        <w:pStyle w:val="Normal-lessspace"/>
      </w:pPr>
      <w:r w:rsidRPr="00B96376">
        <w:t>Royal Brisbane and Women’s Hospital, Michael Thomas and Jessie Bostock</w:t>
      </w:r>
    </w:p>
    <w:p w14:paraId="3DAB3BB7" w14:textId="77777777" w:rsidR="00B96376" w:rsidRPr="00B96376" w:rsidRDefault="00B96376" w:rsidP="00B96376">
      <w:pPr>
        <w:spacing w:before="240"/>
        <w:rPr>
          <w:b/>
          <w:bCs/>
          <w:lang w:val="en-GB"/>
        </w:rPr>
      </w:pPr>
      <w:r w:rsidRPr="00B96376">
        <w:rPr>
          <w:b/>
          <w:bCs/>
          <w:lang w:val="en-GB"/>
        </w:rPr>
        <w:t>South Australia</w:t>
      </w:r>
    </w:p>
    <w:p w14:paraId="6D1EC234" w14:textId="77777777" w:rsidR="00B96376" w:rsidRPr="00B96376" w:rsidRDefault="00B96376" w:rsidP="00B96376">
      <w:pPr>
        <w:rPr>
          <w:lang w:val="en-GB"/>
        </w:rPr>
      </w:pPr>
      <w:r w:rsidRPr="00B96376">
        <w:rPr>
          <w:lang w:val="en-GB"/>
        </w:rPr>
        <w:t xml:space="preserve">Flinders Medical Centre, Kelly </w:t>
      </w:r>
      <w:proofErr w:type="spellStart"/>
      <w:r w:rsidRPr="00B96376">
        <w:rPr>
          <w:lang w:val="en-GB"/>
        </w:rPr>
        <w:t>Papanaoum</w:t>
      </w:r>
      <w:proofErr w:type="spellEnd"/>
      <w:r w:rsidRPr="00B96376">
        <w:rPr>
          <w:lang w:val="en-GB"/>
        </w:rPr>
        <w:t xml:space="preserve"> and Xiao Ming Chen</w:t>
      </w:r>
    </w:p>
    <w:p w14:paraId="500D4637" w14:textId="77777777" w:rsidR="00B96376" w:rsidRPr="00B96376" w:rsidRDefault="00B96376" w:rsidP="00B96376">
      <w:pPr>
        <w:pStyle w:val="Normal-lessspace"/>
      </w:pPr>
      <w:r w:rsidRPr="00B96376">
        <w:t>Royal Adelaide Hospital and Women’s and Children’s Hospital, Morgyn Warner and Kija Smith</w:t>
      </w:r>
    </w:p>
    <w:p w14:paraId="284B999A" w14:textId="038BB10C" w:rsidR="00B96376" w:rsidRPr="00B96376" w:rsidRDefault="00B96376" w:rsidP="00B96376">
      <w:pPr>
        <w:keepNext/>
        <w:spacing w:before="240"/>
        <w:rPr>
          <w:b/>
          <w:bCs/>
          <w:lang w:val="en-GB"/>
        </w:rPr>
      </w:pPr>
      <w:r w:rsidRPr="00B96376">
        <w:rPr>
          <w:b/>
          <w:bCs/>
          <w:lang w:val="en-GB"/>
        </w:rPr>
        <w:lastRenderedPageBreak/>
        <w:t>Tasmania</w:t>
      </w:r>
    </w:p>
    <w:p w14:paraId="775078D1" w14:textId="77777777" w:rsidR="00B96376" w:rsidRPr="00B96376" w:rsidRDefault="00B96376" w:rsidP="00B96376">
      <w:pPr>
        <w:rPr>
          <w:lang w:val="en-GB"/>
        </w:rPr>
      </w:pPr>
      <w:r w:rsidRPr="00B96376">
        <w:rPr>
          <w:lang w:val="en-GB"/>
        </w:rPr>
        <w:t xml:space="preserve">Launceston General Hospital, Pankaja </w:t>
      </w:r>
      <w:proofErr w:type="spellStart"/>
      <w:r w:rsidRPr="00B96376">
        <w:rPr>
          <w:lang w:val="en-GB"/>
        </w:rPr>
        <w:t>Kalukottege</w:t>
      </w:r>
      <w:proofErr w:type="spellEnd"/>
      <w:r w:rsidRPr="00B96376">
        <w:rPr>
          <w:lang w:val="en-GB"/>
        </w:rPr>
        <w:t xml:space="preserve"> and Brooke Woolley</w:t>
      </w:r>
    </w:p>
    <w:p w14:paraId="6537DBE4" w14:textId="77777777" w:rsidR="00B96376" w:rsidRPr="00B96376" w:rsidRDefault="00B96376" w:rsidP="00B96376">
      <w:pPr>
        <w:pStyle w:val="Normal-lessspace"/>
      </w:pPr>
      <w:r w:rsidRPr="00B96376">
        <w:t>Royal Hobart Hospital, Louise Cooley and Belinda McEwan</w:t>
      </w:r>
    </w:p>
    <w:p w14:paraId="2AFB9E4F" w14:textId="42A61882" w:rsidR="00B96376" w:rsidRPr="00B96376" w:rsidRDefault="00B96376" w:rsidP="00B96376">
      <w:pPr>
        <w:spacing w:before="240"/>
        <w:rPr>
          <w:b/>
          <w:bCs/>
          <w:lang w:val="en-GB"/>
        </w:rPr>
      </w:pPr>
      <w:r w:rsidRPr="00B96376">
        <w:rPr>
          <w:b/>
          <w:bCs/>
          <w:lang w:val="en-GB"/>
        </w:rPr>
        <w:t>Victoria</w:t>
      </w:r>
    </w:p>
    <w:p w14:paraId="11F5066F" w14:textId="77777777" w:rsidR="00B96376" w:rsidRPr="00B96376" w:rsidRDefault="00B96376" w:rsidP="00B96376">
      <w:pPr>
        <w:rPr>
          <w:lang w:val="en-GB"/>
        </w:rPr>
      </w:pPr>
      <w:r w:rsidRPr="00B96376">
        <w:rPr>
          <w:lang w:val="en-GB"/>
        </w:rPr>
        <w:t>Alfred Hospital, Adam Jenney and Jacqueline Williams</w:t>
      </w:r>
    </w:p>
    <w:p w14:paraId="0004799D" w14:textId="77777777" w:rsidR="00B96376" w:rsidRPr="00B96376" w:rsidRDefault="00B96376" w:rsidP="00B96376">
      <w:pPr>
        <w:pStyle w:val="Normal-lessspace"/>
      </w:pPr>
      <w:r w:rsidRPr="00B96376">
        <w:t>Austin Health, Marcel Leroi and Elizabeth Grabsch</w:t>
      </w:r>
    </w:p>
    <w:p w14:paraId="46BA32BC" w14:textId="77777777" w:rsidR="00B96376" w:rsidRPr="00B96376" w:rsidRDefault="00B96376" w:rsidP="00B96376">
      <w:pPr>
        <w:pStyle w:val="Normal-lessspace"/>
      </w:pPr>
      <w:r w:rsidRPr="00B96376">
        <w:t>Dandenong Hospital, Tony Korman and Kathryn Cisera</w:t>
      </w:r>
    </w:p>
    <w:p w14:paraId="703920B3" w14:textId="77777777" w:rsidR="00B96376" w:rsidRPr="00B96376" w:rsidRDefault="00B96376" w:rsidP="00B96376">
      <w:pPr>
        <w:pStyle w:val="Normal-lessspace"/>
      </w:pPr>
      <w:r w:rsidRPr="00B96376">
        <w:t xml:space="preserve">Monash Medical Centre and Monash Children’s Hospital, Tony Korman and Despina </w:t>
      </w:r>
      <w:proofErr w:type="spellStart"/>
      <w:r w:rsidRPr="00B96376">
        <w:t>Kotsanas</w:t>
      </w:r>
      <w:proofErr w:type="spellEnd"/>
      <w:r w:rsidRPr="00B96376">
        <w:t xml:space="preserve"> </w:t>
      </w:r>
    </w:p>
    <w:p w14:paraId="5AA868E3" w14:textId="77777777" w:rsidR="00B96376" w:rsidRPr="00B96376" w:rsidRDefault="00B96376" w:rsidP="00B96376">
      <w:pPr>
        <w:pStyle w:val="Normal-lessspace"/>
      </w:pPr>
      <w:r w:rsidRPr="00B96376">
        <w:t>Royal Children’s Hospital, Andrew Daley and Gena Gonis</w:t>
      </w:r>
    </w:p>
    <w:p w14:paraId="09CCC208" w14:textId="77777777" w:rsidR="00B96376" w:rsidRPr="00B96376" w:rsidRDefault="00B96376" w:rsidP="00B96376">
      <w:pPr>
        <w:pStyle w:val="Normal-lessspace"/>
      </w:pPr>
      <w:r w:rsidRPr="00B96376">
        <w:t xml:space="preserve">Royal Melbourne Hospital, Katherine Bond and Rose </w:t>
      </w:r>
      <w:proofErr w:type="spellStart"/>
      <w:r w:rsidRPr="00B96376">
        <w:t>Cotronei</w:t>
      </w:r>
      <w:proofErr w:type="spellEnd"/>
    </w:p>
    <w:p w14:paraId="0F3C6029" w14:textId="77777777" w:rsidR="00B96376" w:rsidRPr="00B96376" w:rsidRDefault="00B96376" w:rsidP="00B96376">
      <w:pPr>
        <w:pStyle w:val="Normal-lessspace"/>
      </w:pPr>
      <w:r w:rsidRPr="00B96376">
        <w:t>St Vincent’s Hospital, Amy Crowe and Lisa Brenton</w:t>
      </w:r>
    </w:p>
    <w:p w14:paraId="1A41C1AA" w14:textId="77777777" w:rsidR="00B96376" w:rsidRPr="00B96376" w:rsidRDefault="00B96376" w:rsidP="00B96376">
      <w:pPr>
        <w:spacing w:before="240"/>
        <w:rPr>
          <w:b/>
          <w:bCs/>
          <w:lang w:val="en-GB"/>
        </w:rPr>
      </w:pPr>
      <w:r w:rsidRPr="00B96376">
        <w:rPr>
          <w:b/>
          <w:bCs/>
          <w:lang w:val="en-GB"/>
        </w:rPr>
        <w:t>Western Australia</w:t>
      </w:r>
    </w:p>
    <w:p w14:paraId="67AF5625" w14:textId="77777777" w:rsidR="00B96376" w:rsidRPr="00B96376" w:rsidRDefault="00B96376" w:rsidP="00B96376">
      <w:pPr>
        <w:rPr>
          <w:lang w:val="en-GB"/>
        </w:rPr>
      </w:pPr>
      <w:r w:rsidRPr="00B96376">
        <w:rPr>
          <w:lang w:val="en-GB"/>
        </w:rPr>
        <w:t>Fiona Stanley Hospital, Shakeel Mowlaboccus and Denise Daley</w:t>
      </w:r>
    </w:p>
    <w:p w14:paraId="4C88BCE8" w14:textId="77777777" w:rsidR="00B96376" w:rsidRPr="00B96376" w:rsidRDefault="00B96376" w:rsidP="00B96376">
      <w:pPr>
        <w:pStyle w:val="Normal-lessspace"/>
      </w:pPr>
      <w:r w:rsidRPr="00B96376">
        <w:t>Joondalup Hospital, Shalinie Perera and Gemma Groves</w:t>
      </w:r>
    </w:p>
    <w:p w14:paraId="34C3E69A" w14:textId="77777777" w:rsidR="00B96376" w:rsidRPr="00B96376" w:rsidRDefault="00B96376" w:rsidP="00B96376">
      <w:pPr>
        <w:pStyle w:val="Normal-lessspace"/>
      </w:pPr>
      <w:r w:rsidRPr="00B96376">
        <w:t xml:space="preserve">Perth Children’s Hospital, Christopher Blyth </w:t>
      </w:r>
    </w:p>
    <w:p w14:paraId="5A725F03" w14:textId="77777777" w:rsidR="00B96376" w:rsidRPr="00B96376" w:rsidRDefault="00B96376" w:rsidP="00B96376">
      <w:pPr>
        <w:pStyle w:val="Normal-lessspace"/>
      </w:pPr>
      <w:r w:rsidRPr="00B96376">
        <w:t>Regional Hospitals – Northwest WA, Michael Leung</w:t>
      </w:r>
    </w:p>
    <w:p w14:paraId="70B3D15A" w14:textId="77777777" w:rsidR="00B96376" w:rsidRPr="00B96376" w:rsidRDefault="00B96376" w:rsidP="00B96376">
      <w:pPr>
        <w:pStyle w:val="Normal-lessspace"/>
      </w:pPr>
      <w:r w:rsidRPr="00B96376">
        <w:t>Royal Perth Hospital, Owen Robinson and Geoffrey Coombs</w:t>
      </w:r>
    </w:p>
    <w:p w14:paraId="3D734CAD" w14:textId="77777777" w:rsidR="00B96376" w:rsidRPr="00B96376" w:rsidRDefault="00B96376" w:rsidP="00B96376">
      <w:pPr>
        <w:pStyle w:val="Normal-lessspace"/>
      </w:pPr>
      <w:r w:rsidRPr="00B96376">
        <w:t>Sir Charles Gairdner Hospital, Ronan Murray and Jacinta Bowman</w:t>
      </w:r>
    </w:p>
    <w:p w14:paraId="3B5DBDA7" w14:textId="77196450" w:rsidR="00F216F0" w:rsidRPr="008017B6" w:rsidRDefault="00B96376" w:rsidP="00B96376">
      <w:pPr>
        <w:pStyle w:val="Normal-lessspace"/>
      </w:pPr>
      <w:r w:rsidRPr="00B96376">
        <w:t>St John Of God Hospital, Murdoch, Sudha Pottumarthy-Boddu and Alicia Robinson</w:t>
      </w:r>
    </w:p>
    <w:p w14:paraId="16417CEC" w14:textId="77777777" w:rsidR="008A0736" w:rsidRDefault="008A0736" w:rsidP="008A0736">
      <w:pPr>
        <w:pStyle w:val="Heading1"/>
      </w:pPr>
      <w:bookmarkStart w:id="36" w:name="_Toc213142448"/>
      <w:bookmarkEnd w:id="35"/>
      <w:r>
        <w:lastRenderedPageBreak/>
        <w:t>Author details</w:t>
      </w:r>
      <w:bookmarkEnd w:id="34"/>
      <w:bookmarkEnd w:id="36"/>
    </w:p>
    <w:p w14:paraId="68DA54A5" w14:textId="77777777" w:rsidR="00B96376" w:rsidRPr="00B96376" w:rsidRDefault="00B96376" w:rsidP="00B96376">
      <w:pPr>
        <w:rPr>
          <w:lang w:val="en-GB"/>
        </w:rPr>
      </w:pPr>
      <w:r w:rsidRPr="00B96376">
        <w:rPr>
          <w:lang w:val="en-GB"/>
        </w:rPr>
        <w:t>Prof. Geoffrey W Coombs,</w:t>
      </w:r>
      <w:r w:rsidRPr="00B96376">
        <w:rPr>
          <w:vertAlign w:val="superscript"/>
          <w:lang w:val="en-GB"/>
        </w:rPr>
        <w:t>1,2,3</w:t>
      </w:r>
    </w:p>
    <w:p w14:paraId="1AEE3C3C" w14:textId="77777777" w:rsidR="00B96376" w:rsidRPr="00B96376" w:rsidRDefault="00B96376" w:rsidP="00B96376">
      <w:pPr>
        <w:pStyle w:val="Normal-lessspace"/>
      </w:pPr>
      <w:r w:rsidRPr="00B96376">
        <w:t>Ms Denise A Daley,</w:t>
      </w:r>
      <w:r w:rsidRPr="00B96376">
        <w:rPr>
          <w:vertAlign w:val="superscript"/>
        </w:rPr>
        <w:t>2,3</w:t>
      </w:r>
    </w:p>
    <w:p w14:paraId="40899660" w14:textId="77777777" w:rsidR="00B96376" w:rsidRPr="00B96376" w:rsidRDefault="00B96376" w:rsidP="00B96376">
      <w:pPr>
        <w:pStyle w:val="Normal-lessspace"/>
      </w:pPr>
      <w:r w:rsidRPr="00B96376">
        <w:t>Ms Auriane Form,</w:t>
      </w:r>
      <w:r w:rsidRPr="00B96376">
        <w:rPr>
          <w:vertAlign w:val="superscript"/>
        </w:rPr>
        <w:t>1</w:t>
      </w:r>
    </w:p>
    <w:p w14:paraId="795AACC6" w14:textId="77777777" w:rsidR="00B96376" w:rsidRPr="00B96376" w:rsidRDefault="00B96376" w:rsidP="00B96376">
      <w:pPr>
        <w:pStyle w:val="Normal-lessspace"/>
      </w:pPr>
      <w:r w:rsidRPr="00B96376">
        <w:t>Ms Xing Li,</w:t>
      </w:r>
      <w:r w:rsidRPr="00B96376">
        <w:rPr>
          <w:vertAlign w:val="superscript"/>
        </w:rPr>
        <w:t>1</w:t>
      </w:r>
    </w:p>
    <w:p w14:paraId="26A32835" w14:textId="77777777" w:rsidR="00B96376" w:rsidRPr="00B96376" w:rsidRDefault="00B96376" w:rsidP="00B96376">
      <w:pPr>
        <w:pStyle w:val="Normal-lessspace"/>
      </w:pPr>
      <w:r w:rsidRPr="00B96376">
        <w:t>Mr Christian Torres</w:t>
      </w:r>
      <w:r w:rsidRPr="00B96376">
        <w:rPr>
          <w:vertAlign w:val="superscript"/>
        </w:rPr>
        <w:t>1</w:t>
      </w:r>
    </w:p>
    <w:p w14:paraId="5C4A51E5" w14:textId="77777777" w:rsidR="00B96376" w:rsidRPr="00B96376" w:rsidRDefault="00B96376" w:rsidP="00B96376">
      <w:pPr>
        <w:pStyle w:val="Normal-lessspace"/>
      </w:pPr>
      <w:r w:rsidRPr="00B96376">
        <w:t>Dr Shakeel Mowlaboccus,</w:t>
      </w:r>
      <w:r w:rsidRPr="00B96376">
        <w:rPr>
          <w:vertAlign w:val="superscript"/>
        </w:rPr>
        <w:t>1,3</w:t>
      </w:r>
    </w:p>
    <w:p w14:paraId="2A349376" w14:textId="77777777" w:rsidR="00B96376" w:rsidRPr="00B96376" w:rsidRDefault="00B96376" w:rsidP="00B96376">
      <w:pPr>
        <w:rPr>
          <w:lang w:val="en-GB"/>
        </w:rPr>
      </w:pPr>
      <w:r w:rsidRPr="00B96376">
        <w:rPr>
          <w:lang w:val="en-GB"/>
        </w:rPr>
        <w:t>on behalf of the Australian Group on Antimicrobial Resistance</w:t>
      </w:r>
    </w:p>
    <w:p w14:paraId="3E09E478" w14:textId="3853E4B0" w:rsidR="00B96376" w:rsidRPr="00B0666C" w:rsidRDefault="00B96376" w:rsidP="00B0666C">
      <w:pPr>
        <w:pStyle w:val="CDINumberedList1L1"/>
        <w:numPr>
          <w:ilvl w:val="0"/>
          <w:numId w:val="10"/>
        </w:numPr>
        <w:ind w:left="397" w:hanging="397"/>
        <w:rPr>
          <w:lang w:val="en-GB"/>
        </w:rPr>
      </w:pPr>
      <w:r w:rsidRPr="00B0666C">
        <w:t>School</w:t>
      </w:r>
      <w:r w:rsidRPr="00B0666C">
        <w:rPr>
          <w:lang w:val="en-GB"/>
        </w:rPr>
        <w:t xml:space="preserve"> of Medical, Molecular and Forensic </w:t>
      </w:r>
      <w:r w:rsidR="00A60EC0" w:rsidRPr="00B0666C">
        <w:rPr>
          <w:lang w:val="en-GB"/>
        </w:rPr>
        <w:t>Sciences,</w:t>
      </w:r>
      <w:r w:rsidRPr="00B0666C">
        <w:rPr>
          <w:lang w:val="en-GB"/>
        </w:rPr>
        <w:t xml:space="preserve"> Murdoch University, Murdoch, Western Australia, Australia</w:t>
      </w:r>
    </w:p>
    <w:p w14:paraId="1C8E97D4" w14:textId="77777777" w:rsidR="00B96376" w:rsidRPr="00B96376" w:rsidRDefault="00B96376" w:rsidP="00B0666C">
      <w:pPr>
        <w:pStyle w:val="CDINumberedList1L1"/>
        <w:rPr>
          <w:lang w:val="en-GB"/>
        </w:rPr>
      </w:pPr>
      <w:r w:rsidRPr="00B0666C">
        <w:t>Department</w:t>
      </w:r>
      <w:r w:rsidRPr="00B96376">
        <w:rPr>
          <w:lang w:val="en-GB"/>
        </w:rPr>
        <w:t xml:space="preserve"> of Microbiology, PathWest Laboratory Medicine-WA, Fiona Stanley Hospital, Murdoch, Western Australia, Australia</w:t>
      </w:r>
    </w:p>
    <w:p w14:paraId="25635764" w14:textId="77777777" w:rsidR="00B96376" w:rsidRPr="00B96376" w:rsidRDefault="00B96376" w:rsidP="00B0666C">
      <w:pPr>
        <w:pStyle w:val="CDINumberedList1L1"/>
        <w:rPr>
          <w:lang w:val="en-GB"/>
        </w:rPr>
      </w:pPr>
      <w:r w:rsidRPr="00B96376">
        <w:rPr>
          <w:lang w:val="en-GB"/>
        </w:rPr>
        <w:t xml:space="preserve">Australian Group on </w:t>
      </w:r>
      <w:r w:rsidRPr="00B0666C">
        <w:t>Antimicrobial</w:t>
      </w:r>
      <w:r w:rsidRPr="00B96376">
        <w:rPr>
          <w:lang w:val="en-GB"/>
        </w:rPr>
        <w:t xml:space="preserve"> Resistance, Fiona Stanley Hospital, Murdoch, Western Australia, Australia</w:t>
      </w:r>
    </w:p>
    <w:p w14:paraId="7597004F" w14:textId="77777777" w:rsidR="00423436" w:rsidRDefault="00423436" w:rsidP="00423436">
      <w:pPr>
        <w:pStyle w:val="CDICorrespondingauthor"/>
      </w:pPr>
      <w:r>
        <w:t>Corresponding author</w:t>
      </w:r>
    </w:p>
    <w:p w14:paraId="309BAB00" w14:textId="77777777" w:rsidR="00B0666C" w:rsidRDefault="00B0666C" w:rsidP="00B0666C">
      <w:r>
        <w:t>Prof. Geoffrey Coombs</w:t>
      </w:r>
    </w:p>
    <w:p w14:paraId="5EFBDA7E" w14:textId="77777777" w:rsidR="00B0666C" w:rsidRDefault="00B0666C" w:rsidP="00B0666C">
      <w:r>
        <w:t>School of Medical, Molecular and Forensic Sciences, Murdoch University, Murdoch, Western Australia, Australia</w:t>
      </w:r>
    </w:p>
    <w:p w14:paraId="7EF9F627" w14:textId="77777777" w:rsidR="00B0666C" w:rsidRDefault="00B0666C" w:rsidP="00B0666C">
      <w:r>
        <w:t>Telephone: +61 8 6152 2397</w:t>
      </w:r>
    </w:p>
    <w:p w14:paraId="3CF3D913" w14:textId="3CA93DE9" w:rsidR="008A0736" w:rsidRDefault="00B0666C" w:rsidP="00B0666C">
      <w:r>
        <w:t xml:space="preserve">Email: </w:t>
      </w:r>
      <w:hyperlink r:id="rId24" w:history="1">
        <w:r w:rsidRPr="00535810">
          <w:rPr>
            <w:rStyle w:val="Hyperlink"/>
          </w:rPr>
          <w:t>g.coombs@murdoch.edu.au</w:t>
        </w:r>
      </w:hyperlink>
      <w:r>
        <w:t xml:space="preserve"> </w:t>
      </w:r>
    </w:p>
    <w:p w14:paraId="71DB89D6" w14:textId="77777777" w:rsidR="008A0736" w:rsidRDefault="008A0736" w:rsidP="00122ADA">
      <w:pPr>
        <w:pStyle w:val="Heading1"/>
      </w:pPr>
      <w:bookmarkStart w:id="37" w:name="_Toc195530511"/>
      <w:bookmarkStart w:id="38" w:name="_Toc213142449"/>
      <w:r>
        <w:lastRenderedPageBreak/>
        <w:t>References</w:t>
      </w:r>
      <w:bookmarkEnd w:id="37"/>
      <w:bookmarkEnd w:id="38"/>
    </w:p>
    <w:p w14:paraId="01574F89" w14:textId="52C1432B" w:rsidR="00B0666C" w:rsidRDefault="00B0666C" w:rsidP="00B0666C">
      <w:pPr>
        <w:pStyle w:val="CDINumberedList1L1"/>
        <w:numPr>
          <w:ilvl w:val="0"/>
          <w:numId w:val="11"/>
        </w:numPr>
        <w:ind w:left="397" w:hanging="397"/>
      </w:pPr>
      <w:r>
        <w:t xml:space="preserve">Diekema DJ, Hsueh PR, Mendes RE, Pfaller MA, Rolston KV, Sader HS et al. The microbiology of bloodstream infection: 20-year trends from the SENTRY antimicrobial surveillance program. </w:t>
      </w:r>
      <w:r w:rsidRPr="00B0666C">
        <w:rPr>
          <w:i/>
          <w:iCs/>
        </w:rPr>
        <w:t xml:space="preserve">Antimicrob Agents </w:t>
      </w:r>
      <w:proofErr w:type="spellStart"/>
      <w:r w:rsidRPr="00B0666C">
        <w:rPr>
          <w:i/>
          <w:iCs/>
        </w:rPr>
        <w:t>Chemother</w:t>
      </w:r>
      <w:proofErr w:type="spellEnd"/>
      <w:r>
        <w:t>. 2019;63(7</w:t>
      </w:r>
      <w:proofErr w:type="gramStart"/>
      <w:r>
        <w:t>):e</w:t>
      </w:r>
      <w:proofErr w:type="gramEnd"/>
      <w:r>
        <w:t>00355-19. doi: </w:t>
      </w:r>
      <w:hyperlink r:id="rId25" w:history="1">
        <w:r w:rsidRPr="00535810">
          <w:rPr>
            <w:rStyle w:val="Hyperlink"/>
          </w:rPr>
          <w:t>https://doi.org/10.1128/AAC.00355-19</w:t>
        </w:r>
      </w:hyperlink>
      <w:r>
        <w:t>.</w:t>
      </w:r>
    </w:p>
    <w:p w14:paraId="0D92F79D" w14:textId="51158BF7" w:rsidR="00B0666C" w:rsidRDefault="00B0666C" w:rsidP="00B0666C">
      <w:pPr>
        <w:pStyle w:val="CDINumberedList1L1"/>
      </w:pPr>
      <w:r>
        <w:t xml:space="preserve">Pinholt M, Ostergaard C, Arpi M, Bruun NE, Schønheyder HC, Gradel KO et al. Incidence, clinical characteristics and 30-day mortality of enterococcal bacteraemia in Denmark 2006–2009: a population-based cohort study. </w:t>
      </w:r>
      <w:r w:rsidRPr="00B0666C">
        <w:rPr>
          <w:i/>
          <w:iCs/>
        </w:rPr>
        <w:t>Clin Microbiol Infect</w:t>
      </w:r>
      <w:r>
        <w:t>. 2014;20(2):145–51. doi: </w:t>
      </w:r>
      <w:hyperlink r:id="rId26" w:history="1">
        <w:r w:rsidRPr="00535810">
          <w:rPr>
            <w:rStyle w:val="Hyperlink"/>
          </w:rPr>
          <w:t>https://doi.org/10.1111/1469-0691.12236</w:t>
        </w:r>
      </w:hyperlink>
      <w:r>
        <w:t>.</w:t>
      </w:r>
    </w:p>
    <w:p w14:paraId="5A320865" w14:textId="5F566815" w:rsidR="00B0666C" w:rsidRDefault="00B0666C" w:rsidP="00B0666C">
      <w:pPr>
        <w:pStyle w:val="CDINumberedList1L1"/>
      </w:pPr>
      <w:proofErr w:type="spellStart"/>
      <w:r>
        <w:t>Zerbato</w:t>
      </w:r>
      <w:proofErr w:type="spellEnd"/>
      <w:r>
        <w:t xml:space="preserve"> V, Poi R, Sanson G, Suru DA, Pin E, </w:t>
      </w:r>
      <w:proofErr w:type="spellStart"/>
      <w:r>
        <w:t>Tabolli</w:t>
      </w:r>
      <w:proofErr w:type="spellEnd"/>
      <w:r>
        <w:t xml:space="preserve"> V et al. Risk factors for 30-day mortality in nosocomial enterococcal bloodstream infections. </w:t>
      </w:r>
      <w:r w:rsidRPr="00B0666C">
        <w:rPr>
          <w:i/>
          <w:iCs/>
        </w:rPr>
        <w:t>Antibiotics (Basel)</w:t>
      </w:r>
      <w:r>
        <w:t>. 2024;13(7):601. doi: </w:t>
      </w:r>
      <w:hyperlink r:id="rId27" w:history="1">
        <w:r w:rsidRPr="00535810">
          <w:rPr>
            <w:rStyle w:val="Hyperlink"/>
          </w:rPr>
          <w:t>https://doi.org/10.3390/antibiotics13070601</w:t>
        </w:r>
      </w:hyperlink>
      <w:r>
        <w:t>.</w:t>
      </w:r>
    </w:p>
    <w:p w14:paraId="4C78DF2C" w14:textId="3F4A9CF6" w:rsidR="00B0666C" w:rsidRDefault="00B0666C" w:rsidP="00B0666C">
      <w:pPr>
        <w:pStyle w:val="CDINumberedList1L1"/>
      </w:pPr>
      <w:r>
        <w:t xml:space="preserve">Boucher HW, Talbot GH, Bradley JS, Edwards JE, Gilbert D, Rice LB et al. Bad bugs, no drugs: no ESKAPE! An update from the Infectious Diseases Society of America. </w:t>
      </w:r>
      <w:r w:rsidRPr="00B0666C">
        <w:rPr>
          <w:i/>
          <w:iCs/>
        </w:rPr>
        <w:t>Clin Infect Dis</w:t>
      </w:r>
      <w:r>
        <w:t xml:space="preserve">. 2009;48(1):1–12. doi: </w:t>
      </w:r>
      <w:hyperlink r:id="rId28" w:history="1">
        <w:r w:rsidRPr="00535810">
          <w:rPr>
            <w:rStyle w:val="Hyperlink"/>
          </w:rPr>
          <w:t>https://doi.org/10.1086/595011</w:t>
        </w:r>
      </w:hyperlink>
      <w:r>
        <w:t>.</w:t>
      </w:r>
    </w:p>
    <w:p w14:paraId="54168049" w14:textId="647FF8F3" w:rsidR="00B0666C" w:rsidRDefault="00B0666C" w:rsidP="00B0666C">
      <w:pPr>
        <w:pStyle w:val="CDINumberedList1L1"/>
      </w:pPr>
      <w:r>
        <w:t xml:space="preserve">World Health Organization (WHO). </w:t>
      </w:r>
      <w:r w:rsidRPr="00B0666C">
        <w:rPr>
          <w:i/>
          <w:iCs/>
        </w:rPr>
        <w:t>WHO bacterial priority pathogens list, 2024: Bacterial pathogens of public health importance to guide research, development and strategies to prevent and control antimicrobial resistance</w:t>
      </w:r>
      <w:r>
        <w:t xml:space="preserve">. Geneva: WHO; 17 May 2024. Available from: </w:t>
      </w:r>
      <w:hyperlink r:id="rId29" w:history="1">
        <w:r w:rsidRPr="00535810">
          <w:rPr>
            <w:rStyle w:val="Hyperlink"/>
          </w:rPr>
          <w:t>https://www.who.int/publications/i/item/9789240093461</w:t>
        </w:r>
      </w:hyperlink>
      <w:r>
        <w:t>.</w:t>
      </w:r>
    </w:p>
    <w:p w14:paraId="7E446089" w14:textId="48CAD33E" w:rsidR="00B0666C" w:rsidRDefault="00B0666C" w:rsidP="00B0666C">
      <w:pPr>
        <w:pStyle w:val="CDINumberedList1L1"/>
      </w:pPr>
      <w:r>
        <w:t xml:space="preserve">Christiansen KJ, Turnidge JD, Bell JM, George NM, Pearson JC, Australian Group on </w:t>
      </w:r>
      <w:proofErr w:type="spellStart"/>
      <w:r>
        <w:t>Antimicrobian</w:t>
      </w:r>
      <w:proofErr w:type="spellEnd"/>
      <w:r>
        <w:t xml:space="preserve"> Resistance. Prevalence of antimicrobial resistance in </w:t>
      </w:r>
      <w:r w:rsidRPr="00B0666C">
        <w:rPr>
          <w:i/>
          <w:iCs/>
        </w:rPr>
        <w:t>Enterococcus</w:t>
      </w:r>
      <w:r>
        <w:t xml:space="preserve"> isolates in Australia, 2005: report from the Australian Group on Antimicrobial Resistance. </w:t>
      </w:r>
      <w:r w:rsidRPr="00B0666C">
        <w:rPr>
          <w:i/>
          <w:iCs/>
        </w:rPr>
        <w:t>Commun Dis Intell Q Rep</w:t>
      </w:r>
      <w:r>
        <w:t xml:space="preserve">. 2007;31(4):392–7. doi: </w:t>
      </w:r>
      <w:hyperlink r:id="rId30" w:history="1">
        <w:r w:rsidRPr="00535810">
          <w:rPr>
            <w:rStyle w:val="Hyperlink"/>
          </w:rPr>
          <w:t>https://doi.org/10.33321/cdi.2007.31.42</w:t>
        </w:r>
      </w:hyperlink>
      <w:r>
        <w:t>.</w:t>
      </w:r>
    </w:p>
    <w:p w14:paraId="203856D1" w14:textId="3A9FAA65" w:rsidR="00B0666C" w:rsidRDefault="00B0666C" w:rsidP="00B0666C">
      <w:pPr>
        <w:pStyle w:val="CDINumberedList1L1"/>
      </w:pPr>
      <w:r>
        <w:t xml:space="preserve">Coombs GW, Daley D, Pearson JC, Ingram PR. A change in the molecular epidemiology of vancomycin resistant enterococci in Western Australia. </w:t>
      </w:r>
      <w:r w:rsidRPr="00B0666C">
        <w:rPr>
          <w:i/>
          <w:iCs/>
        </w:rPr>
        <w:t>Pathology</w:t>
      </w:r>
      <w:r>
        <w:t>. 2014;46(1):73–5. doi: </w:t>
      </w:r>
      <w:hyperlink r:id="rId31" w:history="1">
        <w:r w:rsidRPr="00535810">
          <w:rPr>
            <w:rStyle w:val="Hyperlink"/>
          </w:rPr>
          <w:t>https://doi.org/10.1097/PAT.0000000000000038</w:t>
        </w:r>
      </w:hyperlink>
      <w:r>
        <w:t>.</w:t>
      </w:r>
    </w:p>
    <w:p w14:paraId="2C674AE5" w14:textId="7C73E26B" w:rsidR="00B0666C" w:rsidRDefault="00B0666C" w:rsidP="00B0666C">
      <w:pPr>
        <w:pStyle w:val="CDINumberedList1L1"/>
      </w:pPr>
      <w:r>
        <w:t xml:space="preserve">The European Committee on Antimicrobial Susceptibility Testing (EUCAST). Breakpoint tables for interpretation of MICs and zone diameters. Version 15.0. Basel: EUCAST; 1 January 2025. Available from: </w:t>
      </w:r>
      <w:hyperlink r:id="rId32" w:history="1">
        <w:r w:rsidRPr="00535810">
          <w:rPr>
            <w:rStyle w:val="Hyperlink"/>
          </w:rPr>
          <w:t>https://www.eucast.org/fileadmin/src/media/PDFs/EUCAST_files/Breakpoint_tables/v_15.0_Breakpoint_Tables.pdf</w:t>
        </w:r>
      </w:hyperlink>
      <w:r>
        <w:t>.</w:t>
      </w:r>
    </w:p>
    <w:p w14:paraId="11B10B29" w14:textId="10DA531A" w:rsidR="00B0666C" w:rsidRDefault="00B0666C" w:rsidP="00B0666C">
      <w:pPr>
        <w:pStyle w:val="CDINumberedList1L1"/>
      </w:pPr>
      <w:r>
        <w:t xml:space="preserve">Hasman H, Clausen PTLC, Kaya H, Hansen F, Knudsen JD, Wang M et al. LRE-Finder, a web tool for detection of the 23S rRNA mutations and the </w:t>
      </w:r>
      <w:proofErr w:type="spellStart"/>
      <w:r>
        <w:t>optrA</w:t>
      </w:r>
      <w:proofErr w:type="spellEnd"/>
      <w:r>
        <w:t xml:space="preserve">, </w:t>
      </w:r>
      <w:proofErr w:type="spellStart"/>
      <w:r>
        <w:t>cfr</w:t>
      </w:r>
      <w:proofErr w:type="spellEnd"/>
      <w:r>
        <w:t xml:space="preserve">, </w:t>
      </w:r>
      <w:proofErr w:type="spellStart"/>
      <w:r>
        <w:t>cfr</w:t>
      </w:r>
      <w:proofErr w:type="spellEnd"/>
      <w:r>
        <w:t xml:space="preserve">(B) and </w:t>
      </w:r>
      <w:proofErr w:type="spellStart"/>
      <w:r>
        <w:t>poxtA</w:t>
      </w:r>
      <w:proofErr w:type="spellEnd"/>
      <w:r>
        <w:t xml:space="preserve"> genes encoding linezolid resistance in enterococci from whole-genome sequences. </w:t>
      </w:r>
      <w:r w:rsidRPr="00B0666C">
        <w:rPr>
          <w:i/>
          <w:iCs/>
        </w:rPr>
        <w:t>J Antimicrob Chemother</w:t>
      </w:r>
      <w:r>
        <w:t xml:space="preserve">. 2019;74(6):1473–6. doi: </w:t>
      </w:r>
      <w:hyperlink r:id="rId33" w:history="1">
        <w:r w:rsidRPr="00535810">
          <w:rPr>
            <w:rStyle w:val="Hyperlink"/>
          </w:rPr>
          <w:t>https://doi.org/10.1093/jac/dkz092</w:t>
        </w:r>
      </w:hyperlink>
      <w:r>
        <w:t>.</w:t>
      </w:r>
    </w:p>
    <w:p w14:paraId="5005E0D0" w14:textId="60EF679D" w:rsidR="00B0666C" w:rsidRDefault="00B0666C" w:rsidP="00B0666C">
      <w:pPr>
        <w:pStyle w:val="CDINumberedList1L1"/>
      </w:pPr>
      <w:r>
        <w:t xml:space="preserve">Coombs GW, Daley DA, Yee NWT, Shoby P, Mowlaboccus S, Australian Group on Antimicrobial Resistance. Australian Group on Antimicrobial Resistance (AGAR) Australian Enterococcal Sepsis Outcome Programme (AESOP) Annual Report 2020. </w:t>
      </w:r>
      <w:r w:rsidRPr="00B0666C">
        <w:rPr>
          <w:i/>
          <w:iCs/>
        </w:rPr>
        <w:t>Commun Dis Intell (2018)</w:t>
      </w:r>
      <w:r>
        <w:t xml:space="preserve">. 2022;46. doi: </w:t>
      </w:r>
      <w:hyperlink r:id="rId34" w:history="1">
        <w:r w:rsidRPr="00535810">
          <w:rPr>
            <w:rStyle w:val="Hyperlink"/>
          </w:rPr>
          <w:t>https://doi.org/10.33321/cdi.2022.46.17</w:t>
        </w:r>
      </w:hyperlink>
      <w:r>
        <w:t>.</w:t>
      </w:r>
    </w:p>
    <w:p w14:paraId="0C8E58E4" w14:textId="1EA05FE3" w:rsidR="00B0666C" w:rsidRDefault="00B0666C" w:rsidP="00B0666C">
      <w:pPr>
        <w:pStyle w:val="CDINumberedList1L1"/>
      </w:pPr>
      <w:r>
        <w:lastRenderedPageBreak/>
        <w:t xml:space="preserve">Coombs GW, Daley DA, Yee NWT, Shoby P, Mowlaboccus S, Australian Group on Antimicrobial Resistance. Australian Group on Antimicrobial Resistance (AGAR) Australian Enterococcal Surveillance Outcome Program (AESOP) – Bloodstream Infection Annual Report 2021. </w:t>
      </w:r>
      <w:r w:rsidRPr="00B0666C">
        <w:rPr>
          <w:i/>
          <w:iCs/>
        </w:rPr>
        <w:t>Commun Dis Intell (2018)</w:t>
      </w:r>
      <w:r>
        <w:t xml:space="preserve">. 2022;46. doi: </w:t>
      </w:r>
      <w:hyperlink r:id="rId35" w:history="1">
        <w:r w:rsidRPr="00535810">
          <w:rPr>
            <w:rStyle w:val="Hyperlink"/>
          </w:rPr>
          <w:t>https://doi.org/10.33321/cdi.2022.46.77</w:t>
        </w:r>
      </w:hyperlink>
      <w:r>
        <w:t>.</w:t>
      </w:r>
    </w:p>
    <w:p w14:paraId="4BF4E7B0" w14:textId="7B253FB1" w:rsidR="00B0666C" w:rsidRDefault="00B0666C" w:rsidP="00B0666C">
      <w:pPr>
        <w:pStyle w:val="CDINumberedList1L1"/>
      </w:pPr>
      <w:r>
        <w:t xml:space="preserve">Coombs GW, Daley DA, Shoby P, Mowlaboccus S. Australian Group on Antimicrobial Resistance (AGAR) Australian Enterococcal Surveillance Outcome Program (AESOP) Bloodstream Infection Annual Report 2022. </w:t>
      </w:r>
      <w:r w:rsidRPr="00B0666C">
        <w:rPr>
          <w:i/>
          <w:iCs/>
        </w:rPr>
        <w:t>Commun Dis Intell (2018)</w:t>
      </w:r>
      <w:r>
        <w:t>. 2023;47. doi: </w:t>
      </w:r>
      <w:hyperlink r:id="rId36" w:history="1">
        <w:r w:rsidRPr="00535810">
          <w:rPr>
            <w:rStyle w:val="Hyperlink"/>
          </w:rPr>
          <w:t>https://doi.org/10.33321/cdi.2023.47.68</w:t>
        </w:r>
      </w:hyperlink>
      <w:r>
        <w:t>.</w:t>
      </w:r>
    </w:p>
    <w:p w14:paraId="0D692202" w14:textId="7FB279B2" w:rsidR="00B0666C" w:rsidRDefault="00B0666C" w:rsidP="00B0666C">
      <w:pPr>
        <w:pStyle w:val="CDINumberedList1L1"/>
      </w:pPr>
      <w:r>
        <w:t xml:space="preserve">Coombs GW, Daley DA, Shoby P, Form A, Mowlaboccus S. Australian Group on Antimicrobial Resistance (AGAR) Australian Enterococcal Surveillance Outcome Program (AESOP) Bloodstream Infection Annual Report 2023. </w:t>
      </w:r>
      <w:r w:rsidRPr="00B0666C">
        <w:rPr>
          <w:i/>
          <w:iCs/>
        </w:rPr>
        <w:t>Commun Dis Intell (2018)</w:t>
      </w:r>
      <w:r>
        <w:t>. 2024;48. doi: </w:t>
      </w:r>
      <w:hyperlink r:id="rId37" w:history="1">
        <w:r w:rsidRPr="00535810">
          <w:rPr>
            <w:rStyle w:val="Hyperlink"/>
          </w:rPr>
          <w:t>https://doi.org/10.33321/cdi.2024.48.56</w:t>
        </w:r>
      </w:hyperlink>
      <w:r>
        <w:t>.</w:t>
      </w:r>
    </w:p>
    <w:p w14:paraId="154A5CC1" w14:textId="43FECD19" w:rsidR="00B0666C" w:rsidRDefault="00B0666C" w:rsidP="00B0666C">
      <w:pPr>
        <w:pStyle w:val="CDINumberedList1L1"/>
      </w:pPr>
      <w:r>
        <w:t xml:space="preserve">European Centre for Disease Prevention and Control (ECDC). European Antimicrobial Resistance Surveillance Network (EARS-Net). [Webpage.] Solna: ECDC; 17 November 2023. [Accessed on 2 April 2024.] Available from: </w:t>
      </w:r>
      <w:hyperlink r:id="rId38" w:history="1">
        <w:r w:rsidRPr="00535810">
          <w:rPr>
            <w:rStyle w:val="Hyperlink"/>
          </w:rPr>
          <w:t>https://www.ecdc.europa.eu/en/about-us/networks/disease-networks-and-laboratory-networks/ears-net-data</w:t>
        </w:r>
      </w:hyperlink>
      <w:r>
        <w:t>.</w:t>
      </w:r>
    </w:p>
    <w:p w14:paraId="250FF4EE" w14:textId="3817020E" w:rsidR="004973B4" w:rsidRPr="0058264F" w:rsidRDefault="00B0666C" w:rsidP="006A19E6">
      <w:pPr>
        <w:pStyle w:val="CDINumberedList1L1"/>
      </w:pPr>
      <w:r>
        <w:t xml:space="preserve">ECDC. Surveillance Atlas of Infectious Diseases. [Webpage.] Solna: ECDC; 28 April 2023. Available from: </w:t>
      </w:r>
      <w:hyperlink r:id="rId39" w:history="1">
        <w:r w:rsidRPr="00535810">
          <w:rPr>
            <w:rStyle w:val="Hyperlink"/>
          </w:rPr>
          <w:t>https://www.ecdc.europa.eu/en/surveillance-atlas-infectious-diseases</w:t>
        </w:r>
      </w:hyperlink>
      <w:r>
        <w:t>.</w:t>
      </w:r>
    </w:p>
    <w:sectPr w:rsidR="004973B4" w:rsidRPr="0058264F"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EFC3" w14:textId="77777777" w:rsidR="00D51661" w:rsidRDefault="00D51661" w:rsidP="00E54DBA">
      <w:r>
        <w:separator/>
      </w:r>
    </w:p>
    <w:p w14:paraId="11DCF20C" w14:textId="77777777" w:rsidR="00D51661" w:rsidRDefault="00D51661"/>
    <w:p w14:paraId="643E608B" w14:textId="77777777" w:rsidR="00D51661" w:rsidRDefault="00D51661" w:rsidP="008714B0"/>
  </w:endnote>
  <w:endnote w:type="continuationSeparator" w:id="0">
    <w:p w14:paraId="59875974" w14:textId="77777777" w:rsidR="00D51661" w:rsidRDefault="00D51661" w:rsidP="00E54DBA">
      <w:r>
        <w:continuationSeparator/>
      </w:r>
    </w:p>
    <w:p w14:paraId="387FA3A3" w14:textId="77777777" w:rsidR="00D51661" w:rsidRDefault="00D51661"/>
    <w:p w14:paraId="13B57EA8" w14:textId="77777777" w:rsidR="00D51661" w:rsidRDefault="00D5166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B8DA"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0FC2B4FB" wp14:editId="3BA5CDFC">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5C16464"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C2B4FB"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05C16464"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099D" w14:textId="203F0C40"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D51661">
        <w:t>2025</w:t>
      </w:r>
    </w:fldSimple>
    <w:r w:rsidR="009B78A9">
      <w:t>;</w:t>
    </w:r>
    <w:fldSimple w:instr=" DOCPROPERTY  Vol  \* MERGEFORMAT ">
      <w:r w:rsidR="00D51661">
        <w:t>49</w:t>
      </w:r>
    </w:fldSimple>
    <w:r w:rsidR="00385655" w:rsidRPr="001D0612">
      <w:t xml:space="preserve"> </w:t>
    </w:r>
    <w:r w:rsidR="00385655" w:rsidRPr="00B85B74">
      <w:t>•</w:t>
    </w:r>
    <w:r w:rsidR="00385655">
      <w:t xml:space="preserve"> </w:t>
    </w:r>
    <w:fldSimple w:instr=" DOCPROPERTY  DOI  \* MERGEFORMAT ">
      <w:r w:rsidR="00177B9C">
        <w:t>doi.org/10.33321/cdi.2025.49.053</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177B9C">
        <w:t>18.11.2025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3C2A"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239AAF70" wp14:editId="00492665">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227C60F"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9AAF70"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0227C60F"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6F570" w14:textId="77777777" w:rsidR="00D51661" w:rsidRPr="00B91FB5" w:rsidRDefault="00D51661" w:rsidP="00B91FB5">
      <w:pPr>
        <w:spacing w:line="240" w:lineRule="auto"/>
        <w:rPr>
          <w:sz w:val="18"/>
          <w:szCs w:val="18"/>
        </w:rPr>
      </w:pPr>
      <w:r w:rsidRPr="00B91FB5">
        <w:rPr>
          <w:sz w:val="18"/>
          <w:szCs w:val="18"/>
        </w:rPr>
        <w:separator/>
      </w:r>
    </w:p>
  </w:footnote>
  <w:footnote w:type="continuationSeparator" w:id="0">
    <w:p w14:paraId="59FB29BC" w14:textId="77777777" w:rsidR="00D51661" w:rsidRDefault="00D51661" w:rsidP="00E54DBA">
      <w:r>
        <w:continuationSeparator/>
      </w:r>
    </w:p>
  </w:footnote>
  <w:footnote w:type="continuationNotice" w:id="1">
    <w:p w14:paraId="3D9CD517" w14:textId="77777777" w:rsidR="00D51661" w:rsidRPr="00224EFF" w:rsidRDefault="00D51661"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A2AFF"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2EE458FD" wp14:editId="0936A0C7">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17A84A5"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E458FD"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617A84A5"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9515"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610A1"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62DC1D5A" wp14:editId="315EF99C">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7642D11"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DC1D5A"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77642D11"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FBF47AD4"/>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8819838">
    <w:abstractNumId w:val="1"/>
    <w:lvlOverride w:ilvl="0">
      <w:startOverride w:val="1"/>
    </w:lvlOverride>
  </w:num>
  <w:num w:numId="11" w16cid:durableId="1439448763">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61"/>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3D7E"/>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48D9"/>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77B9C"/>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5C64"/>
    <w:rsid w:val="0024631C"/>
    <w:rsid w:val="00252C9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991"/>
    <w:rsid w:val="003452F7"/>
    <w:rsid w:val="00345738"/>
    <w:rsid w:val="00346D42"/>
    <w:rsid w:val="00346E11"/>
    <w:rsid w:val="00350C6C"/>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55A2"/>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46A6"/>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8D3"/>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14BA"/>
    <w:rsid w:val="00714CD2"/>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60E"/>
    <w:rsid w:val="007A2D74"/>
    <w:rsid w:val="007A33B9"/>
    <w:rsid w:val="007A35A0"/>
    <w:rsid w:val="007A39B4"/>
    <w:rsid w:val="007A4B9B"/>
    <w:rsid w:val="007A5234"/>
    <w:rsid w:val="007A764D"/>
    <w:rsid w:val="007B119B"/>
    <w:rsid w:val="007B537E"/>
    <w:rsid w:val="007B7854"/>
    <w:rsid w:val="007C02E7"/>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0EC0"/>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0666C"/>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14A9"/>
    <w:rsid w:val="00B52457"/>
    <w:rsid w:val="00B53955"/>
    <w:rsid w:val="00B53BFC"/>
    <w:rsid w:val="00B63C79"/>
    <w:rsid w:val="00B6408A"/>
    <w:rsid w:val="00B6478A"/>
    <w:rsid w:val="00B7014D"/>
    <w:rsid w:val="00B714B8"/>
    <w:rsid w:val="00B716E8"/>
    <w:rsid w:val="00B73144"/>
    <w:rsid w:val="00B814CF"/>
    <w:rsid w:val="00B82C2C"/>
    <w:rsid w:val="00B82D99"/>
    <w:rsid w:val="00B85B74"/>
    <w:rsid w:val="00B85F35"/>
    <w:rsid w:val="00B8720B"/>
    <w:rsid w:val="00B87589"/>
    <w:rsid w:val="00B876EF"/>
    <w:rsid w:val="00B87887"/>
    <w:rsid w:val="00B91551"/>
    <w:rsid w:val="00B91FB5"/>
    <w:rsid w:val="00B9572B"/>
    <w:rsid w:val="00B96233"/>
    <w:rsid w:val="00B96376"/>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1476"/>
    <w:rsid w:val="00BF42FE"/>
    <w:rsid w:val="00C02B29"/>
    <w:rsid w:val="00C06DA4"/>
    <w:rsid w:val="00C07606"/>
    <w:rsid w:val="00C12542"/>
    <w:rsid w:val="00C130EE"/>
    <w:rsid w:val="00C230DA"/>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32A59"/>
    <w:rsid w:val="00D33918"/>
    <w:rsid w:val="00D34AAF"/>
    <w:rsid w:val="00D36033"/>
    <w:rsid w:val="00D373A1"/>
    <w:rsid w:val="00D37C0F"/>
    <w:rsid w:val="00D4113F"/>
    <w:rsid w:val="00D43E8E"/>
    <w:rsid w:val="00D45661"/>
    <w:rsid w:val="00D45943"/>
    <w:rsid w:val="00D47D22"/>
    <w:rsid w:val="00D50346"/>
    <w:rsid w:val="00D50368"/>
    <w:rsid w:val="00D51661"/>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82AB9"/>
  <w15:docId w15:val="{0FD8B6BE-33A6-4DA7-80D8-E14C09523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6A6"/>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7C02E7"/>
    <w:pPr>
      <w:spacing w:before="320"/>
    </w:pPr>
    <w:rPr>
      <w:rFonts w:asciiTheme="majorHAnsi" w:hAnsiTheme="majorHAnsi" w:cs="Arial"/>
      <w:b/>
      <w:bCs/>
      <w:sz w:val="48"/>
      <w:szCs w:val="48"/>
    </w:rPr>
  </w:style>
  <w:style w:type="character" w:customStyle="1" w:styleId="TitleChar">
    <w:name w:val="Title Char"/>
    <w:basedOn w:val="DefaultParagraphFont"/>
    <w:link w:val="Title"/>
    <w:uiPriority w:val="10"/>
    <w:rsid w:val="007C02E7"/>
    <w:rPr>
      <w:rFonts w:asciiTheme="majorHAnsi" w:hAnsiTheme="majorHAnsi" w:cs="Arial"/>
      <w:b/>
      <w:bCs/>
      <w:sz w:val="48"/>
      <w:szCs w:val="48"/>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ind w:left="397" w:hanging="397"/>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0666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0666C"/>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NumberedList1L1">
    <w:name w:val="Numbered List (1.) L1"/>
    <w:basedOn w:val="BodyText"/>
    <w:uiPriority w:val="99"/>
    <w:rsid w:val="00B0666C"/>
    <w:pPr>
      <w:keepLines/>
      <w:suppressAutoHyphens/>
      <w:autoSpaceDE w:val="0"/>
      <w:autoSpaceDN w:val="0"/>
      <w:adjustRightInd w:val="0"/>
      <w:spacing w:before="142" w:after="0" w:line="250" w:lineRule="atLeast"/>
      <w:ind w:left="397" w:hanging="397"/>
      <w:textAlignment w:val="center"/>
    </w:pPr>
    <w:rPr>
      <w:rFonts w:ascii="HelveticaNeueLTPro-Roman" w:hAnsi="HelveticaNeueLTPro-Roman" w:cs="HelveticaNeueLTPro-Roman"/>
      <w:color w:val="000000"/>
      <w:sz w:val="20"/>
      <w:szCs w:val="20"/>
      <w:lang w:val="en-GB"/>
      <w14:ligatures w14:val="none"/>
    </w:rPr>
  </w:style>
  <w:style w:type="paragraph" w:customStyle="1" w:styleId="NumberedList1L1-First">
    <w:name w:val="Numbered List (1.) L1 - First"/>
    <w:basedOn w:val="NumberedList1L1"/>
    <w:uiPriority w:val="99"/>
    <w:rsid w:val="00B0666C"/>
    <w:pPr>
      <w:spacing w:before="340"/>
    </w:pPr>
  </w:style>
  <w:style w:type="character" w:customStyle="1" w:styleId="Bold">
    <w:name w:val="Bold"/>
    <w:uiPriority w:val="99"/>
    <w:rsid w:val="001248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header" Target="header1.xml"/><Relationship Id="rId26" Type="http://schemas.openxmlformats.org/officeDocument/2006/relationships/hyperlink" Target="https://doi.org/10.1111/1469-0691.12236" TargetMode="External"/><Relationship Id="rId39" Type="http://schemas.openxmlformats.org/officeDocument/2006/relationships/hyperlink" Target="https://www.ecdc.europa.eu/en/surveillance-atlas-infectious-diseases" TargetMode="External"/><Relationship Id="rId21" Type="http://schemas.openxmlformats.org/officeDocument/2006/relationships/footer" Target="footer2.xml"/><Relationship Id="rId34" Type="http://schemas.openxmlformats.org/officeDocument/2006/relationships/hyperlink" Target="https://doi.org/10.33321/cdi.2022.46.17"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0" Type="http://schemas.openxmlformats.org/officeDocument/2006/relationships/footer" Target="footer1.xml"/><Relationship Id="rId29" Type="http://schemas.openxmlformats.org/officeDocument/2006/relationships/hyperlink" Target="https://www.who.int/publications/i/item/978924009346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nc-nd/4.0/legalcode" TargetMode="External"/><Relationship Id="rId24" Type="http://schemas.openxmlformats.org/officeDocument/2006/relationships/hyperlink" Target="mailto:g.coombs@murdoch.edu.au" TargetMode="External"/><Relationship Id="rId32" Type="http://schemas.openxmlformats.org/officeDocument/2006/relationships/hyperlink" Target="https://www.eucast.org/fileadmin/src/media/PDFs/EUCAST_files/Breakpoint_tables/v_15.0_Breakpoint_Tables.pdf" TargetMode="External"/><Relationship Id="rId37" Type="http://schemas.openxmlformats.org/officeDocument/2006/relationships/hyperlink" Target="https://doi.org/10.33321/cdi.2024.48.56"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oter" Target="footer3.xml"/><Relationship Id="rId28" Type="http://schemas.openxmlformats.org/officeDocument/2006/relationships/hyperlink" Target="https://doi.org/10.1086/595011" TargetMode="External"/><Relationship Id="rId36" Type="http://schemas.openxmlformats.org/officeDocument/2006/relationships/hyperlink" Target="https://doi.org/10.33321/cdi.2023.47.68" TargetMode="External"/><Relationship Id="rId10" Type="http://schemas.openxmlformats.org/officeDocument/2006/relationships/hyperlink" Target="https://www.cdc.gov.au/topics/communicable-diseases/cdi" TargetMode="External"/><Relationship Id="rId19" Type="http://schemas.openxmlformats.org/officeDocument/2006/relationships/header" Target="header2.xml"/><Relationship Id="rId31" Type="http://schemas.openxmlformats.org/officeDocument/2006/relationships/hyperlink" Target="https://doi.org/10.1097/PAT.000000000000003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header" Target="header3.xml"/><Relationship Id="rId27" Type="http://schemas.openxmlformats.org/officeDocument/2006/relationships/hyperlink" Target="https://doi.org/10.3390/antibiotics13070601" TargetMode="External"/><Relationship Id="rId30" Type="http://schemas.openxmlformats.org/officeDocument/2006/relationships/hyperlink" Target="https://doi.org/10.33321/cdi.2007.31.42" TargetMode="External"/><Relationship Id="rId35" Type="http://schemas.openxmlformats.org/officeDocument/2006/relationships/hyperlink" Target="https://doi.org/10.33321/cdi.2022.46.77"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hyperlink" Target="https://doi.org/10.1128/AAC.00355-19" TargetMode="External"/><Relationship Id="rId33" Type="http://schemas.openxmlformats.org/officeDocument/2006/relationships/hyperlink" Target="https://doi.org/10.1093/jac/dkz092" TargetMode="External"/><Relationship Id="rId38" Type="http://schemas.openxmlformats.org/officeDocument/2006/relationships/hyperlink" Target="https://www.ecdc.europa.eu/en/about-us/networks/disease-networks-and-laboratory-networks/ears-net-dat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2</TotalTime>
  <Pages>19</Pages>
  <Words>4408</Words>
  <Characters>29697</Characters>
  <Application>Microsoft Office Word</Application>
  <DocSecurity>0</DocSecurity>
  <Lines>742</Lines>
  <Paragraphs>532</Paragraphs>
  <ScaleCrop>false</ScaleCrop>
  <HeadingPairs>
    <vt:vector size="2" baseType="variant">
      <vt:variant>
        <vt:lpstr>Title</vt:lpstr>
      </vt:variant>
      <vt:variant>
        <vt:i4>1</vt:i4>
      </vt:variant>
    </vt:vector>
  </HeadingPairs>
  <TitlesOfParts>
    <vt:vector size="1" baseType="lpstr">
      <vt:lpstr>Communicable Diseases Intelligence - Australian Group on Antimicrobial Resistance (AGAR) Australian Enterococcal Surveillance Outcome Program (AESOP), Bloodstream Infection Annual Report 2024</vt:lpstr>
    </vt:vector>
  </TitlesOfParts>
  <Company>interim Australian Centre for Disease Control within the Department of Health, Disability and Ageing</Company>
  <LinksUpToDate>false</LinksUpToDate>
  <CharactersWithSpaces>33573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Group on Antimicrobial Resistance (AGAR) Australian Enterococcal Surveillance Outcome Program (AESOP), Bloodstream Infection Annual Report 2024</dc:title>
  <dc:subject>The Australian Group on Antimicrobial Resistance’s 2024 Australian Enterococcal Surveillance Outcome Program has shown enterococcal bloodstream infections in Australia are frequently caused by polyclonal ampicillin-resistant high-level gentamicin-resistant vancomycin-resistant Enterococcus faecium which have limited treatment options.</dc:subject>
  <dc:creator>Geoffrey W Coombs; Denise A Daley; Auriane Form; Xing Li; Christian Torres; Shakeel Mowlaboccus; Australian Group on Antimicrobial Resistance</dc:creator>
  <cp:keywords>Australian Group on Antimicrobial Resistance (AGAR); antimicrobial resistance surveillance; Enterococcus faecium; Enterococcus faecalis; vancomycin resistant enterococci (VRE); bacteraemia</cp:keywords>
  <dc:description>© 2025 Commonwealth of Australia as represented by the Department of Health, Disability and Ageing. This publication is licenced under a CC BY-NC-ND licence.</dc:description>
  <cp:revision>4</cp:revision>
  <cp:lastPrinted>2024-03-07T01:06:00Z</cp:lastPrinted>
  <dcterms:created xsi:type="dcterms:W3CDTF">2025-11-04T04:35:00Z</dcterms:created>
  <dcterms:modified xsi:type="dcterms:W3CDTF">2025-11-16T22:57:00Z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18.11.2025</vt:lpwstr>
  </property>
  <property fmtid="{D5CDD505-2E9C-101B-9397-08002B2CF9AE}" pid="5" name="DOI">
    <vt:lpwstr>doi.org/10.33321/cdi.2025.49.053</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